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Borders>
          <w:top w:val="single" w:sz="4" w:space="0" w:color="auto"/>
        </w:tblBorders>
        <w:shd w:val="clear" w:color="auto" w:fill="006699"/>
        <w:tblLayout w:type="fixed"/>
        <w:tblLook w:val="0000" w:firstRow="0" w:lastRow="0" w:firstColumn="0" w:lastColumn="0" w:noHBand="0" w:noVBand="0"/>
      </w:tblPr>
      <w:tblGrid>
        <w:gridCol w:w="9360"/>
      </w:tblGrid>
      <w:tr w:rsidR="00B50E30" w:rsidRPr="00104A23" w14:paraId="670A3108" w14:textId="77777777" w:rsidTr="008D64F8">
        <w:tc>
          <w:tcPr>
            <w:tcW w:w="9360" w:type="dxa"/>
            <w:shd w:val="clear" w:color="auto" w:fill="006699"/>
          </w:tcPr>
          <w:p w14:paraId="5906702C" w14:textId="2626BA42" w:rsidR="00B50E30" w:rsidRPr="00104A23" w:rsidRDefault="00B50E30" w:rsidP="00AF617F">
            <w:pPr>
              <w:spacing w:after="0"/>
              <w:jc w:val="center"/>
              <w:rPr>
                <w:rFonts w:ascii="Verdana" w:hAnsi="Verdana"/>
                <w:b/>
                <w:color w:val="FFFFFF"/>
                <w:sz w:val="30"/>
                <w:szCs w:val="30"/>
              </w:rPr>
            </w:pPr>
            <w:r>
              <w:rPr>
                <w:rFonts w:ascii="Verdana" w:hAnsi="Verdana"/>
                <w:b/>
                <w:color w:val="FFFFFF"/>
                <w:sz w:val="30"/>
                <w:szCs w:val="30"/>
              </w:rPr>
              <w:t>Kosovo</w:t>
            </w:r>
            <w:r w:rsidRPr="00104A23">
              <w:rPr>
                <w:rFonts w:ascii="Verdana" w:hAnsi="Verdana"/>
                <w:b/>
                <w:color w:val="FFFFFF"/>
                <w:sz w:val="30"/>
                <w:szCs w:val="30"/>
              </w:rPr>
              <w:t>: Pension Policy Challenges in 2020</w:t>
            </w:r>
            <w:r w:rsidR="00AF617F">
              <w:rPr>
                <w:rStyle w:val="FootnoteReference"/>
                <w:rFonts w:ascii="Verdana" w:hAnsi="Verdana"/>
                <w:b/>
                <w:color w:val="FFFFFF"/>
                <w:sz w:val="30"/>
                <w:szCs w:val="30"/>
              </w:rPr>
              <w:footnoteReference w:id="1"/>
            </w:r>
          </w:p>
        </w:tc>
      </w:tr>
    </w:tbl>
    <w:p w14:paraId="0E83BEE0" w14:textId="15E7F3E2" w:rsidR="00EA7FC3" w:rsidRDefault="00EA7FC3" w:rsidP="004551DA">
      <w:pPr>
        <w:spacing w:after="0"/>
        <w:rPr>
          <w:rFonts w:cs="Times New Roman"/>
          <w:b/>
          <w:sz w:val="22"/>
        </w:rPr>
      </w:pPr>
    </w:p>
    <w:p w14:paraId="7E83DE91" w14:textId="7BD9FD92" w:rsidR="004551DA" w:rsidRPr="00602CD6" w:rsidRDefault="004551DA">
      <w:pPr>
        <w:rPr>
          <w:rFonts w:cs="Times New Roman"/>
          <w:szCs w:val="24"/>
        </w:rPr>
      </w:pPr>
      <w:r w:rsidRPr="00EA7FC3">
        <w:rPr>
          <w:rFonts w:cs="Times New Roman"/>
          <w:noProof/>
          <w:szCs w:val="24"/>
        </w:rPr>
        <mc:AlternateContent>
          <mc:Choice Requires="wps">
            <w:drawing>
              <wp:inline distT="0" distB="0" distL="0" distR="0" wp14:anchorId="74E1CD9C" wp14:editId="277E5DBB">
                <wp:extent cx="5905500" cy="1404620"/>
                <wp:effectExtent l="0" t="0" r="1905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9CEE674" w14:textId="77777777" w:rsidR="004551DA" w:rsidRPr="004F6CB1" w:rsidRDefault="004551DA" w:rsidP="004551DA">
                            <w:pPr>
                              <w:rPr>
                                <w:rFonts w:cs="Times New Roman"/>
                                <w:b/>
                                <w:sz w:val="22"/>
                              </w:rPr>
                            </w:pPr>
                            <w:r w:rsidRPr="004F6CB1">
                              <w:rPr>
                                <w:rFonts w:cs="Times New Roman"/>
                                <w:b/>
                                <w:sz w:val="22"/>
                              </w:rPr>
                              <w:t>Executive Summary</w:t>
                            </w:r>
                          </w:p>
                          <w:p w14:paraId="216BCCFB" w14:textId="52C49303" w:rsidR="004551DA" w:rsidRPr="004F6CB1" w:rsidRDefault="004551DA" w:rsidP="004551DA">
                            <w:pPr>
                              <w:rPr>
                                <w:rFonts w:cs="Times New Roman"/>
                                <w:sz w:val="22"/>
                              </w:rPr>
                            </w:pPr>
                            <w:r w:rsidRPr="004F6CB1">
                              <w:rPr>
                                <w:rFonts w:cs="Times New Roman"/>
                                <w:sz w:val="22"/>
                              </w:rPr>
                              <w:t xml:space="preserve">Kosovo’s pension system started from scratch after its conflict with Serbia. It is based on a fully funded Defined Contribution (DC) scheme and a universal basic pension. However, the government has subsequently introduced a significant number of unfunded schemes and war-related benefits. These additional benefits are straining the costs of the system and threaten its sustainability, while introducing significant fragmentation and unclear incentives to participate in the contributory system. </w:t>
                            </w:r>
                          </w:p>
                          <w:p w14:paraId="3FA36EAF" w14:textId="343F4B35" w:rsidR="004551DA" w:rsidRPr="004F6CB1" w:rsidRDefault="004551DA" w:rsidP="004551DA">
                            <w:pPr>
                              <w:spacing w:after="0"/>
                              <w:rPr>
                                <w:rFonts w:cs="Times New Roman"/>
                                <w:sz w:val="22"/>
                              </w:rPr>
                            </w:pPr>
                            <w:r w:rsidRPr="004F6CB1">
                              <w:rPr>
                                <w:rFonts w:cs="Times New Roman"/>
                                <w:sz w:val="22"/>
                              </w:rPr>
                              <w:t xml:space="preserve">The government should move toward building a unified pension system, consisting of multiple complementary pillars that are adequately financed in a sustainable manner in the long term. The system should provide adequate lifetime benefits and care as incentives to contribute. Institutional strengthening will be needed to manage the system and avoid excessive cost increases in the future. </w:t>
                            </w:r>
                          </w:p>
                        </w:txbxContent>
                      </wps:txbx>
                      <wps:bodyPr rot="0" vert="horz" wrap="square" lIns="91440" tIns="45720" rIns="91440" bIns="45720" anchor="t" anchorCtr="0">
                        <a:spAutoFit/>
                      </wps:bodyPr>
                    </wps:wsp>
                  </a:graphicData>
                </a:graphic>
              </wp:inline>
            </w:drawing>
          </mc:Choice>
          <mc:Fallback>
            <w:pict>
              <v:shapetype w14:anchorId="74E1CD9C" id="_x0000_t202" coordsize="21600,21600" o:spt="202" path="m,l,21600r21600,l21600,xe">
                <v:stroke joinstyle="miter"/>
                <v:path gradientshapeok="t" o:connecttype="rect"/>
              </v:shapetype>
              <v:shape id="Text Box 2" o:spid="_x0000_s1026" type="#_x0000_t202" style="width: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sB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">
                <v:textbox style="mso-fit-shape-to-text:t">
                  <w:txbxContent>
                    <w:p w14:paraId="49CEE674" w14:textId="77777777" w:rsidR="004551DA" w:rsidRPr="004F6CB1" w:rsidRDefault="004551DA" w:rsidP="004551DA">
                      <w:pPr>
                        <w:rPr>
                          <w:rFonts w:cs="Times New Roman"/>
                          <w:b/>
                          <w:sz w:val="22"/>
                        </w:rPr>
                      </w:pPr>
                      <w:r w:rsidRPr="004F6CB1">
                        <w:rPr>
                          <w:rFonts w:cs="Times New Roman"/>
                          <w:b/>
                          <w:sz w:val="22"/>
                        </w:rPr>
                        <w:t>Executive Summary</w:t>
                      </w:r>
                    </w:p>
                    <w:p w14:paraId="216BCCFB" w14:textId="52C49303" w:rsidR="004551DA" w:rsidRPr="004F6CB1" w:rsidRDefault="004551DA" w:rsidP="004551DA">
                      <w:pPr>
                        <w:rPr>
                          <w:rFonts w:cs="Times New Roman"/>
                          <w:sz w:val="22"/>
                        </w:rPr>
                      </w:pPr>
                      <w:r w:rsidRPr="004F6CB1">
                        <w:rPr>
                          <w:rFonts w:cs="Times New Roman"/>
                          <w:sz w:val="22"/>
                        </w:rPr>
                        <w:t xml:space="preserve">Kosovo’s pension system started from scratch after its conflict with Serbia. It is based on a fully funded Defined Contribution (DC) scheme and a universal basic pension. However, the government has subsequently introduced a significant number of unfunded schemes and war-related benefits. These additional benefits are straining the costs of the system and threaten its sustainability, while introducing significant fragmentation and unclear incentives to participate in the contributory system. </w:t>
                      </w:r>
                    </w:p>
                    <w:p w14:paraId="3FA36EAF" w14:textId="343F4B35" w:rsidR="004551DA" w:rsidRPr="004F6CB1" w:rsidRDefault="004551DA" w:rsidP="004551DA">
                      <w:pPr>
                        <w:spacing w:after="0"/>
                        <w:rPr>
                          <w:rFonts w:cs="Times New Roman"/>
                          <w:sz w:val="22"/>
                        </w:rPr>
                      </w:pPr>
                      <w:r w:rsidRPr="004F6CB1">
                        <w:rPr>
                          <w:rFonts w:cs="Times New Roman"/>
                          <w:sz w:val="22"/>
                        </w:rPr>
                        <w:t xml:space="preserve">The government should move toward building a unified pension system, consisting of multiple complementary pillars that are adequately financed in a sustainable manner in the long term. The system should provide adequate lifetime benefits and care as incentives to contribute. Institutional strengthening will be needed to manage the system and avoid excessive cost increases in the future. </w:t>
                      </w:r>
                    </w:p>
                  </w:txbxContent>
                </v:textbox>
                <w10:anchorlock/>
              </v:shape>
            </w:pict>
          </mc:Fallback>
        </mc:AlternateContent>
      </w:r>
    </w:p>
    <w:p w14:paraId="26DB4C10" w14:textId="77777777" w:rsidR="004E3747" w:rsidRPr="00602CD6" w:rsidRDefault="004E3747" w:rsidP="004551DA">
      <w:pPr>
        <w:pStyle w:val="ListParagraph"/>
        <w:numPr>
          <w:ilvl w:val="0"/>
          <w:numId w:val="1"/>
        </w:numPr>
        <w:spacing w:before="160"/>
        <w:ind w:left="360"/>
        <w:rPr>
          <w:rFonts w:cs="Times New Roman"/>
          <w:b/>
          <w:szCs w:val="24"/>
        </w:rPr>
      </w:pPr>
      <w:r w:rsidRPr="00602CD6">
        <w:rPr>
          <w:rFonts w:cs="Times New Roman"/>
          <w:b/>
          <w:szCs w:val="24"/>
        </w:rPr>
        <w:t>Main Indicators</w:t>
      </w:r>
    </w:p>
    <w:p w14:paraId="4601CA91" w14:textId="1C8F1AC4" w:rsidR="004E3747" w:rsidRPr="00602CD6" w:rsidRDefault="004E3747" w:rsidP="00DD0B3E">
      <w:pPr>
        <w:rPr>
          <w:rFonts w:cs="Times New Roman"/>
          <w:szCs w:val="24"/>
        </w:rPr>
      </w:pPr>
      <w:r w:rsidRPr="00602CD6">
        <w:rPr>
          <w:rFonts w:cs="Times New Roman"/>
          <w:szCs w:val="24"/>
        </w:rPr>
        <w:t>The pension system in Kosovo comprise</w:t>
      </w:r>
      <w:r w:rsidR="00BE20D0">
        <w:rPr>
          <w:rFonts w:cs="Times New Roman"/>
          <w:szCs w:val="24"/>
        </w:rPr>
        <w:t>s</w:t>
      </w:r>
      <w:r w:rsidRPr="00602CD6">
        <w:rPr>
          <w:rFonts w:cs="Times New Roman"/>
          <w:szCs w:val="24"/>
        </w:rPr>
        <w:t xml:space="preserve"> a universal basic pension financed by general revenue, a mandatory defined contributions system based on individual savings, a rarely used voluntary savings scheme</w:t>
      </w:r>
      <w:r w:rsidR="00D96111">
        <w:rPr>
          <w:rFonts w:cs="Times New Roman"/>
          <w:szCs w:val="24"/>
        </w:rPr>
        <w:t>,</w:t>
      </w:r>
      <w:r w:rsidRPr="00602CD6">
        <w:rPr>
          <w:rFonts w:cs="Times New Roman"/>
          <w:szCs w:val="24"/>
        </w:rPr>
        <w:t xml:space="preserve"> and </w:t>
      </w:r>
      <w:r w:rsidR="00D96111">
        <w:rPr>
          <w:rFonts w:cs="Times New Roman"/>
          <w:szCs w:val="24"/>
        </w:rPr>
        <w:t xml:space="preserve">a </w:t>
      </w:r>
      <w:r w:rsidRPr="00602CD6">
        <w:rPr>
          <w:rFonts w:cs="Times New Roman"/>
          <w:szCs w:val="24"/>
        </w:rPr>
        <w:t>series of categorical and special benefits defined both for specific populations and related to the war.</w:t>
      </w:r>
      <w:r w:rsidRPr="00602CD6">
        <w:rPr>
          <w:rStyle w:val="FootnoteReference"/>
          <w:rFonts w:cs="Times New Roman"/>
          <w:szCs w:val="24"/>
        </w:rPr>
        <w:footnoteReference w:id="2"/>
      </w:r>
    </w:p>
    <w:p w14:paraId="4DC504D3" w14:textId="6642E0F2" w:rsidR="004E3747" w:rsidRPr="00602CD6" w:rsidRDefault="004E3747" w:rsidP="00DD0B3E">
      <w:pPr>
        <w:rPr>
          <w:rFonts w:cs="Times New Roman"/>
          <w:szCs w:val="24"/>
        </w:rPr>
      </w:pPr>
      <w:r w:rsidRPr="00602CD6">
        <w:rPr>
          <w:rFonts w:cs="Times New Roman"/>
          <w:szCs w:val="24"/>
        </w:rPr>
        <w:t xml:space="preserve">Given its components, we can characterize the pension system in Kosovo as consisting of two parts: A </w:t>
      </w:r>
      <w:r w:rsidR="004A1306">
        <w:rPr>
          <w:rFonts w:cs="Times New Roman"/>
          <w:szCs w:val="24"/>
        </w:rPr>
        <w:t>‘</w:t>
      </w:r>
      <w:r w:rsidRPr="00602CD6">
        <w:rPr>
          <w:rFonts w:cs="Times New Roman"/>
          <w:szCs w:val="24"/>
        </w:rPr>
        <w:t>core</w:t>
      </w:r>
      <w:r w:rsidR="004A1306">
        <w:rPr>
          <w:rFonts w:cs="Times New Roman"/>
          <w:szCs w:val="24"/>
        </w:rPr>
        <w:t>’</w:t>
      </w:r>
      <w:r w:rsidRPr="00602CD6">
        <w:rPr>
          <w:rFonts w:cs="Times New Roman"/>
          <w:szCs w:val="24"/>
        </w:rPr>
        <w:t xml:space="preserve"> </w:t>
      </w:r>
      <w:proofErr w:type="spellStart"/>
      <w:r w:rsidR="00B53A48">
        <w:rPr>
          <w:rFonts w:cs="Times New Roman"/>
          <w:szCs w:val="24"/>
        </w:rPr>
        <w:t>m</w:t>
      </w:r>
      <w:r w:rsidRPr="00602CD6">
        <w:rPr>
          <w:rFonts w:cs="Times New Roman"/>
          <w:szCs w:val="24"/>
        </w:rPr>
        <w:t>ultipillar</w:t>
      </w:r>
      <w:proofErr w:type="spellEnd"/>
      <w:r w:rsidRPr="00602CD6">
        <w:rPr>
          <w:rFonts w:cs="Times New Roman"/>
          <w:szCs w:val="24"/>
        </w:rPr>
        <w:t xml:space="preserve"> scheme compris</w:t>
      </w:r>
      <w:r w:rsidR="00D96111">
        <w:rPr>
          <w:rFonts w:cs="Times New Roman"/>
          <w:szCs w:val="24"/>
        </w:rPr>
        <w:t>ing</w:t>
      </w:r>
      <w:r w:rsidRPr="00602CD6">
        <w:rPr>
          <w:rFonts w:cs="Times New Roman"/>
          <w:szCs w:val="24"/>
        </w:rPr>
        <w:t xml:space="preserve"> the basic universal pension (Pillar 0), mandatory DC scheme (2</w:t>
      </w:r>
      <w:r w:rsidRPr="00855D1C">
        <w:rPr>
          <w:rFonts w:cs="Times New Roman"/>
          <w:szCs w:val="24"/>
        </w:rPr>
        <w:t xml:space="preserve">nd </w:t>
      </w:r>
      <w:r w:rsidRPr="00602CD6">
        <w:rPr>
          <w:rFonts w:cs="Times New Roman"/>
          <w:szCs w:val="24"/>
        </w:rPr>
        <w:t xml:space="preserve">pillar) and </w:t>
      </w:r>
      <w:r w:rsidR="00B53A48">
        <w:rPr>
          <w:rFonts w:cs="Times New Roman"/>
          <w:szCs w:val="24"/>
        </w:rPr>
        <w:t>v</w:t>
      </w:r>
      <w:r w:rsidRPr="00602CD6">
        <w:rPr>
          <w:rFonts w:cs="Times New Roman"/>
          <w:szCs w:val="24"/>
        </w:rPr>
        <w:t>oluntary savings (3</w:t>
      </w:r>
      <w:r w:rsidRPr="00855D1C">
        <w:rPr>
          <w:rFonts w:cs="Times New Roman"/>
          <w:szCs w:val="24"/>
        </w:rPr>
        <w:t>rd</w:t>
      </w:r>
      <w:r w:rsidRPr="00602CD6">
        <w:rPr>
          <w:rFonts w:cs="Times New Roman"/>
          <w:szCs w:val="24"/>
        </w:rPr>
        <w:t xml:space="preserve"> pillar) on one hand</w:t>
      </w:r>
      <w:r w:rsidR="00B53A48">
        <w:rPr>
          <w:rFonts w:cs="Times New Roman"/>
          <w:szCs w:val="24"/>
        </w:rPr>
        <w:t>,</w:t>
      </w:r>
      <w:r w:rsidRPr="00602CD6">
        <w:rPr>
          <w:rFonts w:cs="Times New Roman"/>
          <w:szCs w:val="24"/>
        </w:rPr>
        <w:t xml:space="preserve"> and a series of categorical benefits on the other. </w:t>
      </w:r>
    </w:p>
    <w:p w14:paraId="1B203C92" w14:textId="0D1B25B4" w:rsidR="0059036C" w:rsidRPr="00602CD6" w:rsidRDefault="0059036C" w:rsidP="004E3747">
      <w:pPr>
        <w:rPr>
          <w:rFonts w:cs="Times New Roman"/>
          <w:szCs w:val="24"/>
        </w:rPr>
      </w:pPr>
      <w:r w:rsidRPr="00602CD6">
        <w:rPr>
          <w:rFonts w:cs="Times New Roman"/>
          <w:szCs w:val="24"/>
        </w:rPr>
        <w:t>The main components of</w:t>
      </w:r>
      <w:r w:rsidR="00045D6A" w:rsidRPr="00602CD6">
        <w:rPr>
          <w:rFonts w:cs="Times New Roman"/>
          <w:szCs w:val="24"/>
        </w:rPr>
        <w:t xml:space="preserve"> old-age benefits in</w:t>
      </w:r>
      <w:r w:rsidRPr="00602CD6">
        <w:rPr>
          <w:rFonts w:cs="Times New Roman"/>
          <w:szCs w:val="24"/>
        </w:rPr>
        <w:t xml:space="preserve"> the pension system are as follow: </w:t>
      </w:r>
    </w:p>
    <w:p w14:paraId="3DD727F5" w14:textId="1B235202" w:rsidR="0059036C" w:rsidRPr="00602CD6" w:rsidRDefault="00AA4DFA" w:rsidP="004655C9">
      <w:pPr>
        <w:pStyle w:val="ListParagraph"/>
        <w:numPr>
          <w:ilvl w:val="0"/>
          <w:numId w:val="4"/>
        </w:numPr>
        <w:contextualSpacing w:val="0"/>
        <w:rPr>
          <w:rFonts w:cs="Times New Roman"/>
          <w:szCs w:val="24"/>
        </w:rPr>
      </w:pPr>
      <w:r w:rsidRPr="004655C9">
        <w:rPr>
          <w:rFonts w:cs="Times New Roman"/>
          <w:b/>
          <w:bCs/>
          <w:szCs w:val="24"/>
        </w:rPr>
        <w:t xml:space="preserve">Basic Pension: </w:t>
      </w:r>
      <w:r w:rsidRPr="00602CD6">
        <w:rPr>
          <w:rFonts w:cs="Times New Roman"/>
          <w:szCs w:val="24"/>
        </w:rPr>
        <w:t xml:space="preserve">Universal benefit to all citizens 65 years old or </w:t>
      </w:r>
      <w:r w:rsidR="00FE3149" w:rsidRPr="00602CD6">
        <w:rPr>
          <w:rFonts w:cs="Times New Roman"/>
          <w:szCs w:val="24"/>
        </w:rPr>
        <w:t xml:space="preserve">older </w:t>
      </w:r>
      <w:r w:rsidRPr="00602CD6">
        <w:rPr>
          <w:rFonts w:cs="Times New Roman"/>
          <w:szCs w:val="24"/>
        </w:rPr>
        <w:t>resi</w:t>
      </w:r>
      <w:r w:rsidR="00FE3149" w:rsidRPr="00602CD6">
        <w:rPr>
          <w:rFonts w:cs="Times New Roman"/>
          <w:szCs w:val="24"/>
        </w:rPr>
        <w:t>ding in Kosovo.</w:t>
      </w:r>
    </w:p>
    <w:p w14:paraId="350DCDA7" w14:textId="0B3B279C" w:rsidR="00FE3149" w:rsidRPr="00602CD6" w:rsidRDefault="007C0504" w:rsidP="004655C9">
      <w:pPr>
        <w:pStyle w:val="ListParagraph"/>
        <w:numPr>
          <w:ilvl w:val="0"/>
          <w:numId w:val="4"/>
        </w:numPr>
        <w:contextualSpacing w:val="0"/>
        <w:rPr>
          <w:rFonts w:cs="Times New Roman"/>
          <w:szCs w:val="24"/>
        </w:rPr>
      </w:pPr>
      <w:r w:rsidRPr="004655C9">
        <w:rPr>
          <w:rFonts w:cs="Times New Roman"/>
          <w:b/>
          <w:bCs/>
          <w:szCs w:val="24"/>
        </w:rPr>
        <w:t>Mandatory savings</w:t>
      </w:r>
      <w:r w:rsidR="00015D56" w:rsidRPr="004655C9">
        <w:rPr>
          <w:rFonts w:cs="Times New Roman"/>
          <w:b/>
          <w:bCs/>
          <w:szCs w:val="24"/>
        </w:rPr>
        <w:t>:</w:t>
      </w:r>
      <w:r w:rsidR="00015D56" w:rsidRPr="00602CD6">
        <w:rPr>
          <w:rFonts w:cs="Times New Roman"/>
          <w:szCs w:val="24"/>
        </w:rPr>
        <w:t xml:space="preserve"> 10</w:t>
      </w:r>
      <w:r w:rsidR="00FE0E28">
        <w:rPr>
          <w:rFonts w:cs="Times New Roman"/>
          <w:szCs w:val="24"/>
        </w:rPr>
        <w:t xml:space="preserve"> percent</w:t>
      </w:r>
      <w:r w:rsidR="00015D56" w:rsidRPr="00602CD6">
        <w:rPr>
          <w:rFonts w:cs="Times New Roman"/>
          <w:szCs w:val="24"/>
        </w:rPr>
        <w:t xml:space="preserve"> contribution rate into individual accounts managed by </w:t>
      </w:r>
      <w:r w:rsidR="00040B20">
        <w:rPr>
          <w:rFonts w:cs="Times New Roman"/>
          <w:szCs w:val="24"/>
        </w:rPr>
        <w:t>an i</w:t>
      </w:r>
      <w:r w:rsidR="00C66B52" w:rsidRPr="00602CD6">
        <w:rPr>
          <w:rFonts w:cs="Times New Roman"/>
          <w:szCs w:val="24"/>
        </w:rPr>
        <w:t xml:space="preserve">ndependent </w:t>
      </w:r>
      <w:r w:rsidR="00040B20">
        <w:rPr>
          <w:rFonts w:cs="Times New Roman"/>
          <w:szCs w:val="24"/>
        </w:rPr>
        <w:t>p</w:t>
      </w:r>
      <w:r w:rsidR="00C66B52" w:rsidRPr="00602CD6">
        <w:rPr>
          <w:rFonts w:cs="Times New Roman"/>
          <w:szCs w:val="24"/>
        </w:rPr>
        <w:t xml:space="preserve">ublic </w:t>
      </w:r>
      <w:r w:rsidR="00040B20">
        <w:rPr>
          <w:rFonts w:cs="Times New Roman"/>
          <w:szCs w:val="24"/>
        </w:rPr>
        <w:t>e</w:t>
      </w:r>
      <w:r w:rsidR="00C66B52" w:rsidRPr="00602CD6">
        <w:rPr>
          <w:rFonts w:cs="Times New Roman"/>
          <w:szCs w:val="24"/>
        </w:rPr>
        <w:t>ntity (Kosovo Pensions Savings Trust, KPST)</w:t>
      </w:r>
      <w:r w:rsidR="00177655" w:rsidRPr="00602CD6">
        <w:rPr>
          <w:rFonts w:cs="Times New Roman"/>
          <w:szCs w:val="24"/>
        </w:rPr>
        <w:t>. Provides monthly pension of €200 until account depletion (</w:t>
      </w:r>
      <w:r w:rsidR="002D271E">
        <w:rPr>
          <w:rFonts w:cs="Times New Roman"/>
          <w:szCs w:val="24"/>
        </w:rPr>
        <w:t>n</w:t>
      </w:r>
      <w:r w:rsidR="00177655" w:rsidRPr="00602CD6">
        <w:rPr>
          <w:rFonts w:cs="Times New Roman"/>
          <w:szCs w:val="24"/>
        </w:rPr>
        <w:t>o lifetime pension)</w:t>
      </w:r>
      <w:r w:rsidR="002D271E">
        <w:rPr>
          <w:rFonts w:cs="Times New Roman"/>
          <w:szCs w:val="24"/>
        </w:rPr>
        <w:t>.</w:t>
      </w:r>
    </w:p>
    <w:p w14:paraId="6F750B81" w14:textId="776B38ED" w:rsidR="00C66B52" w:rsidRPr="00602CD6" w:rsidRDefault="00226E97" w:rsidP="004655C9">
      <w:pPr>
        <w:pStyle w:val="ListParagraph"/>
        <w:numPr>
          <w:ilvl w:val="0"/>
          <w:numId w:val="4"/>
        </w:numPr>
        <w:contextualSpacing w:val="0"/>
        <w:rPr>
          <w:rFonts w:cs="Times New Roman"/>
          <w:szCs w:val="24"/>
        </w:rPr>
      </w:pPr>
      <w:r w:rsidRPr="004655C9">
        <w:rPr>
          <w:rFonts w:cs="Times New Roman"/>
          <w:b/>
          <w:bCs/>
          <w:szCs w:val="24"/>
        </w:rPr>
        <w:t>Ex-</w:t>
      </w:r>
      <w:r w:rsidR="004A1306">
        <w:rPr>
          <w:rFonts w:cs="Times New Roman"/>
          <w:b/>
          <w:bCs/>
          <w:szCs w:val="24"/>
        </w:rPr>
        <w:t>c</w:t>
      </w:r>
      <w:r w:rsidRPr="004655C9">
        <w:rPr>
          <w:rFonts w:cs="Times New Roman"/>
          <w:b/>
          <w:bCs/>
          <w:szCs w:val="24"/>
        </w:rPr>
        <w:t>ontributory benefit:</w:t>
      </w:r>
      <w:r w:rsidRPr="00602CD6">
        <w:rPr>
          <w:rFonts w:cs="Times New Roman"/>
          <w:szCs w:val="24"/>
        </w:rPr>
        <w:t xml:space="preserve"> </w:t>
      </w:r>
      <w:r w:rsidR="001D76CC" w:rsidRPr="00602CD6">
        <w:rPr>
          <w:rFonts w:cs="Times New Roman"/>
          <w:szCs w:val="24"/>
        </w:rPr>
        <w:t xml:space="preserve">Benefit for </w:t>
      </w:r>
      <w:r w:rsidR="004A1306">
        <w:rPr>
          <w:rFonts w:cs="Times New Roman"/>
          <w:szCs w:val="24"/>
        </w:rPr>
        <w:t xml:space="preserve">citizens </w:t>
      </w:r>
      <w:r w:rsidR="001D76CC" w:rsidRPr="00602CD6">
        <w:rPr>
          <w:rFonts w:cs="Times New Roman"/>
          <w:szCs w:val="24"/>
        </w:rPr>
        <w:t xml:space="preserve">65 years or older who contributed at least 15 years in the former Yugoslav </w:t>
      </w:r>
      <w:r w:rsidR="00314768" w:rsidRPr="00602CD6">
        <w:rPr>
          <w:rFonts w:cs="Times New Roman"/>
          <w:szCs w:val="24"/>
        </w:rPr>
        <w:t>system</w:t>
      </w:r>
      <w:r w:rsidR="00D370C4" w:rsidRPr="00602CD6">
        <w:rPr>
          <w:rFonts w:cs="Times New Roman"/>
          <w:szCs w:val="24"/>
        </w:rPr>
        <w:t xml:space="preserve">. Benefit schedule in 4 tiers according to education (as  proxy for income). </w:t>
      </w:r>
    </w:p>
    <w:p w14:paraId="6B618F9F" w14:textId="6773D135" w:rsidR="00D370C4" w:rsidRPr="00602CD6" w:rsidRDefault="008E3488" w:rsidP="004655C9">
      <w:pPr>
        <w:pStyle w:val="ListParagraph"/>
        <w:numPr>
          <w:ilvl w:val="0"/>
          <w:numId w:val="4"/>
        </w:numPr>
        <w:contextualSpacing w:val="0"/>
        <w:rPr>
          <w:rFonts w:cs="Times New Roman"/>
          <w:szCs w:val="24"/>
        </w:rPr>
      </w:pPr>
      <w:r w:rsidRPr="004655C9">
        <w:rPr>
          <w:rFonts w:cs="Times New Roman"/>
          <w:b/>
          <w:bCs/>
          <w:szCs w:val="24"/>
        </w:rPr>
        <w:t>Early retirement schemes:</w:t>
      </w:r>
      <w:r w:rsidRPr="00602CD6">
        <w:rPr>
          <w:rFonts w:cs="Times New Roman"/>
          <w:szCs w:val="24"/>
        </w:rPr>
        <w:t xml:space="preserve"> There are separate early retirement benefits with different rules that apply to </w:t>
      </w:r>
      <w:proofErr w:type="spellStart"/>
      <w:r w:rsidRPr="00602CD6">
        <w:rPr>
          <w:rFonts w:cs="Times New Roman"/>
          <w:szCs w:val="24"/>
        </w:rPr>
        <w:t>Trepca</w:t>
      </w:r>
      <w:proofErr w:type="spellEnd"/>
      <w:r w:rsidRPr="00602CD6">
        <w:rPr>
          <w:rFonts w:cs="Times New Roman"/>
          <w:szCs w:val="24"/>
        </w:rPr>
        <w:t xml:space="preserve"> miners, </w:t>
      </w:r>
      <w:r w:rsidR="00927FE1" w:rsidRPr="00602CD6">
        <w:rPr>
          <w:rFonts w:cs="Times New Roman"/>
          <w:szCs w:val="24"/>
        </w:rPr>
        <w:t>Kosovo Protection Corps (KPC)</w:t>
      </w:r>
      <w:r w:rsidR="00BC7BA1">
        <w:rPr>
          <w:rFonts w:cs="Times New Roman"/>
          <w:szCs w:val="24"/>
        </w:rPr>
        <w:t>,</w:t>
      </w:r>
      <w:r w:rsidR="00BF2CC4" w:rsidRPr="00602CD6">
        <w:rPr>
          <w:rFonts w:cs="Times New Roman"/>
          <w:szCs w:val="24"/>
        </w:rPr>
        <w:t xml:space="preserve"> and Kosovo Security Force (KSF). </w:t>
      </w:r>
    </w:p>
    <w:p w14:paraId="2CDDF7D6" w14:textId="5F846687" w:rsidR="00647615" w:rsidRDefault="00F0037D" w:rsidP="000F487A">
      <w:pPr>
        <w:rPr>
          <w:rFonts w:cs="Times New Roman"/>
          <w:szCs w:val="24"/>
        </w:rPr>
      </w:pPr>
      <w:r w:rsidRPr="00602CD6">
        <w:rPr>
          <w:rFonts w:cs="Times New Roman"/>
          <w:szCs w:val="24"/>
        </w:rPr>
        <w:lastRenderedPageBreak/>
        <w:t xml:space="preserve">In addition, the government has introduced pension </w:t>
      </w:r>
      <w:r w:rsidR="00335B17" w:rsidRPr="00602CD6">
        <w:rPr>
          <w:rFonts w:cs="Times New Roman"/>
          <w:szCs w:val="24"/>
        </w:rPr>
        <w:t>benefits</w:t>
      </w:r>
      <w:r w:rsidRPr="00602CD6">
        <w:rPr>
          <w:rFonts w:cs="Times New Roman"/>
          <w:szCs w:val="24"/>
        </w:rPr>
        <w:t xml:space="preserve"> for the permanent</w:t>
      </w:r>
      <w:r w:rsidR="00335B17" w:rsidRPr="00602CD6">
        <w:rPr>
          <w:rFonts w:cs="Times New Roman"/>
          <w:szCs w:val="24"/>
        </w:rPr>
        <w:t>ly disabled, blind, paraplegic</w:t>
      </w:r>
      <w:r w:rsidR="004A1306">
        <w:rPr>
          <w:rFonts w:cs="Times New Roman"/>
          <w:szCs w:val="24"/>
        </w:rPr>
        <w:t>,</w:t>
      </w:r>
      <w:r w:rsidR="00335B17" w:rsidRPr="00602CD6">
        <w:rPr>
          <w:rFonts w:cs="Times New Roman"/>
          <w:szCs w:val="24"/>
        </w:rPr>
        <w:t xml:space="preserve"> and tetraplegic, as well as a </w:t>
      </w:r>
      <w:r w:rsidR="008E0E14" w:rsidRPr="00602CD6">
        <w:rPr>
          <w:rFonts w:cs="Times New Roman"/>
          <w:szCs w:val="24"/>
        </w:rPr>
        <w:t xml:space="preserve">series of permanent pension benefits to victims or participants in the war for independence. </w:t>
      </w:r>
    </w:p>
    <w:p w14:paraId="0BA4A3A4" w14:textId="0625430B" w:rsidR="00DD0B3E" w:rsidRDefault="00DD0B3E" w:rsidP="00DD0B3E">
      <w:pPr>
        <w:pStyle w:val="Caption"/>
      </w:pPr>
      <w:r>
        <w:t xml:space="preserve">Table </w:t>
      </w:r>
      <w:fldSimple w:instr=" SEQ Table \* ARABIC ">
        <w:r w:rsidR="006C0F60">
          <w:rPr>
            <w:noProof/>
          </w:rPr>
          <w:t>1</w:t>
        </w:r>
      </w:fldSimple>
      <w:r>
        <w:t>: Pension Parameters in Kosovo</w:t>
      </w:r>
    </w:p>
    <w:tbl>
      <w:tblPr>
        <w:tblStyle w:val="TableGrid"/>
        <w:tblW w:w="5000" w:type="pct"/>
        <w:tblLook w:val="01E0" w:firstRow="1" w:lastRow="1" w:firstColumn="1" w:lastColumn="1" w:noHBand="0" w:noVBand="0"/>
      </w:tblPr>
      <w:tblGrid>
        <w:gridCol w:w="2654"/>
        <w:gridCol w:w="6696"/>
      </w:tblGrid>
      <w:tr w:rsidR="00107F4C" w:rsidRPr="00DD0B3E" w14:paraId="65564B89" w14:textId="77777777" w:rsidTr="004A1306">
        <w:tc>
          <w:tcPr>
            <w:tcW w:w="1419" w:type="pct"/>
          </w:tcPr>
          <w:p w14:paraId="1F336C44" w14:textId="612DDADC" w:rsidR="00107F4C" w:rsidRPr="00DD0B3E" w:rsidRDefault="00107F4C" w:rsidP="00180953">
            <w:pPr>
              <w:jc w:val="left"/>
              <w:rPr>
                <w:rFonts w:cs="Times New Roman"/>
                <w:sz w:val="20"/>
                <w:szCs w:val="20"/>
              </w:rPr>
            </w:pPr>
            <w:r w:rsidRPr="00DD0B3E">
              <w:rPr>
                <w:rFonts w:cs="Times New Roman"/>
                <w:sz w:val="20"/>
                <w:szCs w:val="20"/>
              </w:rPr>
              <w:t xml:space="preserve">Retirement </w:t>
            </w:r>
            <w:r w:rsidR="00180953">
              <w:rPr>
                <w:rFonts w:cs="Times New Roman"/>
                <w:sz w:val="20"/>
                <w:szCs w:val="20"/>
              </w:rPr>
              <w:t>a</w:t>
            </w:r>
            <w:r w:rsidRPr="00DD0B3E">
              <w:rPr>
                <w:rFonts w:cs="Times New Roman"/>
                <w:sz w:val="20"/>
                <w:szCs w:val="20"/>
              </w:rPr>
              <w:t>ge</w:t>
            </w:r>
          </w:p>
        </w:tc>
        <w:tc>
          <w:tcPr>
            <w:tcW w:w="3581" w:type="pct"/>
          </w:tcPr>
          <w:p w14:paraId="6737DE41" w14:textId="4B12A1B9" w:rsidR="00107F4C" w:rsidRPr="00DD0B3E" w:rsidRDefault="00107F4C" w:rsidP="00180953">
            <w:pPr>
              <w:jc w:val="left"/>
              <w:rPr>
                <w:rFonts w:cs="Times New Roman"/>
                <w:sz w:val="20"/>
                <w:szCs w:val="20"/>
              </w:rPr>
            </w:pPr>
            <w:r w:rsidRPr="00DD0B3E">
              <w:rPr>
                <w:rFonts w:cs="Times New Roman"/>
                <w:b/>
                <w:sz w:val="20"/>
                <w:szCs w:val="20"/>
              </w:rPr>
              <w:t xml:space="preserve">65 </w:t>
            </w:r>
            <w:r w:rsidR="00A66D7E">
              <w:rPr>
                <w:rFonts w:cs="Times New Roman"/>
                <w:b/>
                <w:sz w:val="20"/>
                <w:szCs w:val="20"/>
              </w:rPr>
              <w:t xml:space="preserve">years </w:t>
            </w:r>
            <w:r w:rsidRPr="00DD0B3E">
              <w:rPr>
                <w:rFonts w:cs="Times New Roman"/>
                <w:b/>
                <w:sz w:val="20"/>
                <w:szCs w:val="20"/>
              </w:rPr>
              <w:t>for men and women</w:t>
            </w:r>
            <w:r w:rsidR="008B4A67" w:rsidRPr="00DD0B3E">
              <w:rPr>
                <w:rFonts w:cs="Times New Roman"/>
                <w:b/>
                <w:sz w:val="20"/>
                <w:szCs w:val="20"/>
              </w:rPr>
              <w:t>.</w:t>
            </w:r>
          </w:p>
        </w:tc>
      </w:tr>
      <w:tr w:rsidR="00107F4C" w:rsidRPr="00DD0B3E" w14:paraId="67452BCE" w14:textId="77777777" w:rsidTr="004A1306">
        <w:tc>
          <w:tcPr>
            <w:tcW w:w="1419" w:type="pct"/>
          </w:tcPr>
          <w:p w14:paraId="3A9CC480" w14:textId="77777777" w:rsidR="00107F4C" w:rsidRPr="00DD0B3E" w:rsidRDefault="00107F4C" w:rsidP="00180953">
            <w:pPr>
              <w:jc w:val="left"/>
              <w:rPr>
                <w:rFonts w:cs="Times New Roman"/>
                <w:sz w:val="20"/>
                <w:szCs w:val="20"/>
              </w:rPr>
            </w:pPr>
            <w:r w:rsidRPr="00DD0B3E">
              <w:rPr>
                <w:rFonts w:cs="Times New Roman"/>
                <w:sz w:val="20"/>
                <w:szCs w:val="20"/>
              </w:rPr>
              <w:t>Pension calculation</w:t>
            </w:r>
          </w:p>
        </w:tc>
        <w:tc>
          <w:tcPr>
            <w:tcW w:w="3581" w:type="pct"/>
          </w:tcPr>
          <w:p w14:paraId="02292B0F" w14:textId="77777777" w:rsidR="00107F4C" w:rsidRPr="00DD0B3E" w:rsidRDefault="008B4A67" w:rsidP="00180953">
            <w:pPr>
              <w:jc w:val="left"/>
              <w:rPr>
                <w:rFonts w:cs="Times New Roman"/>
                <w:sz w:val="20"/>
                <w:szCs w:val="20"/>
              </w:rPr>
            </w:pPr>
            <w:r w:rsidRPr="00DD0B3E">
              <w:rPr>
                <w:rFonts w:cs="Times New Roman"/>
                <w:sz w:val="20"/>
                <w:szCs w:val="20"/>
              </w:rPr>
              <w:t xml:space="preserve">From KPST: </w:t>
            </w:r>
            <w:r w:rsidR="008347F9" w:rsidRPr="00DD0B3E">
              <w:rPr>
                <w:rFonts w:cs="Times New Roman"/>
                <w:sz w:val="20"/>
                <w:szCs w:val="20"/>
              </w:rPr>
              <w:t>If balance &lt; €</w:t>
            </w:r>
            <w:r w:rsidR="00724211" w:rsidRPr="00DD0B3E">
              <w:rPr>
                <w:rFonts w:cs="Times New Roman"/>
                <w:sz w:val="20"/>
                <w:szCs w:val="20"/>
              </w:rPr>
              <w:t>3,000, lump sum</w:t>
            </w:r>
          </w:p>
          <w:p w14:paraId="6C2423C2" w14:textId="77777777" w:rsidR="00724211" w:rsidRPr="00DD0B3E" w:rsidRDefault="00724211" w:rsidP="00180953">
            <w:pPr>
              <w:jc w:val="left"/>
              <w:rPr>
                <w:rFonts w:cs="Times New Roman"/>
                <w:sz w:val="20"/>
                <w:szCs w:val="20"/>
              </w:rPr>
            </w:pPr>
            <w:r w:rsidRPr="00DD0B3E">
              <w:rPr>
                <w:rFonts w:cs="Times New Roman"/>
                <w:sz w:val="20"/>
                <w:szCs w:val="20"/>
              </w:rPr>
              <w:t>If €3,000 &lt; balance &lt; €</w:t>
            </w:r>
            <w:r w:rsidR="00105DCC" w:rsidRPr="00DD0B3E">
              <w:rPr>
                <w:rFonts w:cs="Times New Roman"/>
                <w:sz w:val="20"/>
                <w:szCs w:val="20"/>
              </w:rPr>
              <w:t xml:space="preserve">20,000, pension is €200 per month until account depletion. </w:t>
            </w:r>
          </w:p>
          <w:p w14:paraId="3055CC15" w14:textId="77777777" w:rsidR="00105DCC" w:rsidRPr="00DD0B3E" w:rsidRDefault="00105DCC" w:rsidP="00180953">
            <w:pPr>
              <w:jc w:val="left"/>
              <w:rPr>
                <w:rFonts w:cs="Times New Roman"/>
                <w:sz w:val="20"/>
                <w:szCs w:val="20"/>
              </w:rPr>
            </w:pPr>
            <w:r w:rsidRPr="00DD0B3E">
              <w:rPr>
                <w:rFonts w:cs="Times New Roman"/>
                <w:sz w:val="20"/>
                <w:szCs w:val="20"/>
              </w:rPr>
              <w:t>If balance &gt;</w:t>
            </w:r>
            <w:r w:rsidR="00664303" w:rsidRPr="00DD0B3E">
              <w:rPr>
                <w:rFonts w:cs="Times New Roman"/>
                <w:sz w:val="20"/>
                <w:szCs w:val="20"/>
              </w:rPr>
              <w:t xml:space="preserve"> €20,000 pension is 1% of balance until account depletion. </w:t>
            </w:r>
          </w:p>
          <w:p w14:paraId="35144FC6" w14:textId="37320662" w:rsidR="003C5B4B" w:rsidRPr="00DD0B3E" w:rsidRDefault="003C5B4B" w:rsidP="00DA0C3E">
            <w:pPr>
              <w:jc w:val="left"/>
              <w:rPr>
                <w:rFonts w:cs="Times New Roman"/>
                <w:sz w:val="20"/>
                <w:szCs w:val="20"/>
              </w:rPr>
            </w:pPr>
            <w:r w:rsidRPr="00DD0B3E">
              <w:rPr>
                <w:rFonts w:cs="Times New Roman"/>
                <w:sz w:val="20"/>
                <w:szCs w:val="20"/>
              </w:rPr>
              <w:t xml:space="preserve">Additionally, basic pension of </w:t>
            </w:r>
            <w:r w:rsidR="00C8780F" w:rsidRPr="00DD0B3E">
              <w:rPr>
                <w:rFonts w:cs="Times New Roman"/>
                <w:sz w:val="20"/>
                <w:szCs w:val="20"/>
              </w:rPr>
              <w:t xml:space="preserve">€90 or </w:t>
            </w:r>
            <w:r w:rsidR="00A66D7E">
              <w:rPr>
                <w:rFonts w:cs="Times New Roman"/>
                <w:sz w:val="20"/>
                <w:szCs w:val="20"/>
              </w:rPr>
              <w:t>e</w:t>
            </w:r>
            <w:r w:rsidR="00C8780F" w:rsidRPr="00DD0B3E">
              <w:rPr>
                <w:rFonts w:cs="Times New Roman"/>
                <w:sz w:val="20"/>
                <w:szCs w:val="20"/>
              </w:rPr>
              <w:t>x-contributory benefit if qualified</w:t>
            </w:r>
            <w:r w:rsidR="00A66D7E">
              <w:rPr>
                <w:rFonts w:cs="Times New Roman"/>
                <w:sz w:val="20"/>
                <w:szCs w:val="20"/>
              </w:rPr>
              <w:t>.</w:t>
            </w:r>
          </w:p>
        </w:tc>
      </w:tr>
      <w:tr w:rsidR="00107F4C" w:rsidRPr="00DD0B3E" w14:paraId="4D08C8C3" w14:textId="77777777" w:rsidTr="004A1306">
        <w:tc>
          <w:tcPr>
            <w:tcW w:w="1419" w:type="pct"/>
          </w:tcPr>
          <w:p w14:paraId="421D5FB2" w14:textId="152BBCFD" w:rsidR="00107F4C" w:rsidRPr="00DD0B3E" w:rsidRDefault="00107F4C" w:rsidP="00180953">
            <w:pPr>
              <w:jc w:val="left"/>
              <w:rPr>
                <w:rFonts w:cs="Times New Roman"/>
                <w:sz w:val="20"/>
                <w:szCs w:val="20"/>
              </w:rPr>
            </w:pPr>
            <w:r w:rsidRPr="00DD0B3E">
              <w:rPr>
                <w:rFonts w:cs="Times New Roman"/>
                <w:sz w:val="20"/>
                <w:szCs w:val="20"/>
              </w:rPr>
              <w:t>Indexation postretirement</w:t>
            </w:r>
          </w:p>
        </w:tc>
        <w:tc>
          <w:tcPr>
            <w:tcW w:w="3581" w:type="pct"/>
          </w:tcPr>
          <w:p w14:paraId="7BECF891" w14:textId="49FDF227" w:rsidR="00107F4C" w:rsidRPr="00DD0B3E" w:rsidRDefault="00A66D7E" w:rsidP="00180953">
            <w:pPr>
              <w:jc w:val="left"/>
              <w:rPr>
                <w:rFonts w:cs="Times New Roman"/>
                <w:sz w:val="20"/>
                <w:szCs w:val="20"/>
              </w:rPr>
            </w:pPr>
            <w:r>
              <w:rPr>
                <w:rFonts w:cs="Times New Roman"/>
                <w:sz w:val="20"/>
                <w:szCs w:val="20"/>
              </w:rPr>
              <w:t>N</w:t>
            </w:r>
            <w:r w:rsidR="007F22E0" w:rsidRPr="00DD0B3E">
              <w:rPr>
                <w:rFonts w:cs="Times New Roman"/>
                <w:sz w:val="20"/>
                <w:szCs w:val="20"/>
              </w:rPr>
              <w:t>one</w:t>
            </w:r>
          </w:p>
        </w:tc>
      </w:tr>
      <w:tr w:rsidR="00107F4C" w:rsidRPr="00DD0B3E" w14:paraId="772F6C92" w14:textId="77777777" w:rsidTr="004A1306">
        <w:tc>
          <w:tcPr>
            <w:tcW w:w="1419" w:type="pct"/>
          </w:tcPr>
          <w:p w14:paraId="650AC4DE" w14:textId="77777777" w:rsidR="00107F4C" w:rsidRPr="00DD0B3E" w:rsidRDefault="00107F4C" w:rsidP="00180953">
            <w:pPr>
              <w:jc w:val="left"/>
              <w:rPr>
                <w:rFonts w:cs="Times New Roman"/>
                <w:sz w:val="20"/>
                <w:szCs w:val="20"/>
              </w:rPr>
            </w:pPr>
            <w:r w:rsidRPr="00DD0B3E">
              <w:rPr>
                <w:rFonts w:cs="Times New Roman"/>
                <w:sz w:val="20"/>
                <w:szCs w:val="20"/>
              </w:rPr>
              <w:t>Eligibility for disability pension</w:t>
            </w:r>
          </w:p>
        </w:tc>
        <w:tc>
          <w:tcPr>
            <w:tcW w:w="3581" w:type="pct"/>
          </w:tcPr>
          <w:p w14:paraId="5A4DD69F" w14:textId="2E3F9D82" w:rsidR="00107F4C" w:rsidRPr="00DD0B3E" w:rsidRDefault="00D5623C" w:rsidP="004A1306">
            <w:pPr>
              <w:jc w:val="left"/>
              <w:rPr>
                <w:rFonts w:cs="Times New Roman"/>
                <w:sz w:val="20"/>
                <w:szCs w:val="20"/>
              </w:rPr>
            </w:pPr>
            <w:r w:rsidRPr="00DD0B3E">
              <w:rPr>
                <w:rFonts w:cs="Times New Roman"/>
                <w:sz w:val="20"/>
                <w:szCs w:val="20"/>
              </w:rPr>
              <w:t xml:space="preserve">Declared disabled by </w:t>
            </w:r>
            <w:r w:rsidR="00FC280D" w:rsidRPr="00FC280D">
              <w:rPr>
                <w:rFonts w:cs="Times New Roman"/>
                <w:sz w:val="20"/>
                <w:szCs w:val="20"/>
              </w:rPr>
              <w:t xml:space="preserve">Ministry of Labour and Social Welfare </w:t>
            </w:r>
            <w:r w:rsidR="00FC280D">
              <w:rPr>
                <w:rFonts w:cs="Times New Roman"/>
                <w:sz w:val="20"/>
                <w:szCs w:val="20"/>
              </w:rPr>
              <w:t>(</w:t>
            </w:r>
            <w:r w:rsidRPr="00DD0B3E">
              <w:rPr>
                <w:rFonts w:cs="Times New Roman"/>
                <w:sz w:val="20"/>
                <w:szCs w:val="20"/>
              </w:rPr>
              <w:t>MLSW</w:t>
            </w:r>
            <w:r w:rsidR="00FC280D">
              <w:rPr>
                <w:rFonts w:cs="Times New Roman"/>
                <w:sz w:val="20"/>
                <w:szCs w:val="20"/>
              </w:rPr>
              <w:t>)</w:t>
            </w:r>
            <w:r w:rsidRPr="00DD0B3E">
              <w:rPr>
                <w:rFonts w:cs="Times New Roman"/>
                <w:sz w:val="20"/>
                <w:szCs w:val="20"/>
              </w:rPr>
              <w:t>. No minimum contribution</w:t>
            </w:r>
            <w:r w:rsidR="006C750E">
              <w:rPr>
                <w:rFonts w:cs="Times New Roman"/>
                <w:sz w:val="20"/>
                <w:szCs w:val="20"/>
              </w:rPr>
              <w:t>.</w:t>
            </w:r>
            <w:r w:rsidR="00107F4C" w:rsidRPr="00DD0B3E">
              <w:rPr>
                <w:rFonts w:cs="Times New Roman"/>
                <w:sz w:val="20"/>
                <w:szCs w:val="20"/>
              </w:rPr>
              <w:t xml:space="preserve">  </w:t>
            </w:r>
          </w:p>
        </w:tc>
      </w:tr>
      <w:tr w:rsidR="00107F4C" w:rsidRPr="00DD0B3E" w14:paraId="62B7CA73" w14:textId="77777777" w:rsidTr="004A1306">
        <w:tc>
          <w:tcPr>
            <w:tcW w:w="1419" w:type="pct"/>
          </w:tcPr>
          <w:p w14:paraId="716522EF" w14:textId="28F1CA42" w:rsidR="00107F4C" w:rsidRPr="00DD0B3E" w:rsidRDefault="00107F4C" w:rsidP="00180953">
            <w:pPr>
              <w:jc w:val="left"/>
              <w:rPr>
                <w:rFonts w:cs="Times New Roman"/>
                <w:sz w:val="20"/>
                <w:szCs w:val="20"/>
              </w:rPr>
            </w:pPr>
            <w:r w:rsidRPr="00DD0B3E">
              <w:rPr>
                <w:rFonts w:cs="Times New Roman"/>
                <w:sz w:val="20"/>
                <w:szCs w:val="20"/>
              </w:rPr>
              <w:t xml:space="preserve">Level of </w:t>
            </w:r>
            <w:r w:rsidR="00180953">
              <w:rPr>
                <w:rFonts w:cs="Times New Roman"/>
                <w:sz w:val="20"/>
                <w:szCs w:val="20"/>
              </w:rPr>
              <w:t>d</w:t>
            </w:r>
            <w:r w:rsidRPr="00DD0B3E">
              <w:rPr>
                <w:rFonts w:cs="Times New Roman"/>
                <w:sz w:val="20"/>
                <w:szCs w:val="20"/>
              </w:rPr>
              <w:t xml:space="preserve">isability </w:t>
            </w:r>
            <w:r w:rsidR="00180953">
              <w:rPr>
                <w:rFonts w:cs="Times New Roman"/>
                <w:sz w:val="20"/>
                <w:szCs w:val="20"/>
              </w:rPr>
              <w:t>p</w:t>
            </w:r>
            <w:r w:rsidRPr="00DD0B3E">
              <w:rPr>
                <w:rFonts w:cs="Times New Roman"/>
                <w:sz w:val="20"/>
                <w:szCs w:val="20"/>
              </w:rPr>
              <w:t>ension</w:t>
            </w:r>
          </w:p>
        </w:tc>
        <w:tc>
          <w:tcPr>
            <w:tcW w:w="3581" w:type="pct"/>
          </w:tcPr>
          <w:p w14:paraId="59B09AC0" w14:textId="5EE91BB1" w:rsidR="00107F4C" w:rsidRPr="00DD0B3E" w:rsidRDefault="00293ACE" w:rsidP="00180953">
            <w:pPr>
              <w:jc w:val="left"/>
              <w:rPr>
                <w:rFonts w:cs="Times New Roman"/>
                <w:sz w:val="20"/>
                <w:szCs w:val="20"/>
              </w:rPr>
            </w:pPr>
            <w:r w:rsidRPr="00DD0B3E">
              <w:rPr>
                <w:rFonts w:cs="Times New Roman"/>
                <w:sz w:val="20"/>
                <w:szCs w:val="20"/>
              </w:rPr>
              <w:t>From KPST: Full account withdrawal</w:t>
            </w:r>
          </w:p>
          <w:p w14:paraId="770A56FB" w14:textId="2FD84DB6" w:rsidR="00293ACE" w:rsidRPr="00DD0B3E" w:rsidRDefault="00293ACE" w:rsidP="00180953">
            <w:pPr>
              <w:jc w:val="left"/>
              <w:rPr>
                <w:rFonts w:cs="Times New Roman"/>
                <w:sz w:val="20"/>
                <w:szCs w:val="20"/>
              </w:rPr>
            </w:pPr>
            <w:r w:rsidRPr="00DD0B3E">
              <w:rPr>
                <w:rFonts w:cs="Times New Roman"/>
                <w:sz w:val="20"/>
                <w:szCs w:val="20"/>
              </w:rPr>
              <w:t xml:space="preserve">From MLSW: €90 </w:t>
            </w:r>
            <w:r w:rsidR="00AD7C86" w:rsidRPr="00DD0B3E">
              <w:rPr>
                <w:rFonts w:cs="Times New Roman"/>
                <w:sz w:val="20"/>
                <w:szCs w:val="20"/>
              </w:rPr>
              <w:t>for permanent</w:t>
            </w:r>
            <w:r w:rsidR="00D20974">
              <w:rPr>
                <w:rFonts w:cs="Times New Roman"/>
                <w:sz w:val="20"/>
                <w:szCs w:val="20"/>
              </w:rPr>
              <w:t>ly</w:t>
            </w:r>
            <w:r w:rsidR="00AD7C86" w:rsidRPr="00DD0B3E">
              <w:rPr>
                <w:rFonts w:cs="Times New Roman"/>
                <w:sz w:val="20"/>
                <w:szCs w:val="20"/>
              </w:rPr>
              <w:t xml:space="preserve"> disabled</w:t>
            </w:r>
          </w:p>
        </w:tc>
      </w:tr>
      <w:tr w:rsidR="00107F4C" w:rsidRPr="00DD0B3E" w14:paraId="7376D10F" w14:textId="77777777" w:rsidTr="004A1306">
        <w:tc>
          <w:tcPr>
            <w:tcW w:w="1419" w:type="pct"/>
          </w:tcPr>
          <w:p w14:paraId="3FDE93F1" w14:textId="77777777" w:rsidR="00107F4C" w:rsidRPr="00DD0B3E" w:rsidRDefault="00107F4C" w:rsidP="00180953">
            <w:pPr>
              <w:jc w:val="left"/>
              <w:rPr>
                <w:rFonts w:cs="Times New Roman"/>
                <w:sz w:val="20"/>
                <w:szCs w:val="20"/>
              </w:rPr>
            </w:pPr>
            <w:r w:rsidRPr="00DD0B3E">
              <w:rPr>
                <w:rFonts w:cs="Times New Roman"/>
                <w:sz w:val="20"/>
                <w:szCs w:val="20"/>
              </w:rPr>
              <w:t>Eligibility for survivor’s pension</w:t>
            </w:r>
          </w:p>
        </w:tc>
        <w:tc>
          <w:tcPr>
            <w:tcW w:w="3581" w:type="pct"/>
          </w:tcPr>
          <w:p w14:paraId="308B84EA" w14:textId="271AB78F" w:rsidR="00107F4C" w:rsidRPr="00DD0B3E" w:rsidRDefault="00AD7C86" w:rsidP="00180953">
            <w:pPr>
              <w:jc w:val="left"/>
              <w:rPr>
                <w:rFonts w:cs="Times New Roman"/>
                <w:sz w:val="20"/>
                <w:szCs w:val="20"/>
              </w:rPr>
            </w:pPr>
            <w:r w:rsidRPr="00DD0B3E">
              <w:rPr>
                <w:rFonts w:cs="Times New Roman"/>
                <w:sz w:val="20"/>
                <w:szCs w:val="20"/>
              </w:rPr>
              <w:t xml:space="preserve">From KPST: Death </w:t>
            </w:r>
            <w:r w:rsidR="00984F40" w:rsidRPr="00DD0B3E">
              <w:rPr>
                <w:rFonts w:cs="Times New Roman"/>
                <w:sz w:val="20"/>
                <w:szCs w:val="20"/>
              </w:rPr>
              <w:t>before pension withdrawals, legal beneficiaries inherit balance</w:t>
            </w:r>
            <w:r w:rsidR="00D20974">
              <w:rPr>
                <w:rFonts w:cs="Times New Roman"/>
                <w:sz w:val="20"/>
                <w:szCs w:val="20"/>
              </w:rPr>
              <w:t>.</w:t>
            </w:r>
          </w:p>
        </w:tc>
      </w:tr>
      <w:tr w:rsidR="00107F4C" w:rsidRPr="00DD0B3E" w14:paraId="156B0C64" w14:textId="77777777" w:rsidTr="004A1306">
        <w:tc>
          <w:tcPr>
            <w:tcW w:w="1419" w:type="pct"/>
          </w:tcPr>
          <w:p w14:paraId="303F144D" w14:textId="77777777" w:rsidR="00107F4C" w:rsidRPr="00DD0B3E" w:rsidRDefault="00107F4C" w:rsidP="00180953">
            <w:pPr>
              <w:jc w:val="left"/>
              <w:rPr>
                <w:rFonts w:cs="Times New Roman"/>
                <w:sz w:val="20"/>
                <w:szCs w:val="20"/>
              </w:rPr>
            </w:pPr>
            <w:r w:rsidRPr="00DD0B3E">
              <w:rPr>
                <w:rFonts w:cs="Times New Roman"/>
                <w:sz w:val="20"/>
                <w:szCs w:val="20"/>
              </w:rPr>
              <w:t>Level of survivor’s pension</w:t>
            </w:r>
          </w:p>
        </w:tc>
        <w:tc>
          <w:tcPr>
            <w:tcW w:w="3581" w:type="pct"/>
          </w:tcPr>
          <w:p w14:paraId="0A7DC13E" w14:textId="182A14FD" w:rsidR="00107F4C" w:rsidRPr="00DD0B3E" w:rsidRDefault="00E44712" w:rsidP="00D20974">
            <w:pPr>
              <w:jc w:val="left"/>
              <w:rPr>
                <w:rFonts w:cs="Times New Roman"/>
                <w:sz w:val="20"/>
                <w:szCs w:val="20"/>
              </w:rPr>
            </w:pPr>
            <w:r w:rsidRPr="00DD0B3E">
              <w:rPr>
                <w:rFonts w:cs="Times New Roman"/>
                <w:sz w:val="20"/>
                <w:szCs w:val="20"/>
              </w:rPr>
              <w:t xml:space="preserve">Full balance paid in </w:t>
            </w:r>
            <w:r w:rsidR="00D20974">
              <w:rPr>
                <w:rFonts w:cs="Times New Roman"/>
                <w:sz w:val="20"/>
                <w:szCs w:val="20"/>
              </w:rPr>
              <w:t>l</w:t>
            </w:r>
            <w:r w:rsidRPr="00DD0B3E">
              <w:rPr>
                <w:rFonts w:cs="Times New Roman"/>
                <w:sz w:val="20"/>
                <w:szCs w:val="20"/>
              </w:rPr>
              <w:t>ump sum</w:t>
            </w:r>
            <w:r w:rsidR="007D7205">
              <w:rPr>
                <w:rFonts w:cs="Times New Roman"/>
                <w:sz w:val="20"/>
                <w:szCs w:val="20"/>
              </w:rPr>
              <w:t>.</w:t>
            </w:r>
          </w:p>
        </w:tc>
      </w:tr>
      <w:tr w:rsidR="00107F4C" w:rsidRPr="00DD0B3E" w14:paraId="7C1DAC66" w14:textId="77777777" w:rsidTr="004A1306">
        <w:tc>
          <w:tcPr>
            <w:tcW w:w="1419" w:type="pct"/>
          </w:tcPr>
          <w:p w14:paraId="46C719E4" w14:textId="2173E788" w:rsidR="00107F4C" w:rsidRPr="00DD0B3E" w:rsidRDefault="00107F4C" w:rsidP="00180953">
            <w:pPr>
              <w:jc w:val="left"/>
              <w:rPr>
                <w:rFonts w:cs="Times New Roman"/>
                <w:sz w:val="20"/>
                <w:szCs w:val="20"/>
              </w:rPr>
            </w:pPr>
            <w:r w:rsidRPr="00DD0B3E">
              <w:rPr>
                <w:rFonts w:cs="Times New Roman"/>
                <w:sz w:val="20"/>
                <w:szCs w:val="20"/>
              </w:rPr>
              <w:t xml:space="preserve">Contribution </w:t>
            </w:r>
            <w:r w:rsidR="00180953">
              <w:rPr>
                <w:rFonts w:cs="Times New Roman"/>
                <w:sz w:val="20"/>
                <w:szCs w:val="20"/>
              </w:rPr>
              <w:t>r</w:t>
            </w:r>
            <w:r w:rsidRPr="00DD0B3E">
              <w:rPr>
                <w:rFonts w:cs="Times New Roman"/>
                <w:sz w:val="20"/>
                <w:szCs w:val="20"/>
              </w:rPr>
              <w:t>ates</w:t>
            </w:r>
          </w:p>
        </w:tc>
        <w:tc>
          <w:tcPr>
            <w:tcW w:w="3581" w:type="pct"/>
          </w:tcPr>
          <w:p w14:paraId="0F6A4D21" w14:textId="76861A07" w:rsidR="00107F4C" w:rsidRPr="00DD0B3E" w:rsidRDefault="00E44712" w:rsidP="007D7205">
            <w:pPr>
              <w:jc w:val="left"/>
              <w:rPr>
                <w:rFonts w:cs="Times New Roman"/>
                <w:sz w:val="20"/>
                <w:szCs w:val="20"/>
              </w:rPr>
            </w:pPr>
            <w:r w:rsidRPr="00DD0B3E">
              <w:rPr>
                <w:rFonts w:cs="Times New Roman"/>
                <w:b/>
                <w:sz w:val="20"/>
                <w:szCs w:val="20"/>
              </w:rPr>
              <w:t>10</w:t>
            </w:r>
            <w:r w:rsidR="00107F4C" w:rsidRPr="00DD0B3E">
              <w:rPr>
                <w:rFonts w:cs="Times New Roman"/>
                <w:b/>
                <w:sz w:val="20"/>
                <w:szCs w:val="20"/>
              </w:rPr>
              <w:t>% of gross salary</w:t>
            </w:r>
            <w:r w:rsidR="007D7205">
              <w:rPr>
                <w:rFonts w:cs="Times New Roman"/>
                <w:b/>
                <w:sz w:val="20"/>
                <w:szCs w:val="20"/>
              </w:rPr>
              <w:t>—</w:t>
            </w:r>
            <w:r w:rsidR="008461FE" w:rsidRPr="00DD0B3E">
              <w:rPr>
                <w:rFonts w:cs="Times New Roman"/>
                <w:sz w:val="20"/>
                <w:szCs w:val="20"/>
              </w:rPr>
              <w:t>5</w:t>
            </w:r>
            <w:r w:rsidR="00107F4C" w:rsidRPr="00DD0B3E">
              <w:rPr>
                <w:rFonts w:cs="Times New Roman"/>
                <w:sz w:val="20"/>
                <w:szCs w:val="20"/>
              </w:rPr>
              <w:t xml:space="preserve">% by employer and </w:t>
            </w:r>
            <w:r w:rsidR="008461FE" w:rsidRPr="00DD0B3E">
              <w:rPr>
                <w:rFonts w:cs="Times New Roman"/>
                <w:sz w:val="20"/>
                <w:szCs w:val="20"/>
              </w:rPr>
              <w:t>5</w:t>
            </w:r>
            <w:r w:rsidR="00107F4C" w:rsidRPr="00DD0B3E">
              <w:rPr>
                <w:rFonts w:cs="Times New Roman"/>
                <w:sz w:val="20"/>
                <w:szCs w:val="20"/>
              </w:rPr>
              <w:t>% by employee.</w:t>
            </w:r>
          </w:p>
        </w:tc>
      </w:tr>
    </w:tbl>
    <w:p w14:paraId="1A56FEED" w14:textId="5381053C" w:rsidR="004E3747" w:rsidRDefault="004E3747" w:rsidP="00CC6E5E">
      <w:pPr>
        <w:spacing w:before="240"/>
        <w:rPr>
          <w:rFonts w:cs="Times New Roman"/>
          <w:szCs w:val="24"/>
        </w:rPr>
      </w:pPr>
      <w:r w:rsidRPr="00602CD6">
        <w:rPr>
          <w:rFonts w:cs="Times New Roman"/>
          <w:szCs w:val="24"/>
        </w:rPr>
        <w:t xml:space="preserve">Given its composition, traditional measures used to assess the performance of </w:t>
      </w:r>
      <w:r w:rsidR="004A1306">
        <w:rPr>
          <w:rFonts w:cs="Times New Roman"/>
          <w:szCs w:val="24"/>
        </w:rPr>
        <w:t xml:space="preserve">the </w:t>
      </w:r>
      <w:r w:rsidR="000672CC" w:rsidRPr="000672CC">
        <w:rPr>
          <w:rFonts w:cs="Times New Roman"/>
          <w:szCs w:val="24"/>
        </w:rPr>
        <w:t xml:space="preserve">Defined Benefits </w:t>
      </w:r>
      <w:r w:rsidR="000672CC">
        <w:rPr>
          <w:rFonts w:cs="Times New Roman"/>
          <w:szCs w:val="24"/>
        </w:rPr>
        <w:t>(</w:t>
      </w:r>
      <w:r w:rsidRPr="00602CD6">
        <w:rPr>
          <w:rFonts w:cs="Times New Roman"/>
          <w:szCs w:val="24"/>
        </w:rPr>
        <w:t>DB</w:t>
      </w:r>
      <w:r w:rsidR="000672CC">
        <w:rPr>
          <w:rFonts w:cs="Times New Roman"/>
          <w:szCs w:val="24"/>
        </w:rPr>
        <w:t>)</w:t>
      </w:r>
      <w:r w:rsidRPr="00602CD6">
        <w:rPr>
          <w:rFonts w:cs="Times New Roman"/>
          <w:szCs w:val="24"/>
        </w:rPr>
        <w:t xml:space="preserve"> pension systems, such as the accrual rate, do not apply in the Kosovo context. For example, if we look at the pension system support ratio measured as </w:t>
      </w:r>
      <w:r w:rsidR="004A1306">
        <w:rPr>
          <w:rFonts w:cs="Times New Roman"/>
          <w:szCs w:val="24"/>
        </w:rPr>
        <w:t>c</w:t>
      </w:r>
      <w:r w:rsidRPr="00602CD6">
        <w:rPr>
          <w:rFonts w:cs="Times New Roman"/>
          <w:szCs w:val="24"/>
        </w:rPr>
        <w:t>ontributors/</w:t>
      </w:r>
      <w:r w:rsidR="004A1306">
        <w:rPr>
          <w:rFonts w:cs="Times New Roman"/>
          <w:szCs w:val="24"/>
        </w:rPr>
        <w:t>b</w:t>
      </w:r>
      <w:r w:rsidRPr="00602CD6">
        <w:rPr>
          <w:rFonts w:cs="Times New Roman"/>
          <w:szCs w:val="24"/>
        </w:rPr>
        <w:t xml:space="preserve">eneficiaries, we find that there </w:t>
      </w:r>
      <w:r w:rsidR="00771CC8">
        <w:rPr>
          <w:rFonts w:cs="Times New Roman"/>
          <w:szCs w:val="24"/>
        </w:rPr>
        <w:t>we</w:t>
      </w:r>
      <w:r w:rsidRPr="00602CD6">
        <w:rPr>
          <w:rFonts w:cs="Times New Roman"/>
          <w:szCs w:val="24"/>
        </w:rPr>
        <w:t xml:space="preserve">re 7.83 </w:t>
      </w:r>
      <w:r w:rsidR="00205625" w:rsidRPr="00602CD6">
        <w:rPr>
          <w:rFonts w:cs="Times New Roman"/>
          <w:szCs w:val="24"/>
        </w:rPr>
        <w:t>active</w:t>
      </w:r>
      <w:r w:rsidRPr="00602CD6">
        <w:rPr>
          <w:rFonts w:cs="Times New Roman"/>
          <w:szCs w:val="24"/>
        </w:rPr>
        <w:t xml:space="preserve"> contributors at the end of 2018 for every </w:t>
      </w:r>
      <w:r w:rsidR="00205625" w:rsidRPr="00602CD6">
        <w:rPr>
          <w:rFonts w:cs="Times New Roman"/>
          <w:szCs w:val="24"/>
        </w:rPr>
        <w:t>individual</w:t>
      </w:r>
      <w:r w:rsidRPr="00602CD6">
        <w:rPr>
          <w:rFonts w:cs="Times New Roman"/>
          <w:szCs w:val="24"/>
        </w:rPr>
        <w:t xml:space="preserve"> that ha</w:t>
      </w:r>
      <w:r w:rsidR="00771CC8">
        <w:rPr>
          <w:rFonts w:cs="Times New Roman"/>
          <w:szCs w:val="24"/>
        </w:rPr>
        <w:t>d</w:t>
      </w:r>
      <w:r w:rsidRPr="00602CD6">
        <w:rPr>
          <w:rFonts w:cs="Times New Roman"/>
          <w:szCs w:val="24"/>
        </w:rPr>
        <w:t xml:space="preserve"> retired from the system</w:t>
      </w:r>
      <w:r w:rsidR="00CE1886">
        <w:rPr>
          <w:rFonts w:cs="Times New Roman"/>
          <w:szCs w:val="24"/>
        </w:rPr>
        <w:t xml:space="preserve"> (Figure 1)</w:t>
      </w:r>
      <w:r w:rsidRPr="00602CD6">
        <w:rPr>
          <w:rFonts w:cs="Times New Roman"/>
          <w:szCs w:val="24"/>
        </w:rPr>
        <w:t xml:space="preserve">. </w:t>
      </w:r>
      <w:r w:rsidR="00205625" w:rsidRPr="00602CD6">
        <w:rPr>
          <w:rFonts w:cs="Times New Roman"/>
          <w:szCs w:val="24"/>
        </w:rPr>
        <w:t xml:space="preserve">However, it has to be considered that this system </w:t>
      </w:r>
      <w:r w:rsidR="00771CC8">
        <w:rPr>
          <w:rFonts w:cs="Times New Roman"/>
          <w:szCs w:val="24"/>
        </w:rPr>
        <w:t xml:space="preserve">was </w:t>
      </w:r>
      <w:r w:rsidR="00205625" w:rsidRPr="00602CD6">
        <w:rPr>
          <w:rFonts w:cs="Times New Roman"/>
          <w:szCs w:val="24"/>
        </w:rPr>
        <w:t xml:space="preserve">established in 2002. This number is close to the </w:t>
      </w:r>
      <w:r w:rsidR="00CC6E5E">
        <w:rPr>
          <w:rFonts w:cs="Times New Roman"/>
          <w:szCs w:val="24"/>
        </w:rPr>
        <w:t xml:space="preserve">overall ratio of 8 inhabitants between </w:t>
      </w:r>
      <w:r w:rsidR="00205625" w:rsidRPr="00602CD6">
        <w:rPr>
          <w:rFonts w:cs="Times New Roman"/>
          <w:szCs w:val="24"/>
        </w:rPr>
        <w:t>15</w:t>
      </w:r>
      <w:r w:rsidR="00771CC8">
        <w:rPr>
          <w:rFonts w:cs="Times New Roman"/>
          <w:szCs w:val="24"/>
        </w:rPr>
        <w:t xml:space="preserve"> years and </w:t>
      </w:r>
      <w:r w:rsidR="00205625" w:rsidRPr="00602CD6">
        <w:rPr>
          <w:rFonts w:cs="Times New Roman"/>
          <w:szCs w:val="24"/>
        </w:rPr>
        <w:t>64</w:t>
      </w:r>
      <w:r w:rsidR="00CC6E5E">
        <w:rPr>
          <w:rFonts w:cs="Times New Roman"/>
          <w:szCs w:val="24"/>
        </w:rPr>
        <w:t xml:space="preserve"> </w:t>
      </w:r>
      <w:r w:rsidR="00771CC8">
        <w:rPr>
          <w:rFonts w:cs="Times New Roman"/>
          <w:szCs w:val="24"/>
        </w:rPr>
        <w:t xml:space="preserve">years </w:t>
      </w:r>
      <w:r w:rsidR="00CC6E5E">
        <w:rPr>
          <w:rFonts w:cs="Times New Roman"/>
          <w:szCs w:val="24"/>
        </w:rPr>
        <w:t>for each inhabitant age 65</w:t>
      </w:r>
      <w:r w:rsidR="00771CC8">
        <w:rPr>
          <w:rFonts w:cs="Times New Roman"/>
          <w:szCs w:val="24"/>
        </w:rPr>
        <w:t xml:space="preserve"> years</w:t>
      </w:r>
      <w:r w:rsidR="00CC6E5E">
        <w:rPr>
          <w:rFonts w:cs="Times New Roman"/>
          <w:szCs w:val="24"/>
        </w:rPr>
        <w:t xml:space="preserve"> or more observed in the general population</w:t>
      </w:r>
      <w:r w:rsidR="00205625" w:rsidRPr="00602CD6">
        <w:rPr>
          <w:rFonts w:cs="Times New Roman"/>
          <w:szCs w:val="24"/>
        </w:rPr>
        <w:t>. However, demographic transition will rapidly age the country</w:t>
      </w:r>
      <w:r w:rsidR="00771CC8">
        <w:rPr>
          <w:rFonts w:cs="Times New Roman"/>
          <w:szCs w:val="24"/>
        </w:rPr>
        <w:t>.</w:t>
      </w:r>
      <w:r w:rsidR="00205625" w:rsidRPr="00602CD6">
        <w:rPr>
          <w:rFonts w:cs="Times New Roman"/>
          <w:szCs w:val="24"/>
        </w:rPr>
        <w:t xml:space="preserve"> </w:t>
      </w:r>
      <w:r w:rsidR="00771CC8">
        <w:rPr>
          <w:rFonts w:cs="Times New Roman"/>
          <w:szCs w:val="24"/>
        </w:rPr>
        <w:t>I</w:t>
      </w:r>
      <w:r w:rsidR="00205625" w:rsidRPr="00602CD6">
        <w:rPr>
          <w:rFonts w:cs="Times New Roman"/>
          <w:szCs w:val="24"/>
        </w:rPr>
        <w:t xml:space="preserve">t is estimated that by 2026 there will be 6 </w:t>
      </w:r>
      <w:r w:rsidR="00CC6E5E">
        <w:rPr>
          <w:rFonts w:cs="Times New Roman"/>
          <w:szCs w:val="24"/>
        </w:rPr>
        <w:t>individuals in the working age group for every individual age 65</w:t>
      </w:r>
      <w:r w:rsidR="006C5FB9">
        <w:rPr>
          <w:rFonts w:cs="Times New Roman"/>
          <w:szCs w:val="24"/>
        </w:rPr>
        <w:t xml:space="preserve"> years</w:t>
      </w:r>
      <w:r w:rsidR="00CC6E5E">
        <w:rPr>
          <w:rFonts w:cs="Times New Roman"/>
          <w:szCs w:val="24"/>
        </w:rPr>
        <w:t xml:space="preserve"> or older</w:t>
      </w:r>
      <w:r w:rsidR="00205625" w:rsidRPr="00602CD6">
        <w:rPr>
          <w:rFonts w:cs="Times New Roman"/>
          <w:szCs w:val="24"/>
        </w:rPr>
        <w:t>, falling to 4 by 2038</w:t>
      </w:r>
      <w:r w:rsidR="006C5FB9">
        <w:rPr>
          <w:rFonts w:cs="Times New Roman"/>
          <w:szCs w:val="24"/>
        </w:rPr>
        <w:t>,</w:t>
      </w:r>
      <w:r w:rsidR="00205625" w:rsidRPr="00602CD6">
        <w:rPr>
          <w:rFonts w:cs="Times New Roman"/>
          <w:szCs w:val="24"/>
        </w:rPr>
        <w:t xml:space="preserve"> and reaching 3 in 2047. </w:t>
      </w:r>
      <w:r w:rsidR="00D601F2" w:rsidRPr="00602CD6">
        <w:rPr>
          <w:rFonts w:cs="Times New Roman"/>
          <w:szCs w:val="24"/>
        </w:rPr>
        <w:t xml:space="preserve">This demographic trend means that </w:t>
      </w:r>
      <w:r w:rsidR="00673A5C" w:rsidRPr="00602CD6">
        <w:rPr>
          <w:rFonts w:cs="Times New Roman"/>
          <w:szCs w:val="24"/>
        </w:rPr>
        <w:t>Kosovo will be hard</w:t>
      </w:r>
      <w:r w:rsidR="006C5FB9">
        <w:rPr>
          <w:rFonts w:cs="Times New Roman"/>
          <w:szCs w:val="24"/>
        </w:rPr>
        <w:t>-</w:t>
      </w:r>
      <w:r w:rsidR="00673A5C" w:rsidRPr="00602CD6">
        <w:rPr>
          <w:rFonts w:cs="Times New Roman"/>
          <w:szCs w:val="24"/>
        </w:rPr>
        <w:t xml:space="preserve">pressed to </w:t>
      </w:r>
      <w:r w:rsidR="00B06DF3" w:rsidRPr="00602CD6">
        <w:rPr>
          <w:rFonts w:cs="Times New Roman"/>
          <w:szCs w:val="24"/>
        </w:rPr>
        <w:t>finance</w:t>
      </w:r>
      <w:r w:rsidR="00673A5C" w:rsidRPr="00602CD6">
        <w:rPr>
          <w:rFonts w:cs="Times New Roman"/>
          <w:szCs w:val="24"/>
        </w:rPr>
        <w:t xml:space="preserve"> meaningful pension benefit</w:t>
      </w:r>
      <w:r w:rsidR="006C5FB9">
        <w:rPr>
          <w:rFonts w:cs="Times New Roman"/>
          <w:szCs w:val="24"/>
        </w:rPr>
        <w:t>s</w:t>
      </w:r>
      <w:r w:rsidR="00673A5C" w:rsidRPr="00602CD6">
        <w:rPr>
          <w:rFonts w:cs="Times New Roman"/>
          <w:szCs w:val="24"/>
        </w:rPr>
        <w:t xml:space="preserve"> for </w:t>
      </w:r>
      <w:r w:rsidR="00B06DF3" w:rsidRPr="00602CD6">
        <w:rPr>
          <w:rFonts w:cs="Times New Roman"/>
          <w:szCs w:val="24"/>
        </w:rPr>
        <w:t>its elderly population</w:t>
      </w:r>
      <w:r w:rsidR="00B56722" w:rsidRPr="00602CD6">
        <w:rPr>
          <w:rFonts w:cs="Times New Roman"/>
          <w:szCs w:val="24"/>
        </w:rPr>
        <w:t xml:space="preserve"> if it relies </w:t>
      </w:r>
      <w:r w:rsidR="006C5FB9">
        <w:rPr>
          <w:rFonts w:cs="Times New Roman"/>
          <w:szCs w:val="24"/>
        </w:rPr>
        <w:t>ex</w:t>
      </w:r>
      <w:r w:rsidR="00B56722" w:rsidRPr="00602CD6">
        <w:rPr>
          <w:rFonts w:cs="Times New Roman"/>
          <w:szCs w:val="24"/>
        </w:rPr>
        <w:t xml:space="preserve">tensively </w:t>
      </w:r>
      <w:r w:rsidR="006C5FB9">
        <w:rPr>
          <w:rFonts w:cs="Times New Roman"/>
          <w:szCs w:val="24"/>
        </w:rPr>
        <w:t>o</w:t>
      </w:r>
      <w:r w:rsidR="00B56722" w:rsidRPr="00602CD6">
        <w:rPr>
          <w:rFonts w:cs="Times New Roman"/>
          <w:szCs w:val="24"/>
        </w:rPr>
        <w:t xml:space="preserve">n intergenerational </w:t>
      </w:r>
      <w:r w:rsidR="003C6003" w:rsidRPr="00602CD6">
        <w:rPr>
          <w:rFonts w:cs="Times New Roman"/>
          <w:szCs w:val="24"/>
        </w:rPr>
        <w:t>transfers (</w:t>
      </w:r>
      <w:r w:rsidR="006C5FB9">
        <w:rPr>
          <w:rFonts w:cs="Times New Roman"/>
          <w:szCs w:val="24"/>
        </w:rPr>
        <w:t>for example,</w:t>
      </w:r>
      <w:r w:rsidR="003C6003" w:rsidRPr="00602CD6">
        <w:rPr>
          <w:rFonts w:cs="Times New Roman"/>
          <w:szCs w:val="24"/>
        </w:rPr>
        <w:t xml:space="preserve"> taxation</w:t>
      </w:r>
      <w:r w:rsidR="006C5FB9">
        <w:rPr>
          <w:rFonts w:cs="Times New Roman"/>
          <w:szCs w:val="24"/>
        </w:rPr>
        <w:t xml:space="preserve"> and</w:t>
      </w:r>
      <w:r w:rsidR="003C6003" w:rsidRPr="00602CD6">
        <w:rPr>
          <w:rFonts w:cs="Times New Roman"/>
          <w:szCs w:val="24"/>
        </w:rPr>
        <w:t xml:space="preserve"> </w:t>
      </w:r>
      <w:r w:rsidR="00743540">
        <w:rPr>
          <w:rFonts w:cs="Times New Roman"/>
          <w:szCs w:val="24"/>
        </w:rPr>
        <w:t>Pay-as-you-go (</w:t>
      </w:r>
      <w:r w:rsidR="003C6003" w:rsidRPr="00602CD6">
        <w:rPr>
          <w:rFonts w:cs="Times New Roman"/>
          <w:szCs w:val="24"/>
        </w:rPr>
        <w:t>PAYG</w:t>
      </w:r>
      <w:r w:rsidR="00743540">
        <w:rPr>
          <w:rFonts w:cs="Times New Roman"/>
          <w:szCs w:val="24"/>
        </w:rPr>
        <w:t>)</w:t>
      </w:r>
      <w:r w:rsidR="003C6003" w:rsidRPr="00602CD6">
        <w:rPr>
          <w:rFonts w:cs="Times New Roman"/>
          <w:szCs w:val="24"/>
        </w:rPr>
        <w:t xml:space="preserve"> </w:t>
      </w:r>
      <w:r w:rsidR="001347EB" w:rsidRPr="00602CD6">
        <w:rPr>
          <w:rFonts w:cs="Times New Roman"/>
          <w:szCs w:val="24"/>
        </w:rPr>
        <w:t>contributions</w:t>
      </w:r>
      <w:r w:rsidR="003C6003" w:rsidRPr="00602CD6">
        <w:rPr>
          <w:rFonts w:cs="Times New Roman"/>
          <w:szCs w:val="24"/>
        </w:rPr>
        <w:t>)</w:t>
      </w:r>
      <w:r w:rsidR="006C5FB9">
        <w:rPr>
          <w:rFonts w:cs="Times New Roman"/>
          <w:szCs w:val="24"/>
        </w:rPr>
        <w:t>.</w:t>
      </w:r>
    </w:p>
    <w:p w14:paraId="53F5B0E0" w14:textId="558EEE02" w:rsidR="00021AB5" w:rsidRDefault="00021AB5" w:rsidP="00021AB5">
      <w:pPr>
        <w:pStyle w:val="Caption"/>
      </w:pPr>
      <w:r>
        <w:t xml:space="preserve">Figure </w:t>
      </w:r>
      <w:fldSimple w:instr=" SEQ Figure \* ARABIC ">
        <w:r w:rsidR="00DF7806">
          <w:rPr>
            <w:noProof/>
          </w:rPr>
          <w:t>1</w:t>
        </w:r>
      </w:fldSimple>
      <w:r>
        <w:t>: Support ratio (Population 15</w:t>
      </w:r>
      <w:r w:rsidR="003F5E24">
        <w:rPr>
          <w:rFonts w:cs="Times New Roman"/>
        </w:rPr>
        <w:t>–</w:t>
      </w:r>
      <w:r>
        <w:t>65 to</w:t>
      </w:r>
      <w:r w:rsidRPr="001D4C0D">
        <w:t xml:space="preserve"> Population 65+)</w:t>
      </w:r>
    </w:p>
    <w:p w14:paraId="0F04E690" w14:textId="62DF32D0" w:rsidR="00A01898" w:rsidRPr="00602CD6" w:rsidRDefault="0092690A" w:rsidP="0048438D">
      <w:pPr>
        <w:spacing w:after="0"/>
        <w:jc w:val="center"/>
        <w:rPr>
          <w:rFonts w:cs="Times New Roman"/>
          <w:b/>
          <w:szCs w:val="24"/>
        </w:rPr>
      </w:pPr>
      <w:r w:rsidRPr="00602CD6">
        <w:rPr>
          <w:rFonts w:cs="Times New Roman"/>
          <w:noProof/>
          <w:szCs w:val="24"/>
        </w:rPr>
        <w:drawing>
          <wp:inline distT="0" distB="0" distL="0" distR="0" wp14:anchorId="27AD3792" wp14:editId="0E221F56">
            <wp:extent cx="3895725" cy="1962150"/>
            <wp:effectExtent l="0" t="0" r="9525" b="0"/>
            <wp:docPr id="1" name="Chart 1">
              <a:extLst xmlns:a="http://schemas.openxmlformats.org/drawingml/2006/main">
                <a:ext uri="{FF2B5EF4-FFF2-40B4-BE49-F238E27FC236}">
                  <a16:creationId xmlns:a16="http://schemas.microsoft.com/office/drawing/2014/main" id="{F44F2441-D108-4FCF-8D1A-E1AADE690B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0DCF6B" w14:textId="4AC34196" w:rsidR="00A01898" w:rsidRPr="006C0F60" w:rsidRDefault="00A01898" w:rsidP="004A1306">
      <w:pPr>
        <w:ind w:left="1530"/>
        <w:jc w:val="left"/>
        <w:rPr>
          <w:rFonts w:cs="Times New Roman"/>
          <w:iCs/>
          <w:sz w:val="20"/>
          <w:szCs w:val="24"/>
        </w:rPr>
      </w:pPr>
      <w:r w:rsidRPr="00CC6E5E">
        <w:rPr>
          <w:rFonts w:cs="Times New Roman"/>
          <w:i/>
          <w:iCs/>
          <w:sz w:val="20"/>
          <w:szCs w:val="24"/>
        </w:rPr>
        <w:t xml:space="preserve">Source: </w:t>
      </w:r>
      <w:r w:rsidRPr="006C0F60">
        <w:rPr>
          <w:rFonts w:cs="Times New Roman"/>
          <w:iCs/>
          <w:sz w:val="20"/>
          <w:szCs w:val="24"/>
        </w:rPr>
        <w:t>Kosovo Agency of Statistics, Population Projections</w:t>
      </w:r>
      <w:r w:rsidR="006C0F60">
        <w:rPr>
          <w:rFonts w:cs="Times New Roman"/>
          <w:iCs/>
          <w:sz w:val="20"/>
          <w:szCs w:val="24"/>
        </w:rPr>
        <w:t>.</w:t>
      </w:r>
    </w:p>
    <w:p w14:paraId="167E8FA2" w14:textId="60A7BFAB" w:rsidR="004E3747" w:rsidRPr="00602CD6" w:rsidRDefault="001F6555" w:rsidP="004E3747">
      <w:pPr>
        <w:rPr>
          <w:rFonts w:cs="Times New Roman"/>
          <w:szCs w:val="24"/>
        </w:rPr>
      </w:pPr>
      <w:r w:rsidRPr="00602CD6">
        <w:rPr>
          <w:rFonts w:cs="Times New Roman"/>
          <w:szCs w:val="24"/>
        </w:rPr>
        <w:lastRenderedPageBreak/>
        <w:t xml:space="preserve">The fiscal cost of pensions has increased in recent years due to </w:t>
      </w:r>
      <w:r w:rsidR="003F5E24">
        <w:rPr>
          <w:rFonts w:cs="Times New Roman"/>
          <w:szCs w:val="24"/>
        </w:rPr>
        <w:t xml:space="preserve">the </w:t>
      </w:r>
      <w:r w:rsidRPr="00602CD6">
        <w:rPr>
          <w:rFonts w:cs="Times New Roman"/>
          <w:szCs w:val="24"/>
        </w:rPr>
        <w:t>expanded generosity of existing pensions and introduction of new pension benefits</w:t>
      </w:r>
      <w:r w:rsidR="00E06715">
        <w:rPr>
          <w:rFonts w:cs="Times New Roman"/>
          <w:szCs w:val="24"/>
        </w:rPr>
        <w:t>, as seen in Figure 2</w:t>
      </w:r>
      <w:r w:rsidRPr="00602CD6">
        <w:rPr>
          <w:rFonts w:cs="Times New Roman"/>
          <w:szCs w:val="24"/>
        </w:rPr>
        <w:t xml:space="preserve">. </w:t>
      </w:r>
      <w:r w:rsidR="00AB6A87" w:rsidRPr="00602CD6">
        <w:rPr>
          <w:rFonts w:cs="Times New Roman"/>
          <w:szCs w:val="24"/>
        </w:rPr>
        <w:t xml:space="preserve">In 2008, the </w:t>
      </w:r>
      <w:r w:rsidR="00EF2720">
        <w:rPr>
          <w:rFonts w:cs="Times New Roman"/>
          <w:szCs w:val="24"/>
        </w:rPr>
        <w:t>g</w:t>
      </w:r>
      <w:r w:rsidR="00AB6A87" w:rsidRPr="00602CD6">
        <w:rPr>
          <w:rFonts w:cs="Times New Roman"/>
          <w:szCs w:val="24"/>
        </w:rPr>
        <w:t xml:space="preserve">overnment introduced an </w:t>
      </w:r>
      <w:r w:rsidR="00376793">
        <w:rPr>
          <w:rFonts w:cs="Times New Roman"/>
          <w:szCs w:val="24"/>
        </w:rPr>
        <w:t>‘</w:t>
      </w:r>
      <w:r w:rsidR="00AB6A87" w:rsidRPr="00602CD6">
        <w:rPr>
          <w:rFonts w:cs="Times New Roman"/>
          <w:szCs w:val="24"/>
        </w:rPr>
        <w:t>ex-</w:t>
      </w:r>
      <w:r w:rsidR="00376793">
        <w:rPr>
          <w:rFonts w:cs="Times New Roman"/>
          <w:szCs w:val="24"/>
        </w:rPr>
        <w:t>c</w:t>
      </w:r>
      <w:r w:rsidR="00AB6A87" w:rsidRPr="00602CD6">
        <w:rPr>
          <w:rFonts w:cs="Times New Roman"/>
          <w:szCs w:val="24"/>
        </w:rPr>
        <w:t>ontributory</w:t>
      </w:r>
      <w:r w:rsidR="00376793">
        <w:rPr>
          <w:rFonts w:cs="Times New Roman"/>
          <w:szCs w:val="24"/>
        </w:rPr>
        <w:t>’</w:t>
      </w:r>
      <w:r w:rsidR="00AB6A87" w:rsidRPr="00602CD6">
        <w:rPr>
          <w:rFonts w:cs="Times New Roman"/>
          <w:szCs w:val="24"/>
        </w:rPr>
        <w:t xml:space="preserve"> pension, designed to recognize those who had contributed</w:t>
      </w:r>
      <w:r w:rsidR="003862A5">
        <w:rPr>
          <w:rFonts w:cs="Times New Roman"/>
          <w:szCs w:val="24"/>
        </w:rPr>
        <w:t xml:space="preserve"> for</w:t>
      </w:r>
      <w:r w:rsidR="00AB6A87" w:rsidRPr="00602CD6">
        <w:rPr>
          <w:rFonts w:cs="Times New Roman"/>
          <w:szCs w:val="24"/>
        </w:rPr>
        <w:t xml:space="preserve"> the minimum period of 15 years to the former Yugoslav pension fund</w:t>
      </w:r>
      <w:r w:rsidR="001E3211" w:rsidRPr="00602CD6">
        <w:rPr>
          <w:rFonts w:cs="Times New Roman"/>
          <w:szCs w:val="24"/>
        </w:rPr>
        <w:t xml:space="preserve"> but would not </w:t>
      </w:r>
      <w:r w:rsidR="00E06715" w:rsidRPr="00602CD6">
        <w:rPr>
          <w:rFonts w:cs="Times New Roman"/>
          <w:szCs w:val="24"/>
        </w:rPr>
        <w:t>receive benefits</w:t>
      </w:r>
      <w:r w:rsidR="001E3211" w:rsidRPr="00602CD6">
        <w:rPr>
          <w:rFonts w:cs="Times New Roman"/>
          <w:szCs w:val="24"/>
        </w:rPr>
        <w:t xml:space="preserve"> from it. It is financed by </w:t>
      </w:r>
      <w:r w:rsidR="00B0188F">
        <w:rPr>
          <w:rFonts w:cs="Times New Roman"/>
          <w:szCs w:val="24"/>
        </w:rPr>
        <w:t xml:space="preserve">a </w:t>
      </w:r>
      <w:r w:rsidR="001E3211" w:rsidRPr="00602CD6">
        <w:rPr>
          <w:rFonts w:cs="Times New Roman"/>
          <w:szCs w:val="24"/>
        </w:rPr>
        <w:t>general budget</w:t>
      </w:r>
      <w:r w:rsidR="00B0188F">
        <w:rPr>
          <w:rFonts w:cs="Times New Roman"/>
          <w:szCs w:val="24"/>
        </w:rPr>
        <w:t>.</w:t>
      </w:r>
      <w:r w:rsidR="001E3211" w:rsidRPr="00602CD6">
        <w:rPr>
          <w:rFonts w:cs="Times New Roman"/>
          <w:szCs w:val="24"/>
        </w:rPr>
        <w:t xml:space="preserve"> </w:t>
      </w:r>
      <w:r w:rsidR="00B0188F">
        <w:rPr>
          <w:rFonts w:cs="Times New Roman"/>
          <w:szCs w:val="24"/>
        </w:rPr>
        <w:t>T</w:t>
      </w:r>
      <w:r w:rsidR="008723C6" w:rsidRPr="00602CD6">
        <w:rPr>
          <w:rFonts w:cs="Times New Roman"/>
          <w:szCs w:val="24"/>
        </w:rPr>
        <w:t>he</w:t>
      </w:r>
      <w:r w:rsidR="00AB6A87" w:rsidRPr="00602CD6">
        <w:rPr>
          <w:rFonts w:cs="Times New Roman"/>
          <w:szCs w:val="24"/>
        </w:rPr>
        <w:t xml:space="preserve"> value of this </w:t>
      </w:r>
      <w:r w:rsidR="001E3211" w:rsidRPr="00602CD6">
        <w:rPr>
          <w:rFonts w:cs="Times New Roman"/>
          <w:szCs w:val="24"/>
        </w:rPr>
        <w:t>benefit has</w:t>
      </w:r>
      <w:r w:rsidR="00AB6A87" w:rsidRPr="00602CD6">
        <w:rPr>
          <w:rFonts w:cs="Times New Roman"/>
          <w:szCs w:val="24"/>
        </w:rPr>
        <w:t xml:space="preserve"> increased </w:t>
      </w:r>
      <w:r w:rsidR="00B0188F">
        <w:rPr>
          <w:rFonts w:cs="Times New Roman"/>
          <w:szCs w:val="24"/>
        </w:rPr>
        <w:t xml:space="preserve">steadily, </w:t>
      </w:r>
      <w:r w:rsidR="00AB6A87" w:rsidRPr="00602CD6">
        <w:rPr>
          <w:rFonts w:cs="Times New Roman"/>
          <w:szCs w:val="24"/>
        </w:rPr>
        <w:t>and it was expanded in 2016 to provide higher benefits according to the level of education of the beneficiary, making it a regressive cash transfer by design. The cost of this program reached 1.4</w:t>
      </w:r>
      <w:r w:rsidR="00B0188F">
        <w:rPr>
          <w:rFonts w:cs="Times New Roman"/>
          <w:szCs w:val="24"/>
        </w:rPr>
        <w:t xml:space="preserve"> percent</w:t>
      </w:r>
      <w:r w:rsidR="00AB6A87" w:rsidRPr="00602CD6">
        <w:rPr>
          <w:rFonts w:cs="Times New Roman"/>
          <w:szCs w:val="24"/>
        </w:rPr>
        <w:t xml:space="preserve"> of </w:t>
      </w:r>
      <w:r w:rsidR="00376793" w:rsidRPr="00182DA3">
        <w:rPr>
          <w:rFonts w:cs="Times New Roman"/>
          <w:szCs w:val="24"/>
        </w:rPr>
        <w:t xml:space="preserve">gross domestic product </w:t>
      </w:r>
      <w:r w:rsidR="00182DA3">
        <w:rPr>
          <w:rFonts w:cs="Times New Roman"/>
          <w:szCs w:val="24"/>
        </w:rPr>
        <w:t>(</w:t>
      </w:r>
      <w:r w:rsidR="00AB6A87" w:rsidRPr="00602CD6">
        <w:rPr>
          <w:rFonts w:cs="Times New Roman"/>
          <w:szCs w:val="24"/>
        </w:rPr>
        <w:t>GDP</w:t>
      </w:r>
      <w:r w:rsidR="00182DA3">
        <w:rPr>
          <w:rFonts w:cs="Times New Roman"/>
          <w:szCs w:val="24"/>
        </w:rPr>
        <w:t>)</w:t>
      </w:r>
      <w:r w:rsidR="00AB6A87" w:rsidRPr="00602CD6">
        <w:rPr>
          <w:rFonts w:cs="Times New Roman"/>
          <w:szCs w:val="24"/>
        </w:rPr>
        <w:t xml:space="preserve"> by 2018, but given the 15</w:t>
      </w:r>
      <w:r w:rsidR="00B0188F">
        <w:rPr>
          <w:rFonts w:cs="Times New Roman"/>
          <w:szCs w:val="24"/>
        </w:rPr>
        <w:t xml:space="preserve"> percent</w:t>
      </w:r>
      <w:r w:rsidR="00AB6A87" w:rsidRPr="00602CD6">
        <w:rPr>
          <w:rFonts w:cs="Times New Roman"/>
          <w:szCs w:val="24"/>
        </w:rPr>
        <w:t xml:space="preserve"> increase in the value of this pension implemented in 2019, it is estimated that the cost increase</w:t>
      </w:r>
      <w:r w:rsidR="00E543BD" w:rsidRPr="00602CD6">
        <w:rPr>
          <w:rFonts w:cs="Times New Roman"/>
          <w:szCs w:val="24"/>
        </w:rPr>
        <w:t>d</w:t>
      </w:r>
      <w:r w:rsidR="00AB6A87" w:rsidRPr="00602CD6">
        <w:rPr>
          <w:rFonts w:cs="Times New Roman"/>
          <w:szCs w:val="24"/>
        </w:rPr>
        <w:t xml:space="preserve"> to 1.6</w:t>
      </w:r>
      <w:r w:rsidR="00B0188F">
        <w:rPr>
          <w:rFonts w:cs="Times New Roman"/>
          <w:szCs w:val="24"/>
        </w:rPr>
        <w:t xml:space="preserve"> percent</w:t>
      </w:r>
      <w:r w:rsidR="00AB6A87" w:rsidRPr="00602CD6">
        <w:rPr>
          <w:rFonts w:cs="Times New Roman"/>
          <w:szCs w:val="24"/>
        </w:rPr>
        <w:t xml:space="preserve"> of GDP </w:t>
      </w:r>
      <w:r w:rsidR="00E543BD" w:rsidRPr="00602CD6">
        <w:rPr>
          <w:rFonts w:cs="Times New Roman"/>
          <w:szCs w:val="24"/>
        </w:rPr>
        <w:t>in 2019</w:t>
      </w:r>
      <w:r w:rsidR="00AB6A87" w:rsidRPr="00602CD6">
        <w:rPr>
          <w:rFonts w:cs="Times New Roman"/>
          <w:szCs w:val="24"/>
        </w:rPr>
        <w:t>.</w:t>
      </w:r>
      <w:r w:rsidR="002875CE" w:rsidRPr="00602CD6">
        <w:rPr>
          <w:rStyle w:val="FootnoteReference"/>
          <w:rFonts w:cs="Times New Roman"/>
          <w:szCs w:val="24"/>
        </w:rPr>
        <w:footnoteReference w:id="3"/>
      </w:r>
      <w:r w:rsidR="00AB6A87" w:rsidRPr="00602CD6">
        <w:rPr>
          <w:rFonts w:cs="Times New Roman"/>
          <w:szCs w:val="24"/>
        </w:rPr>
        <w:t xml:space="preserve">   </w:t>
      </w:r>
    </w:p>
    <w:p w14:paraId="5E1D936A" w14:textId="0A9AAE13" w:rsidR="001D248C" w:rsidRDefault="001D248C" w:rsidP="001D248C">
      <w:pPr>
        <w:pStyle w:val="Caption"/>
      </w:pPr>
      <w:r>
        <w:t xml:space="preserve">Figure </w:t>
      </w:r>
      <w:fldSimple w:instr=" SEQ Figure \* ARABIC ">
        <w:r w:rsidR="00DF7806">
          <w:rPr>
            <w:noProof/>
          </w:rPr>
          <w:t>2</w:t>
        </w:r>
      </w:fldSimple>
      <w:r>
        <w:t xml:space="preserve">: </w:t>
      </w:r>
      <w:r w:rsidRPr="00264560">
        <w:t xml:space="preserve">Fiscal Cost of Pension </w:t>
      </w:r>
      <w:r>
        <w:t>B</w:t>
      </w:r>
      <w:r w:rsidRPr="00264560">
        <w:t>enefits (as % of GDP)</w:t>
      </w:r>
    </w:p>
    <w:p w14:paraId="4E5FD9FA" w14:textId="59BE3A82" w:rsidR="001F6555" w:rsidRDefault="0036370E" w:rsidP="00CC6E5E">
      <w:pPr>
        <w:spacing w:after="0"/>
        <w:jc w:val="center"/>
        <w:rPr>
          <w:rFonts w:cs="Times New Roman"/>
          <w:szCs w:val="24"/>
        </w:rPr>
      </w:pPr>
      <w:r w:rsidRPr="00602CD6">
        <w:rPr>
          <w:rFonts w:cs="Times New Roman"/>
          <w:noProof/>
          <w:szCs w:val="24"/>
        </w:rPr>
        <w:drawing>
          <wp:inline distT="0" distB="0" distL="0" distR="0" wp14:anchorId="109210DC" wp14:editId="17CC03F1">
            <wp:extent cx="4476750" cy="2486025"/>
            <wp:effectExtent l="0" t="0" r="0" b="9525"/>
            <wp:docPr id="2" name="Chart 2">
              <a:extLst xmlns:a="http://schemas.openxmlformats.org/drawingml/2006/main">
                <a:ext uri="{FF2B5EF4-FFF2-40B4-BE49-F238E27FC236}">
                  <a16:creationId xmlns:a16="http://schemas.microsoft.com/office/drawing/2014/main" id="{7CC23018-9206-42A5-AE5D-E38DDABF0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D76065" w14:textId="0FC1F5AF" w:rsidR="00CC6E5E" w:rsidRPr="00CC6E5E" w:rsidRDefault="00CC6E5E" w:rsidP="00376793">
      <w:pPr>
        <w:ind w:left="1080"/>
        <w:jc w:val="left"/>
        <w:rPr>
          <w:rFonts w:cs="Times New Roman"/>
          <w:i/>
          <w:iCs/>
          <w:sz w:val="20"/>
          <w:szCs w:val="20"/>
        </w:rPr>
      </w:pPr>
      <w:r w:rsidRPr="00CC6E5E">
        <w:rPr>
          <w:rFonts w:cs="Times New Roman"/>
          <w:i/>
          <w:iCs/>
          <w:sz w:val="20"/>
          <w:szCs w:val="20"/>
        </w:rPr>
        <w:t xml:space="preserve">Source: </w:t>
      </w:r>
      <w:r w:rsidRPr="001D248C">
        <w:rPr>
          <w:rFonts w:cs="Times New Roman"/>
          <w:iCs/>
          <w:sz w:val="20"/>
          <w:szCs w:val="20"/>
        </w:rPr>
        <w:t>Kosovo Ministry of Finance</w:t>
      </w:r>
      <w:r w:rsidR="001D248C">
        <w:rPr>
          <w:rFonts w:cs="Times New Roman"/>
          <w:iCs/>
          <w:sz w:val="20"/>
          <w:szCs w:val="20"/>
        </w:rPr>
        <w:t>.</w:t>
      </w:r>
    </w:p>
    <w:p w14:paraId="0453F360" w14:textId="3134936E" w:rsidR="006E4E15" w:rsidRDefault="009A66FB" w:rsidP="006E4E15">
      <w:pPr>
        <w:rPr>
          <w:rFonts w:cs="Times New Roman"/>
          <w:szCs w:val="24"/>
        </w:rPr>
      </w:pPr>
      <w:r w:rsidRPr="00602CD6">
        <w:rPr>
          <w:rFonts w:cs="Times New Roman"/>
          <w:szCs w:val="24"/>
        </w:rPr>
        <w:t xml:space="preserve">The Contributory pension system is still in its accumulation phase. </w:t>
      </w:r>
      <w:r w:rsidR="00BA1AC3" w:rsidRPr="00602CD6">
        <w:rPr>
          <w:rFonts w:cs="Times New Roman"/>
          <w:szCs w:val="24"/>
        </w:rPr>
        <w:t>The system was implemented in 2002</w:t>
      </w:r>
      <w:r w:rsidR="008A11EA">
        <w:rPr>
          <w:rFonts w:cs="Times New Roman"/>
          <w:szCs w:val="24"/>
        </w:rPr>
        <w:t>;</w:t>
      </w:r>
      <w:r w:rsidR="00BA1AC3" w:rsidRPr="00602CD6">
        <w:rPr>
          <w:rFonts w:cs="Times New Roman"/>
          <w:szCs w:val="24"/>
        </w:rPr>
        <w:t xml:space="preserve"> less than 20 years is a very short time </w:t>
      </w:r>
      <w:r w:rsidR="008A11EA">
        <w:rPr>
          <w:rFonts w:cs="Times New Roman"/>
          <w:szCs w:val="24"/>
        </w:rPr>
        <w:t>frame</w:t>
      </w:r>
      <w:r w:rsidR="008A11EA" w:rsidRPr="00602CD6">
        <w:rPr>
          <w:rFonts w:cs="Times New Roman"/>
          <w:szCs w:val="24"/>
        </w:rPr>
        <w:t xml:space="preserve"> </w:t>
      </w:r>
      <w:r w:rsidR="00BA1AC3" w:rsidRPr="00602CD6">
        <w:rPr>
          <w:rFonts w:cs="Times New Roman"/>
          <w:szCs w:val="24"/>
        </w:rPr>
        <w:t>for a pension system.</w:t>
      </w:r>
      <w:r w:rsidR="00743540">
        <w:rPr>
          <w:rFonts w:cs="Times New Roman"/>
          <w:szCs w:val="24"/>
        </w:rPr>
        <w:t xml:space="preserve"> </w:t>
      </w:r>
      <w:r w:rsidR="00BA1AC3" w:rsidRPr="00602CD6">
        <w:rPr>
          <w:rFonts w:cs="Times New Roman"/>
          <w:szCs w:val="24"/>
        </w:rPr>
        <w:t>It is expected that</w:t>
      </w:r>
      <w:r w:rsidR="008A11EA">
        <w:rPr>
          <w:rFonts w:cs="Times New Roman"/>
          <w:szCs w:val="24"/>
        </w:rPr>
        <w:t>,</w:t>
      </w:r>
      <w:r w:rsidR="00BA1AC3" w:rsidRPr="00602CD6">
        <w:rPr>
          <w:rFonts w:cs="Times New Roman"/>
          <w:szCs w:val="24"/>
        </w:rPr>
        <w:t xml:space="preserve"> as the system matures, accumulation in individual accounts and resulting benefits will increase. </w:t>
      </w:r>
      <w:r w:rsidR="00743540">
        <w:rPr>
          <w:rFonts w:cs="Times New Roman"/>
          <w:szCs w:val="24"/>
        </w:rPr>
        <w:t>Currently, pension fund accumulation represents 26% of Kosovo’s GDP, but this figure is projected to increase until reaching levels of 66% of GDP by 2050 (Figure 3).</w:t>
      </w:r>
      <w:r w:rsidR="00743540" w:rsidRPr="00602CD6">
        <w:rPr>
          <w:rFonts w:cs="Times New Roman"/>
          <w:szCs w:val="24"/>
        </w:rPr>
        <w:t xml:space="preserve"> </w:t>
      </w:r>
      <w:r w:rsidR="00BA1AC3" w:rsidRPr="00602CD6">
        <w:rPr>
          <w:rFonts w:cs="Times New Roman"/>
          <w:szCs w:val="24"/>
        </w:rPr>
        <w:t>However, the 10</w:t>
      </w:r>
      <w:r w:rsidR="008B21E3">
        <w:rPr>
          <w:rFonts w:cs="Times New Roman"/>
          <w:szCs w:val="24"/>
        </w:rPr>
        <w:t xml:space="preserve"> percent</w:t>
      </w:r>
      <w:r w:rsidR="00BA1AC3" w:rsidRPr="00602CD6">
        <w:rPr>
          <w:rFonts w:cs="Times New Roman"/>
          <w:szCs w:val="24"/>
        </w:rPr>
        <w:t xml:space="preserve"> contribution rate may not be enough to finance substantial lifetime benefits if</w:t>
      </w:r>
      <w:r w:rsidR="006A1900" w:rsidRPr="00602CD6">
        <w:rPr>
          <w:rFonts w:cs="Times New Roman"/>
          <w:szCs w:val="24"/>
        </w:rPr>
        <w:t xml:space="preserve"> individuals do not contribute for a substantial</w:t>
      </w:r>
      <w:r w:rsidR="00003BAD" w:rsidRPr="00602CD6">
        <w:rPr>
          <w:rFonts w:cs="Times New Roman"/>
          <w:szCs w:val="24"/>
        </w:rPr>
        <w:t xml:space="preserve"> portion of their working </w:t>
      </w:r>
      <w:r w:rsidR="00335E0E" w:rsidRPr="00602CD6">
        <w:rPr>
          <w:rFonts w:cs="Times New Roman"/>
          <w:szCs w:val="24"/>
        </w:rPr>
        <w:t>life</w:t>
      </w:r>
      <w:r w:rsidR="00003BAD" w:rsidRPr="00602CD6">
        <w:rPr>
          <w:rFonts w:cs="Times New Roman"/>
          <w:szCs w:val="24"/>
        </w:rPr>
        <w:t xml:space="preserve"> and if</w:t>
      </w:r>
      <w:r w:rsidR="00BA1AC3" w:rsidRPr="00602CD6">
        <w:rPr>
          <w:rFonts w:cs="Times New Roman"/>
          <w:szCs w:val="24"/>
        </w:rPr>
        <w:t xml:space="preserve"> </w:t>
      </w:r>
      <w:r w:rsidR="00863CBB">
        <w:rPr>
          <w:rFonts w:cs="Times New Roman"/>
          <w:szCs w:val="24"/>
        </w:rPr>
        <w:t xml:space="preserve">the </w:t>
      </w:r>
      <w:r w:rsidR="006A1900" w:rsidRPr="00602CD6">
        <w:rPr>
          <w:rFonts w:cs="Times New Roman"/>
          <w:szCs w:val="24"/>
        </w:rPr>
        <w:t xml:space="preserve">retirement age </w:t>
      </w:r>
      <w:r w:rsidR="00863CBB">
        <w:rPr>
          <w:rFonts w:cs="Times New Roman"/>
          <w:szCs w:val="24"/>
        </w:rPr>
        <w:t xml:space="preserve">is </w:t>
      </w:r>
      <w:r w:rsidR="00003BAD" w:rsidRPr="00602CD6">
        <w:rPr>
          <w:rFonts w:cs="Times New Roman"/>
          <w:szCs w:val="24"/>
        </w:rPr>
        <w:t>not adjust</w:t>
      </w:r>
      <w:r w:rsidR="00210A73">
        <w:rPr>
          <w:rFonts w:cs="Times New Roman"/>
          <w:szCs w:val="24"/>
        </w:rPr>
        <w:t>ed</w:t>
      </w:r>
      <w:r w:rsidR="00003BAD" w:rsidRPr="00602CD6">
        <w:rPr>
          <w:rFonts w:cs="Times New Roman"/>
          <w:szCs w:val="24"/>
        </w:rPr>
        <w:t xml:space="preserve"> upward with </w:t>
      </w:r>
      <w:r w:rsidR="00335E0E" w:rsidRPr="00602CD6">
        <w:rPr>
          <w:rFonts w:cs="Times New Roman"/>
          <w:szCs w:val="24"/>
        </w:rPr>
        <w:t>increase</w:t>
      </w:r>
      <w:r w:rsidR="003C072A">
        <w:rPr>
          <w:rFonts w:cs="Times New Roman"/>
          <w:szCs w:val="24"/>
        </w:rPr>
        <w:t>d</w:t>
      </w:r>
      <w:r w:rsidR="00335E0E" w:rsidRPr="00602CD6">
        <w:rPr>
          <w:rFonts w:cs="Times New Roman"/>
          <w:szCs w:val="24"/>
        </w:rPr>
        <w:t xml:space="preserve"> life expectancy</w:t>
      </w:r>
      <w:r w:rsidR="00BA1AC3" w:rsidRPr="00602CD6">
        <w:rPr>
          <w:rFonts w:cs="Times New Roman"/>
          <w:szCs w:val="24"/>
        </w:rPr>
        <w:t>.</w:t>
      </w:r>
    </w:p>
    <w:p w14:paraId="7E02228A" w14:textId="11B5D59F" w:rsidR="000C5717" w:rsidRDefault="000C5717" w:rsidP="000C5717">
      <w:pPr>
        <w:pStyle w:val="Caption"/>
      </w:pPr>
      <w:r>
        <w:lastRenderedPageBreak/>
        <w:t xml:space="preserve">Figure </w:t>
      </w:r>
      <w:fldSimple w:instr=" SEQ Figure \* ARABIC ">
        <w:r w:rsidR="00DF7806">
          <w:rPr>
            <w:noProof/>
          </w:rPr>
          <w:t>3</w:t>
        </w:r>
      </w:fldSimple>
      <w:r>
        <w:t xml:space="preserve">: </w:t>
      </w:r>
      <w:r w:rsidRPr="00F9750F">
        <w:t xml:space="preserve">Total </w:t>
      </w:r>
      <w:r>
        <w:t>V</w:t>
      </w:r>
      <w:r w:rsidRPr="00F9750F">
        <w:t>alue of KPST Pension Fund as % of GDP</w:t>
      </w:r>
    </w:p>
    <w:p w14:paraId="7B74684F" w14:textId="18EDBC54" w:rsidR="00335E0E" w:rsidRPr="00602CD6" w:rsidRDefault="00C659FC" w:rsidP="00CC6E5E">
      <w:pPr>
        <w:keepNext/>
        <w:spacing w:after="0"/>
        <w:jc w:val="center"/>
        <w:rPr>
          <w:rFonts w:cs="Times New Roman"/>
          <w:szCs w:val="24"/>
        </w:rPr>
      </w:pPr>
      <w:r w:rsidRPr="00602CD6">
        <w:rPr>
          <w:rFonts w:cs="Times New Roman"/>
          <w:noProof/>
          <w:szCs w:val="24"/>
        </w:rPr>
        <w:drawing>
          <wp:inline distT="0" distB="0" distL="0" distR="0" wp14:anchorId="735E9743" wp14:editId="0EDDE0C0">
            <wp:extent cx="3057525" cy="2000250"/>
            <wp:effectExtent l="0" t="0" r="9525" b="0"/>
            <wp:docPr id="4" name="Chart 4">
              <a:extLst xmlns:a="http://schemas.openxmlformats.org/drawingml/2006/main">
                <a:ext uri="{FF2B5EF4-FFF2-40B4-BE49-F238E27FC236}">
                  <a16:creationId xmlns:a16="http://schemas.microsoft.com/office/drawing/2014/main" id="{D75E0EF8-E716-4DD0-9F98-54DC73789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AB0904" w14:textId="77AFC080" w:rsidR="00CC6E5E" w:rsidRPr="00CC6E5E" w:rsidRDefault="00CC6E5E" w:rsidP="000C5717">
      <w:pPr>
        <w:jc w:val="left"/>
        <w:rPr>
          <w:rFonts w:cs="Times New Roman"/>
          <w:i/>
          <w:iCs/>
          <w:sz w:val="20"/>
          <w:szCs w:val="20"/>
        </w:rPr>
      </w:pPr>
      <w:r w:rsidRPr="00CC6E5E">
        <w:rPr>
          <w:rFonts w:cs="Times New Roman"/>
          <w:i/>
          <w:iCs/>
          <w:sz w:val="20"/>
          <w:szCs w:val="20"/>
        </w:rPr>
        <w:t xml:space="preserve">Source: </w:t>
      </w:r>
      <w:r w:rsidRPr="000C5717">
        <w:rPr>
          <w:rFonts w:cs="Times New Roman"/>
          <w:iCs/>
          <w:sz w:val="20"/>
          <w:szCs w:val="20"/>
        </w:rPr>
        <w:t xml:space="preserve">Author’s calculations based on information by KPST, using </w:t>
      </w:r>
      <w:r w:rsidR="000D60A6" w:rsidRPr="000D60A6">
        <w:rPr>
          <w:rFonts w:cs="Times New Roman"/>
          <w:iCs/>
          <w:sz w:val="20"/>
          <w:szCs w:val="20"/>
        </w:rPr>
        <w:t>Pension Reform Options Simulation Toolkit</w:t>
      </w:r>
      <w:r w:rsidR="00376793" w:rsidRPr="00376793">
        <w:rPr>
          <w:rFonts w:cs="Times New Roman"/>
          <w:iCs/>
          <w:sz w:val="20"/>
          <w:szCs w:val="20"/>
        </w:rPr>
        <w:t xml:space="preserve"> </w:t>
      </w:r>
      <w:r w:rsidR="00376793">
        <w:rPr>
          <w:rFonts w:cs="Times New Roman"/>
          <w:iCs/>
          <w:sz w:val="20"/>
          <w:szCs w:val="20"/>
        </w:rPr>
        <w:t>(</w:t>
      </w:r>
      <w:r w:rsidR="00376793" w:rsidRPr="000C5717">
        <w:rPr>
          <w:rFonts w:cs="Times New Roman"/>
          <w:iCs/>
          <w:sz w:val="20"/>
          <w:szCs w:val="20"/>
        </w:rPr>
        <w:t>PROST</w:t>
      </w:r>
      <w:r w:rsidR="000D60A6">
        <w:rPr>
          <w:rFonts w:cs="Times New Roman"/>
          <w:iCs/>
          <w:sz w:val="20"/>
          <w:szCs w:val="20"/>
        </w:rPr>
        <w:t>)</w:t>
      </w:r>
      <w:r w:rsidRPr="000C5717">
        <w:rPr>
          <w:rFonts w:cs="Times New Roman"/>
          <w:iCs/>
          <w:sz w:val="20"/>
          <w:szCs w:val="20"/>
        </w:rPr>
        <w:t xml:space="preserve"> model</w:t>
      </w:r>
      <w:r w:rsidR="000C5717" w:rsidRPr="000C5717">
        <w:rPr>
          <w:rFonts w:cs="Times New Roman"/>
          <w:iCs/>
          <w:sz w:val="20"/>
          <w:szCs w:val="20"/>
        </w:rPr>
        <w:t>.</w:t>
      </w:r>
    </w:p>
    <w:p w14:paraId="32B91F26" w14:textId="3B1E0F14" w:rsidR="00981421" w:rsidRDefault="001D645A" w:rsidP="004E3747">
      <w:pPr>
        <w:rPr>
          <w:rFonts w:cs="Times New Roman"/>
          <w:szCs w:val="24"/>
        </w:rPr>
      </w:pPr>
      <w:r w:rsidRPr="00602CD6">
        <w:rPr>
          <w:rFonts w:cs="Times New Roman"/>
          <w:szCs w:val="24"/>
        </w:rPr>
        <w:t>Benefit adequacy for current retirees depend</w:t>
      </w:r>
      <w:r w:rsidR="005F667B">
        <w:rPr>
          <w:rFonts w:cs="Times New Roman"/>
          <w:szCs w:val="24"/>
        </w:rPr>
        <w:t>s</w:t>
      </w:r>
      <w:r w:rsidRPr="00602CD6">
        <w:rPr>
          <w:rFonts w:cs="Times New Roman"/>
          <w:szCs w:val="24"/>
        </w:rPr>
        <w:t xml:space="preserve"> on the category they fall into, </w:t>
      </w:r>
      <w:r w:rsidR="00F572A0" w:rsidRPr="00602CD6">
        <w:rPr>
          <w:rFonts w:cs="Times New Roman"/>
          <w:szCs w:val="24"/>
        </w:rPr>
        <w:t>a symptom of the fragmentation in the system.</w:t>
      </w:r>
      <w:r w:rsidR="00CF61AB" w:rsidRPr="00602CD6">
        <w:rPr>
          <w:rFonts w:cs="Times New Roman"/>
          <w:szCs w:val="24"/>
        </w:rPr>
        <w:t xml:space="preserve"> Every citizen 65 </w:t>
      </w:r>
      <w:r w:rsidR="005F667B">
        <w:rPr>
          <w:rFonts w:cs="Times New Roman"/>
          <w:szCs w:val="24"/>
        </w:rPr>
        <w:t xml:space="preserve">years </w:t>
      </w:r>
      <w:r w:rsidR="00CF61AB" w:rsidRPr="00602CD6">
        <w:rPr>
          <w:rFonts w:cs="Times New Roman"/>
          <w:szCs w:val="24"/>
        </w:rPr>
        <w:t xml:space="preserve">and older receives €90 from the basic pension. </w:t>
      </w:r>
      <w:r w:rsidR="005A6667" w:rsidRPr="00602CD6">
        <w:rPr>
          <w:rFonts w:cs="Times New Roman"/>
          <w:szCs w:val="24"/>
        </w:rPr>
        <w:t xml:space="preserve">However, if the person contributed </w:t>
      </w:r>
      <w:r w:rsidR="005F667B">
        <w:rPr>
          <w:rFonts w:cs="Times New Roman"/>
          <w:szCs w:val="24"/>
        </w:rPr>
        <w:t xml:space="preserve">for </w:t>
      </w:r>
      <w:r w:rsidR="005A6667" w:rsidRPr="00602CD6">
        <w:rPr>
          <w:rFonts w:cs="Times New Roman"/>
          <w:szCs w:val="24"/>
        </w:rPr>
        <w:t xml:space="preserve">at least 15 years to the old Yugoslav system, </w:t>
      </w:r>
      <w:r w:rsidR="00376793">
        <w:rPr>
          <w:rFonts w:cs="Times New Roman"/>
          <w:szCs w:val="24"/>
        </w:rPr>
        <w:t>s/</w:t>
      </w:r>
      <w:r w:rsidR="005F667B">
        <w:rPr>
          <w:rFonts w:cs="Times New Roman"/>
          <w:szCs w:val="24"/>
        </w:rPr>
        <w:t xml:space="preserve">he </w:t>
      </w:r>
      <w:r w:rsidR="005A6667" w:rsidRPr="00602CD6">
        <w:rPr>
          <w:rFonts w:cs="Times New Roman"/>
          <w:szCs w:val="24"/>
        </w:rPr>
        <w:t xml:space="preserve">will </w:t>
      </w:r>
      <w:r w:rsidR="005F667B" w:rsidRPr="00602CD6">
        <w:rPr>
          <w:rFonts w:cs="Times New Roman"/>
          <w:szCs w:val="24"/>
        </w:rPr>
        <w:t xml:space="preserve">instead </w:t>
      </w:r>
      <w:r w:rsidR="005A6667" w:rsidRPr="00602CD6">
        <w:rPr>
          <w:rFonts w:cs="Times New Roman"/>
          <w:szCs w:val="24"/>
        </w:rPr>
        <w:t>receive an amount between €</w:t>
      </w:r>
      <w:r w:rsidR="00475850" w:rsidRPr="00602CD6">
        <w:rPr>
          <w:rFonts w:cs="Times New Roman"/>
          <w:szCs w:val="24"/>
        </w:rPr>
        <w:t xml:space="preserve">182 and €265, depending on </w:t>
      </w:r>
      <w:r w:rsidR="00A34657">
        <w:rPr>
          <w:rFonts w:cs="Times New Roman"/>
          <w:szCs w:val="24"/>
        </w:rPr>
        <w:t>his</w:t>
      </w:r>
      <w:r w:rsidR="00376793">
        <w:rPr>
          <w:rFonts w:cs="Times New Roman"/>
          <w:szCs w:val="24"/>
        </w:rPr>
        <w:t>/her</w:t>
      </w:r>
      <w:r w:rsidR="00A34657" w:rsidRPr="00602CD6">
        <w:rPr>
          <w:rFonts w:cs="Times New Roman"/>
          <w:szCs w:val="24"/>
        </w:rPr>
        <w:t xml:space="preserve"> </w:t>
      </w:r>
      <w:r w:rsidR="00475850" w:rsidRPr="00602CD6">
        <w:rPr>
          <w:rFonts w:cs="Times New Roman"/>
          <w:szCs w:val="24"/>
        </w:rPr>
        <w:t xml:space="preserve">education level. </w:t>
      </w:r>
      <w:r w:rsidR="00EF3460" w:rsidRPr="00602CD6">
        <w:rPr>
          <w:rFonts w:cs="Times New Roman"/>
          <w:szCs w:val="24"/>
        </w:rPr>
        <w:t>Contributors to KPST with an</w:t>
      </w:r>
      <w:r w:rsidR="004C0913" w:rsidRPr="00602CD6">
        <w:rPr>
          <w:rFonts w:cs="Times New Roman"/>
          <w:szCs w:val="24"/>
        </w:rPr>
        <w:t xml:space="preserve"> account balance of at least €3,000 at</w:t>
      </w:r>
      <w:r w:rsidR="005F667B">
        <w:rPr>
          <w:rFonts w:cs="Times New Roman"/>
          <w:szCs w:val="24"/>
        </w:rPr>
        <w:t xml:space="preserve"> the</w:t>
      </w:r>
      <w:r w:rsidR="004C0913" w:rsidRPr="00602CD6">
        <w:rPr>
          <w:rFonts w:cs="Times New Roman"/>
          <w:szCs w:val="24"/>
        </w:rPr>
        <w:t xml:space="preserve"> time of retirement</w:t>
      </w:r>
      <w:r w:rsidR="00243A1D" w:rsidRPr="00602CD6">
        <w:rPr>
          <w:rFonts w:cs="Times New Roman"/>
          <w:szCs w:val="24"/>
        </w:rPr>
        <w:t xml:space="preserve"> </w:t>
      </w:r>
      <w:r w:rsidR="00E80DD5" w:rsidRPr="00602CD6">
        <w:rPr>
          <w:rFonts w:cs="Times New Roman"/>
          <w:szCs w:val="24"/>
        </w:rPr>
        <w:t>receive €200 per month until the account is depleted. Individuals with more than €20</w:t>
      </w:r>
      <w:r w:rsidR="003A2190" w:rsidRPr="00602CD6">
        <w:rPr>
          <w:rFonts w:cs="Times New Roman"/>
          <w:szCs w:val="24"/>
        </w:rPr>
        <w:t>,000 receive</w:t>
      </w:r>
      <w:r w:rsidR="003F1571" w:rsidRPr="00602CD6">
        <w:rPr>
          <w:rFonts w:cs="Times New Roman"/>
          <w:szCs w:val="24"/>
        </w:rPr>
        <w:t xml:space="preserve"> pension calculated a</w:t>
      </w:r>
      <w:r w:rsidR="0013434F">
        <w:rPr>
          <w:rFonts w:cs="Times New Roman"/>
          <w:szCs w:val="24"/>
        </w:rPr>
        <w:t>t</w:t>
      </w:r>
      <w:r w:rsidR="003A2190" w:rsidRPr="00602CD6">
        <w:rPr>
          <w:rFonts w:cs="Times New Roman"/>
          <w:szCs w:val="24"/>
        </w:rPr>
        <w:t xml:space="preserve"> 1</w:t>
      </w:r>
      <w:r w:rsidR="006A4EA8">
        <w:rPr>
          <w:rFonts w:cs="Times New Roman"/>
          <w:szCs w:val="24"/>
        </w:rPr>
        <w:t xml:space="preserve"> percent</w:t>
      </w:r>
      <w:r w:rsidR="003A2190" w:rsidRPr="00602CD6">
        <w:rPr>
          <w:rFonts w:cs="Times New Roman"/>
          <w:szCs w:val="24"/>
        </w:rPr>
        <w:t xml:space="preserve"> of their balance </w:t>
      </w:r>
      <w:r w:rsidR="003F1571" w:rsidRPr="00602CD6">
        <w:rPr>
          <w:rFonts w:cs="Times New Roman"/>
          <w:szCs w:val="24"/>
        </w:rPr>
        <w:t xml:space="preserve">at retirement until account depletion. </w:t>
      </w:r>
      <w:r w:rsidR="008B6FDC" w:rsidRPr="00602CD6">
        <w:rPr>
          <w:rFonts w:cs="Times New Roman"/>
          <w:szCs w:val="24"/>
        </w:rPr>
        <w:t xml:space="preserve">Thus, a retiree </w:t>
      </w:r>
      <w:r w:rsidR="00376793">
        <w:rPr>
          <w:rFonts w:cs="Times New Roman"/>
          <w:szCs w:val="24"/>
        </w:rPr>
        <w:t>who</w:t>
      </w:r>
      <w:r w:rsidR="00376793" w:rsidRPr="00602CD6">
        <w:rPr>
          <w:rFonts w:cs="Times New Roman"/>
          <w:szCs w:val="24"/>
        </w:rPr>
        <w:t xml:space="preserve"> </w:t>
      </w:r>
      <w:r w:rsidR="008B6FDC" w:rsidRPr="00602CD6">
        <w:rPr>
          <w:rFonts w:cs="Times New Roman"/>
          <w:szCs w:val="24"/>
        </w:rPr>
        <w:t xml:space="preserve">relies solely on </w:t>
      </w:r>
      <w:r w:rsidR="00351F59" w:rsidRPr="00602CD6">
        <w:rPr>
          <w:rFonts w:cs="Times New Roman"/>
          <w:szCs w:val="24"/>
        </w:rPr>
        <w:t xml:space="preserve">the </w:t>
      </w:r>
      <w:r w:rsidR="008B6FDC" w:rsidRPr="00602CD6">
        <w:rPr>
          <w:rFonts w:cs="Times New Roman"/>
          <w:szCs w:val="24"/>
        </w:rPr>
        <w:t xml:space="preserve">basic pension will receive a benefit that is </w:t>
      </w:r>
      <w:r w:rsidR="00760DDD" w:rsidRPr="00602CD6">
        <w:rPr>
          <w:rFonts w:cs="Times New Roman"/>
          <w:szCs w:val="24"/>
        </w:rPr>
        <w:t>equal to 52</w:t>
      </w:r>
      <w:r w:rsidR="006A4EA8">
        <w:rPr>
          <w:rFonts w:cs="Times New Roman"/>
          <w:szCs w:val="24"/>
        </w:rPr>
        <w:t xml:space="preserve"> percent</w:t>
      </w:r>
      <w:r w:rsidR="00760DDD" w:rsidRPr="00602CD6">
        <w:rPr>
          <w:rFonts w:cs="Times New Roman"/>
          <w:szCs w:val="24"/>
        </w:rPr>
        <w:t xml:space="preserve"> of the minimum wage and 16</w:t>
      </w:r>
      <w:r w:rsidR="006A4EA8">
        <w:rPr>
          <w:rFonts w:cs="Times New Roman"/>
          <w:szCs w:val="24"/>
        </w:rPr>
        <w:t xml:space="preserve"> percent</w:t>
      </w:r>
      <w:r w:rsidR="00760DDD" w:rsidRPr="00602CD6">
        <w:rPr>
          <w:rFonts w:cs="Times New Roman"/>
          <w:szCs w:val="24"/>
        </w:rPr>
        <w:t xml:space="preserve"> of the average monthly wage, while someone </w:t>
      </w:r>
      <w:r w:rsidR="006A4EA8">
        <w:rPr>
          <w:rFonts w:cs="Times New Roman"/>
          <w:szCs w:val="24"/>
        </w:rPr>
        <w:t>who</w:t>
      </w:r>
      <w:r w:rsidR="006A4EA8" w:rsidRPr="00602CD6">
        <w:rPr>
          <w:rFonts w:cs="Times New Roman"/>
          <w:szCs w:val="24"/>
        </w:rPr>
        <w:t xml:space="preserve"> </w:t>
      </w:r>
      <w:r w:rsidR="00760DDD" w:rsidRPr="00602CD6">
        <w:rPr>
          <w:rFonts w:cs="Times New Roman"/>
          <w:szCs w:val="24"/>
        </w:rPr>
        <w:t xml:space="preserve">receives </w:t>
      </w:r>
      <w:r w:rsidR="00351F59" w:rsidRPr="00602CD6">
        <w:rPr>
          <w:rFonts w:cs="Times New Roman"/>
          <w:szCs w:val="24"/>
        </w:rPr>
        <w:t>the</w:t>
      </w:r>
      <w:r w:rsidR="00760DDD" w:rsidRPr="00602CD6">
        <w:rPr>
          <w:rFonts w:cs="Times New Roman"/>
          <w:szCs w:val="24"/>
        </w:rPr>
        <w:t xml:space="preserve"> maximum </w:t>
      </w:r>
      <w:r w:rsidR="00DA0C3E">
        <w:rPr>
          <w:rFonts w:cs="Times New Roman"/>
          <w:szCs w:val="24"/>
        </w:rPr>
        <w:t>e</w:t>
      </w:r>
      <w:r w:rsidR="00760DDD" w:rsidRPr="00602CD6">
        <w:rPr>
          <w:rFonts w:cs="Times New Roman"/>
          <w:szCs w:val="24"/>
        </w:rPr>
        <w:t>x-</w:t>
      </w:r>
      <w:r w:rsidR="00376793">
        <w:rPr>
          <w:rFonts w:cs="Times New Roman"/>
          <w:szCs w:val="24"/>
        </w:rPr>
        <w:t>c</w:t>
      </w:r>
      <w:r w:rsidR="00760DDD" w:rsidRPr="00602CD6">
        <w:rPr>
          <w:rFonts w:cs="Times New Roman"/>
          <w:szCs w:val="24"/>
        </w:rPr>
        <w:t xml:space="preserve">ontributory benefit and </w:t>
      </w:r>
      <w:r w:rsidR="006A4EA8">
        <w:rPr>
          <w:rFonts w:cs="Times New Roman"/>
          <w:szCs w:val="24"/>
        </w:rPr>
        <w:t xml:space="preserve">has </w:t>
      </w:r>
      <w:r w:rsidR="00760DDD" w:rsidRPr="00602CD6">
        <w:rPr>
          <w:rFonts w:cs="Times New Roman"/>
          <w:szCs w:val="24"/>
        </w:rPr>
        <w:t xml:space="preserve">also accumulated savings in the new system might receive a benefit that is </w:t>
      </w:r>
      <w:r w:rsidR="00351F59" w:rsidRPr="00602CD6">
        <w:rPr>
          <w:rFonts w:cs="Times New Roman"/>
          <w:szCs w:val="24"/>
        </w:rPr>
        <w:t>83</w:t>
      </w:r>
      <w:r w:rsidR="006A4EA8">
        <w:rPr>
          <w:rFonts w:cs="Times New Roman"/>
          <w:szCs w:val="24"/>
        </w:rPr>
        <w:t xml:space="preserve"> percent</w:t>
      </w:r>
      <w:r w:rsidR="00351F59" w:rsidRPr="00602CD6">
        <w:rPr>
          <w:rFonts w:cs="Times New Roman"/>
          <w:szCs w:val="24"/>
        </w:rPr>
        <w:t xml:space="preserve"> of average monthly wages. </w:t>
      </w:r>
      <w:r w:rsidR="004066D3" w:rsidRPr="00602CD6">
        <w:rPr>
          <w:rFonts w:cs="Times New Roman"/>
          <w:szCs w:val="24"/>
        </w:rPr>
        <w:t>Some household</w:t>
      </w:r>
      <w:r w:rsidR="00110BB0" w:rsidRPr="00602CD6">
        <w:rPr>
          <w:rFonts w:cs="Times New Roman"/>
          <w:szCs w:val="24"/>
        </w:rPr>
        <w:t>s might receive even more when</w:t>
      </w:r>
      <w:r w:rsidR="004066D3" w:rsidRPr="00602CD6">
        <w:rPr>
          <w:rFonts w:cs="Times New Roman"/>
          <w:szCs w:val="24"/>
        </w:rPr>
        <w:t xml:space="preserve"> including other categorical and war-related benefits,</w:t>
      </w:r>
      <w:r w:rsidR="00110BB0" w:rsidRPr="00602CD6">
        <w:rPr>
          <w:rFonts w:cs="Times New Roman"/>
          <w:szCs w:val="24"/>
        </w:rPr>
        <w:t xml:space="preserve"> which would require further analysis of </w:t>
      </w:r>
      <w:r w:rsidR="00981421" w:rsidRPr="00602CD6">
        <w:rPr>
          <w:rFonts w:cs="Times New Roman"/>
          <w:szCs w:val="24"/>
        </w:rPr>
        <w:t xml:space="preserve">existing and new data. </w:t>
      </w:r>
    </w:p>
    <w:p w14:paraId="28D74CA0" w14:textId="77777777" w:rsidR="00504FAB" w:rsidRPr="00602CD6" w:rsidRDefault="00504FAB" w:rsidP="004655C9">
      <w:pPr>
        <w:pStyle w:val="ListParagraph"/>
        <w:numPr>
          <w:ilvl w:val="0"/>
          <w:numId w:val="1"/>
        </w:numPr>
        <w:ind w:left="360"/>
        <w:rPr>
          <w:rFonts w:cs="Times New Roman"/>
          <w:b/>
          <w:szCs w:val="24"/>
        </w:rPr>
      </w:pPr>
      <w:r w:rsidRPr="00602CD6">
        <w:rPr>
          <w:rFonts w:cs="Times New Roman"/>
          <w:b/>
          <w:szCs w:val="24"/>
        </w:rPr>
        <w:t>International Comparison</w:t>
      </w:r>
    </w:p>
    <w:p w14:paraId="2178AE42" w14:textId="57647E4F" w:rsidR="0039090A" w:rsidRPr="00602CD6" w:rsidRDefault="0039090A" w:rsidP="00504FAB">
      <w:pPr>
        <w:rPr>
          <w:rFonts w:cs="Times New Roman"/>
          <w:szCs w:val="24"/>
        </w:rPr>
      </w:pPr>
      <w:r w:rsidRPr="00602CD6">
        <w:rPr>
          <w:rFonts w:cs="Times New Roman"/>
          <w:szCs w:val="24"/>
        </w:rPr>
        <w:t>Kosovo</w:t>
      </w:r>
      <w:r w:rsidR="00475E01">
        <w:rPr>
          <w:rFonts w:cs="Times New Roman"/>
          <w:szCs w:val="24"/>
        </w:rPr>
        <w:t xml:space="preserve"> </w:t>
      </w:r>
      <w:r w:rsidR="003F5FBC">
        <w:rPr>
          <w:rFonts w:cs="Times New Roman"/>
          <w:szCs w:val="24"/>
        </w:rPr>
        <w:t>has</w:t>
      </w:r>
      <w:r w:rsidRPr="00602CD6">
        <w:rPr>
          <w:rFonts w:cs="Times New Roman"/>
          <w:szCs w:val="24"/>
        </w:rPr>
        <w:t xml:space="preserve"> the lowest expenditure on pensions in Europe and the Western Balkans</w:t>
      </w:r>
      <w:r w:rsidR="003F5FBC">
        <w:rPr>
          <w:rFonts w:cs="Times New Roman"/>
          <w:szCs w:val="24"/>
        </w:rPr>
        <w:t xml:space="preserve"> (Figure 4)</w:t>
      </w:r>
      <w:r w:rsidRPr="00602CD6">
        <w:rPr>
          <w:rFonts w:cs="Times New Roman"/>
          <w:szCs w:val="24"/>
        </w:rPr>
        <w:t>. However, this figure can be deceiving</w:t>
      </w:r>
      <w:r w:rsidR="00AB62B9" w:rsidRPr="00602CD6">
        <w:rPr>
          <w:rFonts w:cs="Times New Roman"/>
          <w:szCs w:val="24"/>
        </w:rPr>
        <w:t xml:space="preserve"> since</w:t>
      </w:r>
      <w:r w:rsidR="00DF134D">
        <w:rPr>
          <w:rFonts w:cs="Times New Roman"/>
          <w:szCs w:val="24"/>
        </w:rPr>
        <w:t>,</w:t>
      </w:r>
      <w:r w:rsidR="00AB62B9" w:rsidRPr="00602CD6">
        <w:rPr>
          <w:rFonts w:cs="Times New Roman"/>
          <w:szCs w:val="24"/>
        </w:rPr>
        <w:t xml:space="preserve"> in the case of Kosovo</w:t>
      </w:r>
      <w:r w:rsidR="00DF134D">
        <w:rPr>
          <w:rFonts w:cs="Times New Roman"/>
          <w:szCs w:val="24"/>
        </w:rPr>
        <w:t>,</w:t>
      </w:r>
      <w:r w:rsidR="00AB62B9" w:rsidRPr="00602CD6">
        <w:rPr>
          <w:rFonts w:cs="Times New Roman"/>
          <w:szCs w:val="24"/>
        </w:rPr>
        <w:t xml:space="preserve"> the full amount of pension expenditure shown here represents fiscal cost, while in other countries the budget only covers the deficit in pension expenditure that cannot be covered by contributions. </w:t>
      </w:r>
      <w:r w:rsidR="00E7654A" w:rsidRPr="00602CD6">
        <w:rPr>
          <w:rFonts w:cs="Times New Roman"/>
          <w:szCs w:val="24"/>
        </w:rPr>
        <w:t>In addition, war-related benefits are excluded in this figure to maintain comparability</w:t>
      </w:r>
      <w:r w:rsidR="004B6F11" w:rsidRPr="00602CD6">
        <w:rPr>
          <w:rFonts w:cs="Times New Roman"/>
          <w:szCs w:val="24"/>
        </w:rPr>
        <w:t xml:space="preserve">, but pension payments financed by </w:t>
      </w:r>
      <w:r w:rsidR="003336F3" w:rsidRPr="00602CD6">
        <w:rPr>
          <w:rFonts w:cs="Times New Roman"/>
          <w:szCs w:val="24"/>
        </w:rPr>
        <w:t>withdrawals from KPST individual account</w:t>
      </w:r>
      <w:r w:rsidR="00DF134D">
        <w:rPr>
          <w:rFonts w:cs="Times New Roman"/>
          <w:szCs w:val="24"/>
        </w:rPr>
        <w:t>s</w:t>
      </w:r>
      <w:r w:rsidR="003336F3" w:rsidRPr="00602CD6">
        <w:rPr>
          <w:rFonts w:cs="Times New Roman"/>
          <w:szCs w:val="24"/>
        </w:rPr>
        <w:t xml:space="preserve"> are also excluded</w:t>
      </w:r>
      <w:r w:rsidR="00133A99" w:rsidRPr="00602CD6">
        <w:rPr>
          <w:rFonts w:cs="Times New Roman"/>
          <w:szCs w:val="24"/>
        </w:rPr>
        <w:t xml:space="preserve">, driving down </w:t>
      </w:r>
      <w:r w:rsidR="00DF134D">
        <w:rPr>
          <w:rFonts w:cs="Times New Roman"/>
          <w:szCs w:val="24"/>
        </w:rPr>
        <w:t xml:space="preserve">the </w:t>
      </w:r>
      <w:r w:rsidR="00133A99" w:rsidRPr="00602CD6">
        <w:rPr>
          <w:rFonts w:cs="Times New Roman"/>
          <w:szCs w:val="24"/>
        </w:rPr>
        <w:t>total pension expenditure shown for Kosovo.</w:t>
      </w:r>
      <w:r w:rsidR="00923057" w:rsidRPr="00602CD6">
        <w:rPr>
          <w:rStyle w:val="FootnoteReference"/>
          <w:rFonts w:cs="Times New Roman"/>
          <w:szCs w:val="24"/>
        </w:rPr>
        <w:footnoteReference w:id="4"/>
      </w:r>
      <w:r w:rsidR="00133A99" w:rsidRPr="00602CD6">
        <w:rPr>
          <w:rFonts w:cs="Times New Roman"/>
          <w:szCs w:val="24"/>
        </w:rPr>
        <w:t xml:space="preserve"> </w:t>
      </w:r>
      <w:r w:rsidR="00AB62B9" w:rsidRPr="00602CD6">
        <w:rPr>
          <w:rFonts w:cs="Times New Roman"/>
          <w:szCs w:val="24"/>
        </w:rPr>
        <w:t xml:space="preserve"> </w:t>
      </w:r>
    </w:p>
    <w:p w14:paraId="25CB7E35" w14:textId="0F68C91A" w:rsidR="00FA198E" w:rsidRPr="00FA198E" w:rsidRDefault="00FA198E" w:rsidP="00FA198E">
      <w:pPr>
        <w:pStyle w:val="Caption"/>
      </w:pPr>
      <w:r>
        <w:lastRenderedPageBreak/>
        <w:t xml:space="preserve">Figure </w:t>
      </w:r>
      <w:fldSimple w:instr=" SEQ Figure \* ARABIC ">
        <w:r w:rsidR="00DF7806">
          <w:rPr>
            <w:noProof/>
          </w:rPr>
          <w:t>4</w:t>
        </w:r>
      </w:fldSimple>
      <w:r>
        <w:t>: Pension Expenditure as % of GDP</w:t>
      </w:r>
    </w:p>
    <w:p w14:paraId="02229827" w14:textId="454E927D" w:rsidR="0039090A" w:rsidRDefault="00CE1886" w:rsidP="00607B2C">
      <w:pPr>
        <w:spacing w:after="0"/>
        <w:rPr>
          <w:rFonts w:cs="Times New Roman"/>
          <w:szCs w:val="24"/>
        </w:rPr>
      </w:pPr>
      <w:r>
        <w:rPr>
          <w:rFonts w:cs="Times New Roman"/>
          <w:noProof/>
          <w:szCs w:val="24"/>
        </w:rPr>
        <w:drawing>
          <wp:inline distT="0" distB="0" distL="0" distR="0" wp14:anchorId="1A957E34" wp14:editId="1D2D7D0F">
            <wp:extent cx="6029325" cy="275590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2755900"/>
                    </a:xfrm>
                    <a:prstGeom prst="rect">
                      <a:avLst/>
                    </a:prstGeom>
                    <a:noFill/>
                  </pic:spPr>
                </pic:pic>
              </a:graphicData>
            </a:graphic>
          </wp:inline>
        </w:drawing>
      </w:r>
    </w:p>
    <w:p w14:paraId="7AF50A27" w14:textId="41F7A4F7" w:rsidR="00607B2C" w:rsidRPr="00FA198E" w:rsidRDefault="00607B2C" w:rsidP="00FA198E">
      <w:pPr>
        <w:jc w:val="left"/>
        <w:rPr>
          <w:rFonts w:cs="Times New Roman"/>
          <w:sz w:val="20"/>
          <w:szCs w:val="20"/>
        </w:rPr>
      </w:pPr>
      <w:r w:rsidRPr="00FA198E">
        <w:rPr>
          <w:rFonts w:cs="Times New Roman"/>
          <w:i/>
          <w:sz w:val="20"/>
          <w:szCs w:val="20"/>
        </w:rPr>
        <w:t xml:space="preserve">Source: </w:t>
      </w:r>
      <w:r w:rsidRPr="00FA198E">
        <w:rPr>
          <w:rFonts w:cs="Times New Roman"/>
          <w:sz w:val="20"/>
          <w:szCs w:val="20"/>
        </w:rPr>
        <w:t>Eurostat, pension agencies in Western Balkans countries</w:t>
      </w:r>
      <w:r w:rsidR="00FA198E">
        <w:rPr>
          <w:rFonts w:cs="Times New Roman"/>
          <w:sz w:val="20"/>
          <w:szCs w:val="20"/>
        </w:rPr>
        <w:t>.</w:t>
      </w:r>
    </w:p>
    <w:p w14:paraId="61983D01" w14:textId="5ED2AD5F" w:rsidR="00EC0D57" w:rsidRPr="00602CD6" w:rsidRDefault="00CB4918" w:rsidP="00504FAB">
      <w:pPr>
        <w:rPr>
          <w:rFonts w:cs="Times New Roman"/>
          <w:szCs w:val="24"/>
        </w:rPr>
      </w:pPr>
      <w:r w:rsidRPr="00602CD6">
        <w:rPr>
          <w:rFonts w:cs="Times New Roman"/>
          <w:szCs w:val="24"/>
        </w:rPr>
        <w:t>Despite its different financing mechanism and benefit</w:t>
      </w:r>
      <w:r w:rsidR="00E01850">
        <w:rPr>
          <w:rFonts w:cs="Times New Roman"/>
          <w:szCs w:val="24"/>
        </w:rPr>
        <w:t>s</w:t>
      </w:r>
      <w:r w:rsidRPr="00602CD6">
        <w:rPr>
          <w:rFonts w:cs="Times New Roman"/>
          <w:szCs w:val="24"/>
        </w:rPr>
        <w:t xml:space="preserve"> determination, the </w:t>
      </w:r>
      <w:r w:rsidR="00DB5CCD" w:rsidRPr="00602CD6">
        <w:rPr>
          <w:rFonts w:cs="Times New Roman"/>
          <w:szCs w:val="24"/>
        </w:rPr>
        <w:t>pension of €200 per month provided by the contributory system in Kosovo is in line with what other system</w:t>
      </w:r>
      <w:r w:rsidR="008A6D2B" w:rsidRPr="00602CD6">
        <w:rPr>
          <w:rFonts w:cs="Times New Roman"/>
          <w:szCs w:val="24"/>
        </w:rPr>
        <w:t>s</w:t>
      </w:r>
      <w:r w:rsidR="00DB5CCD" w:rsidRPr="00602CD6">
        <w:rPr>
          <w:rFonts w:cs="Times New Roman"/>
          <w:szCs w:val="24"/>
        </w:rPr>
        <w:t xml:space="preserve"> in the Western Balkans </w:t>
      </w:r>
      <w:r w:rsidR="00EC0D57" w:rsidRPr="00602CD6">
        <w:rPr>
          <w:rFonts w:cs="Times New Roman"/>
          <w:szCs w:val="24"/>
        </w:rPr>
        <w:t>provide in terms of average benefit</w:t>
      </w:r>
      <w:r w:rsidR="00E01850">
        <w:rPr>
          <w:rFonts w:cs="Times New Roman"/>
          <w:szCs w:val="24"/>
        </w:rPr>
        <w:t>s</w:t>
      </w:r>
      <w:r w:rsidR="00EC0D57" w:rsidRPr="00602CD6">
        <w:rPr>
          <w:rFonts w:cs="Times New Roman"/>
          <w:szCs w:val="24"/>
        </w:rPr>
        <w:t xml:space="preserve"> with respect to average gross wages, albeit in the case of Kosovo this is not a lifetime benefit. </w:t>
      </w:r>
      <w:r w:rsidR="00594574" w:rsidRPr="00602CD6">
        <w:rPr>
          <w:rFonts w:cs="Times New Roman"/>
          <w:szCs w:val="24"/>
        </w:rPr>
        <w:t>This benefit is equivalent to 38.5</w:t>
      </w:r>
      <w:r w:rsidR="00E01850">
        <w:rPr>
          <w:rFonts w:cs="Times New Roman"/>
          <w:szCs w:val="24"/>
        </w:rPr>
        <w:t xml:space="preserve"> percent</w:t>
      </w:r>
      <w:r w:rsidR="00594574" w:rsidRPr="00602CD6">
        <w:rPr>
          <w:rFonts w:cs="Times New Roman"/>
          <w:szCs w:val="24"/>
        </w:rPr>
        <w:t xml:space="preserve"> of average</w:t>
      </w:r>
      <w:r w:rsidR="00353E27" w:rsidRPr="00602CD6">
        <w:rPr>
          <w:rFonts w:cs="Times New Roman"/>
          <w:szCs w:val="24"/>
        </w:rPr>
        <w:t xml:space="preserve"> gross</w:t>
      </w:r>
      <w:r w:rsidR="00594574" w:rsidRPr="00602CD6">
        <w:rPr>
          <w:rFonts w:cs="Times New Roman"/>
          <w:szCs w:val="24"/>
        </w:rPr>
        <w:t xml:space="preserve"> wages</w:t>
      </w:r>
      <w:r w:rsidR="00353E27" w:rsidRPr="00602CD6">
        <w:rPr>
          <w:rFonts w:cs="Times New Roman"/>
          <w:szCs w:val="24"/>
        </w:rPr>
        <w:t xml:space="preserve">, </w:t>
      </w:r>
      <w:r w:rsidR="009645B2" w:rsidRPr="00602CD6">
        <w:rPr>
          <w:rFonts w:cs="Times New Roman"/>
          <w:szCs w:val="24"/>
        </w:rPr>
        <w:t>higher than the benefit ratios observed in Bosnia and Montenegro, but lower than the ones observed in Serbia, North Macedonia</w:t>
      </w:r>
      <w:r w:rsidR="00E01850">
        <w:rPr>
          <w:rFonts w:cs="Times New Roman"/>
          <w:szCs w:val="24"/>
        </w:rPr>
        <w:t>,</w:t>
      </w:r>
      <w:r w:rsidR="009645B2" w:rsidRPr="00602CD6">
        <w:rPr>
          <w:rFonts w:cs="Times New Roman"/>
          <w:szCs w:val="24"/>
        </w:rPr>
        <w:t xml:space="preserve"> or Albania</w:t>
      </w:r>
      <w:r w:rsidR="00743540">
        <w:rPr>
          <w:rFonts w:cs="Times New Roman"/>
          <w:szCs w:val="24"/>
        </w:rPr>
        <w:t xml:space="preserve"> (Figure 5)</w:t>
      </w:r>
      <w:r w:rsidR="00CC6E5E">
        <w:rPr>
          <w:rFonts w:cs="Times New Roman"/>
          <w:szCs w:val="24"/>
        </w:rPr>
        <w:t>. If we add the universal basic pension of €90 per month (which is a lifetime benefit), benefit generosity in Kosovo</w:t>
      </w:r>
      <w:r w:rsidR="00CC6E5E" w:rsidRPr="00602CD6">
        <w:rPr>
          <w:rFonts w:cs="Times New Roman"/>
          <w:szCs w:val="24"/>
        </w:rPr>
        <w:t xml:space="preserve"> </w:t>
      </w:r>
      <w:r w:rsidR="00CC6E5E">
        <w:rPr>
          <w:rFonts w:cs="Times New Roman"/>
          <w:szCs w:val="24"/>
        </w:rPr>
        <w:t xml:space="preserve">improves in relative terms. </w:t>
      </w:r>
    </w:p>
    <w:p w14:paraId="5F21E604" w14:textId="583A2B69" w:rsidR="00BC0D6A" w:rsidRDefault="00BC0D6A" w:rsidP="00BC0D6A">
      <w:pPr>
        <w:pStyle w:val="Caption"/>
      </w:pPr>
      <w:r>
        <w:t xml:space="preserve">Figure </w:t>
      </w:r>
      <w:fldSimple w:instr=" SEQ Figure \* ARABIC ">
        <w:r w:rsidR="00DF7806">
          <w:rPr>
            <w:noProof/>
          </w:rPr>
          <w:t>5</w:t>
        </w:r>
      </w:fldSimple>
      <w:r>
        <w:t>: Benefit Ratio (Average Pension to Average Gross Wages)</w:t>
      </w:r>
    </w:p>
    <w:p w14:paraId="4AA04864" w14:textId="1AC34B52" w:rsidR="00CE1886" w:rsidRPr="00CE1886" w:rsidRDefault="00CE1886" w:rsidP="00CE1886">
      <w:r>
        <w:rPr>
          <w:noProof/>
        </w:rPr>
        <w:drawing>
          <wp:inline distT="0" distB="0" distL="0" distR="0" wp14:anchorId="6719B634" wp14:editId="4581AC7F">
            <wp:extent cx="6127115" cy="293878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7115" cy="2938780"/>
                    </a:xfrm>
                    <a:prstGeom prst="rect">
                      <a:avLst/>
                    </a:prstGeom>
                    <a:noFill/>
                  </pic:spPr>
                </pic:pic>
              </a:graphicData>
            </a:graphic>
          </wp:inline>
        </w:drawing>
      </w:r>
    </w:p>
    <w:p w14:paraId="0DE7B449" w14:textId="28187C4C" w:rsidR="008A6D2B" w:rsidRPr="00602CD6" w:rsidRDefault="008A6D2B" w:rsidP="004E6D08">
      <w:pPr>
        <w:spacing w:after="0"/>
        <w:rPr>
          <w:rFonts w:cs="Times New Roman"/>
          <w:szCs w:val="24"/>
        </w:rPr>
      </w:pPr>
    </w:p>
    <w:p w14:paraId="64053161" w14:textId="7E832326" w:rsidR="00607B2C" w:rsidRPr="00B209F3" w:rsidRDefault="00607B2C" w:rsidP="00DF7806">
      <w:pPr>
        <w:ind w:right="180"/>
        <w:jc w:val="left"/>
        <w:rPr>
          <w:rFonts w:cs="Times New Roman"/>
          <w:i/>
          <w:sz w:val="18"/>
          <w:szCs w:val="18"/>
        </w:rPr>
      </w:pPr>
      <w:r w:rsidRPr="00B209F3">
        <w:rPr>
          <w:rFonts w:cs="Times New Roman"/>
          <w:i/>
          <w:sz w:val="18"/>
          <w:szCs w:val="18"/>
        </w:rPr>
        <w:lastRenderedPageBreak/>
        <w:t xml:space="preserve">Source: </w:t>
      </w:r>
      <w:r w:rsidR="00376793" w:rsidRPr="00376793">
        <w:rPr>
          <w:rFonts w:cs="Times New Roman"/>
          <w:iCs/>
          <w:sz w:val="18"/>
          <w:szCs w:val="18"/>
        </w:rPr>
        <w:t>European Union (</w:t>
      </w:r>
      <w:r w:rsidRPr="00376793">
        <w:rPr>
          <w:rFonts w:cs="Times New Roman"/>
          <w:iCs/>
          <w:sz w:val="18"/>
          <w:szCs w:val="18"/>
        </w:rPr>
        <w:t>E</w:t>
      </w:r>
      <w:r w:rsidRPr="00DF7806">
        <w:rPr>
          <w:rFonts w:cs="Times New Roman"/>
          <w:sz w:val="18"/>
          <w:szCs w:val="18"/>
        </w:rPr>
        <w:t>U</w:t>
      </w:r>
      <w:r w:rsidR="00376793">
        <w:rPr>
          <w:rFonts w:cs="Times New Roman"/>
          <w:sz w:val="18"/>
          <w:szCs w:val="18"/>
        </w:rPr>
        <w:t>)</w:t>
      </w:r>
      <w:r w:rsidRPr="00DF7806">
        <w:rPr>
          <w:rFonts w:cs="Times New Roman"/>
          <w:sz w:val="18"/>
          <w:szCs w:val="18"/>
        </w:rPr>
        <w:t xml:space="preserve"> Aging Report 2018, PAYG pension agencies in Western Balkans countries and KPST</w:t>
      </w:r>
      <w:r w:rsidR="00DF7806">
        <w:rPr>
          <w:rFonts w:cs="Times New Roman"/>
          <w:sz w:val="18"/>
          <w:szCs w:val="18"/>
        </w:rPr>
        <w:t>.</w:t>
      </w:r>
    </w:p>
    <w:p w14:paraId="3EBAB530" w14:textId="15E91748" w:rsidR="008723C6" w:rsidRPr="00602CD6" w:rsidRDefault="00743540" w:rsidP="004E3747">
      <w:pPr>
        <w:rPr>
          <w:rFonts w:cs="Times New Roman"/>
          <w:szCs w:val="24"/>
        </w:rPr>
      </w:pPr>
      <w:r>
        <w:rPr>
          <w:rFonts w:cs="Times New Roman"/>
          <w:szCs w:val="24"/>
        </w:rPr>
        <w:t>As seen in Figure 6, c</w:t>
      </w:r>
      <w:r w:rsidR="00D35594" w:rsidRPr="00602CD6">
        <w:rPr>
          <w:rFonts w:cs="Times New Roman"/>
          <w:szCs w:val="24"/>
        </w:rPr>
        <w:t xml:space="preserve">ontribution rates in Kosovo are low </w:t>
      </w:r>
      <w:r w:rsidR="00E01850">
        <w:rPr>
          <w:rFonts w:cs="Times New Roman"/>
          <w:szCs w:val="24"/>
        </w:rPr>
        <w:t>by</w:t>
      </w:r>
      <w:r w:rsidR="00E01850" w:rsidRPr="00602CD6">
        <w:rPr>
          <w:rFonts w:cs="Times New Roman"/>
          <w:szCs w:val="24"/>
        </w:rPr>
        <w:t xml:space="preserve"> </w:t>
      </w:r>
      <w:r w:rsidR="00D35594" w:rsidRPr="00602CD6">
        <w:rPr>
          <w:rFonts w:cs="Times New Roman"/>
          <w:szCs w:val="24"/>
        </w:rPr>
        <w:t xml:space="preserve">European standards but are in line with </w:t>
      </w:r>
      <w:r w:rsidR="00605B4A" w:rsidRPr="00605B4A">
        <w:rPr>
          <w:rFonts w:cs="Times New Roman"/>
          <w:szCs w:val="24"/>
        </w:rPr>
        <w:t>Organisation of Economic Co</w:t>
      </w:r>
      <w:r w:rsidR="00376793">
        <w:rPr>
          <w:rFonts w:cs="Times New Roman"/>
          <w:szCs w:val="24"/>
        </w:rPr>
        <w:t>-</w:t>
      </w:r>
      <w:r w:rsidR="00605B4A" w:rsidRPr="00605B4A">
        <w:rPr>
          <w:rFonts w:cs="Times New Roman"/>
          <w:szCs w:val="24"/>
        </w:rPr>
        <w:t xml:space="preserve">operation and Development </w:t>
      </w:r>
      <w:r w:rsidR="00475E01">
        <w:rPr>
          <w:rFonts w:cs="Times New Roman"/>
          <w:szCs w:val="24"/>
        </w:rPr>
        <w:t>(</w:t>
      </w:r>
      <w:r w:rsidR="00D35594" w:rsidRPr="00602CD6">
        <w:rPr>
          <w:rFonts w:cs="Times New Roman"/>
          <w:szCs w:val="24"/>
        </w:rPr>
        <w:t>OECD</w:t>
      </w:r>
      <w:r w:rsidR="00475E01">
        <w:rPr>
          <w:rFonts w:cs="Times New Roman"/>
          <w:szCs w:val="24"/>
        </w:rPr>
        <w:t>)</w:t>
      </w:r>
      <w:r w:rsidR="00D35594" w:rsidRPr="00602CD6">
        <w:rPr>
          <w:rFonts w:cs="Times New Roman"/>
          <w:szCs w:val="24"/>
        </w:rPr>
        <w:t xml:space="preserve"> countries tha</w:t>
      </w:r>
      <w:r w:rsidR="00081041" w:rsidRPr="00602CD6">
        <w:rPr>
          <w:rFonts w:cs="Times New Roman"/>
          <w:szCs w:val="24"/>
        </w:rPr>
        <w:t>t</w:t>
      </w:r>
      <w:r w:rsidR="00D35594" w:rsidRPr="00602CD6">
        <w:rPr>
          <w:rFonts w:cs="Times New Roman"/>
          <w:szCs w:val="24"/>
        </w:rPr>
        <w:t xml:space="preserve"> rely heavily on individual accounts for their pension system (</w:t>
      </w:r>
      <w:r w:rsidR="00605B4A">
        <w:rPr>
          <w:rFonts w:cs="Times New Roman"/>
          <w:szCs w:val="24"/>
        </w:rPr>
        <w:t>for example,</w:t>
      </w:r>
      <w:r w:rsidR="00081041" w:rsidRPr="00602CD6">
        <w:rPr>
          <w:rFonts w:cs="Times New Roman"/>
          <w:szCs w:val="24"/>
        </w:rPr>
        <w:t xml:space="preserve"> </w:t>
      </w:r>
      <w:r w:rsidR="001E03C6" w:rsidRPr="00602CD6">
        <w:rPr>
          <w:rFonts w:cs="Times New Roman"/>
          <w:szCs w:val="24"/>
        </w:rPr>
        <w:t>Australia</w:t>
      </w:r>
      <w:r w:rsidR="00D35594" w:rsidRPr="00602CD6">
        <w:rPr>
          <w:rFonts w:cs="Times New Roman"/>
          <w:szCs w:val="24"/>
        </w:rPr>
        <w:t xml:space="preserve"> </w:t>
      </w:r>
      <w:r w:rsidR="00081041" w:rsidRPr="00602CD6">
        <w:rPr>
          <w:rFonts w:cs="Times New Roman"/>
          <w:szCs w:val="24"/>
        </w:rPr>
        <w:t xml:space="preserve">and Chile). For comparison, </w:t>
      </w:r>
      <w:r w:rsidR="00A047A1" w:rsidRPr="00602CD6">
        <w:rPr>
          <w:rFonts w:cs="Times New Roman"/>
          <w:szCs w:val="24"/>
        </w:rPr>
        <w:t>in Chile the contribution that goes into the individual account is also 10</w:t>
      </w:r>
      <w:r w:rsidR="009475F2">
        <w:rPr>
          <w:rFonts w:cs="Times New Roman"/>
          <w:szCs w:val="24"/>
        </w:rPr>
        <w:t xml:space="preserve"> percent</w:t>
      </w:r>
      <w:r w:rsidR="00A047A1" w:rsidRPr="00602CD6">
        <w:rPr>
          <w:rFonts w:cs="Times New Roman"/>
          <w:szCs w:val="24"/>
        </w:rPr>
        <w:t xml:space="preserve"> of wages, but fees and the premium for the survivors and disability insurance are </w:t>
      </w:r>
      <w:r w:rsidR="00C57A9E" w:rsidRPr="00602CD6">
        <w:rPr>
          <w:rFonts w:cs="Times New Roman"/>
          <w:szCs w:val="24"/>
        </w:rPr>
        <w:t xml:space="preserve">added on top of that contribution, increasing the total contribution to an average of </w:t>
      </w:r>
      <w:r w:rsidR="001E03C6" w:rsidRPr="00602CD6">
        <w:rPr>
          <w:rFonts w:cs="Times New Roman"/>
          <w:szCs w:val="24"/>
        </w:rPr>
        <w:t>12.38</w:t>
      </w:r>
      <w:r w:rsidR="00857D45">
        <w:rPr>
          <w:rFonts w:cs="Times New Roman"/>
          <w:szCs w:val="24"/>
        </w:rPr>
        <w:t xml:space="preserve"> percent</w:t>
      </w:r>
      <w:r w:rsidR="00C57A9E" w:rsidRPr="00602CD6">
        <w:rPr>
          <w:rFonts w:cs="Times New Roman"/>
          <w:szCs w:val="24"/>
        </w:rPr>
        <w:t xml:space="preserve">. </w:t>
      </w:r>
    </w:p>
    <w:p w14:paraId="4B5AA07C" w14:textId="3BBEADD6" w:rsidR="00DF7806" w:rsidRPr="00DF7806" w:rsidRDefault="00DF7806" w:rsidP="00DF7806">
      <w:pPr>
        <w:pStyle w:val="Caption"/>
      </w:pPr>
      <w:r>
        <w:t xml:space="preserve">Figure </w:t>
      </w:r>
      <w:fldSimple w:instr=" SEQ Figure \* ARABIC ">
        <w:r>
          <w:rPr>
            <w:noProof/>
          </w:rPr>
          <w:t>6</w:t>
        </w:r>
      </w:fldSimple>
      <w:r>
        <w:t xml:space="preserve">: </w:t>
      </w:r>
      <w:r w:rsidRPr="00AD56AF">
        <w:t xml:space="preserve">Social Security Contribution </w:t>
      </w:r>
      <w:r>
        <w:t>R</w:t>
      </w:r>
      <w:r w:rsidRPr="00AD56AF">
        <w:t xml:space="preserve">ates (OECD and European </w:t>
      </w:r>
      <w:r>
        <w:t>C</w:t>
      </w:r>
      <w:r w:rsidRPr="00AD56AF">
        <w:t>ountries)</w:t>
      </w:r>
    </w:p>
    <w:p w14:paraId="2B0CE268" w14:textId="0474CC6F" w:rsidR="00C57A9E" w:rsidRDefault="001E03C6" w:rsidP="00607B2C">
      <w:pPr>
        <w:spacing w:after="0"/>
        <w:rPr>
          <w:rFonts w:cs="Times New Roman"/>
          <w:szCs w:val="24"/>
        </w:rPr>
      </w:pPr>
      <w:r w:rsidRPr="00602CD6">
        <w:rPr>
          <w:rFonts w:cs="Times New Roman"/>
          <w:noProof/>
          <w:szCs w:val="24"/>
        </w:rPr>
        <w:drawing>
          <wp:inline distT="0" distB="0" distL="0" distR="0" wp14:anchorId="42B45778" wp14:editId="5662F2C3">
            <wp:extent cx="5600700" cy="3114675"/>
            <wp:effectExtent l="0" t="0" r="0" b="9525"/>
            <wp:docPr id="7" name="Chart 7">
              <a:extLst xmlns:a="http://schemas.openxmlformats.org/drawingml/2006/main">
                <a:ext uri="{FF2B5EF4-FFF2-40B4-BE49-F238E27FC236}">
                  <a16:creationId xmlns:a16="http://schemas.microsoft.com/office/drawing/2014/main" id="{4ED709B6-1D5F-48DA-B6C3-186F47EC39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D8C930" w14:textId="17A902A2" w:rsidR="00607B2C" w:rsidRPr="00DF7806" w:rsidRDefault="00607B2C" w:rsidP="00DF7806">
      <w:pPr>
        <w:jc w:val="left"/>
        <w:rPr>
          <w:rFonts w:cs="Times New Roman"/>
          <w:sz w:val="20"/>
          <w:szCs w:val="20"/>
        </w:rPr>
      </w:pPr>
      <w:r w:rsidRPr="00D628FD">
        <w:rPr>
          <w:rFonts w:cs="Times New Roman"/>
          <w:i/>
          <w:sz w:val="18"/>
          <w:szCs w:val="18"/>
        </w:rPr>
        <w:t xml:space="preserve">Source: </w:t>
      </w:r>
      <w:r w:rsidRPr="00DF7806">
        <w:rPr>
          <w:rFonts w:cs="Times New Roman"/>
          <w:sz w:val="20"/>
          <w:szCs w:val="20"/>
        </w:rPr>
        <w:t>OECD, Pensions at a Glance 2018</w:t>
      </w:r>
      <w:r w:rsidR="00DF7806">
        <w:rPr>
          <w:rFonts w:cs="Times New Roman"/>
          <w:sz w:val="20"/>
          <w:szCs w:val="20"/>
        </w:rPr>
        <w:t>.</w:t>
      </w:r>
      <w:r w:rsidRPr="00DF7806">
        <w:rPr>
          <w:rFonts w:cs="Times New Roman"/>
          <w:sz w:val="20"/>
          <w:szCs w:val="20"/>
        </w:rPr>
        <w:t xml:space="preserve"> </w:t>
      </w:r>
      <w:r w:rsidR="00DF7806">
        <w:rPr>
          <w:rFonts w:cs="Times New Roman"/>
          <w:sz w:val="20"/>
          <w:szCs w:val="20"/>
        </w:rPr>
        <w:t>P</w:t>
      </w:r>
      <w:r w:rsidRPr="00DF7806">
        <w:rPr>
          <w:rFonts w:cs="Times New Roman"/>
          <w:sz w:val="20"/>
          <w:szCs w:val="20"/>
        </w:rPr>
        <w:t>ension agencies in Western Balkans countries</w:t>
      </w:r>
      <w:r w:rsidR="00DF7806">
        <w:rPr>
          <w:rFonts w:cs="Times New Roman"/>
          <w:sz w:val="20"/>
          <w:szCs w:val="20"/>
        </w:rPr>
        <w:t>.</w:t>
      </w:r>
    </w:p>
    <w:p w14:paraId="7DF21CFF" w14:textId="115B6829" w:rsidR="00AD0396" w:rsidRPr="00EA616D" w:rsidRDefault="00B96CCA" w:rsidP="004E6D08">
      <w:pPr>
        <w:pStyle w:val="ListParagraph"/>
        <w:numPr>
          <w:ilvl w:val="0"/>
          <w:numId w:val="1"/>
        </w:numPr>
        <w:ind w:left="360"/>
        <w:rPr>
          <w:rFonts w:cs="Times New Roman"/>
          <w:b/>
          <w:szCs w:val="24"/>
        </w:rPr>
      </w:pPr>
      <w:r w:rsidRPr="00EA616D">
        <w:rPr>
          <w:rFonts w:cs="Times New Roman"/>
          <w:b/>
          <w:szCs w:val="24"/>
        </w:rPr>
        <w:t>Recommendations</w:t>
      </w:r>
    </w:p>
    <w:p w14:paraId="7AB7AB62" w14:textId="61528885" w:rsidR="00B96CCA" w:rsidRDefault="002C17A9" w:rsidP="00B96CCA">
      <w:pPr>
        <w:rPr>
          <w:rFonts w:cs="Times New Roman"/>
          <w:szCs w:val="24"/>
        </w:rPr>
      </w:pPr>
      <w:r>
        <w:rPr>
          <w:rFonts w:cs="Times New Roman"/>
          <w:szCs w:val="24"/>
        </w:rPr>
        <w:t xml:space="preserve">The </w:t>
      </w:r>
      <w:r w:rsidR="00376793">
        <w:rPr>
          <w:rFonts w:cs="Times New Roman"/>
          <w:szCs w:val="24"/>
        </w:rPr>
        <w:t>G</w:t>
      </w:r>
      <w:r>
        <w:rPr>
          <w:rFonts w:cs="Times New Roman"/>
          <w:szCs w:val="24"/>
        </w:rPr>
        <w:t xml:space="preserve">overnment of Kosovo has been working on a reform of the pension system since 2018, </w:t>
      </w:r>
      <w:r w:rsidR="00DD2F9B">
        <w:rPr>
          <w:rFonts w:cs="Times New Roman"/>
          <w:szCs w:val="24"/>
        </w:rPr>
        <w:t>first</w:t>
      </w:r>
      <w:r>
        <w:rPr>
          <w:rFonts w:cs="Times New Roman"/>
          <w:szCs w:val="24"/>
        </w:rPr>
        <w:t xml:space="preserve"> with a </w:t>
      </w:r>
      <w:r w:rsidR="00FD504D">
        <w:rPr>
          <w:rFonts w:cs="Times New Roman"/>
          <w:szCs w:val="24"/>
        </w:rPr>
        <w:t>c</w:t>
      </w:r>
      <w:r w:rsidR="007A2CDD">
        <w:rPr>
          <w:rFonts w:cs="Times New Roman"/>
          <w:szCs w:val="24"/>
        </w:rPr>
        <w:t>oncept document that was submitted for public consultation and then in the framework of an ad</w:t>
      </w:r>
      <w:r w:rsidR="00FD504D">
        <w:rPr>
          <w:rFonts w:cs="Times New Roman"/>
          <w:szCs w:val="24"/>
        </w:rPr>
        <w:t xml:space="preserve"> </w:t>
      </w:r>
      <w:r w:rsidR="007A2CDD">
        <w:rPr>
          <w:rFonts w:cs="Times New Roman"/>
          <w:szCs w:val="24"/>
        </w:rPr>
        <w:t xml:space="preserve">hoc Commission in Parliament. The new administration has also indicated that it will undertake a reform of the pension system and will </w:t>
      </w:r>
      <w:r w:rsidR="00DD2F9B">
        <w:rPr>
          <w:rFonts w:cs="Times New Roman"/>
          <w:szCs w:val="24"/>
        </w:rPr>
        <w:t>likely</w:t>
      </w:r>
      <w:r w:rsidR="007A2CDD">
        <w:rPr>
          <w:rFonts w:cs="Times New Roman"/>
          <w:szCs w:val="24"/>
        </w:rPr>
        <w:t xml:space="preserve"> </w:t>
      </w:r>
      <w:r w:rsidR="00DD2F9B">
        <w:rPr>
          <w:rFonts w:cs="Times New Roman"/>
          <w:szCs w:val="24"/>
        </w:rPr>
        <w:t xml:space="preserve">resume this work. </w:t>
      </w:r>
    </w:p>
    <w:p w14:paraId="0F6827ED" w14:textId="27D6F28E" w:rsidR="00EA6B7F" w:rsidRDefault="00132EFA" w:rsidP="00EA6B7F">
      <w:pPr>
        <w:rPr>
          <w:rFonts w:cs="Times New Roman"/>
          <w:szCs w:val="24"/>
        </w:rPr>
      </w:pPr>
      <w:r>
        <w:rPr>
          <w:rFonts w:cs="Times New Roman"/>
          <w:szCs w:val="24"/>
        </w:rPr>
        <w:t xml:space="preserve">The reform will need to tackle the fragmentation and increasing fiscal costs that derive from the </w:t>
      </w:r>
      <w:r w:rsidR="00FA7B0D">
        <w:rPr>
          <w:rFonts w:cs="Times New Roman"/>
          <w:szCs w:val="24"/>
        </w:rPr>
        <w:t xml:space="preserve">proliferation of categorical pension benefits over the years. </w:t>
      </w:r>
      <w:r w:rsidR="00001788">
        <w:rPr>
          <w:rFonts w:cs="Times New Roman"/>
          <w:szCs w:val="24"/>
        </w:rPr>
        <w:t>At the same time</w:t>
      </w:r>
      <w:r w:rsidR="00B624F6">
        <w:rPr>
          <w:rFonts w:cs="Times New Roman"/>
          <w:szCs w:val="24"/>
        </w:rPr>
        <w:t>,</w:t>
      </w:r>
      <w:r w:rsidR="00001788">
        <w:rPr>
          <w:rFonts w:cs="Times New Roman"/>
          <w:szCs w:val="24"/>
        </w:rPr>
        <w:t xml:space="preserve"> it </w:t>
      </w:r>
      <w:r w:rsidR="006A417B">
        <w:rPr>
          <w:rFonts w:cs="Times New Roman"/>
          <w:szCs w:val="24"/>
        </w:rPr>
        <w:t xml:space="preserve">needs to address the adequacy of benefits </w:t>
      </w:r>
      <w:r w:rsidR="00810E4D">
        <w:rPr>
          <w:rFonts w:cs="Times New Roman"/>
          <w:szCs w:val="24"/>
        </w:rPr>
        <w:t>by providing a predictable lifetime income stream</w:t>
      </w:r>
      <w:r w:rsidR="00E54EF9">
        <w:rPr>
          <w:rFonts w:cs="Times New Roman"/>
          <w:szCs w:val="24"/>
        </w:rPr>
        <w:t xml:space="preserve"> that is sustainable, affordable</w:t>
      </w:r>
      <w:r w:rsidR="00B624F6">
        <w:rPr>
          <w:rFonts w:cs="Times New Roman"/>
          <w:szCs w:val="24"/>
        </w:rPr>
        <w:t>,</w:t>
      </w:r>
      <w:r w:rsidR="00E54EF9">
        <w:rPr>
          <w:rFonts w:cs="Times New Roman"/>
          <w:szCs w:val="24"/>
        </w:rPr>
        <w:t xml:space="preserve"> </w:t>
      </w:r>
      <w:r w:rsidR="00E44E9D">
        <w:rPr>
          <w:rFonts w:cs="Times New Roman"/>
          <w:szCs w:val="24"/>
        </w:rPr>
        <w:t xml:space="preserve">and that can be financed within the system </w:t>
      </w:r>
      <w:r w:rsidR="00661DBA">
        <w:rPr>
          <w:rFonts w:cs="Times New Roman"/>
          <w:szCs w:val="24"/>
        </w:rPr>
        <w:t xml:space="preserve">instead of relying on general budget financing. </w:t>
      </w:r>
    </w:p>
    <w:p w14:paraId="5D4A69E7" w14:textId="4D770BE1" w:rsidR="00EA6B7F" w:rsidRDefault="00EA6B7F" w:rsidP="00EA6B7F">
      <w:pPr>
        <w:rPr>
          <w:rFonts w:cs="Times New Roman"/>
          <w:szCs w:val="24"/>
        </w:rPr>
      </w:pPr>
      <w:r>
        <w:rPr>
          <w:rFonts w:cs="Times New Roman"/>
          <w:szCs w:val="24"/>
        </w:rPr>
        <w:t xml:space="preserve">Despite a fragmented system and increasing pension costs, Kosovo has built </w:t>
      </w:r>
      <w:r w:rsidR="00CB4898">
        <w:rPr>
          <w:rFonts w:cs="Times New Roman"/>
          <w:szCs w:val="24"/>
        </w:rPr>
        <w:t xml:space="preserve">the </w:t>
      </w:r>
      <w:r>
        <w:rPr>
          <w:rFonts w:cs="Times New Roman"/>
          <w:szCs w:val="24"/>
        </w:rPr>
        <w:t>core design of it</w:t>
      </w:r>
      <w:r w:rsidR="00CB4898">
        <w:rPr>
          <w:rFonts w:cs="Times New Roman"/>
          <w:szCs w:val="24"/>
        </w:rPr>
        <w:t>s</w:t>
      </w:r>
      <w:r>
        <w:rPr>
          <w:rFonts w:cs="Times New Roman"/>
          <w:szCs w:val="24"/>
        </w:rPr>
        <w:t xml:space="preserve"> pension system based </w:t>
      </w:r>
      <w:r w:rsidR="00CB4898">
        <w:rPr>
          <w:rFonts w:cs="Times New Roman"/>
          <w:szCs w:val="24"/>
        </w:rPr>
        <w:t xml:space="preserve">mainly </w:t>
      </w:r>
      <w:r>
        <w:rPr>
          <w:rFonts w:cs="Times New Roman"/>
          <w:szCs w:val="24"/>
        </w:rPr>
        <w:t xml:space="preserve">on a basic non-contributory pension and a fully funded system of individual accounts. </w:t>
      </w:r>
    </w:p>
    <w:p w14:paraId="79B271A7" w14:textId="58A7C437" w:rsidR="00661DBA" w:rsidRPr="00EA6B7F" w:rsidRDefault="00EA6B7F" w:rsidP="004E6D08">
      <w:pPr>
        <w:keepNext/>
        <w:rPr>
          <w:rFonts w:cs="Times New Roman"/>
          <w:b/>
          <w:szCs w:val="24"/>
        </w:rPr>
      </w:pPr>
      <w:r w:rsidRPr="00EA6B7F">
        <w:rPr>
          <w:rFonts w:cs="Times New Roman"/>
          <w:b/>
          <w:szCs w:val="24"/>
        </w:rPr>
        <w:lastRenderedPageBreak/>
        <w:t>World Bank Support and Recommendations</w:t>
      </w:r>
    </w:p>
    <w:p w14:paraId="0DAAA7C9" w14:textId="40228EAD" w:rsidR="009A2A71" w:rsidRDefault="003F2A0F" w:rsidP="00B96CCA">
      <w:pPr>
        <w:rPr>
          <w:rFonts w:cs="Times New Roman"/>
          <w:szCs w:val="24"/>
        </w:rPr>
      </w:pPr>
      <w:r>
        <w:rPr>
          <w:rFonts w:cs="Times New Roman"/>
          <w:szCs w:val="24"/>
        </w:rPr>
        <w:t xml:space="preserve">The World Bank has provided </w:t>
      </w:r>
      <w:r w:rsidR="00BB7AA1">
        <w:rPr>
          <w:rFonts w:cs="Times New Roman"/>
          <w:szCs w:val="24"/>
        </w:rPr>
        <w:t xml:space="preserve">comments and recommendations to the </w:t>
      </w:r>
      <w:r w:rsidR="00376793">
        <w:rPr>
          <w:rFonts w:cs="Times New Roman"/>
          <w:szCs w:val="24"/>
        </w:rPr>
        <w:t>G</w:t>
      </w:r>
      <w:r w:rsidR="00BB7AA1">
        <w:rPr>
          <w:rFonts w:cs="Times New Roman"/>
          <w:szCs w:val="24"/>
        </w:rPr>
        <w:t>overnment of Kosovo</w:t>
      </w:r>
      <w:r w:rsidR="000A300B">
        <w:rPr>
          <w:rFonts w:cs="Times New Roman"/>
          <w:szCs w:val="24"/>
        </w:rPr>
        <w:t xml:space="preserve"> on pension reform options</w:t>
      </w:r>
      <w:r w:rsidR="0023150A">
        <w:rPr>
          <w:rFonts w:cs="Times New Roman"/>
          <w:szCs w:val="24"/>
        </w:rPr>
        <w:t>, with the aim of building an integrated pension system</w:t>
      </w:r>
      <w:r w:rsidR="00D9430C">
        <w:rPr>
          <w:rFonts w:cs="Times New Roman"/>
          <w:szCs w:val="24"/>
        </w:rPr>
        <w:t xml:space="preserve"> compris</w:t>
      </w:r>
      <w:r w:rsidR="00476163">
        <w:rPr>
          <w:rFonts w:cs="Times New Roman"/>
          <w:szCs w:val="24"/>
        </w:rPr>
        <w:t>ing</w:t>
      </w:r>
      <w:r w:rsidR="00D9430C">
        <w:rPr>
          <w:rFonts w:cs="Times New Roman"/>
          <w:szCs w:val="24"/>
        </w:rPr>
        <w:t xml:space="preserve"> multiple pillars</w:t>
      </w:r>
      <w:r w:rsidR="000A300B">
        <w:rPr>
          <w:rFonts w:cs="Times New Roman"/>
          <w:szCs w:val="24"/>
        </w:rPr>
        <w:t xml:space="preserve">. </w:t>
      </w:r>
      <w:r w:rsidR="009A2A71">
        <w:rPr>
          <w:rFonts w:cs="Times New Roman"/>
          <w:szCs w:val="24"/>
        </w:rPr>
        <w:t>The specific measures that have been proposed include</w:t>
      </w:r>
      <w:r w:rsidR="00376793">
        <w:rPr>
          <w:rFonts w:cs="Times New Roman"/>
          <w:szCs w:val="24"/>
        </w:rPr>
        <w:t xml:space="preserve"> the following</w:t>
      </w:r>
      <w:r w:rsidR="009A2A71">
        <w:rPr>
          <w:rFonts w:cs="Times New Roman"/>
          <w:szCs w:val="24"/>
        </w:rPr>
        <w:t xml:space="preserve">: </w:t>
      </w:r>
    </w:p>
    <w:p w14:paraId="6FE0ACF2" w14:textId="686D4F0E" w:rsidR="00DD2F9B" w:rsidRPr="004E6D08" w:rsidRDefault="009A2A71" w:rsidP="004E6D08">
      <w:pPr>
        <w:pStyle w:val="ListParagraph"/>
        <w:numPr>
          <w:ilvl w:val="0"/>
          <w:numId w:val="5"/>
        </w:numPr>
        <w:ind w:left="720"/>
        <w:contextualSpacing w:val="0"/>
        <w:rPr>
          <w:rFonts w:cs="Times New Roman"/>
          <w:szCs w:val="24"/>
        </w:rPr>
      </w:pPr>
      <w:r w:rsidRPr="004E6D08">
        <w:rPr>
          <w:rFonts w:cs="Times New Roman"/>
          <w:szCs w:val="24"/>
        </w:rPr>
        <w:t xml:space="preserve">Redesign the basic pension </w:t>
      </w:r>
      <w:r w:rsidR="00420847" w:rsidRPr="004E6D08">
        <w:rPr>
          <w:rFonts w:cs="Times New Roman"/>
          <w:szCs w:val="24"/>
        </w:rPr>
        <w:t>such t</w:t>
      </w:r>
      <w:r w:rsidR="00A91127" w:rsidRPr="004E6D08">
        <w:rPr>
          <w:rFonts w:cs="Times New Roman"/>
          <w:szCs w:val="24"/>
        </w:rPr>
        <w:t>h</w:t>
      </w:r>
      <w:r w:rsidR="00420847" w:rsidRPr="004E6D08">
        <w:rPr>
          <w:rFonts w:cs="Times New Roman"/>
          <w:szCs w:val="24"/>
        </w:rPr>
        <w:t xml:space="preserve">at it provides a minimum floor and is reduced </w:t>
      </w:r>
      <w:r w:rsidR="00A91127" w:rsidRPr="004E6D08">
        <w:rPr>
          <w:rFonts w:cs="Times New Roman"/>
          <w:szCs w:val="24"/>
        </w:rPr>
        <w:t xml:space="preserve">according to other sources of pensions the individual has. </w:t>
      </w:r>
      <w:r w:rsidR="00FA0912" w:rsidRPr="004E6D08">
        <w:rPr>
          <w:rFonts w:cs="Times New Roman"/>
          <w:szCs w:val="24"/>
        </w:rPr>
        <w:t>Asses</w:t>
      </w:r>
      <w:r w:rsidR="007D4A2F" w:rsidRPr="004E6D08">
        <w:rPr>
          <w:rFonts w:cs="Times New Roman"/>
          <w:szCs w:val="24"/>
        </w:rPr>
        <w:t>s</w:t>
      </w:r>
      <w:r w:rsidR="00FA0912" w:rsidRPr="004E6D08">
        <w:rPr>
          <w:rFonts w:cs="Times New Roman"/>
          <w:szCs w:val="24"/>
        </w:rPr>
        <w:t xml:space="preserve"> feasibility of establishing an </w:t>
      </w:r>
      <w:r w:rsidR="00376793">
        <w:rPr>
          <w:rFonts w:cs="Times New Roman"/>
          <w:szCs w:val="24"/>
        </w:rPr>
        <w:t>‘</w:t>
      </w:r>
      <w:r w:rsidR="00FA0912" w:rsidRPr="004E6D08">
        <w:rPr>
          <w:rFonts w:cs="Times New Roman"/>
          <w:szCs w:val="24"/>
        </w:rPr>
        <w:t>affluence test</w:t>
      </w:r>
      <w:r w:rsidR="00376793">
        <w:rPr>
          <w:rFonts w:cs="Times New Roman"/>
          <w:szCs w:val="24"/>
        </w:rPr>
        <w:t>’</w:t>
      </w:r>
      <w:r w:rsidR="00FA0912" w:rsidRPr="004E6D08">
        <w:rPr>
          <w:rFonts w:cs="Times New Roman"/>
          <w:szCs w:val="24"/>
        </w:rPr>
        <w:t xml:space="preserve"> to exclude 20</w:t>
      </w:r>
      <w:r w:rsidR="007D4A2F" w:rsidRPr="004E6D08">
        <w:rPr>
          <w:rFonts w:cs="Times New Roman"/>
          <w:szCs w:val="24"/>
        </w:rPr>
        <w:t xml:space="preserve"> percent</w:t>
      </w:r>
      <w:r w:rsidR="00A91127" w:rsidRPr="004E6D08">
        <w:rPr>
          <w:rFonts w:cs="Times New Roman"/>
          <w:szCs w:val="24"/>
        </w:rPr>
        <w:t xml:space="preserve"> </w:t>
      </w:r>
      <w:r w:rsidR="001E0530" w:rsidRPr="004E6D08">
        <w:rPr>
          <w:rFonts w:cs="Times New Roman"/>
          <w:szCs w:val="24"/>
        </w:rPr>
        <w:t xml:space="preserve">of the </w:t>
      </w:r>
      <w:r w:rsidR="00FA0912" w:rsidRPr="004E6D08">
        <w:rPr>
          <w:rFonts w:cs="Times New Roman"/>
          <w:szCs w:val="24"/>
        </w:rPr>
        <w:t>highest income</w:t>
      </w:r>
      <w:r w:rsidR="007D4A2F" w:rsidRPr="004E6D08">
        <w:rPr>
          <w:rFonts w:cs="Times New Roman"/>
          <w:szCs w:val="24"/>
        </w:rPr>
        <w:t xml:space="preserve"> earners</w:t>
      </w:r>
      <w:r w:rsidR="00FA0912" w:rsidRPr="004E6D08">
        <w:rPr>
          <w:rFonts w:cs="Times New Roman"/>
          <w:szCs w:val="24"/>
        </w:rPr>
        <w:t xml:space="preserve"> </w:t>
      </w:r>
      <w:r w:rsidR="00B33407" w:rsidRPr="004E6D08">
        <w:rPr>
          <w:rFonts w:cs="Times New Roman"/>
          <w:szCs w:val="24"/>
        </w:rPr>
        <w:t xml:space="preserve">from receiving it. </w:t>
      </w:r>
    </w:p>
    <w:p w14:paraId="3833ECF5" w14:textId="4B6AF2DA" w:rsidR="00B33407" w:rsidRPr="004E6D08" w:rsidRDefault="00B33407" w:rsidP="004E6D08">
      <w:pPr>
        <w:pStyle w:val="ListParagraph"/>
        <w:numPr>
          <w:ilvl w:val="0"/>
          <w:numId w:val="5"/>
        </w:numPr>
        <w:ind w:left="720"/>
        <w:contextualSpacing w:val="0"/>
        <w:rPr>
          <w:rFonts w:cs="Times New Roman"/>
          <w:szCs w:val="24"/>
        </w:rPr>
      </w:pPr>
      <w:r w:rsidRPr="004E6D08">
        <w:rPr>
          <w:rFonts w:cs="Times New Roman"/>
          <w:szCs w:val="24"/>
        </w:rPr>
        <w:t xml:space="preserve">Redesign the payout phase of the second pillar to provide </w:t>
      </w:r>
      <w:r w:rsidR="00127E9B" w:rsidRPr="004E6D08">
        <w:rPr>
          <w:rFonts w:cs="Times New Roman"/>
          <w:szCs w:val="24"/>
        </w:rPr>
        <w:t>a pension for a fixed period of time (</w:t>
      </w:r>
      <w:r w:rsidR="00DF2555" w:rsidRPr="004E6D08">
        <w:rPr>
          <w:rFonts w:cs="Times New Roman"/>
          <w:szCs w:val="24"/>
        </w:rPr>
        <w:t>for example,</w:t>
      </w:r>
      <w:r w:rsidR="00127E9B" w:rsidRPr="004E6D08">
        <w:rPr>
          <w:rFonts w:cs="Times New Roman"/>
          <w:szCs w:val="24"/>
        </w:rPr>
        <w:t xml:space="preserve"> 15 years)</w:t>
      </w:r>
      <w:r w:rsidR="00967078" w:rsidRPr="004E6D08">
        <w:rPr>
          <w:rFonts w:cs="Times New Roman"/>
          <w:szCs w:val="24"/>
        </w:rPr>
        <w:t xml:space="preserve"> that is dependent on the accumulation in the account at the time of retirement. </w:t>
      </w:r>
    </w:p>
    <w:p w14:paraId="5E5BD3C2" w14:textId="57783830" w:rsidR="00127E9B" w:rsidRPr="004E6D08" w:rsidRDefault="00127E9B" w:rsidP="004E6D08">
      <w:pPr>
        <w:pStyle w:val="ListParagraph"/>
        <w:numPr>
          <w:ilvl w:val="0"/>
          <w:numId w:val="5"/>
        </w:numPr>
        <w:ind w:left="720"/>
        <w:contextualSpacing w:val="0"/>
        <w:rPr>
          <w:rFonts w:cs="Times New Roman"/>
          <w:szCs w:val="24"/>
        </w:rPr>
      </w:pPr>
      <w:r w:rsidRPr="004E6D08">
        <w:rPr>
          <w:rFonts w:cs="Times New Roman"/>
          <w:szCs w:val="24"/>
        </w:rPr>
        <w:t xml:space="preserve">Introduce a new </w:t>
      </w:r>
      <w:r w:rsidR="00284806" w:rsidRPr="004E6D08">
        <w:rPr>
          <w:rFonts w:cs="Times New Roman"/>
          <w:szCs w:val="24"/>
        </w:rPr>
        <w:t xml:space="preserve">insurance pillar to finance benefits at </w:t>
      </w:r>
      <w:r w:rsidR="00206C4F" w:rsidRPr="004E6D08">
        <w:rPr>
          <w:rFonts w:cs="Times New Roman"/>
          <w:szCs w:val="24"/>
        </w:rPr>
        <w:t xml:space="preserve">an </w:t>
      </w:r>
      <w:r w:rsidR="00284806" w:rsidRPr="004E6D08">
        <w:rPr>
          <w:rFonts w:cs="Times New Roman"/>
          <w:szCs w:val="24"/>
        </w:rPr>
        <w:t xml:space="preserve">advanced age </w:t>
      </w:r>
      <w:r w:rsidR="00183E65" w:rsidRPr="004E6D08">
        <w:rPr>
          <w:rFonts w:cs="Times New Roman"/>
          <w:szCs w:val="24"/>
        </w:rPr>
        <w:t xml:space="preserve">(after </w:t>
      </w:r>
      <w:r w:rsidR="00B40504" w:rsidRPr="004E6D08">
        <w:rPr>
          <w:rFonts w:cs="Times New Roman"/>
          <w:szCs w:val="24"/>
        </w:rPr>
        <w:t xml:space="preserve">the </w:t>
      </w:r>
      <w:r w:rsidR="00183E65" w:rsidRPr="004E6D08">
        <w:rPr>
          <w:rFonts w:cs="Times New Roman"/>
          <w:szCs w:val="24"/>
        </w:rPr>
        <w:t>individual account pension is exhausted)</w:t>
      </w:r>
      <w:r w:rsidR="00B40504" w:rsidRPr="004E6D08">
        <w:rPr>
          <w:rFonts w:cs="Times New Roman"/>
          <w:szCs w:val="24"/>
        </w:rPr>
        <w:t>,</w:t>
      </w:r>
      <w:r w:rsidR="00C133D8" w:rsidRPr="004E6D08">
        <w:rPr>
          <w:rFonts w:cs="Times New Roman"/>
          <w:szCs w:val="24"/>
        </w:rPr>
        <w:t xml:space="preserve"> </w:t>
      </w:r>
      <w:r w:rsidR="00630A04" w:rsidRPr="004E6D08">
        <w:rPr>
          <w:rFonts w:cs="Times New Roman"/>
          <w:szCs w:val="24"/>
        </w:rPr>
        <w:t xml:space="preserve">financed by an additional contribution rate and managed by an independent entity (preferably the existing KPST, to avoid </w:t>
      </w:r>
      <w:r w:rsidR="003A2DA6" w:rsidRPr="004E6D08">
        <w:rPr>
          <w:rFonts w:cs="Times New Roman"/>
          <w:szCs w:val="24"/>
        </w:rPr>
        <w:t>additional institutional burden).</w:t>
      </w:r>
      <w:r w:rsidR="00607B2C">
        <w:rPr>
          <w:rStyle w:val="FootnoteReference"/>
          <w:rFonts w:cs="Times New Roman"/>
          <w:szCs w:val="24"/>
        </w:rPr>
        <w:footnoteReference w:id="5"/>
      </w:r>
      <w:r w:rsidR="003A2DA6" w:rsidRPr="004E6D08">
        <w:rPr>
          <w:rFonts w:cs="Times New Roman"/>
          <w:szCs w:val="24"/>
        </w:rPr>
        <w:t xml:space="preserve"> </w:t>
      </w:r>
    </w:p>
    <w:p w14:paraId="778A39F1" w14:textId="4A0FDD15" w:rsidR="00D9430C" w:rsidRPr="004E6D08" w:rsidRDefault="00D9430C" w:rsidP="004E6D08">
      <w:pPr>
        <w:pStyle w:val="ListParagraph"/>
        <w:numPr>
          <w:ilvl w:val="0"/>
          <w:numId w:val="5"/>
        </w:numPr>
        <w:ind w:left="720"/>
        <w:contextualSpacing w:val="0"/>
        <w:rPr>
          <w:rFonts w:cs="Times New Roman"/>
          <w:szCs w:val="24"/>
        </w:rPr>
      </w:pPr>
      <w:r w:rsidRPr="004E6D08">
        <w:rPr>
          <w:rFonts w:cs="Times New Roman"/>
          <w:szCs w:val="24"/>
        </w:rPr>
        <w:t xml:space="preserve">Phase out </w:t>
      </w:r>
      <w:r w:rsidR="00DA0C3E" w:rsidRPr="004E6D08">
        <w:rPr>
          <w:rFonts w:cs="Times New Roman"/>
          <w:szCs w:val="24"/>
        </w:rPr>
        <w:t>e</w:t>
      </w:r>
      <w:r w:rsidRPr="004E6D08">
        <w:rPr>
          <w:rFonts w:cs="Times New Roman"/>
          <w:szCs w:val="24"/>
        </w:rPr>
        <w:t>x-contributory benefit</w:t>
      </w:r>
      <w:r w:rsidR="00B40504" w:rsidRPr="004E6D08">
        <w:rPr>
          <w:rFonts w:cs="Times New Roman"/>
          <w:szCs w:val="24"/>
        </w:rPr>
        <w:t>s</w:t>
      </w:r>
      <w:r w:rsidRPr="004E6D08">
        <w:rPr>
          <w:rFonts w:cs="Times New Roman"/>
          <w:szCs w:val="24"/>
        </w:rPr>
        <w:t xml:space="preserve"> by linking </w:t>
      </w:r>
      <w:r w:rsidR="00B40504" w:rsidRPr="004E6D08">
        <w:rPr>
          <w:rFonts w:cs="Times New Roman"/>
          <w:szCs w:val="24"/>
        </w:rPr>
        <w:t xml:space="preserve">their </w:t>
      </w:r>
      <w:r w:rsidRPr="004E6D08">
        <w:rPr>
          <w:rFonts w:cs="Times New Roman"/>
          <w:szCs w:val="24"/>
        </w:rPr>
        <w:t xml:space="preserve">value to the value of a self-financed pension in an inversely proportional way such that </w:t>
      </w:r>
      <w:r w:rsidR="00B40504" w:rsidRPr="004E6D08">
        <w:rPr>
          <w:rFonts w:cs="Times New Roman"/>
          <w:szCs w:val="24"/>
        </w:rPr>
        <w:t>ex-</w:t>
      </w:r>
      <w:r w:rsidR="00376793" w:rsidRPr="004E6D08">
        <w:rPr>
          <w:rFonts w:cs="Times New Roman"/>
          <w:szCs w:val="24"/>
        </w:rPr>
        <w:t>c</w:t>
      </w:r>
      <w:r w:rsidR="00B40504" w:rsidRPr="004E6D08">
        <w:rPr>
          <w:rFonts w:cs="Times New Roman"/>
          <w:szCs w:val="24"/>
        </w:rPr>
        <w:t xml:space="preserve">ontributory benefits decrease </w:t>
      </w:r>
      <w:r w:rsidRPr="004E6D08">
        <w:rPr>
          <w:rFonts w:cs="Times New Roman"/>
          <w:szCs w:val="24"/>
        </w:rPr>
        <w:t>as accumulation</w:t>
      </w:r>
      <w:r w:rsidR="00B40504" w:rsidRPr="004E6D08">
        <w:rPr>
          <w:rFonts w:cs="Times New Roman"/>
          <w:szCs w:val="24"/>
        </w:rPr>
        <w:t>s</w:t>
      </w:r>
      <w:r w:rsidRPr="004E6D08">
        <w:rPr>
          <w:rFonts w:cs="Times New Roman"/>
          <w:szCs w:val="24"/>
        </w:rPr>
        <w:t xml:space="preserve"> in the individual account increase. </w:t>
      </w:r>
    </w:p>
    <w:p w14:paraId="6349092E" w14:textId="5DA1440C" w:rsidR="003A2DA6" w:rsidRPr="004E6D08" w:rsidRDefault="003A2DA6" w:rsidP="004E6D08">
      <w:pPr>
        <w:pStyle w:val="ListParagraph"/>
        <w:numPr>
          <w:ilvl w:val="0"/>
          <w:numId w:val="5"/>
        </w:numPr>
        <w:ind w:left="720"/>
        <w:contextualSpacing w:val="0"/>
        <w:rPr>
          <w:rFonts w:cs="Times New Roman"/>
          <w:szCs w:val="24"/>
        </w:rPr>
      </w:pPr>
      <w:r w:rsidRPr="004E6D08">
        <w:rPr>
          <w:rFonts w:cs="Times New Roman"/>
          <w:szCs w:val="24"/>
        </w:rPr>
        <w:t>Consolidate existing categorical benefits</w:t>
      </w:r>
      <w:r w:rsidR="0052244C" w:rsidRPr="004E6D08">
        <w:rPr>
          <w:rFonts w:cs="Times New Roman"/>
          <w:szCs w:val="24"/>
        </w:rPr>
        <w:t xml:space="preserve"> as much as possible</w:t>
      </w:r>
      <w:r w:rsidR="00D5127F" w:rsidRPr="004E6D08">
        <w:rPr>
          <w:rFonts w:cs="Times New Roman"/>
          <w:szCs w:val="24"/>
        </w:rPr>
        <w:t xml:space="preserve">, especially disability benefits and war related categories. </w:t>
      </w:r>
    </w:p>
    <w:p w14:paraId="196C51C5" w14:textId="79171DF8" w:rsidR="0023150A" w:rsidRDefault="00857661" w:rsidP="00D9430C">
      <w:pPr>
        <w:rPr>
          <w:rFonts w:cs="Times New Roman"/>
          <w:szCs w:val="24"/>
        </w:rPr>
      </w:pPr>
      <w:r>
        <w:rPr>
          <w:rFonts w:cs="Times New Roman"/>
          <w:szCs w:val="24"/>
        </w:rPr>
        <w:t xml:space="preserve">In addition, the system needs institutional strengthening to improve its capacity to analyze and assess the long term impacts of </w:t>
      </w:r>
      <w:r w:rsidR="000354C4">
        <w:rPr>
          <w:rFonts w:cs="Times New Roman"/>
          <w:szCs w:val="24"/>
        </w:rPr>
        <w:t xml:space="preserve">the </w:t>
      </w:r>
      <w:r>
        <w:rPr>
          <w:rFonts w:cs="Times New Roman"/>
          <w:szCs w:val="24"/>
        </w:rPr>
        <w:t xml:space="preserve">reform, as well as </w:t>
      </w:r>
      <w:r w:rsidR="00CD076B">
        <w:rPr>
          <w:rFonts w:cs="Times New Roman"/>
          <w:szCs w:val="24"/>
        </w:rPr>
        <w:t xml:space="preserve">rationalize </w:t>
      </w:r>
      <w:r w:rsidR="00872FB6">
        <w:rPr>
          <w:rFonts w:cs="Times New Roman"/>
          <w:szCs w:val="24"/>
        </w:rPr>
        <w:t xml:space="preserve">the </w:t>
      </w:r>
      <w:r w:rsidR="00CD076B">
        <w:rPr>
          <w:rFonts w:cs="Times New Roman"/>
          <w:szCs w:val="24"/>
        </w:rPr>
        <w:t>decision</w:t>
      </w:r>
      <w:r w:rsidR="000354C4">
        <w:rPr>
          <w:rFonts w:cs="Times New Roman"/>
          <w:szCs w:val="24"/>
        </w:rPr>
        <w:t>-</w:t>
      </w:r>
      <w:r w:rsidR="00CD076B">
        <w:rPr>
          <w:rFonts w:cs="Times New Roman"/>
          <w:szCs w:val="24"/>
        </w:rPr>
        <w:t>making process</w:t>
      </w:r>
      <w:r w:rsidR="00376793">
        <w:rPr>
          <w:rFonts w:cs="Times New Roman"/>
          <w:szCs w:val="24"/>
        </w:rPr>
        <w:t>,</w:t>
      </w:r>
      <w:r w:rsidR="00CD076B">
        <w:rPr>
          <w:rFonts w:cs="Times New Roman"/>
          <w:szCs w:val="24"/>
        </w:rPr>
        <w:t xml:space="preserve"> to avoid future proliferation of </w:t>
      </w:r>
      <w:r w:rsidR="004743F0">
        <w:rPr>
          <w:rFonts w:cs="Times New Roman"/>
          <w:szCs w:val="24"/>
        </w:rPr>
        <w:t>benefits without proper long</w:t>
      </w:r>
      <w:r w:rsidR="005B48FB">
        <w:rPr>
          <w:rFonts w:cs="Times New Roman"/>
          <w:szCs w:val="24"/>
        </w:rPr>
        <w:t>-</w:t>
      </w:r>
      <w:r w:rsidR="004743F0">
        <w:rPr>
          <w:rFonts w:cs="Times New Roman"/>
          <w:szCs w:val="24"/>
        </w:rPr>
        <w:t xml:space="preserve">term funding. </w:t>
      </w:r>
    </w:p>
    <w:p w14:paraId="648408F4" w14:textId="78379CFC" w:rsidR="003610D8" w:rsidRPr="00D9430C" w:rsidRDefault="009B4E6F" w:rsidP="00D9430C">
      <w:pPr>
        <w:rPr>
          <w:rFonts w:cs="Times New Roman"/>
          <w:szCs w:val="24"/>
        </w:rPr>
      </w:pPr>
      <w:r>
        <w:rPr>
          <w:rFonts w:cs="Times New Roman"/>
          <w:szCs w:val="24"/>
        </w:rPr>
        <w:t xml:space="preserve">The World Bank can support the </w:t>
      </w:r>
      <w:r w:rsidR="00376793">
        <w:rPr>
          <w:rFonts w:cs="Times New Roman"/>
          <w:szCs w:val="24"/>
        </w:rPr>
        <w:t>G</w:t>
      </w:r>
      <w:r>
        <w:rPr>
          <w:rFonts w:cs="Times New Roman"/>
          <w:szCs w:val="24"/>
        </w:rPr>
        <w:t xml:space="preserve">overnment of Kosovo </w:t>
      </w:r>
      <w:r w:rsidR="00A242D0">
        <w:rPr>
          <w:rFonts w:cs="Times New Roman"/>
          <w:szCs w:val="24"/>
        </w:rPr>
        <w:t xml:space="preserve">using its regional ASA on Pensions in the Western Balkans to develop some of these proposals, </w:t>
      </w:r>
      <w:r w:rsidR="0017221E">
        <w:rPr>
          <w:rFonts w:cs="Times New Roman"/>
          <w:szCs w:val="24"/>
        </w:rPr>
        <w:t xml:space="preserve">and </w:t>
      </w:r>
      <w:r w:rsidR="00783FD3">
        <w:rPr>
          <w:rFonts w:cs="Times New Roman"/>
          <w:szCs w:val="24"/>
        </w:rPr>
        <w:t xml:space="preserve">by including some institutional and legislative measures in the potential </w:t>
      </w:r>
      <w:r w:rsidR="00656AA6" w:rsidRPr="00656AA6">
        <w:rPr>
          <w:rFonts w:cs="Times New Roman"/>
          <w:szCs w:val="24"/>
        </w:rPr>
        <w:t xml:space="preserve">Development Policy Financing </w:t>
      </w:r>
      <w:r w:rsidR="00656AA6">
        <w:rPr>
          <w:rFonts w:cs="Times New Roman"/>
          <w:szCs w:val="24"/>
        </w:rPr>
        <w:t>(</w:t>
      </w:r>
      <w:r w:rsidR="00783FD3">
        <w:rPr>
          <w:rFonts w:cs="Times New Roman"/>
          <w:szCs w:val="24"/>
        </w:rPr>
        <w:t>DPF</w:t>
      </w:r>
      <w:r w:rsidR="00656AA6">
        <w:rPr>
          <w:rFonts w:cs="Times New Roman"/>
          <w:szCs w:val="24"/>
        </w:rPr>
        <w:t>)</w:t>
      </w:r>
      <w:r w:rsidR="00783FD3">
        <w:rPr>
          <w:rFonts w:cs="Times New Roman"/>
          <w:szCs w:val="24"/>
        </w:rPr>
        <w:t xml:space="preserve"> operation </w:t>
      </w:r>
      <w:r w:rsidR="00915D6D">
        <w:rPr>
          <w:rFonts w:cs="Times New Roman"/>
          <w:szCs w:val="24"/>
        </w:rPr>
        <w:t>under discussion with the government</w:t>
      </w:r>
      <w:r w:rsidR="00FE2072">
        <w:rPr>
          <w:rFonts w:cs="Times New Roman"/>
          <w:szCs w:val="24"/>
        </w:rPr>
        <w:t>.</w:t>
      </w:r>
    </w:p>
    <w:p w14:paraId="19964D7E" w14:textId="77777777" w:rsidR="00E2685A" w:rsidRDefault="00E2685A" w:rsidP="004E3747">
      <w:pPr>
        <w:rPr>
          <w:rFonts w:cs="Times New Roman"/>
          <w:szCs w:val="24"/>
        </w:rPr>
      </w:pPr>
    </w:p>
    <w:p w14:paraId="2613243A" w14:textId="77777777" w:rsidR="00E2685A" w:rsidRDefault="00E2685A">
      <w:pPr>
        <w:rPr>
          <w:rFonts w:cs="Times New Roman"/>
          <w:b/>
        </w:rPr>
      </w:pPr>
      <w:r>
        <w:rPr>
          <w:rFonts w:cs="Times New Roman"/>
          <w:b/>
        </w:rPr>
        <w:br w:type="page"/>
      </w:r>
    </w:p>
    <w:p w14:paraId="58E4FF22" w14:textId="088E7932" w:rsidR="00B373B4" w:rsidRDefault="00DB47F7" w:rsidP="00DB47F7">
      <w:pPr>
        <w:jc w:val="center"/>
        <w:rPr>
          <w:rFonts w:cs="Times New Roman"/>
        </w:rPr>
      </w:pPr>
      <w:r w:rsidRPr="00DB47F7">
        <w:rPr>
          <w:rFonts w:cs="Times New Roman"/>
          <w:b/>
        </w:rPr>
        <w:lastRenderedPageBreak/>
        <w:t>Annex 1</w:t>
      </w:r>
    </w:p>
    <w:p w14:paraId="69F6B77D" w14:textId="6B744866" w:rsidR="00DB47F7" w:rsidRPr="00DB47F7" w:rsidRDefault="00DB47F7" w:rsidP="00B373B4">
      <w:pPr>
        <w:rPr>
          <w:rFonts w:cs="Times New Roman"/>
        </w:rPr>
      </w:pPr>
      <w:r w:rsidRPr="00DB47F7">
        <w:rPr>
          <w:rFonts w:cs="Times New Roman"/>
        </w:rPr>
        <w:t xml:space="preserve">Description of existing pension programs in Kosovo from the </w:t>
      </w:r>
      <w:r w:rsidR="00376793">
        <w:rPr>
          <w:rFonts w:cs="Times New Roman"/>
        </w:rPr>
        <w:t>‘</w:t>
      </w:r>
      <w:r w:rsidRPr="00DB47F7">
        <w:rPr>
          <w:rFonts w:cs="Times New Roman"/>
        </w:rPr>
        <w:t xml:space="preserve">Concept Document for Regulating </w:t>
      </w:r>
      <w:r w:rsidR="00B373B4">
        <w:rPr>
          <w:rFonts w:cs="Times New Roman"/>
        </w:rPr>
        <w:t>a</w:t>
      </w:r>
      <w:r w:rsidRPr="00DB47F7">
        <w:rPr>
          <w:rFonts w:cs="Times New Roman"/>
        </w:rPr>
        <w:t>nd Managing the Field of Pensions and Benefits from Social Security</w:t>
      </w:r>
      <w:r w:rsidR="00376793">
        <w:rPr>
          <w:rFonts w:cs="Times New Roman"/>
        </w:rPr>
        <w:t>’</w:t>
      </w:r>
      <w:r w:rsidRPr="00DB47F7">
        <w:rPr>
          <w:rFonts w:cs="Times New Roman"/>
        </w:rPr>
        <w:t xml:space="preserve">, published for consultation by the MLSW, October 2018. </w:t>
      </w:r>
    </w:p>
    <w:p w14:paraId="2D0294C4" w14:textId="03259CDD" w:rsidR="00982F2F" w:rsidRDefault="00982F2F" w:rsidP="00982F2F">
      <w:pPr>
        <w:pStyle w:val="Caption"/>
      </w:pPr>
      <w:r>
        <w:t xml:space="preserve">Table </w:t>
      </w:r>
      <w:r w:rsidR="004E6D08">
        <w:t>A</w:t>
      </w:r>
      <w:fldSimple w:instr=" SEQ Annex_Table \* ARABIC ">
        <w:r w:rsidR="005C7B4E">
          <w:rPr>
            <w:noProof/>
          </w:rPr>
          <w:t>1</w:t>
        </w:r>
      </w:fldSimple>
      <w:r>
        <w:t xml:space="preserve">: </w:t>
      </w:r>
      <w:r w:rsidRPr="00077588">
        <w:t>Summary of Pension Schemes</w:t>
      </w:r>
    </w:p>
    <w:tbl>
      <w:tblPr>
        <w:tblW w:w="5000" w:type="pct"/>
        <w:jc w:val="center"/>
        <w:tblCellMar>
          <w:left w:w="0" w:type="dxa"/>
          <w:right w:w="0" w:type="dxa"/>
        </w:tblCellMar>
        <w:tblLook w:val="04A0" w:firstRow="1" w:lastRow="0" w:firstColumn="1" w:lastColumn="0" w:noHBand="0" w:noVBand="1"/>
      </w:tblPr>
      <w:tblGrid>
        <w:gridCol w:w="2125"/>
        <w:gridCol w:w="4655"/>
        <w:gridCol w:w="2564"/>
      </w:tblGrid>
      <w:tr w:rsidR="00DB47F7" w:rsidRPr="00DD528A" w14:paraId="2BE0E245" w14:textId="77777777" w:rsidTr="00654D4E">
        <w:trPr>
          <w:tblHeader/>
          <w:jc w:val="center"/>
        </w:trPr>
        <w:tc>
          <w:tcPr>
            <w:tcW w:w="1137" w:type="pct"/>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hideMark/>
          </w:tcPr>
          <w:p w14:paraId="09A314B7" w14:textId="77777777" w:rsidR="00DB47F7" w:rsidRPr="00DD528A" w:rsidRDefault="00DB47F7" w:rsidP="00D92F66">
            <w:pPr>
              <w:spacing w:after="0" w:line="184" w:lineRule="atLeast"/>
              <w:jc w:val="center"/>
              <w:rPr>
                <w:rFonts w:eastAsia="Times New Roman" w:cs="Times New Roman"/>
                <w:sz w:val="20"/>
                <w:szCs w:val="20"/>
              </w:rPr>
            </w:pPr>
            <w:r w:rsidRPr="00DD528A">
              <w:rPr>
                <w:rFonts w:eastAsia="Times New Roman" w:cs="Times New Roman"/>
                <w:b/>
                <w:bCs/>
                <w:sz w:val="20"/>
                <w:szCs w:val="20"/>
              </w:rPr>
              <w:t>Scheme</w:t>
            </w:r>
          </w:p>
        </w:tc>
        <w:tc>
          <w:tcPr>
            <w:tcW w:w="2491" w:type="pct"/>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hideMark/>
          </w:tcPr>
          <w:p w14:paraId="505E6082" w14:textId="77777777" w:rsidR="00DB47F7" w:rsidRPr="00DD528A" w:rsidRDefault="00DB47F7" w:rsidP="00D92F66">
            <w:pPr>
              <w:spacing w:after="0" w:line="171" w:lineRule="atLeast"/>
              <w:jc w:val="center"/>
              <w:rPr>
                <w:rFonts w:eastAsia="Times New Roman" w:cs="Times New Roman"/>
                <w:sz w:val="20"/>
                <w:szCs w:val="20"/>
              </w:rPr>
            </w:pPr>
            <w:r w:rsidRPr="00DD528A">
              <w:rPr>
                <w:rFonts w:eastAsia="Times New Roman" w:cs="Times New Roman"/>
                <w:b/>
                <w:bCs/>
                <w:sz w:val="20"/>
                <w:szCs w:val="20"/>
              </w:rPr>
              <w:t>Criteria</w:t>
            </w:r>
          </w:p>
        </w:tc>
        <w:tc>
          <w:tcPr>
            <w:tcW w:w="1372" w:type="pct"/>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hideMark/>
          </w:tcPr>
          <w:p w14:paraId="4FA945A0" w14:textId="670A7407" w:rsidR="00DB47F7" w:rsidRPr="00DD528A" w:rsidRDefault="00DB47F7" w:rsidP="00B12478">
            <w:pPr>
              <w:spacing w:after="0" w:line="171" w:lineRule="atLeast"/>
              <w:jc w:val="center"/>
              <w:rPr>
                <w:rFonts w:eastAsia="Times New Roman" w:cs="Times New Roman"/>
                <w:sz w:val="20"/>
                <w:szCs w:val="20"/>
              </w:rPr>
            </w:pPr>
            <w:r w:rsidRPr="00DD528A">
              <w:rPr>
                <w:rFonts w:eastAsia="Times New Roman" w:cs="Times New Roman"/>
                <w:b/>
                <w:bCs/>
                <w:sz w:val="20"/>
                <w:szCs w:val="20"/>
              </w:rPr>
              <w:t xml:space="preserve">Monthly </w:t>
            </w:r>
            <w:r w:rsidR="00B12478" w:rsidRPr="00DD528A">
              <w:rPr>
                <w:rFonts w:eastAsia="Times New Roman" w:cs="Times New Roman"/>
                <w:b/>
                <w:bCs/>
                <w:sz w:val="20"/>
                <w:szCs w:val="20"/>
              </w:rPr>
              <w:t>A</w:t>
            </w:r>
            <w:r w:rsidRPr="00DD528A">
              <w:rPr>
                <w:rFonts w:eastAsia="Times New Roman" w:cs="Times New Roman"/>
                <w:b/>
                <w:bCs/>
                <w:sz w:val="20"/>
                <w:szCs w:val="20"/>
              </w:rPr>
              <w:t>mount</w:t>
            </w:r>
          </w:p>
        </w:tc>
      </w:tr>
      <w:tr w:rsidR="00DB47F7" w:rsidRPr="00DD528A" w14:paraId="77D4C9BE" w14:textId="77777777" w:rsidTr="004E6D08">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hideMark/>
          </w:tcPr>
          <w:p w14:paraId="6D552E0E" w14:textId="77777777" w:rsidR="00DB47F7" w:rsidRPr="00DD528A" w:rsidRDefault="00DB47F7" w:rsidP="00D92F66">
            <w:pPr>
              <w:spacing w:after="0" w:line="171" w:lineRule="atLeast"/>
              <w:rPr>
                <w:rFonts w:eastAsia="Times New Roman" w:cs="Times New Roman"/>
                <w:sz w:val="20"/>
                <w:szCs w:val="20"/>
              </w:rPr>
            </w:pPr>
            <w:r w:rsidRPr="00DD528A">
              <w:rPr>
                <w:rFonts w:eastAsia="Times New Roman" w:cs="Times New Roman"/>
                <w:b/>
                <w:bCs/>
                <w:sz w:val="20"/>
                <w:szCs w:val="20"/>
              </w:rPr>
              <w:t>Pensions regulated by Law No. 04 / L-131 on State Pension Funds</w:t>
            </w:r>
          </w:p>
        </w:tc>
      </w:tr>
      <w:tr w:rsidR="00DB47F7" w:rsidRPr="00DD528A" w14:paraId="1BCB9201"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C6533"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Basic Pension Scheme</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33403" w14:textId="17121DDE"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Age 65 years</w:t>
            </w:r>
          </w:p>
          <w:p w14:paraId="3B7F32CD" w14:textId="2D1081A6"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Permanent residence in Kosovo</w:t>
            </w:r>
          </w:p>
          <w:p w14:paraId="19CCC8E7" w14:textId="6D4A9964"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Citizenship of Kosovo</w:t>
            </w:r>
          </w:p>
          <w:p w14:paraId="60440502" w14:textId="61EB743B"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Presentation to MLSW every 6 months</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2C00E" w14:textId="77777777" w:rsidR="004E6D08" w:rsidRDefault="004E6D08" w:rsidP="0008299C">
            <w:pPr>
              <w:spacing w:after="0" w:line="171" w:lineRule="atLeast"/>
              <w:jc w:val="left"/>
              <w:rPr>
                <w:rFonts w:eastAsia="Times New Roman" w:cs="Times New Roman"/>
                <w:sz w:val="20"/>
                <w:szCs w:val="20"/>
              </w:rPr>
            </w:pPr>
          </w:p>
          <w:p w14:paraId="6A500B3A" w14:textId="20D6F2A6" w:rsidR="00DB47F7" w:rsidRPr="00DD528A" w:rsidRDefault="0008299C" w:rsidP="0008299C">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75</w:t>
            </w:r>
            <w:r w:rsidR="00DB47F7" w:rsidRPr="00DD528A">
              <w:rPr>
                <w:rStyle w:val="FootnoteReference"/>
                <w:rFonts w:eastAsia="Times New Roman" w:cs="Times New Roman"/>
                <w:sz w:val="20"/>
                <w:szCs w:val="20"/>
              </w:rPr>
              <w:footnoteReference w:id="6"/>
            </w:r>
          </w:p>
        </w:tc>
      </w:tr>
      <w:tr w:rsidR="00DB47F7" w:rsidRPr="00DD528A" w14:paraId="59850DB7"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CF359"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Ex-Contributor Pension</w:t>
            </w:r>
            <w:r w:rsidRPr="00DD528A">
              <w:rPr>
                <w:rStyle w:val="FootnoteReference"/>
                <w:rFonts w:eastAsia="Times New Roman" w:cs="Times New Roman"/>
                <w:sz w:val="20"/>
                <w:szCs w:val="20"/>
              </w:rPr>
              <w:footnoteReference w:id="7"/>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008601" w14:textId="71277D6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Age 65 years</w:t>
            </w:r>
          </w:p>
          <w:p w14:paraId="6021CB1F" w14:textId="6E8AE586"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Permanent </w:t>
            </w:r>
            <w:r w:rsidR="00F33709" w:rsidRPr="00DD528A">
              <w:rPr>
                <w:rFonts w:eastAsia="Times New Roman" w:cs="Times New Roman"/>
                <w:sz w:val="20"/>
                <w:szCs w:val="20"/>
              </w:rPr>
              <w:t>r</w:t>
            </w:r>
            <w:r w:rsidRPr="00DD528A">
              <w:rPr>
                <w:rFonts w:eastAsia="Times New Roman" w:cs="Times New Roman"/>
                <w:sz w:val="20"/>
                <w:szCs w:val="20"/>
              </w:rPr>
              <w:t>esidence in Kosovo</w:t>
            </w:r>
          </w:p>
          <w:p w14:paraId="0B7A60A5" w14:textId="61943F5D"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Presentation to MLSW every 6 months</w:t>
            </w:r>
          </w:p>
          <w:p w14:paraId="70DA617F" w14:textId="0F4FAC0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At least 15 years contribution to the pension system in the former Yugoslavia before 1999</w:t>
            </w:r>
          </w:p>
          <w:p w14:paraId="04DB30E3"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7EF2FBB" w14:textId="0F16192E"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Recognition of work experience in 1989</w:t>
            </w:r>
            <w:r w:rsidR="00F33709" w:rsidRPr="00DD528A">
              <w:rPr>
                <w:rFonts w:eastAsia="Times New Roman" w:cs="Times New Roman"/>
                <w:sz w:val="20"/>
                <w:szCs w:val="20"/>
              </w:rPr>
              <w:t>–</w:t>
            </w:r>
            <w:r w:rsidRPr="00DD528A">
              <w:rPr>
                <w:rFonts w:eastAsia="Times New Roman" w:cs="Times New Roman"/>
                <w:sz w:val="20"/>
                <w:szCs w:val="20"/>
              </w:rPr>
              <w:t>1999 education, healthcare workers</w:t>
            </w:r>
            <w:r w:rsidR="00F33709" w:rsidRPr="00DD528A">
              <w:rPr>
                <w:rFonts w:eastAsia="Times New Roman" w:cs="Times New Roman"/>
                <w:sz w:val="20"/>
                <w:szCs w:val="20"/>
              </w:rPr>
              <w:t>, and so on</w:t>
            </w:r>
          </w:p>
          <w:p w14:paraId="5E070CC5"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4F81DABA"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Categorization of users according to the qualification structure:</w:t>
            </w:r>
          </w:p>
          <w:p w14:paraId="43B0E065" w14:textId="5DD0C23D"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1) Low-level pensioners</w:t>
            </w:r>
          </w:p>
          <w:p w14:paraId="739D5FD3" w14:textId="2CB897C5"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2) Secondary school retirees</w:t>
            </w:r>
          </w:p>
          <w:p w14:paraId="77721962" w14:textId="40A332D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3) High school graduates</w:t>
            </w:r>
          </w:p>
          <w:p w14:paraId="6F44CEFE"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4) Pensioners with superior education.</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5D2FF"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93C49B1"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48E3E8F6"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A6D0127"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72D2228F"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0284CFA6"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3C1EC4FC"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0377BB70"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235E7189"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793650EF" w14:textId="4FE22684" w:rsidR="00DB47F7" w:rsidRPr="00DD528A" w:rsidRDefault="0008299C" w:rsidP="00F33709">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 xml:space="preserve">158 </w:t>
            </w:r>
          </w:p>
          <w:p w14:paraId="33CBDB8F" w14:textId="31EC6993" w:rsidR="00DB47F7" w:rsidRPr="00DD528A" w:rsidRDefault="0008299C" w:rsidP="00F33709">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172</w:t>
            </w:r>
          </w:p>
          <w:p w14:paraId="2EB2C4CF" w14:textId="559AFB27" w:rsidR="00DB47F7" w:rsidRPr="00DD528A" w:rsidRDefault="0008299C" w:rsidP="00F33709">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 xml:space="preserve">186 </w:t>
            </w:r>
          </w:p>
          <w:p w14:paraId="1B34F418" w14:textId="35A1DD56" w:rsidR="00DB47F7" w:rsidRPr="00DD528A" w:rsidRDefault="0008299C" w:rsidP="0008299C">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 xml:space="preserve">230 </w:t>
            </w:r>
          </w:p>
        </w:tc>
      </w:tr>
      <w:tr w:rsidR="00DB47F7" w:rsidRPr="00DD528A" w14:paraId="1C99C025"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C0CE1"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Pension Scheme of Permanent Disability</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7070E" w14:textId="44106CCD"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Age 18</w:t>
            </w:r>
            <w:r w:rsidR="00F33709" w:rsidRPr="00DD528A">
              <w:rPr>
                <w:rFonts w:eastAsia="Times New Roman" w:cs="Times New Roman"/>
                <w:sz w:val="20"/>
                <w:szCs w:val="20"/>
              </w:rPr>
              <w:t>–</w:t>
            </w:r>
            <w:r w:rsidRPr="00DD528A">
              <w:rPr>
                <w:rFonts w:eastAsia="Times New Roman" w:cs="Times New Roman"/>
                <w:sz w:val="20"/>
                <w:szCs w:val="20"/>
              </w:rPr>
              <w:t>65 years</w:t>
            </w:r>
          </w:p>
          <w:p w14:paraId="56166C77" w14:textId="452AD6B4"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D is for permanent disability (100%)</w:t>
            </w:r>
          </w:p>
          <w:p w14:paraId="354BFCE7" w14:textId="7B3FED70"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xml:space="preserve">Permanent </w:t>
            </w:r>
            <w:r w:rsidR="00F33709" w:rsidRPr="00DD528A">
              <w:rPr>
                <w:rFonts w:eastAsia="Times New Roman" w:cs="Times New Roman"/>
                <w:sz w:val="20"/>
                <w:szCs w:val="20"/>
              </w:rPr>
              <w:t>r</w:t>
            </w:r>
            <w:r w:rsidRPr="00DD528A">
              <w:rPr>
                <w:rFonts w:eastAsia="Times New Roman" w:cs="Times New Roman"/>
                <w:sz w:val="20"/>
                <w:szCs w:val="20"/>
              </w:rPr>
              <w:t>esidence in Kosovo</w:t>
            </w:r>
          </w:p>
          <w:p w14:paraId="3F32046F" w14:textId="0C9CFA98"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xml:space="preserve">After 1, 3, or 5 years (depending on the assessment), the beneficiary submits to the Medical Commission for </w:t>
            </w:r>
            <w:r w:rsidR="00F33709" w:rsidRPr="00DD528A">
              <w:rPr>
                <w:rFonts w:eastAsia="Times New Roman" w:cs="Times New Roman"/>
                <w:sz w:val="20"/>
                <w:szCs w:val="20"/>
              </w:rPr>
              <w:t>m</w:t>
            </w:r>
            <w:r w:rsidRPr="00DD528A">
              <w:rPr>
                <w:rFonts w:eastAsia="Times New Roman" w:cs="Times New Roman"/>
                <w:sz w:val="20"/>
                <w:szCs w:val="20"/>
              </w:rPr>
              <w:t xml:space="preserve">edical </w:t>
            </w:r>
            <w:r w:rsidR="00F33709" w:rsidRPr="00DD528A">
              <w:rPr>
                <w:rFonts w:eastAsia="Times New Roman" w:cs="Times New Roman"/>
                <w:sz w:val="20"/>
                <w:szCs w:val="20"/>
              </w:rPr>
              <w:t>r</w:t>
            </w:r>
            <w:r w:rsidRPr="00DD528A">
              <w:rPr>
                <w:rFonts w:eastAsia="Times New Roman" w:cs="Times New Roman"/>
                <w:sz w:val="20"/>
                <w:szCs w:val="20"/>
              </w:rPr>
              <w:t>eassessment</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0D9FB"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59177335"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73ABB05C" w14:textId="7D463F5B" w:rsidR="00DB47F7" w:rsidRPr="00DD528A" w:rsidRDefault="002B5CE2" w:rsidP="002B5CE2">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75</w:t>
            </w:r>
          </w:p>
        </w:tc>
      </w:tr>
      <w:tr w:rsidR="00DB47F7" w:rsidRPr="00DD528A" w14:paraId="340E25F3"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D15B2" w14:textId="1E7E8E19"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xml:space="preserve">The Early Pension Scheme of the </w:t>
            </w:r>
            <w:r w:rsidR="00654D4E">
              <w:rPr>
                <w:rFonts w:eastAsia="Times New Roman" w:cs="Times New Roman"/>
                <w:b/>
                <w:bCs/>
                <w:sz w:val="20"/>
                <w:szCs w:val="20"/>
              </w:rPr>
              <w:t>‘</w:t>
            </w:r>
            <w:proofErr w:type="spellStart"/>
            <w:r w:rsidRPr="00DD528A">
              <w:rPr>
                <w:rFonts w:eastAsia="Times New Roman" w:cs="Times New Roman"/>
                <w:b/>
                <w:bCs/>
                <w:sz w:val="20"/>
                <w:szCs w:val="20"/>
              </w:rPr>
              <w:t>Trepça</w:t>
            </w:r>
            <w:proofErr w:type="spellEnd"/>
            <w:r w:rsidR="00654D4E">
              <w:rPr>
                <w:rFonts w:eastAsia="Times New Roman" w:cs="Times New Roman"/>
                <w:b/>
                <w:bCs/>
                <w:sz w:val="20"/>
                <w:szCs w:val="20"/>
              </w:rPr>
              <w:t>’</w:t>
            </w:r>
            <w:r w:rsidRPr="00DD528A">
              <w:rPr>
                <w:rFonts w:eastAsia="Times New Roman" w:cs="Times New Roman"/>
                <w:b/>
                <w:bCs/>
                <w:sz w:val="20"/>
                <w:szCs w:val="20"/>
              </w:rPr>
              <w:t xml:space="preserve"> Complex</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627BA" w14:textId="781E06FB"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Permanent residence in Kosovo</w:t>
            </w:r>
          </w:p>
          <w:p w14:paraId="788EF125" w14:textId="73A52885"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Age 50</w:t>
            </w:r>
            <w:r w:rsidR="002B5CE2" w:rsidRPr="00DD528A">
              <w:rPr>
                <w:rFonts w:eastAsia="Times New Roman" w:cs="Times New Roman"/>
                <w:sz w:val="20"/>
                <w:szCs w:val="20"/>
              </w:rPr>
              <w:t>–</w:t>
            </w:r>
            <w:r w:rsidRPr="00DD528A">
              <w:rPr>
                <w:rFonts w:eastAsia="Times New Roman" w:cs="Times New Roman"/>
                <w:sz w:val="20"/>
                <w:szCs w:val="20"/>
              </w:rPr>
              <w:t>65 years</w:t>
            </w:r>
          </w:p>
          <w:p w14:paraId="1EC60BD5" w14:textId="22106A02"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A proven contribution of at least 10 years in the mining sector (includes the period of dismissal during the 1990s)</w:t>
            </w:r>
          </w:p>
          <w:p w14:paraId="2EC0B9BB" w14:textId="6ABF9395"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Limited work ability up to 50%</w:t>
            </w:r>
          </w:p>
          <w:p w14:paraId="32A1FC1F" w14:textId="528DB88F"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To have no income from employment or self-employment</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20C27"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5A8F44E"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1DB140C2" w14:textId="21EE2257" w:rsidR="00DB47F7" w:rsidRPr="00DD528A" w:rsidRDefault="002B5CE2" w:rsidP="002B5CE2">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105</w:t>
            </w:r>
            <w:r w:rsidR="00DB47F7" w:rsidRPr="00DD528A">
              <w:rPr>
                <w:rStyle w:val="FootnoteReference"/>
                <w:rFonts w:eastAsia="Times New Roman" w:cs="Times New Roman"/>
                <w:sz w:val="20"/>
                <w:szCs w:val="20"/>
              </w:rPr>
              <w:footnoteReference w:id="8"/>
            </w:r>
          </w:p>
        </w:tc>
      </w:tr>
      <w:tr w:rsidR="00DB47F7" w:rsidRPr="00DD528A" w14:paraId="150895DB"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29C18"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Pension Scheme of Kosovo Protection Corps Members (KPC)</w:t>
            </w:r>
          </w:p>
          <w:p w14:paraId="33BAFCC4"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277FBFF3"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i/>
                <w:iCs/>
                <w:sz w:val="20"/>
                <w:szCs w:val="20"/>
              </w:rPr>
              <w:t xml:space="preserve">Law No. 03 / L-100 on Pensions of Members </w:t>
            </w:r>
            <w:r w:rsidRPr="00DD528A">
              <w:rPr>
                <w:rFonts w:eastAsia="Times New Roman" w:cs="Times New Roman"/>
                <w:b/>
                <w:bCs/>
                <w:i/>
                <w:iCs/>
                <w:sz w:val="20"/>
                <w:szCs w:val="20"/>
              </w:rPr>
              <w:lastRenderedPageBreak/>
              <w:t>of the Kosovo Protection Corps</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39176" w14:textId="47A815A8"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lastRenderedPageBreak/>
              <w:t>Minimum age: 45 years</w:t>
            </w:r>
          </w:p>
          <w:p w14:paraId="1D2040F3" w14:textId="1653B4C3"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Service in KPC for at least 5 years</w:t>
            </w:r>
          </w:p>
          <w:p w14:paraId="79685F19"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34154475" w14:textId="4E3347F0"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Pensions are paid after the age of 65</w:t>
            </w:r>
            <w:r w:rsidR="002B5CE2" w:rsidRPr="00DD528A">
              <w:rPr>
                <w:rFonts w:eastAsia="Times New Roman" w:cs="Times New Roman"/>
                <w:sz w:val="20"/>
                <w:szCs w:val="20"/>
              </w:rPr>
              <w:t xml:space="preserve"> years</w:t>
            </w:r>
            <w:r w:rsidRPr="00DD528A">
              <w:rPr>
                <w:rFonts w:eastAsia="Times New Roman" w:cs="Times New Roman"/>
                <w:sz w:val="20"/>
                <w:szCs w:val="20"/>
              </w:rPr>
              <w:t>, together with the basic pension and the contributing pension.</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01871" w14:textId="52232328"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45 years of age</w:t>
            </w:r>
            <w:r w:rsidR="007A32AF" w:rsidRPr="00DD528A">
              <w:rPr>
                <w:rFonts w:eastAsia="Times New Roman" w:cs="Times New Roman"/>
                <w:sz w:val="20"/>
                <w:szCs w:val="20"/>
              </w:rPr>
              <w:t>—</w:t>
            </w:r>
            <w:r w:rsidRPr="00DD528A">
              <w:rPr>
                <w:rFonts w:eastAsia="Times New Roman" w:cs="Times New Roman"/>
                <w:sz w:val="20"/>
                <w:szCs w:val="20"/>
              </w:rPr>
              <w:t>50% of the last salary of the KPC</w:t>
            </w:r>
          </w:p>
          <w:p w14:paraId="4BE67C05"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430A4E7" w14:textId="4A9BC839"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50 years old</w:t>
            </w:r>
            <w:r w:rsidR="007A32AF" w:rsidRPr="00DD528A">
              <w:rPr>
                <w:rFonts w:eastAsia="Times New Roman" w:cs="Times New Roman"/>
                <w:sz w:val="20"/>
                <w:szCs w:val="20"/>
              </w:rPr>
              <w:t>—</w:t>
            </w:r>
            <w:r w:rsidRPr="00DD528A">
              <w:rPr>
                <w:rFonts w:eastAsia="Times New Roman" w:cs="Times New Roman"/>
                <w:sz w:val="20"/>
                <w:szCs w:val="20"/>
              </w:rPr>
              <w:t>70% of the last salary from the KPC</w:t>
            </w:r>
          </w:p>
          <w:p w14:paraId="393330FF"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7BEB82DF" w14:textId="6F2FB796" w:rsidR="00DB47F7" w:rsidRPr="00DD528A" w:rsidRDefault="00DB47F7" w:rsidP="007A32AF">
            <w:pPr>
              <w:spacing w:after="0" w:line="171" w:lineRule="atLeast"/>
              <w:jc w:val="left"/>
              <w:rPr>
                <w:rFonts w:eastAsia="Times New Roman" w:cs="Times New Roman"/>
                <w:sz w:val="20"/>
                <w:szCs w:val="20"/>
              </w:rPr>
            </w:pPr>
            <w:r w:rsidRPr="00DD528A">
              <w:rPr>
                <w:rFonts w:eastAsia="Times New Roman" w:cs="Times New Roman"/>
                <w:sz w:val="20"/>
                <w:szCs w:val="20"/>
              </w:rPr>
              <w:t xml:space="preserve">Survivors (family) can benefit: spouse 60% and </w:t>
            </w:r>
            <w:r w:rsidRPr="00DD528A">
              <w:rPr>
                <w:rFonts w:eastAsia="Times New Roman" w:cs="Times New Roman"/>
                <w:sz w:val="20"/>
                <w:szCs w:val="20"/>
              </w:rPr>
              <w:lastRenderedPageBreak/>
              <w:t xml:space="preserve">children 20% (regardless of number, up to 18 years of age, 26 </w:t>
            </w:r>
            <w:r w:rsidR="007A32AF" w:rsidRPr="00DD528A">
              <w:rPr>
                <w:rFonts w:eastAsia="Times New Roman" w:cs="Times New Roman"/>
                <w:sz w:val="20"/>
                <w:szCs w:val="20"/>
              </w:rPr>
              <w:t>years</w:t>
            </w:r>
            <w:r w:rsidRPr="00DD528A">
              <w:rPr>
                <w:rFonts w:eastAsia="Times New Roman" w:cs="Times New Roman"/>
                <w:sz w:val="20"/>
                <w:szCs w:val="20"/>
              </w:rPr>
              <w:t xml:space="preserve"> if the latter goes to school)</w:t>
            </w:r>
            <w:r w:rsidR="007A32AF" w:rsidRPr="00DD528A">
              <w:rPr>
                <w:rFonts w:eastAsia="Times New Roman" w:cs="Times New Roman"/>
                <w:sz w:val="20"/>
                <w:szCs w:val="20"/>
              </w:rPr>
              <w:t xml:space="preserve"> of </w:t>
            </w:r>
            <w:r w:rsidRPr="00DD528A">
              <w:rPr>
                <w:rFonts w:eastAsia="Times New Roman" w:cs="Times New Roman"/>
                <w:sz w:val="20"/>
                <w:szCs w:val="20"/>
              </w:rPr>
              <w:t> the pension paid to the KPC pensioner .</w:t>
            </w:r>
          </w:p>
        </w:tc>
      </w:tr>
      <w:tr w:rsidR="00DB47F7" w:rsidRPr="00DD528A" w14:paraId="12C123D5"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9BB51"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Pension Scheme for Members of the Kosovo Security Force (KSF)</w:t>
            </w:r>
          </w:p>
          <w:p w14:paraId="4443D436"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i/>
                <w:iCs/>
                <w:sz w:val="20"/>
                <w:szCs w:val="20"/>
              </w:rPr>
              <w:t> </w:t>
            </w:r>
          </w:p>
          <w:p w14:paraId="793107E3"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i/>
                <w:iCs/>
                <w:sz w:val="20"/>
                <w:szCs w:val="20"/>
              </w:rPr>
              <w:t>Law no.</w:t>
            </w:r>
            <w:r w:rsidRPr="00DD528A">
              <w:rPr>
                <w:rFonts w:eastAsia="Times New Roman" w:cs="Times New Roman"/>
                <w:sz w:val="20"/>
                <w:szCs w:val="20"/>
              </w:rPr>
              <w:t> </w:t>
            </w:r>
            <w:r w:rsidRPr="00DD528A">
              <w:rPr>
                <w:rFonts w:eastAsia="Times New Roman" w:cs="Times New Roman"/>
                <w:b/>
                <w:bCs/>
                <w:i/>
                <w:iCs/>
                <w:sz w:val="20"/>
                <w:szCs w:val="20"/>
              </w:rPr>
              <w:t>04 / L-084 on Pensions of Members of the Kosovo Security Force</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87B5C" w14:textId="14A2F27A"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xml:space="preserve">Minimum age: 50 </w:t>
            </w:r>
            <w:r w:rsidR="00F809D0" w:rsidRPr="00DD528A">
              <w:rPr>
                <w:rFonts w:eastAsia="Times New Roman" w:cs="Times New Roman"/>
                <w:sz w:val="20"/>
                <w:szCs w:val="20"/>
              </w:rPr>
              <w:t xml:space="preserve">years </w:t>
            </w:r>
            <w:r w:rsidRPr="00DD528A">
              <w:rPr>
                <w:rFonts w:eastAsia="Times New Roman" w:cs="Times New Roman"/>
                <w:sz w:val="20"/>
                <w:szCs w:val="20"/>
              </w:rPr>
              <w:t>or 55 years (in the case of officers)</w:t>
            </w:r>
          </w:p>
          <w:p w14:paraId="057167D8"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AA980C3" w14:textId="4A3CE4E6"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Minimum 20 years contribution</w:t>
            </w:r>
          </w:p>
          <w:p w14:paraId="03BDBAFF"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20BB694F" w14:textId="2C75562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xml:space="preserve">Former KPC members continuing KSF service may retire after 3 years of service in </w:t>
            </w:r>
            <w:r w:rsidR="00CE1886">
              <w:rPr>
                <w:rFonts w:eastAsia="Times New Roman" w:cs="Times New Roman"/>
                <w:sz w:val="20"/>
                <w:szCs w:val="20"/>
              </w:rPr>
              <w:t>KSF</w:t>
            </w:r>
            <w:r w:rsidR="00654D4E">
              <w:rPr>
                <w:rFonts w:eastAsia="Times New Roman" w:cs="Times New Roman"/>
                <w:sz w:val="20"/>
                <w:szCs w:val="20"/>
              </w:rPr>
              <w:t>.</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3B6AB" w14:textId="2C76E5D1"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60% of the last salary, 40% of the final salary up to the age of 50</w:t>
            </w:r>
            <w:r w:rsidR="00654D4E">
              <w:rPr>
                <w:rFonts w:eastAsia="Times New Roman" w:cs="Times New Roman"/>
                <w:sz w:val="20"/>
                <w:szCs w:val="20"/>
              </w:rPr>
              <w:t>,</w:t>
            </w:r>
            <w:r w:rsidRPr="00DD528A">
              <w:rPr>
                <w:rFonts w:eastAsia="Times New Roman" w:cs="Times New Roman"/>
                <w:sz w:val="20"/>
                <w:szCs w:val="20"/>
              </w:rPr>
              <w:t xml:space="preserve"> and then 60% (in the case of KPC service)</w:t>
            </w:r>
          </w:p>
          <w:p w14:paraId="7F439615"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5EE1AD45" w14:textId="685B5FFC" w:rsidR="00DB47F7" w:rsidRPr="00DD528A" w:rsidRDefault="00DB47F7" w:rsidP="003C074F">
            <w:pPr>
              <w:spacing w:after="0" w:line="171" w:lineRule="atLeast"/>
              <w:jc w:val="left"/>
              <w:rPr>
                <w:rFonts w:eastAsia="Times New Roman" w:cs="Times New Roman"/>
                <w:sz w:val="20"/>
                <w:szCs w:val="20"/>
              </w:rPr>
            </w:pPr>
            <w:r w:rsidRPr="00DD528A">
              <w:rPr>
                <w:rFonts w:eastAsia="Times New Roman" w:cs="Times New Roman"/>
                <w:sz w:val="20"/>
                <w:szCs w:val="20"/>
              </w:rPr>
              <w:t xml:space="preserve">Survivors (family) can benefit: spouse 60% and children 10% (up to 40%, regardless of number, up to 18 years of age, 26 </w:t>
            </w:r>
            <w:r w:rsidR="003C074F" w:rsidRPr="00DD528A">
              <w:rPr>
                <w:rFonts w:eastAsia="Times New Roman" w:cs="Times New Roman"/>
                <w:sz w:val="20"/>
                <w:szCs w:val="20"/>
              </w:rPr>
              <w:t xml:space="preserve">years </w:t>
            </w:r>
            <w:r w:rsidRPr="00DD528A">
              <w:rPr>
                <w:rFonts w:eastAsia="Times New Roman" w:cs="Times New Roman"/>
                <w:sz w:val="20"/>
                <w:szCs w:val="20"/>
              </w:rPr>
              <w:t>if the latter continues education) of the pension that was paid to the KSF pensioner.</w:t>
            </w:r>
          </w:p>
        </w:tc>
      </w:tr>
      <w:tr w:rsidR="00DB47F7" w:rsidRPr="00DD528A" w14:paraId="46DB74E0"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86E36"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Pension Scheme for Blind Persons</w:t>
            </w:r>
          </w:p>
          <w:p w14:paraId="0AF8BA34"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030C134B"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Law no.</w:t>
            </w:r>
            <w:r w:rsidRPr="00DD528A">
              <w:rPr>
                <w:rFonts w:eastAsia="Times New Roman" w:cs="Times New Roman"/>
                <w:sz w:val="20"/>
                <w:szCs w:val="20"/>
              </w:rPr>
              <w:t> </w:t>
            </w:r>
            <w:r w:rsidRPr="00DD528A">
              <w:rPr>
                <w:rFonts w:eastAsia="Times New Roman" w:cs="Times New Roman"/>
                <w:b/>
                <w:bCs/>
                <w:sz w:val="20"/>
                <w:szCs w:val="20"/>
              </w:rPr>
              <w:t>04 / L-092</w:t>
            </w:r>
            <w:r w:rsidRPr="00DD528A">
              <w:rPr>
                <w:rFonts w:eastAsia="Times New Roman" w:cs="Times New Roman"/>
                <w:sz w:val="20"/>
                <w:szCs w:val="20"/>
              </w:rPr>
              <w:t> </w:t>
            </w:r>
            <w:r w:rsidRPr="00DD528A">
              <w:rPr>
                <w:rFonts w:eastAsia="Times New Roman" w:cs="Times New Roman"/>
                <w:b/>
                <w:bCs/>
                <w:i/>
                <w:iCs/>
                <w:sz w:val="20"/>
                <w:szCs w:val="20"/>
              </w:rPr>
              <w:t>on Blind Persons</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CD2C8" w14:textId="491CE010" w:rsidR="00DB47F7" w:rsidRPr="00DD528A" w:rsidRDefault="00594E7B" w:rsidP="00F33709">
            <w:pPr>
              <w:spacing w:after="0" w:line="171" w:lineRule="atLeast"/>
              <w:jc w:val="left"/>
              <w:rPr>
                <w:rFonts w:eastAsia="Times New Roman" w:cs="Times New Roman"/>
                <w:sz w:val="20"/>
                <w:szCs w:val="20"/>
              </w:rPr>
            </w:pPr>
            <w:r w:rsidRPr="00DD528A">
              <w:rPr>
                <w:rFonts w:eastAsia="Times New Roman" w:cs="Times New Roman"/>
                <w:sz w:val="20"/>
                <w:szCs w:val="20"/>
              </w:rPr>
              <w:t>B</w:t>
            </w:r>
            <w:r w:rsidR="00DB47F7" w:rsidRPr="00DD528A">
              <w:rPr>
                <w:rFonts w:eastAsia="Times New Roman" w:cs="Times New Roman"/>
                <w:sz w:val="20"/>
                <w:szCs w:val="20"/>
              </w:rPr>
              <w:t>eneficiaries: blind persons regardless of age</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EEE6A" w14:textId="593E24F5"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Not</w:t>
            </w:r>
            <w:r w:rsidR="004E6D08">
              <w:rPr>
                <w:rFonts w:eastAsia="Times New Roman" w:cs="Times New Roman"/>
                <w:sz w:val="20"/>
                <w:szCs w:val="20"/>
              </w:rPr>
              <w:t xml:space="preserve"> </w:t>
            </w:r>
            <w:r w:rsidRPr="00DD528A">
              <w:rPr>
                <w:rFonts w:eastAsia="Times New Roman" w:cs="Times New Roman"/>
                <w:sz w:val="20"/>
                <w:szCs w:val="20"/>
              </w:rPr>
              <w:t>less than €125 (+ €125 for the personal assistant if the Commission deems it necessary)</w:t>
            </w:r>
          </w:p>
          <w:p w14:paraId="384D4C58"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08768BBD" w14:textId="2E8C02A4" w:rsidR="00DB47F7" w:rsidRPr="00DD528A" w:rsidRDefault="00DB47F7" w:rsidP="00594E7B">
            <w:pPr>
              <w:spacing w:after="0" w:line="171" w:lineRule="atLeast"/>
              <w:jc w:val="left"/>
              <w:rPr>
                <w:rFonts w:eastAsia="Times New Roman" w:cs="Times New Roman"/>
                <w:sz w:val="20"/>
                <w:szCs w:val="20"/>
              </w:rPr>
            </w:pPr>
            <w:r w:rsidRPr="00DD528A">
              <w:rPr>
                <w:rFonts w:eastAsia="Times New Roman" w:cs="Times New Roman"/>
                <w:sz w:val="20"/>
                <w:szCs w:val="20"/>
              </w:rPr>
              <w:t>Amount to be set based on minimum wage</w:t>
            </w:r>
            <w:r w:rsidR="00594E7B" w:rsidRPr="00DD528A">
              <w:rPr>
                <w:rFonts w:eastAsia="Times New Roman" w:cs="Times New Roman"/>
                <w:sz w:val="20"/>
                <w:szCs w:val="20"/>
              </w:rPr>
              <w:t>s</w:t>
            </w:r>
            <w:r w:rsidRPr="00DD528A">
              <w:rPr>
                <w:rFonts w:eastAsia="Times New Roman" w:cs="Times New Roman"/>
                <w:sz w:val="20"/>
                <w:szCs w:val="20"/>
              </w:rPr>
              <w:t>.</w:t>
            </w:r>
          </w:p>
        </w:tc>
      </w:tr>
      <w:tr w:rsidR="00DB47F7" w:rsidRPr="00DD528A" w14:paraId="13E82A15" w14:textId="77777777" w:rsidTr="004E6D08">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hideMark/>
          </w:tcPr>
          <w:p w14:paraId="6C1F9D73" w14:textId="686BB4CE"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b/>
                <w:bCs/>
                <w:sz w:val="20"/>
                <w:szCs w:val="20"/>
              </w:rPr>
              <w:t>Other pension schemes - start</w:t>
            </w:r>
            <w:r w:rsidR="004E6D08">
              <w:rPr>
                <w:rFonts w:eastAsia="Times New Roman" w:cs="Times New Roman"/>
                <w:b/>
                <w:bCs/>
                <w:sz w:val="20"/>
                <w:szCs w:val="20"/>
              </w:rPr>
              <w:t xml:space="preserve"> </w:t>
            </w:r>
            <w:r w:rsidRPr="00DD528A">
              <w:rPr>
                <w:rFonts w:eastAsia="Times New Roman" w:cs="Times New Roman"/>
                <w:b/>
                <w:bCs/>
                <w:sz w:val="20"/>
                <w:szCs w:val="20"/>
              </w:rPr>
              <w:t>implementing in 2017</w:t>
            </w:r>
          </w:p>
        </w:tc>
      </w:tr>
      <w:tr w:rsidR="00DB47F7" w:rsidRPr="00DD528A" w14:paraId="63ECA277"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33148"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Labor Invalidity Pension</w:t>
            </w:r>
          </w:p>
          <w:p w14:paraId="2BA68634"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2E7733B6"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i/>
                <w:iCs/>
                <w:sz w:val="20"/>
                <w:szCs w:val="20"/>
              </w:rPr>
              <w:t>Law No. 04 / L-131 on State Pension Funds</w:t>
            </w:r>
          </w:p>
          <w:p w14:paraId="2E079726" w14:textId="401CB567" w:rsidR="00DB47F7" w:rsidRPr="00DD528A" w:rsidRDefault="00DB47F7" w:rsidP="00F51D6F">
            <w:pPr>
              <w:spacing w:after="0" w:line="184" w:lineRule="atLeast"/>
              <w:jc w:val="left"/>
              <w:rPr>
                <w:rFonts w:eastAsia="Times New Roman" w:cs="Times New Roman"/>
                <w:sz w:val="20"/>
                <w:szCs w:val="20"/>
              </w:rPr>
            </w:pPr>
            <w:r w:rsidRPr="00DD528A">
              <w:rPr>
                <w:rFonts w:eastAsia="Times New Roman" w:cs="Times New Roman"/>
                <w:i/>
                <w:iCs/>
                <w:sz w:val="20"/>
                <w:szCs w:val="20"/>
              </w:rPr>
              <w:t>(</w:t>
            </w:r>
            <w:r w:rsidR="00F51D6F" w:rsidRPr="00DD528A">
              <w:rPr>
                <w:rFonts w:eastAsia="Times New Roman" w:cs="Times New Roman"/>
                <w:i/>
                <w:iCs/>
                <w:sz w:val="20"/>
                <w:szCs w:val="20"/>
              </w:rPr>
              <w:t>S</w:t>
            </w:r>
            <w:r w:rsidRPr="00DD528A">
              <w:rPr>
                <w:rFonts w:eastAsia="Times New Roman" w:cs="Times New Roman"/>
                <w:i/>
                <w:iCs/>
                <w:sz w:val="20"/>
                <w:szCs w:val="20"/>
              </w:rPr>
              <w:t>till not implemented)</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E51F6" w14:textId="28680790" w:rsidR="00DB47F7" w:rsidRPr="00DD528A" w:rsidRDefault="00757F07" w:rsidP="00F33709">
            <w:pPr>
              <w:spacing w:after="0" w:line="171" w:lineRule="atLeast"/>
              <w:jc w:val="left"/>
              <w:rPr>
                <w:rFonts w:eastAsia="Times New Roman" w:cs="Times New Roman"/>
                <w:sz w:val="20"/>
                <w:szCs w:val="20"/>
              </w:rPr>
            </w:pPr>
            <w:r w:rsidRPr="00DD528A">
              <w:rPr>
                <w:rFonts w:eastAsia="Times New Roman" w:cs="Times New Roman"/>
                <w:sz w:val="20"/>
                <w:szCs w:val="20"/>
              </w:rPr>
              <w:t>B</w:t>
            </w:r>
            <w:r w:rsidR="00DB47F7" w:rsidRPr="00DD528A">
              <w:rPr>
                <w:rFonts w:eastAsia="Times New Roman" w:cs="Times New Roman"/>
                <w:sz w:val="20"/>
                <w:szCs w:val="20"/>
              </w:rPr>
              <w:t>eneficiaries:</w:t>
            </w:r>
          </w:p>
          <w:p w14:paraId="15DB3D4F" w14:textId="39F6DC4E"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1. Persons under the age of 65 who have received the same pension before 1999</w:t>
            </w:r>
          </w:p>
          <w:p w14:paraId="16CBCBC1" w14:textId="4E6E70A1"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2. Persons suffering from work injury resulting in permanent disability (100%)</w:t>
            </w:r>
            <w:r w:rsidR="00757F07" w:rsidRPr="00DD528A">
              <w:rPr>
                <w:rFonts w:eastAsia="Times New Roman" w:cs="Times New Roman"/>
                <w:sz w:val="20"/>
                <w:szCs w:val="20"/>
              </w:rPr>
              <w:t xml:space="preserve"> </w:t>
            </w:r>
            <w:r w:rsidRPr="00DD528A">
              <w:rPr>
                <w:rFonts w:eastAsia="Times New Roman" w:cs="Times New Roman"/>
                <w:i/>
                <w:iCs/>
                <w:sz w:val="20"/>
                <w:szCs w:val="20"/>
              </w:rPr>
              <w:t>(criterion for benefit for work injuries after 1999)</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46C9A"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78D72057"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7000A5FC" w14:textId="7DE3B796" w:rsidR="00DB47F7" w:rsidRPr="00DD528A" w:rsidRDefault="00757F07" w:rsidP="00757F07">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75 </w:t>
            </w:r>
          </w:p>
        </w:tc>
      </w:tr>
      <w:tr w:rsidR="00DB47F7" w:rsidRPr="00DD528A" w14:paraId="721171E8"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19B0E"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Familiar Pensions</w:t>
            </w:r>
          </w:p>
          <w:p w14:paraId="0C462A2D"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7ACCBBC3"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i/>
                <w:iCs/>
                <w:sz w:val="20"/>
                <w:szCs w:val="20"/>
              </w:rPr>
              <w:t>Law No. 04 / L-131 on State Pension Funds</w:t>
            </w:r>
          </w:p>
          <w:p w14:paraId="1B4C299E"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53E55CF4" w14:textId="2406F34C" w:rsidR="00DB47F7" w:rsidRPr="00DD528A" w:rsidRDefault="00DB47F7" w:rsidP="00F51D6F">
            <w:pPr>
              <w:spacing w:after="0" w:line="184" w:lineRule="atLeast"/>
              <w:jc w:val="left"/>
              <w:rPr>
                <w:rFonts w:eastAsia="Times New Roman" w:cs="Times New Roman"/>
                <w:sz w:val="20"/>
                <w:szCs w:val="20"/>
              </w:rPr>
            </w:pPr>
            <w:r w:rsidRPr="00DD528A">
              <w:rPr>
                <w:rFonts w:eastAsia="Times New Roman" w:cs="Times New Roman"/>
                <w:i/>
                <w:iCs/>
                <w:sz w:val="20"/>
                <w:szCs w:val="20"/>
              </w:rPr>
              <w:t>(</w:t>
            </w:r>
            <w:r w:rsidR="00F51D6F" w:rsidRPr="00DD528A">
              <w:rPr>
                <w:rFonts w:eastAsia="Times New Roman" w:cs="Times New Roman"/>
                <w:i/>
                <w:iCs/>
                <w:sz w:val="20"/>
                <w:szCs w:val="20"/>
              </w:rPr>
              <w:t>S</w:t>
            </w:r>
            <w:r w:rsidRPr="00DD528A">
              <w:rPr>
                <w:rFonts w:eastAsia="Times New Roman" w:cs="Times New Roman"/>
                <w:i/>
                <w:iCs/>
                <w:sz w:val="20"/>
                <w:szCs w:val="20"/>
              </w:rPr>
              <w:t>till not implemented)</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BCC37" w14:textId="39B0838D" w:rsidR="00DB47F7" w:rsidRPr="00DD528A" w:rsidRDefault="00757F07" w:rsidP="00F33709">
            <w:pPr>
              <w:spacing w:after="0" w:line="171" w:lineRule="atLeast"/>
              <w:jc w:val="left"/>
              <w:rPr>
                <w:rFonts w:eastAsia="Times New Roman" w:cs="Times New Roman"/>
                <w:sz w:val="20"/>
                <w:szCs w:val="20"/>
              </w:rPr>
            </w:pPr>
            <w:r w:rsidRPr="00DD528A">
              <w:rPr>
                <w:rFonts w:eastAsia="Times New Roman" w:cs="Times New Roman"/>
                <w:sz w:val="20"/>
                <w:szCs w:val="20"/>
              </w:rPr>
              <w:t>B</w:t>
            </w:r>
            <w:r w:rsidR="00DB47F7" w:rsidRPr="00DD528A">
              <w:rPr>
                <w:rFonts w:eastAsia="Times New Roman" w:cs="Times New Roman"/>
                <w:sz w:val="20"/>
                <w:szCs w:val="20"/>
              </w:rPr>
              <w:t>eneficiaries:</w:t>
            </w:r>
          </w:p>
          <w:p w14:paraId="28463013" w14:textId="58B57B7A"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xml:space="preserve">1. Persons who received family pensions </w:t>
            </w:r>
            <w:r w:rsidR="00654D4E">
              <w:rPr>
                <w:rFonts w:eastAsia="Times New Roman" w:cs="Times New Roman"/>
                <w:sz w:val="20"/>
                <w:szCs w:val="20"/>
              </w:rPr>
              <w:t>before</w:t>
            </w:r>
            <w:r w:rsidRPr="00DD528A">
              <w:rPr>
                <w:rFonts w:eastAsia="Times New Roman" w:cs="Times New Roman"/>
                <w:sz w:val="20"/>
                <w:szCs w:val="20"/>
              </w:rPr>
              <w:t xml:space="preserve"> 1999</w:t>
            </w:r>
          </w:p>
          <w:p w14:paraId="27AF176E" w14:textId="3B69E498" w:rsidR="00DB47F7" w:rsidRPr="00DD528A" w:rsidRDefault="00DB47F7" w:rsidP="00757F07">
            <w:pPr>
              <w:spacing w:after="0" w:line="171" w:lineRule="atLeast"/>
              <w:jc w:val="left"/>
              <w:rPr>
                <w:rFonts w:eastAsia="Times New Roman" w:cs="Times New Roman"/>
                <w:sz w:val="20"/>
                <w:szCs w:val="20"/>
              </w:rPr>
            </w:pPr>
            <w:r w:rsidRPr="00DD528A">
              <w:rPr>
                <w:rFonts w:eastAsia="Times New Roman" w:cs="Times New Roman"/>
                <w:sz w:val="20"/>
                <w:szCs w:val="20"/>
              </w:rPr>
              <w:t xml:space="preserve">2. Families that survive the family member who has been insured and contributed to the system </w:t>
            </w:r>
            <w:r w:rsidR="00654D4E">
              <w:rPr>
                <w:rFonts w:eastAsia="Times New Roman" w:cs="Times New Roman"/>
                <w:sz w:val="20"/>
                <w:szCs w:val="20"/>
              </w:rPr>
              <w:t>before</w:t>
            </w:r>
            <w:r w:rsidRPr="00DD528A">
              <w:rPr>
                <w:rFonts w:eastAsia="Times New Roman" w:cs="Times New Roman"/>
                <w:sz w:val="20"/>
                <w:szCs w:val="20"/>
              </w:rPr>
              <w:t xml:space="preserve"> 1999 for at least 15 years</w:t>
            </w:r>
          </w:p>
          <w:p w14:paraId="0322983A" w14:textId="2E142C81" w:rsidR="00DB47F7" w:rsidRDefault="00DB47F7" w:rsidP="00757F07">
            <w:pPr>
              <w:spacing w:after="0" w:line="171" w:lineRule="atLeast"/>
              <w:jc w:val="left"/>
              <w:rPr>
                <w:rFonts w:eastAsia="Times New Roman" w:cs="Times New Roman"/>
                <w:sz w:val="20"/>
                <w:szCs w:val="20"/>
              </w:rPr>
            </w:pPr>
            <w:r w:rsidRPr="00DD528A">
              <w:rPr>
                <w:rFonts w:eastAsia="Times New Roman" w:cs="Times New Roman"/>
                <w:sz w:val="20"/>
                <w:szCs w:val="20"/>
              </w:rPr>
              <w:t xml:space="preserve">3. Families of persons who die from accidents at work or occupational diseases, irrespective of their contributions to the system </w:t>
            </w:r>
            <w:r w:rsidR="00654D4E">
              <w:rPr>
                <w:rFonts w:eastAsia="Times New Roman" w:cs="Times New Roman"/>
                <w:sz w:val="20"/>
                <w:szCs w:val="20"/>
              </w:rPr>
              <w:t>before</w:t>
            </w:r>
            <w:r w:rsidRPr="00DD528A">
              <w:rPr>
                <w:rFonts w:eastAsia="Times New Roman" w:cs="Times New Roman"/>
                <w:sz w:val="20"/>
                <w:szCs w:val="20"/>
              </w:rPr>
              <w:t xml:space="preserve"> 1999.</w:t>
            </w:r>
          </w:p>
          <w:p w14:paraId="3D6AC5A6" w14:textId="77777777" w:rsidR="00654D4E" w:rsidRPr="00DD528A" w:rsidRDefault="00654D4E" w:rsidP="00757F07">
            <w:pPr>
              <w:spacing w:after="0" w:line="171" w:lineRule="atLeast"/>
              <w:jc w:val="left"/>
              <w:rPr>
                <w:rFonts w:eastAsia="Times New Roman" w:cs="Times New Roman"/>
                <w:sz w:val="20"/>
                <w:szCs w:val="20"/>
              </w:rPr>
            </w:pPr>
          </w:p>
          <w:p w14:paraId="6136A490"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Retirement for employment or self-employment is forbidden.</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40AB3"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1B2B2C1A"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247A853" w14:textId="226F5388" w:rsidR="00DB47F7" w:rsidRPr="00DD528A" w:rsidRDefault="00757F07" w:rsidP="00757F07">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75</w:t>
            </w:r>
            <w:r w:rsidR="004E6D08">
              <w:rPr>
                <w:rFonts w:eastAsia="Times New Roman" w:cs="Times New Roman"/>
                <w:sz w:val="20"/>
                <w:szCs w:val="20"/>
              </w:rPr>
              <w:t xml:space="preserve"> </w:t>
            </w:r>
            <w:r w:rsidR="00DB47F7" w:rsidRPr="00DD528A">
              <w:rPr>
                <w:rFonts w:eastAsia="Times New Roman" w:cs="Times New Roman"/>
                <w:sz w:val="20"/>
                <w:szCs w:val="20"/>
              </w:rPr>
              <w:t xml:space="preserve">+ 20% for each child under 18 </w:t>
            </w:r>
            <w:r w:rsidRPr="00DD528A">
              <w:rPr>
                <w:rFonts w:eastAsia="Times New Roman" w:cs="Times New Roman"/>
                <w:sz w:val="20"/>
                <w:szCs w:val="20"/>
              </w:rPr>
              <w:t xml:space="preserve">years </w:t>
            </w:r>
            <w:r w:rsidR="00DB47F7" w:rsidRPr="00DD528A">
              <w:rPr>
                <w:rFonts w:eastAsia="Times New Roman" w:cs="Times New Roman"/>
                <w:sz w:val="20"/>
                <w:szCs w:val="20"/>
              </w:rPr>
              <w:t>or even 26 years in case of study</w:t>
            </w:r>
          </w:p>
        </w:tc>
      </w:tr>
      <w:tr w:rsidR="00DB47F7" w:rsidRPr="00DD528A" w14:paraId="22BF0A7C"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BD7DB"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Pension Scheme for Tetraplegic Persons</w:t>
            </w:r>
          </w:p>
          <w:p w14:paraId="52A4A8BA"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and Paraplegics</w:t>
            </w:r>
          </w:p>
          <w:p w14:paraId="11E9BBF1"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4EDBD442"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i/>
                <w:iCs/>
                <w:sz w:val="20"/>
                <w:szCs w:val="20"/>
              </w:rPr>
              <w:t>Law no.</w:t>
            </w:r>
            <w:r w:rsidRPr="00DD528A">
              <w:rPr>
                <w:rFonts w:eastAsia="Times New Roman" w:cs="Times New Roman"/>
                <w:sz w:val="20"/>
                <w:szCs w:val="20"/>
              </w:rPr>
              <w:t> </w:t>
            </w:r>
            <w:r w:rsidRPr="00DD528A">
              <w:rPr>
                <w:rFonts w:eastAsia="Times New Roman" w:cs="Times New Roman"/>
                <w:b/>
                <w:bCs/>
                <w:i/>
                <w:iCs/>
                <w:sz w:val="20"/>
                <w:szCs w:val="20"/>
              </w:rPr>
              <w:t>05 / L-067 on the Status and Rights of Paraplegic and Tetraplegic Persons</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ABB4C" w14:textId="07EB06FB" w:rsidR="00DB47F7" w:rsidRPr="00DD528A" w:rsidRDefault="00704A29" w:rsidP="00F33709">
            <w:pPr>
              <w:spacing w:after="0" w:line="171" w:lineRule="atLeast"/>
              <w:jc w:val="left"/>
              <w:rPr>
                <w:rFonts w:eastAsia="Times New Roman" w:cs="Times New Roman"/>
                <w:sz w:val="20"/>
                <w:szCs w:val="20"/>
              </w:rPr>
            </w:pPr>
            <w:r w:rsidRPr="00DD528A">
              <w:rPr>
                <w:rFonts w:eastAsia="Times New Roman" w:cs="Times New Roman"/>
                <w:sz w:val="20"/>
                <w:szCs w:val="20"/>
              </w:rPr>
              <w:t>B</w:t>
            </w:r>
            <w:r w:rsidR="00DB47F7" w:rsidRPr="00DD528A">
              <w:rPr>
                <w:rFonts w:eastAsia="Times New Roman" w:cs="Times New Roman"/>
                <w:sz w:val="20"/>
                <w:szCs w:val="20"/>
              </w:rPr>
              <w:t>eneficiaries: persons with paraplegia and tetraplegia</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02BDA" w14:textId="52BD7404" w:rsidR="00DB47F7" w:rsidRPr="00DD528A" w:rsidRDefault="006623E1" w:rsidP="00F3203E">
            <w:pPr>
              <w:spacing w:after="0" w:line="171" w:lineRule="atLeast"/>
              <w:jc w:val="left"/>
              <w:rPr>
                <w:rFonts w:eastAsia="Times New Roman" w:cs="Times New Roman"/>
                <w:sz w:val="20"/>
                <w:szCs w:val="20"/>
              </w:rPr>
            </w:pPr>
            <w:r w:rsidRPr="00DD528A">
              <w:rPr>
                <w:rFonts w:eastAsia="Times New Roman" w:cs="Times New Roman"/>
                <w:sz w:val="20"/>
                <w:szCs w:val="20"/>
              </w:rPr>
              <w:t>€</w:t>
            </w:r>
            <w:r w:rsidR="00DB47F7" w:rsidRPr="00DD528A">
              <w:rPr>
                <w:rFonts w:eastAsia="Times New Roman" w:cs="Times New Roman"/>
                <w:sz w:val="20"/>
                <w:szCs w:val="20"/>
              </w:rPr>
              <w:t>170</w:t>
            </w:r>
            <w:r w:rsidR="004E6D08">
              <w:rPr>
                <w:rFonts w:eastAsia="Times New Roman" w:cs="Times New Roman"/>
                <w:sz w:val="20"/>
                <w:szCs w:val="20"/>
              </w:rPr>
              <w:t xml:space="preserve"> </w:t>
            </w:r>
            <w:r w:rsidR="00DB47F7" w:rsidRPr="00DD528A">
              <w:rPr>
                <w:rFonts w:eastAsia="Times New Roman" w:cs="Times New Roman"/>
                <w:sz w:val="20"/>
                <w:szCs w:val="20"/>
              </w:rPr>
              <w:t>(+</w:t>
            </w:r>
            <w:r w:rsidRPr="00DD528A">
              <w:rPr>
                <w:rFonts w:eastAsia="Times New Roman" w:cs="Times New Roman"/>
                <w:sz w:val="20"/>
                <w:szCs w:val="20"/>
              </w:rPr>
              <w:t>€</w:t>
            </w:r>
            <w:r w:rsidR="00DB47F7" w:rsidRPr="00DD528A">
              <w:rPr>
                <w:rFonts w:eastAsia="Times New Roman" w:cs="Times New Roman"/>
                <w:sz w:val="20"/>
                <w:szCs w:val="20"/>
              </w:rPr>
              <w:t>170</w:t>
            </w:r>
            <w:r w:rsidR="004E6D08">
              <w:rPr>
                <w:rFonts w:eastAsia="Times New Roman" w:cs="Times New Roman"/>
                <w:sz w:val="20"/>
                <w:szCs w:val="20"/>
              </w:rPr>
              <w:t xml:space="preserve"> </w:t>
            </w:r>
            <w:r w:rsidR="00DB47F7" w:rsidRPr="00DD528A">
              <w:rPr>
                <w:rFonts w:eastAsia="Times New Roman" w:cs="Times New Roman"/>
                <w:sz w:val="20"/>
                <w:szCs w:val="20"/>
              </w:rPr>
              <w:t>reimbursement for the guardian</w:t>
            </w:r>
            <w:r w:rsidRPr="00DD528A">
              <w:rPr>
                <w:rFonts w:eastAsia="Times New Roman" w:cs="Times New Roman"/>
                <w:sz w:val="20"/>
                <w:szCs w:val="20"/>
              </w:rPr>
              <w:t>,</w:t>
            </w:r>
            <w:r w:rsidR="00DB47F7" w:rsidRPr="00DD528A">
              <w:rPr>
                <w:rFonts w:eastAsia="Times New Roman" w:cs="Times New Roman"/>
                <w:sz w:val="20"/>
                <w:szCs w:val="20"/>
              </w:rPr>
              <w:t xml:space="preserve">  + 50% of additional compensation depending on the condition of the disability)</w:t>
            </w:r>
          </w:p>
        </w:tc>
      </w:tr>
      <w:tr w:rsidR="00DB47F7" w:rsidRPr="00DD528A" w14:paraId="2FD0E5CE" w14:textId="77777777" w:rsidTr="00654D4E">
        <w:trPr>
          <w:cantSplit/>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20B0B"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lastRenderedPageBreak/>
              <w:t>Scheme for the Former Political Complainant and Persecution</w:t>
            </w:r>
          </w:p>
          <w:p w14:paraId="676E7039"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12D422A3" w14:textId="49189DBC" w:rsidR="00DB47F7" w:rsidRPr="00DD528A" w:rsidRDefault="00DB47F7" w:rsidP="00F51D6F">
            <w:pPr>
              <w:spacing w:after="0" w:line="184" w:lineRule="atLeast"/>
              <w:jc w:val="left"/>
              <w:rPr>
                <w:rFonts w:eastAsia="Times New Roman" w:cs="Times New Roman"/>
                <w:sz w:val="20"/>
                <w:szCs w:val="20"/>
              </w:rPr>
            </w:pPr>
            <w:r w:rsidRPr="00DD528A">
              <w:rPr>
                <w:rFonts w:eastAsia="Times New Roman" w:cs="Times New Roman"/>
                <w:b/>
                <w:bCs/>
                <w:i/>
                <w:iCs/>
                <w:sz w:val="20"/>
                <w:szCs w:val="20"/>
              </w:rPr>
              <w:t>(</w:t>
            </w:r>
            <w:r w:rsidR="00F51D6F" w:rsidRPr="00DD528A">
              <w:rPr>
                <w:rFonts w:eastAsia="Times New Roman" w:cs="Times New Roman"/>
                <w:b/>
                <w:bCs/>
                <w:i/>
                <w:iCs/>
                <w:sz w:val="20"/>
                <w:szCs w:val="20"/>
              </w:rPr>
              <w:t>N</w:t>
            </w:r>
            <w:r w:rsidRPr="00DD528A">
              <w:rPr>
                <w:rFonts w:eastAsia="Times New Roman" w:cs="Times New Roman"/>
                <w:b/>
                <w:bCs/>
                <w:i/>
                <w:iCs/>
                <w:sz w:val="20"/>
                <w:szCs w:val="20"/>
              </w:rPr>
              <w:t>ot yet started implementation)</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17837" w14:textId="6399C6EE"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Beneficiaries'</w:t>
            </w:r>
            <w:r w:rsidR="004E6D08">
              <w:rPr>
                <w:rFonts w:eastAsia="Times New Roman" w:cs="Times New Roman"/>
                <w:sz w:val="20"/>
                <w:szCs w:val="20"/>
              </w:rPr>
              <w:t xml:space="preserve"> </w:t>
            </w:r>
            <w:r w:rsidRPr="00DD528A">
              <w:rPr>
                <w:rFonts w:eastAsia="Times New Roman" w:cs="Times New Roman"/>
                <w:sz w:val="20"/>
                <w:szCs w:val="20"/>
              </w:rPr>
              <w:t>categories:</w:t>
            </w:r>
          </w:p>
          <w:p w14:paraId="3DADCE3E" w14:textId="50681ECC" w:rsidR="00DB47F7" w:rsidRPr="00DD528A" w:rsidRDefault="00DB47F7" w:rsidP="00654D4E">
            <w:pPr>
              <w:numPr>
                <w:ilvl w:val="0"/>
                <w:numId w:val="6"/>
              </w:numPr>
              <w:spacing w:after="0" w:line="171" w:lineRule="atLeast"/>
              <w:ind w:left="360"/>
              <w:jc w:val="left"/>
              <w:rPr>
                <w:rFonts w:eastAsia="Times New Roman" w:cs="Times New Roman"/>
                <w:sz w:val="20"/>
                <w:szCs w:val="20"/>
              </w:rPr>
            </w:pPr>
            <w:r w:rsidRPr="00DD528A">
              <w:rPr>
                <w:rFonts w:eastAsia="Times New Roman" w:cs="Times New Roman"/>
                <w:sz w:val="20"/>
                <w:szCs w:val="20"/>
              </w:rPr>
              <w:t>Former political prisoners</w:t>
            </w:r>
          </w:p>
          <w:p w14:paraId="4FCDE887" w14:textId="4C4EB981" w:rsidR="00DB47F7" w:rsidRPr="00DD528A" w:rsidRDefault="00DB47F7" w:rsidP="00654D4E">
            <w:pPr>
              <w:numPr>
                <w:ilvl w:val="0"/>
                <w:numId w:val="6"/>
              </w:numPr>
              <w:spacing w:after="0" w:line="171" w:lineRule="atLeast"/>
              <w:ind w:left="360"/>
              <w:jc w:val="left"/>
              <w:rPr>
                <w:rFonts w:eastAsia="Times New Roman" w:cs="Times New Roman"/>
                <w:sz w:val="20"/>
                <w:szCs w:val="20"/>
              </w:rPr>
            </w:pPr>
            <w:r w:rsidRPr="00DD528A">
              <w:rPr>
                <w:rFonts w:eastAsia="Times New Roman" w:cs="Times New Roman"/>
                <w:sz w:val="20"/>
                <w:szCs w:val="20"/>
              </w:rPr>
              <w:t>Former political prisoners</w:t>
            </w:r>
          </w:p>
          <w:p w14:paraId="295E723D" w14:textId="032F59AA" w:rsidR="00DB47F7" w:rsidRPr="00DD528A" w:rsidRDefault="00DB47F7" w:rsidP="00654D4E">
            <w:pPr>
              <w:numPr>
                <w:ilvl w:val="0"/>
                <w:numId w:val="6"/>
              </w:numPr>
              <w:spacing w:after="0" w:line="171" w:lineRule="atLeast"/>
              <w:ind w:left="360"/>
              <w:jc w:val="left"/>
              <w:rPr>
                <w:rFonts w:eastAsia="Times New Roman" w:cs="Times New Roman"/>
                <w:sz w:val="20"/>
                <w:szCs w:val="20"/>
              </w:rPr>
            </w:pPr>
            <w:r w:rsidRPr="00DD528A">
              <w:rPr>
                <w:rFonts w:eastAsia="Times New Roman" w:cs="Times New Roman"/>
                <w:sz w:val="20"/>
                <w:szCs w:val="20"/>
              </w:rPr>
              <w:t>Former political persecuted</w:t>
            </w:r>
            <w:r w:rsidR="00234CEB" w:rsidRPr="00DD528A">
              <w:rPr>
                <w:rFonts w:eastAsia="Times New Roman" w:cs="Times New Roman"/>
                <w:sz w:val="20"/>
                <w:szCs w:val="20"/>
              </w:rPr>
              <w:t>.</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156EB"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76803728" w14:textId="4A8F9364" w:rsidR="00DB47F7" w:rsidRPr="00DD528A" w:rsidRDefault="00DB47F7" w:rsidP="009B4042">
            <w:pPr>
              <w:spacing w:after="0" w:line="171" w:lineRule="atLeast"/>
              <w:jc w:val="left"/>
              <w:rPr>
                <w:rFonts w:eastAsia="Times New Roman" w:cs="Times New Roman"/>
                <w:sz w:val="20"/>
                <w:szCs w:val="20"/>
              </w:rPr>
            </w:pPr>
            <w:r w:rsidRPr="00DD528A">
              <w:rPr>
                <w:rFonts w:eastAsia="Times New Roman" w:cs="Times New Roman"/>
                <w:sz w:val="20"/>
                <w:szCs w:val="20"/>
              </w:rPr>
              <w:t>Adjusted by a</w:t>
            </w:r>
            <w:r w:rsidR="004E6D08">
              <w:rPr>
                <w:rFonts w:eastAsia="Times New Roman" w:cs="Times New Roman"/>
                <w:sz w:val="20"/>
                <w:szCs w:val="20"/>
              </w:rPr>
              <w:t xml:space="preserve"> </w:t>
            </w:r>
            <w:r w:rsidRPr="00DD528A">
              <w:rPr>
                <w:rFonts w:eastAsia="Times New Roman" w:cs="Times New Roman"/>
                <w:sz w:val="20"/>
                <w:szCs w:val="20"/>
              </w:rPr>
              <w:t>special</w:t>
            </w:r>
            <w:r w:rsidR="004E6D08">
              <w:rPr>
                <w:rFonts w:eastAsia="Times New Roman" w:cs="Times New Roman"/>
                <w:sz w:val="20"/>
                <w:szCs w:val="20"/>
              </w:rPr>
              <w:t xml:space="preserve"> </w:t>
            </w:r>
            <w:r w:rsidRPr="00DD528A">
              <w:rPr>
                <w:rFonts w:eastAsia="Times New Roman" w:cs="Times New Roman"/>
                <w:sz w:val="20"/>
                <w:szCs w:val="20"/>
              </w:rPr>
              <w:t>act</w:t>
            </w:r>
            <w:r w:rsidR="009B4042" w:rsidRPr="00DD528A">
              <w:rPr>
                <w:rFonts w:eastAsia="Times New Roman" w:cs="Times New Roman"/>
                <w:sz w:val="20"/>
                <w:szCs w:val="20"/>
              </w:rPr>
              <w:t>.</w:t>
            </w:r>
            <w:r w:rsidR="004E6D08">
              <w:rPr>
                <w:rFonts w:eastAsia="Times New Roman" w:cs="Times New Roman"/>
                <w:sz w:val="20"/>
                <w:szCs w:val="20"/>
              </w:rPr>
              <w:t xml:space="preserve"> </w:t>
            </w:r>
            <w:r w:rsidR="009B4042" w:rsidRPr="00DD528A">
              <w:rPr>
                <w:rFonts w:eastAsia="Times New Roman" w:cs="Times New Roman"/>
                <w:i/>
                <w:iCs/>
                <w:sz w:val="20"/>
                <w:szCs w:val="20"/>
              </w:rPr>
              <w:t>I</w:t>
            </w:r>
            <w:r w:rsidRPr="00DD528A">
              <w:rPr>
                <w:rFonts w:eastAsia="Times New Roman" w:cs="Times New Roman"/>
                <w:i/>
                <w:iCs/>
                <w:sz w:val="20"/>
                <w:szCs w:val="20"/>
              </w:rPr>
              <w:t>t has not yet entered into force</w:t>
            </w:r>
            <w:r w:rsidR="00F51D6F" w:rsidRPr="00DD528A">
              <w:rPr>
                <w:rFonts w:eastAsia="Times New Roman" w:cs="Times New Roman"/>
                <w:i/>
                <w:iCs/>
                <w:sz w:val="20"/>
                <w:szCs w:val="20"/>
              </w:rPr>
              <w:t>.</w:t>
            </w:r>
          </w:p>
        </w:tc>
      </w:tr>
      <w:tr w:rsidR="00DB47F7" w:rsidRPr="00DD528A" w14:paraId="13654671" w14:textId="77777777" w:rsidTr="004E6D08">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hideMark/>
          </w:tcPr>
          <w:p w14:paraId="7C0CD571"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b/>
                <w:bCs/>
                <w:sz w:val="20"/>
                <w:szCs w:val="20"/>
              </w:rPr>
              <w:t>The second and third pillar of the pension system</w:t>
            </w:r>
          </w:p>
        </w:tc>
      </w:tr>
      <w:tr w:rsidR="00DB47F7" w:rsidRPr="00DD528A" w14:paraId="0E128699"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C103A"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Mandatory Pension Savings for Workers (second tier)</w:t>
            </w:r>
          </w:p>
          <w:p w14:paraId="14175D3C"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5F608A4E"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i/>
                <w:iCs/>
                <w:sz w:val="20"/>
                <w:szCs w:val="20"/>
              </w:rPr>
              <w:t>Regulation no.</w:t>
            </w:r>
            <w:r w:rsidRPr="00DD528A">
              <w:rPr>
                <w:rFonts w:eastAsia="Times New Roman" w:cs="Times New Roman"/>
                <w:sz w:val="20"/>
                <w:szCs w:val="20"/>
              </w:rPr>
              <w:t> </w:t>
            </w:r>
            <w:r w:rsidRPr="00DD528A">
              <w:rPr>
                <w:rFonts w:eastAsia="Times New Roman" w:cs="Times New Roman"/>
                <w:b/>
                <w:bCs/>
                <w:i/>
                <w:iCs/>
                <w:sz w:val="20"/>
                <w:szCs w:val="20"/>
              </w:rPr>
              <w:t>2001/35 on Pensions in Kosovo</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6C56E" w14:textId="01164BDC"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Workers and other people active in the labor market</w:t>
            </w:r>
          </w:p>
          <w:p w14:paraId="39F0C070"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4135A5C" w14:textId="06E3DD82"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Contributions: 5% employee</w:t>
            </w:r>
            <w:r w:rsidR="00C948B6" w:rsidRPr="00DD528A">
              <w:rPr>
                <w:rFonts w:eastAsia="Times New Roman" w:cs="Times New Roman"/>
                <w:sz w:val="20"/>
                <w:szCs w:val="20"/>
              </w:rPr>
              <w:t>,</w:t>
            </w:r>
            <w:r w:rsidRPr="00DD528A">
              <w:rPr>
                <w:rFonts w:eastAsia="Times New Roman" w:cs="Times New Roman"/>
                <w:sz w:val="20"/>
                <w:szCs w:val="20"/>
              </w:rPr>
              <w:t xml:space="preserve"> 5% employer</w:t>
            </w:r>
          </w:p>
          <w:p w14:paraId="557E54CF"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 </w:t>
            </w:r>
          </w:p>
          <w:p w14:paraId="6A887DC9" w14:textId="6EB57514"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sz w:val="20"/>
                <w:szCs w:val="20"/>
              </w:rPr>
              <w:t>65 years old (possible early withdrawals only if the contributor incurs 100% disability)</w:t>
            </w: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E0D32F" w14:textId="42596A97" w:rsidR="00DB47F7" w:rsidRPr="00DD528A" w:rsidRDefault="00DB47F7" w:rsidP="00C948B6">
            <w:pPr>
              <w:spacing w:after="0" w:line="171" w:lineRule="atLeast"/>
              <w:jc w:val="left"/>
              <w:rPr>
                <w:rFonts w:eastAsia="Times New Roman" w:cs="Times New Roman"/>
                <w:sz w:val="20"/>
                <w:szCs w:val="20"/>
              </w:rPr>
            </w:pPr>
            <w:r w:rsidRPr="00DD528A">
              <w:rPr>
                <w:rFonts w:eastAsia="Times New Roman" w:cs="Times New Roman"/>
                <w:sz w:val="20"/>
                <w:szCs w:val="20"/>
              </w:rPr>
              <w:t>Not</w:t>
            </w:r>
            <w:r w:rsidR="004E6D08">
              <w:rPr>
                <w:rFonts w:eastAsia="Times New Roman" w:cs="Times New Roman"/>
                <w:sz w:val="20"/>
                <w:szCs w:val="20"/>
              </w:rPr>
              <w:t xml:space="preserve"> </w:t>
            </w:r>
            <w:r w:rsidRPr="00DD528A">
              <w:rPr>
                <w:rFonts w:eastAsia="Times New Roman" w:cs="Times New Roman"/>
                <w:sz w:val="20"/>
                <w:szCs w:val="20"/>
              </w:rPr>
              <w:t xml:space="preserve">less than </w:t>
            </w:r>
            <w:r w:rsidR="00C948B6" w:rsidRPr="00DD528A">
              <w:rPr>
                <w:rFonts w:eastAsia="Times New Roman" w:cs="Times New Roman"/>
                <w:sz w:val="20"/>
                <w:szCs w:val="20"/>
              </w:rPr>
              <w:t>€</w:t>
            </w:r>
            <w:r w:rsidRPr="00DD528A">
              <w:rPr>
                <w:rFonts w:eastAsia="Times New Roman" w:cs="Times New Roman"/>
                <w:sz w:val="20"/>
                <w:szCs w:val="20"/>
              </w:rPr>
              <w:t>150</w:t>
            </w:r>
            <w:r w:rsidR="00C948B6" w:rsidRPr="00DD528A">
              <w:rPr>
                <w:rFonts w:eastAsia="Times New Roman" w:cs="Times New Roman"/>
                <w:sz w:val="20"/>
                <w:szCs w:val="20"/>
              </w:rPr>
              <w:t>.</w:t>
            </w:r>
            <w:r w:rsidRPr="00DD528A">
              <w:rPr>
                <w:rFonts w:eastAsia="Times New Roman" w:cs="Times New Roman"/>
                <w:sz w:val="20"/>
                <w:szCs w:val="20"/>
              </w:rPr>
              <w:t xml:space="preserve"> </w:t>
            </w:r>
          </w:p>
        </w:tc>
      </w:tr>
      <w:tr w:rsidR="00DB47F7" w:rsidRPr="00DD528A" w14:paraId="1803714D" w14:textId="77777777" w:rsidTr="00654D4E">
        <w:trPr>
          <w:jc w:val="center"/>
        </w:trPr>
        <w:tc>
          <w:tcPr>
            <w:tcW w:w="11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24ADC"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Voluntary supplementary pensions</w:t>
            </w:r>
          </w:p>
          <w:p w14:paraId="73BECB5C"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sz w:val="20"/>
                <w:szCs w:val="20"/>
              </w:rPr>
              <w:t> </w:t>
            </w:r>
          </w:p>
          <w:p w14:paraId="798C88EC" w14:textId="77777777" w:rsidR="00DB47F7" w:rsidRPr="00DD528A" w:rsidRDefault="00DB47F7" w:rsidP="00F33709">
            <w:pPr>
              <w:spacing w:after="0" w:line="184" w:lineRule="atLeast"/>
              <w:jc w:val="left"/>
              <w:rPr>
                <w:rFonts w:eastAsia="Times New Roman" w:cs="Times New Roman"/>
                <w:sz w:val="20"/>
                <w:szCs w:val="20"/>
              </w:rPr>
            </w:pPr>
            <w:r w:rsidRPr="00DD528A">
              <w:rPr>
                <w:rFonts w:eastAsia="Times New Roman" w:cs="Times New Roman"/>
                <w:b/>
                <w:bCs/>
                <w:i/>
                <w:iCs/>
                <w:sz w:val="20"/>
                <w:szCs w:val="20"/>
              </w:rPr>
              <w:t>Regulation no.</w:t>
            </w:r>
            <w:r w:rsidRPr="00DD528A">
              <w:rPr>
                <w:rFonts w:eastAsia="Times New Roman" w:cs="Times New Roman"/>
                <w:sz w:val="20"/>
                <w:szCs w:val="20"/>
              </w:rPr>
              <w:t> </w:t>
            </w:r>
            <w:r w:rsidRPr="00DD528A">
              <w:rPr>
                <w:rFonts w:eastAsia="Times New Roman" w:cs="Times New Roman"/>
                <w:b/>
                <w:bCs/>
                <w:i/>
                <w:iCs/>
                <w:sz w:val="20"/>
                <w:szCs w:val="20"/>
              </w:rPr>
              <w:t>2001/35 on Pensions in Kosovo</w:t>
            </w:r>
          </w:p>
        </w:tc>
        <w:tc>
          <w:tcPr>
            <w:tcW w:w="24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915364" w14:textId="40F51688" w:rsidR="00DB47F7" w:rsidRDefault="00DB47F7" w:rsidP="00F33709">
            <w:pPr>
              <w:spacing w:after="0" w:line="171" w:lineRule="atLeast"/>
              <w:jc w:val="left"/>
              <w:rPr>
                <w:rFonts w:eastAsia="Times New Roman" w:cs="Times New Roman"/>
                <w:sz w:val="20"/>
                <w:szCs w:val="20"/>
              </w:rPr>
            </w:pPr>
            <w:r w:rsidRPr="00DD528A">
              <w:rPr>
                <w:rFonts w:eastAsia="Times New Roman" w:cs="Times New Roman"/>
                <w:b/>
                <w:bCs/>
                <w:sz w:val="20"/>
                <w:szCs w:val="20"/>
              </w:rPr>
              <w:t> </w:t>
            </w:r>
            <w:r w:rsidR="00383641" w:rsidRPr="00383641">
              <w:rPr>
                <w:rFonts w:eastAsia="Times New Roman" w:cs="Times New Roman"/>
                <w:sz w:val="20"/>
                <w:szCs w:val="20"/>
              </w:rPr>
              <w:t>Supplementary Employer Pension Funds</w:t>
            </w:r>
            <w:r w:rsidR="00383641">
              <w:rPr>
                <w:rFonts w:eastAsia="Times New Roman" w:cs="Times New Roman"/>
                <w:sz w:val="20"/>
                <w:szCs w:val="20"/>
              </w:rPr>
              <w:t>:</w:t>
            </w:r>
          </w:p>
          <w:p w14:paraId="156E2D8F" w14:textId="43254DE7" w:rsidR="00383641" w:rsidRDefault="00383641" w:rsidP="00383641">
            <w:pPr>
              <w:pStyle w:val="ListParagraph"/>
              <w:numPr>
                <w:ilvl w:val="0"/>
                <w:numId w:val="7"/>
              </w:numPr>
              <w:spacing w:after="0" w:line="171" w:lineRule="atLeast"/>
              <w:jc w:val="left"/>
              <w:rPr>
                <w:rFonts w:eastAsia="Times New Roman" w:cs="Times New Roman"/>
                <w:sz w:val="20"/>
                <w:szCs w:val="20"/>
              </w:rPr>
            </w:pPr>
            <w:r>
              <w:rPr>
                <w:rFonts w:eastAsia="Times New Roman" w:cs="Times New Roman"/>
                <w:sz w:val="20"/>
                <w:szCs w:val="20"/>
              </w:rPr>
              <w:t>Established as non-profit legal entities</w:t>
            </w:r>
          </w:p>
          <w:p w14:paraId="092A7CE6" w14:textId="0728227D" w:rsidR="00383641" w:rsidRDefault="00383641" w:rsidP="00383641">
            <w:pPr>
              <w:pStyle w:val="ListParagraph"/>
              <w:numPr>
                <w:ilvl w:val="0"/>
                <w:numId w:val="7"/>
              </w:numPr>
              <w:spacing w:after="0" w:line="171" w:lineRule="atLeast"/>
              <w:jc w:val="left"/>
              <w:rPr>
                <w:rFonts w:eastAsia="Times New Roman" w:cs="Times New Roman"/>
                <w:sz w:val="20"/>
                <w:szCs w:val="20"/>
              </w:rPr>
            </w:pPr>
            <w:r>
              <w:rPr>
                <w:rFonts w:eastAsia="Times New Roman" w:cs="Times New Roman"/>
                <w:sz w:val="20"/>
                <w:szCs w:val="20"/>
              </w:rPr>
              <w:t>Subject to licensing and regulation</w:t>
            </w:r>
          </w:p>
          <w:p w14:paraId="29BFC9B6" w14:textId="5AF6CAFC" w:rsidR="00383641" w:rsidRDefault="00383641" w:rsidP="00383641">
            <w:pPr>
              <w:spacing w:after="0" w:line="171" w:lineRule="atLeast"/>
              <w:jc w:val="left"/>
              <w:rPr>
                <w:rFonts w:eastAsia="Times New Roman" w:cs="Times New Roman"/>
                <w:sz w:val="20"/>
                <w:szCs w:val="20"/>
              </w:rPr>
            </w:pPr>
            <w:r w:rsidRPr="00383641">
              <w:rPr>
                <w:rFonts w:eastAsia="Times New Roman" w:cs="Times New Roman"/>
                <w:sz w:val="20"/>
                <w:szCs w:val="20"/>
              </w:rPr>
              <w:t>Supplementary Individual Pensions</w:t>
            </w:r>
            <w:r>
              <w:rPr>
                <w:rFonts w:eastAsia="Times New Roman" w:cs="Times New Roman"/>
                <w:sz w:val="20"/>
                <w:szCs w:val="20"/>
              </w:rPr>
              <w:t>:</w:t>
            </w:r>
          </w:p>
          <w:p w14:paraId="48D61D95" w14:textId="2BE9199B" w:rsidR="00383641" w:rsidRPr="00383641" w:rsidRDefault="00383641" w:rsidP="00383641">
            <w:pPr>
              <w:pStyle w:val="ListParagraph"/>
              <w:numPr>
                <w:ilvl w:val="0"/>
                <w:numId w:val="7"/>
              </w:numPr>
              <w:spacing w:after="0" w:line="171" w:lineRule="atLeast"/>
              <w:jc w:val="left"/>
              <w:rPr>
                <w:rFonts w:eastAsia="Times New Roman" w:cs="Times New Roman"/>
                <w:sz w:val="20"/>
                <w:szCs w:val="20"/>
              </w:rPr>
            </w:pPr>
            <w:r>
              <w:rPr>
                <w:rFonts w:eastAsia="Times New Roman" w:cs="Times New Roman"/>
                <w:sz w:val="20"/>
                <w:szCs w:val="20"/>
              </w:rPr>
              <w:t>P</w:t>
            </w:r>
            <w:r w:rsidRPr="00383641">
              <w:rPr>
                <w:rFonts w:eastAsia="Times New Roman" w:cs="Times New Roman"/>
                <w:sz w:val="20"/>
                <w:szCs w:val="20"/>
              </w:rPr>
              <w:t>rovided by</w:t>
            </w:r>
            <w:r>
              <w:rPr>
                <w:rFonts w:eastAsia="Times New Roman" w:cs="Times New Roman"/>
                <w:sz w:val="20"/>
                <w:szCs w:val="20"/>
              </w:rPr>
              <w:t xml:space="preserve"> </w:t>
            </w:r>
            <w:r w:rsidRPr="00383641">
              <w:rPr>
                <w:rFonts w:eastAsia="Times New Roman" w:cs="Times New Roman"/>
                <w:sz w:val="20"/>
                <w:szCs w:val="20"/>
              </w:rPr>
              <w:t>financial institutions, banks and insurance companies</w:t>
            </w:r>
          </w:p>
          <w:p w14:paraId="31BC2542" w14:textId="739C7FB7" w:rsidR="00383641" w:rsidRPr="00383641" w:rsidRDefault="00383641" w:rsidP="00F33709">
            <w:pPr>
              <w:pStyle w:val="ListParagraph"/>
              <w:numPr>
                <w:ilvl w:val="0"/>
                <w:numId w:val="7"/>
              </w:numPr>
              <w:spacing w:after="0" w:line="171" w:lineRule="atLeast"/>
              <w:jc w:val="left"/>
              <w:rPr>
                <w:rFonts w:eastAsia="Times New Roman" w:cs="Times New Roman"/>
                <w:sz w:val="20"/>
                <w:szCs w:val="20"/>
              </w:rPr>
            </w:pPr>
            <w:r>
              <w:rPr>
                <w:rFonts w:eastAsia="Times New Roman" w:cs="Times New Roman"/>
                <w:sz w:val="20"/>
                <w:szCs w:val="20"/>
              </w:rPr>
              <w:t>Subject to licensing and regulation</w:t>
            </w:r>
          </w:p>
          <w:p w14:paraId="1F6DB35B" w14:textId="1D3913DF" w:rsidR="00383641" w:rsidRPr="00383641" w:rsidRDefault="00383641" w:rsidP="00F33709">
            <w:pPr>
              <w:spacing w:after="0" w:line="171" w:lineRule="atLeast"/>
              <w:jc w:val="left"/>
              <w:rPr>
                <w:rFonts w:eastAsia="Times New Roman" w:cs="Times New Roman"/>
                <w:sz w:val="20"/>
                <w:szCs w:val="20"/>
              </w:rPr>
            </w:pPr>
          </w:p>
        </w:tc>
        <w:tc>
          <w:tcPr>
            <w:tcW w:w="13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67A02" w14:textId="77777777" w:rsidR="00DB47F7" w:rsidRPr="00DD528A" w:rsidRDefault="00DB47F7" w:rsidP="00F33709">
            <w:pPr>
              <w:spacing w:after="0" w:line="171" w:lineRule="atLeast"/>
              <w:jc w:val="left"/>
              <w:rPr>
                <w:rFonts w:eastAsia="Times New Roman" w:cs="Times New Roman"/>
                <w:sz w:val="20"/>
                <w:szCs w:val="20"/>
              </w:rPr>
            </w:pPr>
            <w:r w:rsidRPr="00DD528A">
              <w:rPr>
                <w:rFonts w:eastAsia="Times New Roman" w:cs="Times New Roman"/>
                <w:b/>
                <w:bCs/>
                <w:sz w:val="20"/>
                <w:szCs w:val="20"/>
              </w:rPr>
              <w:t> </w:t>
            </w:r>
          </w:p>
        </w:tc>
      </w:tr>
    </w:tbl>
    <w:p w14:paraId="571E50E4" w14:textId="6B2D1AE3" w:rsidR="00DB47F7" w:rsidRPr="00982F2F" w:rsidRDefault="00DB47F7" w:rsidP="00982F2F">
      <w:pPr>
        <w:rPr>
          <w:rFonts w:cs="Times New Roman"/>
          <w:sz w:val="20"/>
          <w:szCs w:val="20"/>
        </w:rPr>
      </w:pPr>
      <w:bookmarkStart w:id="0" w:name="_Toc481676426"/>
      <w:bookmarkStart w:id="1" w:name="_Toc481676859"/>
      <w:bookmarkStart w:id="2" w:name="_Toc481676989"/>
      <w:bookmarkEnd w:id="0"/>
      <w:bookmarkEnd w:id="1"/>
      <w:r w:rsidRPr="00982F2F">
        <w:rPr>
          <w:rFonts w:cs="Times New Roman"/>
          <w:i/>
          <w:sz w:val="20"/>
          <w:szCs w:val="20"/>
        </w:rPr>
        <w:t>Source</w:t>
      </w:r>
      <w:r w:rsidRPr="00982F2F">
        <w:rPr>
          <w:rFonts w:cs="Times New Roman"/>
          <w:sz w:val="20"/>
          <w:szCs w:val="20"/>
        </w:rPr>
        <w:t>: Legislative Legislation for each Scheme and Social Statistics 2015</w:t>
      </w:r>
      <w:r w:rsidR="00982F2F">
        <w:rPr>
          <w:rFonts w:cs="Times New Roman"/>
          <w:sz w:val="20"/>
          <w:szCs w:val="20"/>
        </w:rPr>
        <w:t>,</w:t>
      </w:r>
      <w:r w:rsidRPr="00982F2F">
        <w:rPr>
          <w:rFonts w:cs="Times New Roman"/>
          <w:sz w:val="20"/>
          <w:szCs w:val="20"/>
        </w:rPr>
        <w:t xml:space="preserve"> KAS, 2016</w:t>
      </w:r>
      <w:bookmarkEnd w:id="2"/>
      <w:r w:rsidR="00982F2F">
        <w:rPr>
          <w:rFonts w:cs="Times New Roman"/>
          <w:sz w:val="20"/>
          <w:szCs w:val="20"/>
        </w:rPr>
        <w:t>.</w:t>
      </w:r>
    </w:p>
    <w:p w14:paraId="55F16243" w14:textId="35BB1E04" w:rsidR="005C7B4E" w:rsidRDefault="005C7B4E" w:rsidP="005C7B4E">
      <w:pPr>
        <w:pStyle w:val="Caption"/>
      </w:pPr>
      <w:r>
        <w:t xml:space="preserve">Table </w:t>
      </w:r>
      <w:r w:rsidR="004E6D08">
        <w:t>A</w:t>
      </w:r>
      <w:fldSimple w:instr=" SEQ Annex_Table \* ARABIC ">
        <w:r>
          <w:rPr>
            <w:noProof/>
          </w:rPr>
          <w:t>2</w:t>
        </w:r>
      </w:fldSimple>
      <w:r>
        <w:t xml:space="preserve">: </w:t>
      </w:r>
      <w:r w:rsidRPr="002E4615">
        <w:t xml:space="preserve">Categories of </w:t>
      </w:r>
      <w:r>
        <w:t>P</w:t>
      </w:r>
      <w:r w:rsidRPr="002E4615">
        <w:t xml:space="preserve">ensions for </w:t>
      </w:r>
      <w:r>
        <w:t>C</w:t>
      </w:r>
      <w:r w:rsidRPr="002E4615">
        <w:t xml:space="preserve">ategories out of </w:t>
      </w:r>
      <w:r>
        <w:t>W</w:t>
      </w:r>
      <w:r w:rsidRPr="002E4615">
        <w:t>ar</w:t>
      </w:r>
    </w:p>
    <w:tbl>
      <w:tblPr>
        <w:tblW w:w="5000" w:type="pct"/>
        <w:jc w:val="center"/>
        <w:tblCellMar>
          <w:left w:w="0" w:type="dxa"/>
          <w:right w:w="0" w:type="dxa"/>
        </w:tblCellMar>
        <w:tblLook w:val="04A0" w:firstRow="1" w:lastRow="0" w:firstColumn="1" w:lastColumn="0" w:noHBand="0" w:noVBand="1"/>
      </w:tblPr>
      <w:tblGrid>
        <w:gridCol w:w="1710"/>
        <w:gridCol w:w="4192"/>
        <w:gridCol w:w="3442"/>
      </w:tblGrid>
      <w:tr w:rsidR="00DB47F7" w:rsidRPr="00453EDB" w14:paraId="3AC83D60" w14:textId="77777777" w:rsidTr="00654D4E">
        <w:trPr>
          <w:tblHeader/>
          <w:jc w:val="center"/>
        </w:trPr>
        <w:tc>
          <w:tcPr>
            <w:tcW w:w="915" w:type="pct"/>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hideMark/>
          </w:tcPr>
          <w:p w14:paraId="79EBB577" w14:textId="6E2D4436" w:rsidR="00DB47F7" w:rsidRPr="00453EDB" w:rsidRDefault="00453EDB" w:rsidP="00654D4E">
            <w:pPr>
              <w:spacing w:after="0"/>
              <w:jc w:val="center"/>
              <w:rPr>
                <w:rFonts w:eastAsia="Times New Roman" w:cs="Times New Roman"/>
                <w:sz w:val="20"/>
                <w:szCs w:val="20"/>
              </w:rPr>
            </w:pPr>
            <w:bookmarkStart w:id="3" w:name="_Toc481676860"/>
            <w:bookmarkStart w:id="4" w:name="_Toc481676427"/>
            <w:bookmarkStart w:id="5" w:name="_Toc481676990"/>
            <w:bookmarkEnd w:id="3"/>
            <w:bookmarkEnd w:id="4"/>
            <w:r>
              <w:rPr>
                <w:rFonts w:eastAsia="Times New Roman" w:cs="Times New Roman"/>
                <w:b/>
                <w:bCs/>
                <w:sz w:val="20"/>
                <w:szCs w:val="20"/>
              </w:rPr>
              <w:t>S</w:t>
            </w:r>
            <w:r w:rsidR="00DB47F7" w:rsidRPr="00453EDB">
              <w:rPr>
                <w:rFonts w:eastAsia="Times New Roman" w:cs="Times New Roman"/>
                <w:b/>
                <w:bCs/>
                <w:sz w:val="20"/>
                <w:szCs w:val="20"/>
              </w:rPr>
              <w:t>cheme</w:t>
            </w:r>
            <w:bookmarkEnd w:id="5"/>
          </w:p>
        </w:tc>
        <w:tc>
          <w:tcPr>
            <w:tcW w:w="2243" w:type="pct"/>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hideMark/>
          </w:tcPr>
          <w:p w14:paraId="629D8F2A" w14:textId="77777777" w:rsidR="00DB47F7" w:rsidRPr="00453EDB" w:rsidRDefault="00DB47F7" w:rsidP="00654D4E">
            <w:pPr>
              <w:spacing w:after="0"/>
              <w:jc w:val="center"/>
              <w:rPr>
                <w:rFonts w:eastAsia="Times New Roman" w:cs="Times New Roman"/>
                <w:sz w:val="20"/>
                <w:szCs w:val="20"/>
              </w:rPr>
            </w:pPr>
            <w:bookmarkStart w:id="6" w:name="_Toc481676861"/>
            <w:bookmarkStart w:id="7" w:name="_Toc481676428"/>
            <w:bookmarkStart w:id="8" w:name="_Toc481676991"/>
            <w:bookmarkEnd w:id="6"/>
            <w:bookmarkEnd w:id="7"/>
            <w:r w:rsidRPr="00453EDB">
              <w:rPr>
                <w:rFonts w:eastAsia="Times New Roman" w:cs="Times New Roman"/>
                <w:b/>
                <w:bCs/>
                <w:sz w:val="20"/>
                <w:szCs w:val="20"/>
              </w:rPr>
              <w:t>Criteria</w:t>
            </w:r>
            <w:bookmarkEnd w:id="8"/>
          </w:p>
        </w:tc>
        <w:tc>
          <w:tcPr>
            <w:tcW w:w="1842" w:type="pct"/>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hideMark/>
          </w:tcPr>
          <w:p w14:paraId="518A1EB1" w14:textId="0345980A" w:rsidR="00DB47F7" w:rsidRPr="00453EDB" w:rsidRDefault="00DB47F7" w:rsidP="00654D4E">
            <w:pPr>
              <w:spacing w:after="0"/>
              <w:jc w:val="center"/>
              <w:rPr>
                <w:rFonts w:eastAsia="Times New Roman" w:cs="Times New Roman"/>
                <w:sz w:val="20"/>
                <w:szCs w:val="20"/>
              </w:rPr>
            </w:pPr>
            <w:bookmarkStart w:id="9" w:name="_Toc481676862"/>
            <w:bookmarkStart w:id="10" w:name="_Toc481676429"/>
            <w:bookmarkStart w:id="11" w:name="_Toc481676992"/>
            <w:bookmarkEnd w:id="9"/>
            <w:bookmarkEnd w:id="10"/>
            <w:r w:rsidRPr="00453EDB">
              <w:rPr>
                <w:rFonts w:eastAsia="Times New Roman" w:cs="Times New Roman"/>
                <w:b/>
                <w:bCs/>
                <w:sz w:val="20"/>
                <w:szCs w:val="20"/>
              </w:rPr>
              <w:t xml:space="preserve">Monthly </w:t>
            </w:r>
            <w:r w:rsidR="00B12478">
              <w:rPr>
                <w:rFonts w:eastAsia="Times New Roman" w:cs="Times New Roman"/>
                <w:b/>
                <w:bCs/>
                <w:sz w:val="20"/>
                <w:szCs w:val="20"/>
              </w:rPr>
              <w:t>A</w:t>
            </w:r>
            <w:r w:rsidRPr="00453EDB">
              <w:rPr>
                <w:rFonts w:eastAsia="Times New Roman" w:cs="Times New Roman"/>
                <w:b/>
                <w:bCs/>
                <w:sz w:val="20"/>
                <w:szCs w:val="20"/>
              </w:rPr>
              <w:t>mount</w:t>
            </w:r>
            <w:bookmarkEnd w:id="11"/>
          </w:p>
        </w:tc>
      </w:tr>
      <w:tr w:rsidR="00DB47F7" w:rsidRPr="00453EDB" w14:paraId="3C2672C1"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E753E2" w14:textId="77777777" w:rsidR="00DB47F7" w:rsidRPr="00453EDB" w:rsidRDefault="00DB47F7" w:rsidP="00710453">
            <w:pPr>
              <w:spacing w:after="120"/>
              <w:jc w:val="left"/>
              <w:rPr>
                <w:rFonts w:eastAsia="Times New Roman" w:cs="Times New Roman"/>
                <w:sz w:val="20"/>
                <w:szCs w:val="20"/>
              </w:rPr>
            </w:pPr>
            <w:r w:rsidRPr="00453EDB">
              <w:rPr>
                <w:rFonts w:eastAsia="Times New Roman" w:cs="Times New Roman"/>
                <w:b/>
                <w:bCs/>
                <w:sz w:val="20"/>
                <w:szCs w:val="20"/>
              </w:rPr>
              <w:t> </w:t>
            </w:r>
          </w:p>
          <w:p w14:paraId="7B89CDEE" w14:textId="5B301C03" w:rsidR="00DB47F7" w:rsidRPr="00453EDB" w:rsidRDefault="00DB47F7" w:rsidP="00710453">
            <w:pPr>
              <w:spacing w:after="120"/>
              <w:jc w:val="left"/>
              <w:rPr>
                <w:rFonts w:eastAsia="Times New Roman" w:cs="Times New Roman"/>
                <w:b/>
                <w:bCs/>
                <w:sz w:val="20"/>
                <w:szCs w:val="20"/>
              </w:rPr>
            </w:pPr>
            <w:bookmarkStart w:id="12" w:name="_Toc481676863"/>
            <w:bookmarkStart w:id="13" w:name="_Toc481676430"/>
            <w:bookmarkEnd w:id="12"/>
            <w:bookmarkEnd w:id="13"/>
            <w:r w:rsidRPr="00453EDB">
              <w:rPr>
                <w:rFonts w:eastAsia="Times New Roman" w:cs="Times New Roman"/>
                <w:b/>
                <w:bCs/>
                <w:sz w:val="20"/>
                <w:szCs w:val="20"/>
              </w:rPr>
              <w:t xml:space="preserve">For War Veterans of the </w:t>
            </w:r>
            <w:r w:rsidR="00DD528A" w:rsidRPr="00DD528A">
              <w:rPr>
                <w:rFonts w:eastAsia="Times New Roman" w:cs="Times New Roman"/>
                <w:b/>
                <w:bCs/>
                <w:sz w:val="20"/>
                <w:szCs w:val="20"/>
              </w:rPr>
              <w:t xml:space="preserve">Kosovo Liberation Army </w:t>
            </w:r>
            <w:r w:rsidR="00DD528A">
              <w:rPr>
                <w:rFonts w:eastAsia="Times New Roman" w:cs="Times New Roman"/>
                <w:b/>
                <w:bCs/>
                <w:sz w:val="20"/>
                <w:szCs w:val="20"/>
              </w:rPr>
              <w:t>(</w:t>
            </w:r>
            <w:r w:rsidRPr="00453EDB">
              <w:rPr>
                <w:rFonts w:eastAsia="Times New Roman" w:cs="Times New Roman"/>
                <w:b/>
                <w:bCs/>
                <w:sz w:val="20"/>
                <w:szCs w:val="20"/>
              </w:rPr>
              <w:t>KLA</w:t>
            </w:r>
            <w:r w:rsidR="00DD528A">
              <w:rPr>
                <w:rFonts w:eastAsia="Times New Roman" w:cs="Times New Roman"/>
                <w:b/>
                <w:bCs/>
                <w:sz w:val="20"/>
                <w:szCs w:val="20"/>
              </w:rPr>
              <w:t>)</w:t>
            </w:r>
            <w:r w:rsidRPr="00453EDB">
              <w:rPr>
                <w:rFonts w:eastAsia="Times New Roman" w:cs="Times New Roman"/>
                <w:b/>
                <w:bCs/>
                <w:sz w:val="20"/>
                <w:szCs w:val="20"/>
              </w:rPr>
              <w:t>.</w:t>
            </w:r>
          </w:p>
          <w:p w14:paraId="70AE1294" w14:textId="77777777" w:rsidR="00DB47F7" w:rsidRPr="00453EDB" w:rsidRDefault="00DB47F7" w:rsidP="00710453">
            <w:pPr>
              <w:spacing w:after="120"/>
              <w:jc w:val="left"/>
              <w:rPr>
                <w:rFonts w:eastAsia="Times New Roman" w:cs="Times New Roman"/>
                <w:sz w:val="20"/>
                <w:szCs w:val="20"/>
              </w:rPr>
            </w:pPr>
            <w:r w:rsidRPr="00453EDB">
              <w:rPr>
                <w:rFonts w:eastAsia="Times New Roman" w:cs="Times New Roman"/>
                <w:b/>
                <w:bCs/>
                <w:i/>
                <w:iCs/>
                <w:sz w:val="20"/>
                <w:szCs w:val="20"/>
              </w:rPr>
              <w:t>Law no.</w:t>
            </w:r>
            <w:r w:rsidRPr="00453EDB">
              <w:rPr>
                <w:rFonts w:eastAsia="Times New Roman" w:cs="Times New Roman"/>
                <w:sz w:val="20"/>
                <w:szCs w:val="20"/>
              </w:rPr>
              <w:t> </w:t>
            </w:r>
            <w:r w:rsidRPr="00453EDB">
              <w:rPr>
                <w:rFonts w:eastAsia="Times New Roman" w:cs="Times New Roman"/>
                <w:b/>
                <w:bCs/>
                <w:i/>
                <w:iCs/>
                <w:sz w:val="20"/>
                <w:szCs w:val="20"/>
              </w:rPr>
              <w:t>04 / L-261 for War Veterans of the Kosovo Liberation Army</w:t>
            </w:r>
          </w:p>
          <w:p w14:paraId="610B9FFD" w14:textId="77777777" w:rsidR="00DB47F7" w:rsidRPr="00453EDB" w:rsidRDefault="00DB47F7" w:rsidP="00710453">
            <w:pPr>
              <w:spacing w:after="120"/>
              <w:jc w:val="left"/>
              <w:rPr>
                <w:rFonts w:eastAsia="Times New Roman" w:cs="Times New Roman"/>
                <w:sz w:val="20"/>
                <w:szCs w:val="20"/>
              </w:rPr>
            </w:pPr>
            <w:r w:rsidRPr="00453EDB">
              <w:rPr>
                <w:rFonts w:eastAsia="Times New Roman" w:cs="Times New Roman"/>
                <w:b/>
                <w:bCs/>
                <w:sz w:val="20"/>
                <w:szCs w:val="20"/>
              </w:rPr>
              <w:t> </w:t>
            </w:r>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05A03A" w14:textId="02C53CC9" w:rsidR="00DB47F7" w:rsidRPr="00453EDB" w:rsidRDefault="00DB47F7" w:rsidP="00710453">
            <w:pPr>
              <w:spacing w:after="120"/>
              <w:jc w:val="left"/>
              <w:rPr>
                <w:rFonts w:eastAsia="Times New Roman" w:cs="Times New Roman"/>
                <w:sz w:val="20"/>
                <w:szCs w:val="20"/>
              </w:rPr>
            </w:pPr>
            <w:bookmarkStart w:id="14" w:name="_Toc481676865"/>
            <w:bookmarkStart w:id="15" w:name="_Toc481676432"/>
            <w:bookmarkStart w:id="16" w:name="_Toc481676995"/>
            <w:bookmarkEnd w:id="14"/>
            <w:bookmarkEnd w:id="15"/>
            <w:r w:rsidRPr="00453EDB">
              <w:rPr>
                <w:rFonts w:eastAsia="Times New Roman" w:cs="Times New Roman"/>
                <w:sz w:val="20"/>
                <w:szCs w:val="20"/>
              </w:rPr>
              <w:t>Veteran KLA fighter</w:t>
            </w:r>
            <w:r w:rsidR="00DD528A">
              <w:rPr>
                <w:rFonts w:eastAsia="Times New Roman" w:cs="Times New Roman"/>
                <w:sz w:val="20"/>
                <w:szCs w:val="20"/>
              </w:rPr>
              <w:t>—</w:t>
            </w:r>
            <w:r w:rsidRPr="00453EDB">
              <w:rPr>
                <w:rFonts w:eastAsia="Times New Roman" w:cs="Times New Roman"/>
                <w:sz w:val="20"/>
                <w:szCs w:val="20"/>
              </w:rPr>
              <w:t xml:space="preserve">a Kosovo citizen and a foreign citizen who is listed in the KLA and is registered as an armed and uniformed soldier from KLA commands, staff and operational areas and who </w:t>
            </w:r>
            <w:r w:rsidR="00DD528A">
              <w:rPr>
                <w:rFonts w:eastAsia="Times New Roman" w:cs="Times New Roman"/>
                <w:sz w:val="20"/>
                <w:szCs w:val="20"/>
              </w:rPr>
              <w:t>w</w:t>
            </w:r>
            <w:r w:rsidRPr="00453EDB">
              <w:rPr>
                <w:rFonts w:eastAsia="Times New Roman" w:cs="Times New Roman"/>
                <w:sz w:val="20"/>
                <w:szCs w:val="20"/>
              </w:rPr>
              <w:t>as active until the end of the war</w:t>
            </w:r>
            <w:bookmarkEnd w:id="16"/>
          </w:p>
          <w:p w14:paraId="70E09973" w14:textId="31F238A0" w:rsidR="00DB47F7" w:rsidRPr="00453EDB" w:rsidRDefault="00DB47F7" w:rsidP="00710453">
            <w:pPr>
              <w:spacing w:after="120"/>
              <w:jc w:val="left"/>
              <w:rPr>
                <w:rFonts w:eastAsia="Times New Roman" w:cs="Times New Roman"/>
                <w:sz w:val="20"/>
                <w:szCs w:val="20"/>
              </w:rPr>
            </w:pPr>
            <w:bookmarkStart w:id="17" w:name="_Toc481676866"/>
            <w:bookmarkStart w:id="18" w:name="_Toc481676433"/>
            <w:bookmarkStart w:id="19" w:name="_Toc481676996"/>
            <w:bookmarkEnd w:id="17"/>
            <w:bookmarkEnd w:id="18"/>
            <w:r w:rsidRPr="00453EDB">
              <w:rPr>
                <w:rFonts w:eastAsia="Times New Roman" w:cs="Times New Roman"/>
                <w:sz w:val="20"/>
                <w:szCs w:val="20"/>
              </w:rPr>
              <w:t>Under age 65</w:t>
            </w:r>
            <w:r w:rsidR="00DD528A">
              <w:rPr>
                <w:rFonts w:eastAsia="Times New Roman" w:cs="Times New Roman"/>
                <w:sz w:val="20"/>
                <w:szCs w:val="20"/>
              </w:rPr>
              <w:t xml:space="preserve"> years</w:t>
            </w:r>
            <w:bookmarkEnd w:id="19"/>
          </w:p>
          <w:p w14:paraId="736BBC72" w14:textId="6799ADEC" w:rsidR="00DB47F7" w:rsidRPr="00453EDB" w:rsidRDefault="00DB47F7" w:rsidP="00710453">
            <w:pPr>
              <w:spacing w:after="120"/>
              <w:jc w:val="left"/>
              <w:rPr>
                <w:rFonts w:eastAsia="Times New Roman" w:cs="Times New Roman"/>
                <w:sz w:val="20"/>
                <w:szCs w:val="20"/>
              </w:rPr>
            </w:pPr>
            <w:bookmarkStart w:id="20" w:name="_Toc481676867"/>
            <w:bookmarkStart w:id="21" w:name="_Toc481676434"/>
            <w:bookmarkStart w:id="22" w:name="_Toc481676997"/>
            <w:bookmarkEnd w:id="20"/>
            <w:bookmarkEnd w:id="21"/>
            <w:r w:rsidRPr="00453EDB">
              <w:rPr>
                <w:rFonts w:eastAsia="Times New Roman" w:cs="Times New Roman"/>
                <w:sz w:val="20"/>
                <w:szCs w:val="20"/>
              </w:rPr>
              <w:t>Veterans employed in the public and private sector do not have the right to retire</w:t>
            </w:r>
            <w:r w:rsidR="00654D4E">
              <w:rPr>
                <w:rFonts w:eastAsia="Times New Roman" w:cs="Times New Roman"/>
                <w:sz w:val="20"/>
                <w:szCs w:val="20"/>
              </w:rPr>
              <w:t>.</w:t>
            </w:r>
            <w:bookmarkEnd w:id="22"/>
          </w:p>
          <w:p w14:paraId="0729625F" w14:textId="4F5793B1" w:rsidR="00DB47F7" w:rsidRPr="00453EDB" w:rsidRDefault="00DB47F7" w:rsidP="00710453">
            <w:pPr>
              <w:spacing w:after="120"/>
              <w:jc w:val="left"/>
              <w:rPr>
                <w:rFonts w:eastAsia="Times New Roman" w:cs="Times New Roman"/>
                <w:sz w:val="20"/>
                <w:szCs w:val="20"/>
              </w:rPr>
            </w:pPr>
            <w:bookmarkStart w:id="23" w:name="_Toc481676868"/>
            <w:bookmarkStart w:id="24" w:name="_Toc481676435"/>
            <w:bookmarkStart w:id="25" w:name="_Toc481676998"/>
            <w:bookmarkEnd w:id="23"/>
            <w:bookmarkEnd w:id="24"/>
            <w:r w:rsidRPr="00453EDB">
              <w:rPr>
                <w:rFonts w:eastAsia="Times New Roman" w:cs="Times New Roman"/>
                <w:sz w:val="20"/>
                <w:szCs w:val="20"/>
              </w:rPr>
              <w:t>In the case of KPC service, it may select a pension between the KPC or a veteran warrior</w:t>
            </w:r>
            <w:r w:rsidR="00654D4E">
              <w:rPr>
                <w:rFonts w:eastAsia="Times New Roman" w:cs="Times New Roman"/>
                <w:sz w:val="20"/>
                <w:szCs w:val="20"/>
              </w:rPr>
              <w:t>.</w:t>
            </w:r>
            <w:bookmarkEnd w:id="25"/>
          </w:p>
          <w:p w14:paraId="59AF7ADA" w14:textId="7D9DD276" w:rsidR="00DB47F7" w:rsidRPr="00453EDB" w:rsidRDefault="00DB47F7" w:rsidP="00654D4E">
            <w:pPr>
              <w:spacing w:after="0"/>
              <w:jc w:val="left"/>
              <w:rPr>
                <w:rFonts w:eastAsia="Times New Roman" w:cs="Times New Roman"/>
                <w:sz w:val="20"/>
                <w:szCs w:val="20"/>
              </w:rPr>
            </w:pPr>
            <w:bookmarkStart w:id="26" w:name="_Toc481676869"/>
            <w:bookmarkStart w:id="27" w:name="_Toc481676436"/>
            <w:bookmarkStart w:id="28" w:name="_Toc481676999"/>
            <w:bookmarkEnd w:id="26"/>
            <w:bookmarkEnd w:id="27"/>
            <w:r w:rsidRPr="00453EDB">
              <w:rPr>
                <w:rFonts w:eastAsia="Times New Roman" w:cs="Times New Roman"/>
                <w:sz w:val="20"/>
                <w:szCs w:val="20"/>
              </w:rPr>
              <w:t>Unemployed spouse, minor children</w:t>
            </w:r>
            <w:r w:rsidR="00654D4E">
              <w:rPr>
                <w:rFonts w:eastAsia="Times New Roman" w:cs="Times New Roman"/>
                <w:sz w:val="20"/>
                <w:szCs w:val="20"/>
              </w:rPr>
              <w:t>,</w:t>
            </w:r>
            <w:r w:rsidRPr="00453EDB">
              <w:rPr>
                <w:rFonts w:eastAsia="Times New Roman" w:cs="Times New Roman"/>
                <w:sz w:val="20"/>
                <w:szCs w:val="20"/>
              </w:rPr>
              <w:t xml:space="preserve"> and parents if they do not receive social insurance benefits</w:t>
            </w:r>
            <w:r w:rsidR="00BC64EF">
              <w:rPr>
                <w:rFonts w:eastAsia="Times New Roman" w:cs="Times New Roman"/>
                <w:sz w:val="20"/>
                <w:szCs w:val="20"/>
              </w:rPr>
              <w:t>.</w:t>
            </w:r>
            <w:bookmarkEnd w:id="28"/>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08DAB5" w14:textId="4581C0D4" w:rsidR="00DB47F7" w:rsidRPr="00453EDB" w:rsidRDefault="00BC64EF" w:rsidP="00710453">
            <w:pPr>
              <w:spacing w:after="120"/>
              <w:jc w:val="left"/>
              <w:rPr>
                <w:rFonts w:eastAsia="Times New Roman" w:cs="Times New Roman"/>
                <w:sz w:val="20"/>
                <w:szCs w:val="20"/>
              </w:rPr>
            </w:pPr>
            <w:bookmarkStart w:id="29" w:name="_Toc481676870"/>
            <w:bookmarkStart w:id="30" w:name="_Toc481676437"/>
            <w:bookmarkStart w:id="31" w:name="_Toc481677000"/>
            <w:bookmarkEnd w:id="29"/>
            <w:bookmarkEnd w:id="30"/>
            <w:r w:rsidRPr="00453EDB">
              <w:rPr>
                <w:rFonts w:eastAsia="Times New Roman" w:cs="Times New Roman"/>
                <w:sz w:val="20"/>
                <w:szCs w:val="20"/>
              </w:rPr>
              <w:t>€</w:t>
            </w:r>
            <w:r w:rsidR="00DB47F7" w:rsidRPr="00453EDB">
              <w:rPr>
                <w:rFonts w:eastAsia="Times New Roman" w:cs="Times New Roman"/>
                <w:sz w:val="20"/>
                <w:szCs w:val="20"/>
              </w:rPr>
              <w:t>170  (the minimum wage value); after reaching the statutory retirement age</w:t>
            </w:r>
            <w:r>
              <w:rPr>
                <w:rFonts w:eastAsia="Times New Roman" w:cs="Times New Roman"/>
                <w:sz w:val="20"/>
                <w:szCs w:val="20"/>
              </w:rPr>
              <w:t>,</w:t>
            </w:r>
            <w:r w:rsidR="00DB47F7" w:rsidRPr="00453EDB">
              <w:rPr>
                <w:rFonts w:eastAsia="Times New Roman" w:cs="Times New Roman"/>
                <w:sz w:val="20"/>
                <w:szCs w:val="20"/>
              </w:rPr>
              <w:t xml:space="preserve"> is entitled to an additional allowance for the retired veteran's pension.</w:t>
            </w:r>
            <w:bookmarkEnd w:id="31"/>
          </w:p>
          <w:p w14:paraId="3ABB1F9B" w14:textId="77777777" w:rsidR="00DB47F7" w:rsidRPr="00453EDB" w:rsidRDefault="00DB47F7" w:rsidP="00710453">
            <w:pPr>
              <w:spacing w:after="120"/>
              <w:jc w:val="left"/>
              <w:rPr>
                <w:rFonts w:eastAsia="Times New Roman" w:cs="Times New Roman"/>
                <w:sz w:val="20"/>
                <w:szCs w:val="20"/>
              </w:rPr>
            </w:pPr>
            <w:r w:rsidRPr="00453EDB">
              <w:rPr>
                <w:rFonts w:eastAsia="Times New Roman" w:cs="Times New Roman"/>
                <w:sz w:val="20"/>
                <w:szCs w:val="20"/>
              </w:rPr>
              <w:t> </w:t>
            </w:r>
          </w:p>
          <w:p w14:paraId="3479B521" w14:textId="0F753784" w:rsidR="00DB47F7" w:rsidRPr="00453EDB" w:rsidRDefault="00DB47F7" w:rsidP="004E6D08">
            <w:pPr>
              <w:spacing w:after="120"/>
              <w:jc w:val="left"/>
              <w:rPr>
                <w:rFonts w:eastAsia="Times New Roman" w:cs="Times New Roman"/>
                <w:sz w:val="20"/>
                <w:szCs w:val="20"/>
              </w:rPr>
            </w:pPr>
            <w:bookmarkStart w:id="32" w:name="_Toc481676871"/>
            <w:bookmarkStart w:id="33" w:name="_Toc481676438"/>
            <w:bookmarkStart w:id="34" w:name="_Toc481677001"/>
            <w:bookmarkEnd w:id="32"/>
            <w:bookmarkEnd w:id="33"/>
            <w:r w:rsidRPr="00453EDB">
              <w:rPr>
                <w:rFonts w:eastAsia="Times New Roman" w:cs="Times New Roman"/>
                <w:sz w:val="20"/>
                <w:szCs w:val="20"/>
              </w:rPr>
              <w:t>Veteran</w:t>
            </w:r>
            <w:r w:rsidR="007868FA">
              <w:rPr>
                <w:rFonts w:eastAsia="Times New Roman" w:cs="Times New Roman"/>
                <w:sz w:val="20"/>
                <w:szCs w:val="20"/>
              </w:rPr>
              <w:t>'s</w:t>
            </w:r>
            <w:r w:rsidRPr="00453EDB">
              <w:rPr>
                <w:rFonts w:eastAsia="Times New Roman" w:cs="Times New Roman"/>
                <w:sz w:val="20"/>
                <w:szCs w:val="20"/>
              </w:rPr>
              <w:t xml:space="preserve"> family, after the death of the veteran: 70% of the spouse's or child's pension (up to 18</w:t>
            </w:r>
            <w:r w:rsidR="007868FA">
              <w:rPr>
                <w:rFonts w:eastAsia="Times New Roman" w:cs="Times New Roman"/>
                <w:sz w:val="20"/>
                <w:szCs w:val="20"/>
              </w:rPr>
              <w:t xml:space="preserve"> years</w:t>
            </w:r>
            <w:r w:rsidRPr="00453EDB">
              <w:rPr>
                <w:rFonts w:eastAsia="Times New Roman" w:cs="Times New Roman"/>
                <w:sz w:val="20"/>
                <w:szCs w:val="20"/>
              </w:rPr>
              <w:t xml:space="preserve"> or 26</w:t>
            </w:r>
            <w:r w:rsidR="007868FA">
              <w:rPr>
                <w:rFonts w:eastAsia="Times New Roman" w:cs="Times New Roman"/>
                <w:sz w:val="20"/>
                <w:szCs w:val="20"/>
              </w:rPr>
              <w:t xml:space="preserve"> years</w:t>
            </w:r>
            <w:r w:rsidRPr="00453EDB">
              <w:rPr>
                <w:rFonts w:eastAsia="Times New Roman" w:cs="Times New Roman"/>
                <w:sz w:val="20"/>
                <w:szCs w:val="20"/>
              </w:rPr>
              <w:t xml:space="preserve">, depending on the continuation of education): </w:t>
            </w:r>
            <w:r w:rsidR="007868FA" w:rsidRPr="00453EDB">
              <w:rPr>
                <w:rFonts w:eastAsia="Times New Roman" w:cs="Times New Roman"/>
                <w:sz w:val="20"/>
                <w:szCs w:val="20"/>
              </w:rPr>
              <w:t>€</w:t>
            </w:r>
            <w:r w:rsidRPr="00453EDB">
              <w:rPr>
                <w:rFonts w:eastAsia="Times New Roman" w:cs="Times New Roman"/>
                <w:sz w:val="20"/>
                <w:szCs w:val="20"/>
              </w:rPr>
              <w:t>119.</w:t>
            </w:r>
            <w:bookmarkEnd w:id="34"/>
            <w:r w:rsidRPr="00453EDB">
              <w:rPr>
                <w:rFonts w:eastAsia="Times New Roman" w:cs="Times New Roman"/>
                <w:sz w:val="20"/>
                <w:szCs w:val="20"/>
              </w:rPr>
              <w:t> </w:t>
            </w:r>
          </w:p>
        </w:tc>
      </w:tr>
      <w:tr w:rsidR="00DB47F7" w:rsidRPr="00453EDB" w14:paraId="5485B160" w14:textId="77777777" w:rsidTr="004E6D08">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hideMark/>
          </w:tcPr>
          <w:p w14:paraId="2A0D1FB2" w14:textId="77777777" w:rsidR="00DB47F7" w:rsidRPr="00453EDB" w:rsidRDefault="00DB47F7" w:rsidP="00654D4E">
            <w:pPr>
              <w:spacing w:after="0"/>
              <w:jc w:val="left"/>
              <w:rPr>
                <w:rFonts w:eastAsia="Times New Roman" w:cs="Times New Roman"/>
                <w:sz w:val="20"/>
                <w:szCs w:val="20"/>
              </w:rPr>
            </w:pPr>
            <w:r w:rsidRPr="00453EDB">
              <w:rPr>
                <w:rFonts w:eastAsia="Times New Roman" w:cs="Times New Roman"/>
                <w:b/>
                <w:bCs/>
                <w:sz w:val="20"/>
                <w:szCs w:val="20"/>
              </w:rPr>
              <w:t>Status and Rights of Martyrs, Invalids, Veterans, KLA Members, Victims</w:t>
            </w:r>
            <w:r w:rsidRPr="00453EDB">
              <w:rPr>
                <w:rFonts w:eastAsia="Times New Roman" w:cs="Times New Roman"/>
                <w:sz w:val="20"/>
                <w:szCs w:val="20"/>
              </w:rPr>
              <w:t> </w:t>
            </w:r>
            <w:r w:rsidRPr="00453EDB">
              <w:rPr>
                <w:rFonts w:eastAsia="Times New Roman" w:cs="Times New Roman"/>
                <w:b/>
                <w:bCs/>
                <w:sz w:val="20"/>
                <w:szCs w:val="20"/>
              </w:rPr>
              <w:t>Sexual Violence, Civil Victims and their Families (Law No. 04 / L-172 on Amendments and Supplementation of the Law No.04 / L-054 on the Status and Rights of Martyrs, Invalids, Veterans, Liberation Army Members Kosovo Victims of Sexual Violence of War, Civilian Victims and their Families)</w:t>
            </w:r>
          </w:p>
        </w:tc>
      </w:tr>
      <w:tr w:rsidR="00DB47F7" w:rsidRPr="00453EDB" w14:paraId="19A1BD7C"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F2952E" w14:textId="77777777" w:rsidR="00DB47F7" w:rsidRPr="00453EDB" w:rsidRDefault="00DB47F7" w:rsidP="00710453">
            <w:pPr>
              <w:spacing w:after="120"/>
              <w:jc w:val="left"/>
              <w:rPr>
                <w:rFonts w:eastAsia="Times New Roman" w:cs="Times New Roman"/>
                <w:sz w:val="20"/>
                <w:szCs w:val="20"/>
              </w:rPr>
            </w:pPr>
            <w:bookmarkStart w:id="35" w:name="_Toc481676873"/>
            <w:bookmarkStart w:id="36" w:name="_Toc481676440"/>
            <w:bookmarkStart w:id="37" w:name="_Toc481677003"/>
            <w:bookmarkEnd w:id="35"/>
            <w:bookmarkEnd w:id="36"/>
            <w:r w:rsidRPr="00453EDB">
              <w:rPr>
                <w:rFonts w:eastAsia="Times New Roman" w:cs="Times New Roman"/>
                <w:b/>
                <w:bCs/>
                <w:sz w:val="20"/>
                <w:szCs w:val="20"/>
              </w:rPr>
              <w:t>Pensioners of</w:t>
            </w:r>
            <w:r w:rsidRPr="00453EDB">
              <w:rPr>
                <w:rFonts w:eastAsia="Times New Roman" w:cs="Times New Roman"/>
                <w:sz w:val="20"/>
                <w:szCs w:val="20"/>
              </w:rPr>
              <w:t> </w:t>
            </w:r>
            <w:r w:rsidRPr="00453EDB">
              <w:rPr>
                <w:rFonts w:eastAsia="Times New Roman" w:cs="Times New Roman"/>
                <w:b/>
                <w:bCs/>
                <w:sz w:val="20"/>
                <w:szCs w:val="20"/>
              </w:rPr>
              <w:t>Martyrs' Families</w:t>
            </w:r>
            <w:bookmarkEnd w:id="37"/>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51CF5E" w14:textId="2FB45D73" w:rsidR="00DB47F7" w:rsidRPr="00453EDB" w:rsidRDefault="00DB47F7" w:rsidP="00710453">
            <w:pPr>
              <w:spacing w:after="120"/>
              <w:jc w:val="left"/>
              <w:rPr>
                <w:rFonts w:eastAsia="Times New Roman" w:cs="Times New Roman"/>
                <w:sz w:val="20"/>
                <w:szCs w:val="20"/>
              </w:rPr>
            </w:pPr>
            <w:bookmarkStart w:id="38" w:name="_Toc481676874"/>
            <w:bookmarkStart w:id="39" w:name="_Toc481676441"/>
            <w:bookmarkStart w:id="40" w:name="_Toc481677004"/>
            <w:bookmarkEnd w:id="38"/>
            <w:bookmarkEnd w:id="39"/>
            <w:r w:rsidRPr="00453EDB">
              <w:rPr>
                <w:rFonts w:eastAsia="Times New Roman" w:cs="Times New Roman"/>
                <w:sz w:val="20"/>
                <w:szCs w:val="20"/>
              </w:rPr>
              <w:t>A close family member</w:t>
            </w:r>
            <w:bookmarkEnd w:id="40"/>
          </w:p>
          <w:p w14:paraId="27F1D333" w14:textId="20A7E8F9" w:rsidR="00DB47F7" w:rsidRPr="00453EDB" w:rsidRDefault="00DB47F7" w:rsidP="0027628F">
            <w:pPr>
              <w:spacing w:after="120"/>
              <w:jc w:val="left"/>
              <w:rPr>
                <w:rFonts w:eastAsia="Times New Roman" w:cs="Times New Roman"/>
                <w:sz w:val="20"/>
                <w:szCs w:val="20"/>
              </w:rPr>
            </w:pPr>
            <w:bookmarkStart w:id="41" w:name="_Toc481676875"/>
            <w:bookmarkStart w:id="42" w:name="_Toc481676442"/>
            <w:bookmarkStart w:id="43" w:name="_Toc481677005"/>
            <w:bookmarkEnd w:id="41"/>
            <w:bookmarkEnd w:id="42"/>
            <w:r w:rsidRPr="00453EDB">
              <w:rPr>
                <w:rFonts w:eastAsia="Times New Roman" w:cs="Times New Roman"/>
                <w:sz w:val="20"/>
                <w:szCs w:val="20"/>
              </w:rPr>
              <w:t>Children of martyr</w:t>
            </w:r>
            <w:r w:rsidR="00BE48B0">
              <w:rPr>
                <w:rFonts w:eastAsia="Times New Roman" w:cs="Times New Roman"/>
                <w:sz w:val="20"/>
                <w:szCs w:val="20"/>
              </w:rPr>
              <w:t>s'</w:t>
            </w:r>
            <w:r w:rsidRPr="00453EDB">
              <w:rPr>
                <w:rFonts w:eastAsia="Times New Roman" w:cs="Times New Roman"/>
                <w:sz w:val="20"/>
                <w:szCs w:val="20"/>
              </w:rPr>
              <w:t xml:space="preserve"> families without parental care are beneficiaries of the family pension and enjoy the right to 18 years of age</w:t>
            </w:r>
            <w:r w:rsidR="00BE48B0">
              <w:rPr>
                <w:rFonts w:eastAsia="Times New Roman" w:cs="Times New Roman"/>
                <w:sz w:val="20"/>
                <w:szCs w:val="20"/>
              </w:rPr>
              <w:t>,</w:t>
            </w:r>
            <w:r w:rsidRPr="00453EDB">
              <w:rPr>
                <w:rFonts w:eastAsia="Times New Roman" w:cs="Times New Roman"/>
                <w:sz w:val="20"/>
                <w:szCs w:val="20"/>
              </w:rPr>
              <w:t xml:space="preserve"> or 26 years of age if they are attending regular education</w:t>
            </w:r>
            <w:r w:rsidR="00BE48B0">
              <w:rPr>
                <w:rFonts w:eastAsia="Times New Roman" w:cs="Times New Roman"/>
                <w:sz w:val="20"/>
                <w:szCs w:val="20"/>
              </w:rPr>
              <w:t>.</w:t>
            </w:r>
            <w:bookmarkEnd w:id="43"/>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4015A3" w14:textId="4CFC8349" w:rsidR="00DB47F7" w:rsidRPr="00453EDB" w:rsidRDefault="00DB47F7" w:rsidP="00710453">
            <w:pPr>
              <w:spacing w:after="120"/>
              <w:jc w:val="left"/>
              <w:rPr>
                <w:rFonts w:eastAsia="Times New Roman" w:cs="Times New Roman"/>
                <w:sz w:val="20"/>
                <w:szCs w:val="20"/>
              </w:rPr>
            </w:pPr>
            <w:bookmarkStart w:id="44" w:name="_Toc481676876"/>
            <w:bookmarkStart w:id="45" w:name="_Toc481676443"/>
            <w:bookmarkStart w:id="46" w:name="_Toc481677006"/>
            <w:bookmarkEnd w:id="44"/>
            <w:bookmarkEnd w:id="45"/>
            <w:r w:rsidRPr="00453EDB">
              <w:rPr>
                <w:rFonts w:eastAsia="Times New Roman" w:cs="Times New Roman"/>
                <w:sz w:val="20"/>
                <w:szCs w:val="20"/>
              </w:rPr>
              <w:t xml:space="preserve">The family who has given a martyr: </w:t>
            </w:r>
            <w:r w:rsidR="00BE48B0" w:rsidRPr="00453EDB">
              <w:rPr>
                <w:rFonts w:eastAsia="Times New Roman" w:cs="Times New Roman"/>
                <w:sz w:val="20"/>
                <w:szCs w:val="20"/>
              </w:rPr>
              <w:t>€</w:t>
            </w:r>
            <w:r w:rsidRPr="00453EDB">
              <w:rPr>
                <w:rFonts w:eastAsia="Times New Roman" w:cs="Times New Roman"/>
                <w:sz w:val="20"/>
                <w:szCs w:val="20"/>
              </w:rPr>
              <w:t xml:space="preserve">448.13 </w:t>
            </w:r>
            <w:bookmarkEnd w:id="46"/>
          </w:p>
          <w:p w14:paraId="4C8AB3FA" w14:textId="67FDB0D6" w:rsidR="00DB47F7" w:rsidRPr="00453EDB" w:rsidRDefault="00DB47F7" w:rsidP="00710453">
            <w:pPr>
              <w:spacing w:after="120"/>
              <w:jc w:val="left"/>
              <w:rPr>
                <w:rFonts w:eastAsia="Times New Roman" w:cs="Times New Roman"/>
                <w:sz w:val="20"/>
                <w:szCs w:val="20"/>
              </w:rPr>
            </w:pPr>
            <w:bookmarkStart w:id="47" w:name="_Toc481676877"/>
            <w:bookmarkStart w:id="48" w:name="_Toc481676444"/>
            <w:bookmarkStart w:id="49" w:name="_Toc481677007"/>
            <w:bookmarkEnd w:id="47"/>
            <w:bookmarkEnd w:id="48"/>
            <w:r w:rsidRPr="00453EDB">
              <w:rPr>
                <w:rFonts w:eastAsia="Times New Roman" w:cs="Times New Roman"/>
                <w:sz w:val="20"/>
                <w:szCs w:val="20"/>
              </w:rPr>
              <w:t>The family who has given two martyrs: €537.76</w:t>
            </w:r>
            <w:bookmarkEnd w:id="49"/>
          </w:p>
          <w:p w14:paraId="00276CA5" w14:textId="74544FFD" w:rsidR="00DB47F7" w:rsidRPr="00453EDB" w:rsidRDefault="00DB47F7" w:rsidP="00710453">
            <w:pPr>
              <w:spacing w:after="120"/>
              <w:jc w:val="left"/>
              <w:rPr>
                <w:rFonts w:eastAsia="Times New Roman" w:cs="Times New Roman"/>
                <w:sz w:val="20"/>
                <w:szCs w:val="20"/>
              </w:rPr>
            </w:pPr>
            <w:bookmarkStart w:id="50" w:name="_Toc481676878"/>
            <w:bookmarkStart w:id="51" w:name="_Toc481676445"/>
            <w:bookmarkStart w:id="52" w:name="_Toc481677008"/>
            <w:bookmarkEnd w:id="50"/>
            <w:bookmarkEnd w:id="51"/>
            <w:r w:rsidRPr="00453EDB">
              <w:rPr>
                <w:rFonts w:eastAsia="Times New Roman" w:cs="Times New Roman"/>
                <w:sz w:val="20"/>
                <w:szCs w:val="20"/>
              </w:rPr>
              <w:t xml:space="preserve">The family who has given three martyrs: </w:t>
            </w:r>
            <w:r w:rsidR="00BE48B0" w:rsidRPr="00453EDB">
              <w:rPr>
                <w:rFonts w:eastAsia="Times New Roman" w:cs="Times New Roman"/>
                <w:sz w:val="20"/>
                <w:szCs w:val="20"/>
              </w:rPr>
              <w:t>€</w:t>
            </w:r>
            <w:r w:rsidRPr="00453EDB">
              <w:rPr>
                <w:rFonts w:eastAsia="Times New Roman" w:cs="Times New Roman"/>
                <w:sz w:val="20"/>
                <w:szCs w:val="20"/>
              </w:rPr>
              <w:t xml:space="preserve">582.57 </w:t>
            </w:r>
            <w:bookmarkEnd w:id="52"/>
          </w:p>
          <w:p w14:paraId="037FB2DD" w14:textId="425F902E" w:rsidR="00DB47F7" w:rsidRPr="00453EDB" w:rsidRDefault="00DB47F7" w:rsidP="00710453">
            <w:pPr>
              <w:spacing w:after="120"/>
              <w:jc w:val="left"/>
              <w:rPr>
                <w:rFonts w:eastAsia="Times New Roman" w:cs="Times New Roman"/>
                <w:sz w:val="20"/>
                <w:szCs w:val="20"/>
              </w:rPr>
            </w:pPr>
            <w:bookmarkStart w:id="53" w:name="_Toc481676879"/>
            <w:bookmarkStart w:id="54" w:name="_Toc481676446"/>
            <w:bookmarkStart w:id="55" w:name="_Toc481677009"/>
            <w:bookmarkEnd w:id="53"/>
            <w:bookmarkEnd w:id="54"/>
            <w:r w:rsidRPr="00453EDB">
              <w:rPr>
                <w:rFonts w:eastAsia="Times New Roman" w:cs="Times New Roman"/>
                <w:sz w:val="20"/>
                <w:szCs w:val="20"/>
              </w:rPr>
              <w:t xml:space="preserve">The family who gave four martyrs: </w:t>
            </w:r>
            <w:r w:rsidR="00BE48B0" w:rsidRPr="00453EDB">
              <w:rPr>
                <w:rFonts w:eastAsia="Times New Roman" w:cs="Times New Roman"/>
                <w:sz w:val="20"/>
                <w:szCs w:val="20"/>
              </w:rPr>
              <w:t>€</w:t>
            </w:r>
            <w:r w:rsidRPr="00453EDB">
              <w:rPr>
                <w:rFonts w:eastAsia="Times New Roman" w:cs="Times New Roman"/>
                <w:sz w:val="20"/>
                <w:szCs w:val="20"/>
              </w:rPr>
              <w:t xml:space="preserve">627.39 </w:t>
            </w:r>
            <w:bookmarkEnd w:id="55"/>
          </w:p>
          <w:p w14:paraId="54FD6F40" w14:textId="12BCB145" w:rsidR="00DB47F7" w:rsidRPr="00453EDB" w:rsidRDefault="00DB47F7" w:rsidP="004E6D08">
            <w:pPr>
              <w:spacing w:after="0"/>
              <w:jc w:val="left"/>
              <w:rPr>
                <w:rFonts w:eastAsia="Times New Roman" w:cs="Times New Roman"/>
                <w:sz w:val="20"/>
                <w:szCs w:val="20"/>
              </w:rPr>
            </w:pPr>
            <w:bookmarkStart w:id="56" w:name="_Toc481676880"/>
            <w:bookmarkStart w:id="57" w:name="_Toc481676447"/>
            <w:bookmarkStart w:id="58" w:name="_Toc481677010"/>
            <w:bookmarkEnd w:id="56"/>
            <w:bookmarkEnd w:id="57"/>
            <w:r w:rsidRPr="00453EDB">
              <w:rPr>
                <w:rFonts w:eastAsia="Times New Roman" w:cs="Times New Roman"/>
                <w:sz w:val="20"/>
                <w:szCs w:val="20"/>
              </w:rPr>
              <w:lastRenderedPageBreak/>
              <w:t xml:space="preserve">The family </w:t>
            </w:r>
            <w:r w:rsidR="00654D4E">
              <w:rPr>
                <w:rFonts w:eastAsia="Times New Roman" w:cs="Times New Roman"/>
                <w:sz w:val="20"/>
                <w:szCs w:val="20"/>
              </w:rPr>
              <w:t>who</w:t>
            </w:r>
            <w:r w:rsidR="00654D4E" w:rsidRPr="00453EDB">
              <w:rPr>
                <w:rFonts w:eastAsia="Times New Roman" w:cs="Times New Roman"/>
                <w:sz w:val="20"/>
                <w:szCs w:val="20"/>
              </w:rPr>
              <w:t xml:space="preserve"> </w:t>
            </w:r>
            <w:r w:rsidRPr="00453EDB">
              <w:rPr>
                <w:rFonts w:eastAsia="Times New Roman" w:cs="Times New Roman"/>
                <w:sz w:val="20"/>
                <w:szCs w:val="20"/>
              </w:rPr>
              <w:t>has given more than four martyrs: €672.19</w:t>
            </w:r>
            <w:bookmarkEnd w:id="58"/>
          </w:p>
        </w:tc>
      </w:tr>
      <w:tr w:rsidR="00DB47F7" w:rsidRPr="00453EDB" w14:paraId="5426E044"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EEF976" w14:textId="3953B5CD" w:rsidR="00DB47F7" w:rsidRPr="00453EDB" w:rsidRDefault="00DB47F7" w:rsidP="00710453">
            <w:pPr>
              <w:spacing w:after="120"/>
              <w:jc w:val="left"/>
              <w:rPr>
                <w:rFonts w:eastAsia="Times New Roman" w:cs="Times New Roman"/>
                <w:sz w:val="20"/>
                <w:szCs w:val="20"/>
              </w:rPr>
            </w:pPr>
            <w:bookmarkStart w:id="59" w:name="_Toc481676881"/>
            <w:bookmarkStart w:id="60" w:name="_Toc481676448"/>
            <w:bookmarkStart w:id="61" w:name="_Toc481677011"/>
            <w:bookmarkEnd w:id="59"/>
            <w:bookmarkEnd w:id="60"/>
            <w:r w:rsidRPr="00453EDB">
              <w:rPr>
                <w:rFonts w:eastAsia="Times New Roman" w:cs="Times New Roman"/>
                <w:b/>
                <w:bCs/>
                <w:sz w:val="20"/>
                <w:szCs w:val="20"/>
              </w:rPr>
              <w:t>Pensions of the KLA Families</w:t>
            </w:r>
            <w:r w:rsidR="004E6D08">
              <w:rPr>
                <w:rFonts w:eastAsia="Times New Roman" w:cs="Times New Roman"/>
                <w:b/>
                <w:bCs/>
                <w:sz w:val="20"/>
                <w:szCs w:val="20"/>
              </w:rPr>
              <w:t xml:space="preserve"> </w:t>
            </w:r>
            <w:r w:rsidRPr="00453EDB">
              <w:rPr>
                <w:rFonts w:eastAsia="Times New Roman" w:cs="Times New Roman"/>
                <w:b/>
                <w:bCs/>
                <w:sz w:val="20"/>
                <w:szCs w:val="20"/>
              </w:rPr>
              <w:t>of the KLA</w:t>
            </w:r>
            <w:bookmarkEnd w:id="61"/>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E525A5" w14:textId="33EEACC3" w:rsidR="00DB47F7" w:rsidRPr="00453EDB" w:rsidRDefault="00DB47F7" w:rsidP="00710453">
            <w:pPr>
              <w:spacing w:after="120"/>
              <w:jc w:val="left"/>
              <w:rPr>
                <w:rFonts w:eastAsia="Times New Roman" w:cs="Times New Roman"/>
                <w:sz w:val="20"/>
                <w:szCs w:val="20"/>
              </w:rPr>
            </w:pPr>
            <w:bookmarkStart w:id="62" w:name="_Toc481676882"/>
            <w:bookmarkStart w:id="63" w:name="_Toc481676449"/>
            <w:bookmarkStart w:id="64" w:name="_Toc481677012"/>
            <w:bookmarkEnd w:id="62"/>
            <w:bookmarkEnd w:id="63"/>
            <w:r w:rsidRPr="00453EDB">
              <w:rPr>
                <w:rFonts w:eastAsia="Times New Roman" w:cs="Times New Roman"/>
                <w:sz w:val="20"/>
                <w:szCs w:val="20"/>
              </w:rPr>
              <w:t>A</w:t>
            </w:r>
            <w:r w:rsidR="004E6D08">
              <w:rPr>
                <w:rFonts w:eastAsia="Times New Roman" w:cs="Times New Roman"/>
                <w:sz w:val="20"/>
                <w:szCs w:val="20"/>
              </w:rPr>
              <w:t xml:space="preserve"> </w:t>
            </w:r>
            <w:r w:rsidRPr="00453EDB">
              <w:rPr>
                <w:rFonts w:eastAsia="Times New Roman" w:cs="Times New Roman"/>
                <w:sz w:val="20"/>
                <w:szCs w:val="20"/>
              </w:rPr>
              <w:t>close family member</w:t>
            </w:r>
            <w:bookmarkEnd w:id="64"/>
          </w:p>
          <w:p w14:paraId="3FE1F57F" w14:textId="09CB2F20" w:rsidR="00DB47F7" w:rsidRPr="00453EDB" w:rsidRDefault="00DB47F7" w:rsidP="00BE48B0">
            <w:pPr>
              <w:spacing w:after="120"/>
              <w:jc w:val="left"/>
              <w:rPr>
                <w:rFonts w:eastAsia="Times New Roman" w:cs="Times New Roman"/>
                <w:sz w:val="20"/>
                <w:szCs w:val="20"/>
              </w:rPr>
            </w:pPr>
            <w:bookmarkStart w:id="65" w:name="_Toc481676883"/>
            <w:bookmarkStart w:id="66" w:name="_Toc481676450"/>
            <w:bookmarkStart w:id="67" w:name="_Toc481677013"/>
            <w:bookmarkEnd w:id="65"/>
            <w:bookmarkEnd w:id="66"/>
            <w:r w:rsidRPr="00453EDB">
              <w:rPr>
                <w:rFonts w:eastAsia="Times New Roman" w:cs="Times New Roman"/>
                <w:sz w:val="20"/>
                <w:szCs w:val="20"/>
              </w:rPr>
              <w:t xml:space="preserve">Children of </w:t>
            </w:r>
            <w:r w:rsidR="00BE48B0">
              <w:rPr>
                <w:rFonts w:eastAsia="Times New Roman" w:cs="Times New Roman"/>
                <w:sz w:val="20"/>
                <w:szCs w:val="20"/>
              </w:rPr>
              <w:t xml:space="preserve">missing </w:t>
            </w:r>
            <w:r w:rsidRPr="00453EDB">
              <w:rPr>
                <w:rFonts w:eastAsia="Times New Roman" w:cs="Times New Roman"/>
                <w:sz w:val="20"/>
                <w:szCs w:val="20"/>
              </w:rPr>
              <w:t>KLA without parental care are beneficiaries of the family pension and enjoy the right to 18 years of age</w:t>
            </w:r>
            <w:r w:rsidR="00BE48B0">
              <w:rPr>
                <w:rFonts w:eastAsia="Times New Roman" w:cs="Times New Roman"/>
                <w:sz w:val="20"/>
                <w:szCs w:val="20"/>
              </w:rPr>
              <w:t>,</w:t>
            </w:r>
            <w:r w:rsidRPr="00453EDB">
              <w:rPr>
                <w:rFonts w:eastAsia="Times New Roman" w:cs="Times New Roman"/>
                <w:sz w:val="20"/>
                <w:szCs w:val="20"/>
              </w:rPr>
              <w:t xml:space="preserve"> or 26 years of age if they are attending regular education</w:t>
            </w:r>
            <w:r w:rsidR="00BE48B0">
              <w:rPr>
                <w:rFonts w:eastAsia="Times New Roman" w:cs="Times New Roman"/>
                <w:sz w:val="20"/>
                <w:szCs w:val="20"/>
              </w:rPr>
              <w:t>.</w:t>
            </w:r>
            <w:bookmarkEnd w:id="67"/>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93D8B6" w14:textId="5DBB875B" w:rsidR="00DB47F7" w:rsidRPr="00453EDB" w:rsidRDefault="00DB47F7" w:rsidP="00710453">
            <w:pPr>
              <w:spacing w:after="120"/>
              <w:jc w:val="left"/>
              <w:rPr>
                <w:rFonts w:eastAsia="Times New Roman" w:cs="Times New Roman"/>
                <w:sz w:val="20"/>
                <w:szCs w:val="20"/>
              </w:rPr>
            </w:pPr>
            <w:bookmarkStart w:id="68" w:name="_Toc481676884"/>
            <w:bookmarkStart w:id="69" w:name="_Toc481676451"/>
            <w:bookmarkStart w:id="70" w:name="_Toc481677014"/>
            <w:bookmarkEnd w:id="68"/>
            <w:bookmarkEnd w:id="69"/>
            <w:r w:rsidRPr="00453EDB">
              <w:rPr>
                <w:rFonts w:eastAsia="Times New Roman" w:cs="Times New Roman"/>
                <w:sz w:val="20"/>
                <w:szCs w:val="20"/>
              </w:rPr>
              <w:t xml:space="preserve">Family with one KLA missing: </w:t>
            </w:r>
            <w:r w:rsidR="00677EAB" w:rsidRPr="00453EDB">
              <w:rPr>
                <w:rFonts w:eastAsia="Times New Roman" w:cs="Times New Roman"/>
                <w:sz w:val="20"/>
                <w:szCs w:val="20"/>
              </w:rPr>
              <w:t>€</w:t>
            </w:r>
            <w:r w:rsidRPr="00453EDB">
              <w:rPr>
                <w:rFonts w:eastAsia="Times New Roman" w:cs="Times New Roman"/>
                <w:sz w:val="20"/>
                <w:szCs w:val="20"/>
              </w:rPr>
              <w:t xml:space="preserve">448.13 </w:t>
            </w:r>
            <w:bookmarkEnd w:id="70"/>
          </w:p>
          <w:p w14:paraId="74ED9435" w14:textId="65EABC56" w:rsidR="00DB47F7" w:rsidRPr="00453EDB" w:rsidRDefault="00677EAB" w:rsidP="00710453">
            <w:pPr>
              <w:spacing w:after="120"/>
              <w:jc w:val="left"/>
              <w:rPr>
                <w:rFonts w:eastAsia="Times New Roman" w:cs="Times New Roman"/>
                <w:sz w:val="20"/>
                <w:szCs w:val="20"/>
              </w:rPr>
            </w:pPr>
            <w:bookmarkStart w:id="71" w:name="_Toc481676885"/>
            <w:bookmarkStart w:id="72" w:name="_Toc481676452"/>
            <w:bookmarkStart w:id="73" w:name="_Toc481677015"/>
            <w:bookmarkEnd w:id="71"/>
            <w:bookmarkEnd w:id="72"/>
            <w:r>
              <w:rPr>
                <w:rFonts w:eastAsia="Times New Roman" w:cs="Times New Roman"/>
                <w:sz w:val="20"/>
                <w:szCs w:val="20"/>
              </w:rPr>
              <w:t xml:space="preserve">Family with </w:t>
            </w:r>
            <w:r w:rsidRPr="00453EDB">
              <w:rPr>
                <w:rFonts w:eastAsia="Times New Roman" w:cs="Times New Roman"/>
                <w:sz w:val="20"/>
                <w:szCs w:val="20"/>
              </w:rPr>
              <w:t xml:space="preserve">two </w:t>
            </w:r>
            <w:r w:rsidR="00DB47F7" w:rsidRPr="00453EDB">
              <w:rPr>
                <w:rFonts w:eastAsia="Times New Roman" w:cs="Times New Roman"/>
                <w:sz w:val="20"/>
                <w:szCs w:val="20"/>
              </w:rPr>
              <w:t>KLAs missing: €537.76</w:t>
            </w:r>
            <w:bookmarkEnd w:id="73"/>
          </w:p>
          <w:p w14:paraId="595BAA24" w14:textId="34EBA9F0" w:rsidR="00DB47F7" w:rsidRPr="00453EDB" w:rsidRDefault="00DB47F7" w:rsidP="00710453">
            <w:pPr>
              <w:spacing w:after="120"/>
              <w:jc w:val="left"/>
              <w:rPr>
                <w:rFonts w:eastAsia="Times New Roman" w:cs="Times New Roman"/>
                <w:sz w:val="20"/>
                <w:szCs w:val="20"/>
              </w:rPr>
            </w:pPr>
            <w:bookmarkStart w:id="74" w:name="_Toc481676886"/>
            <w:bookmarkStart w:id="75" w:name="_Toc481676453"/>
            <w:bookmarkStart w:id="76" w:name="_Toc481677016"/>
            <w:bookmarkEnd w:id="74"/>
            <w:bookmarkEnd w:id="75"/>
            <w:r w:rsidRPr="00453EDB">
              <w:rPr>
                <w:rFonts w:eastAsia="Times New Roman" w:cs="Times New Roman"/>
                <w:sz w:val="20"/>
                <w:szCs w:val="20"/>
              </w:rPr>
              <w:t>The three missing KLA</w:t>
            </w:r>
            <w:r w:rsidR="00677EAB">
              <w:rPr>
                <w:rFonts w:eastAsia="Times New Roman" w:cs="Times New Roman"/>
                <w:sz w:val="20"/>
                <w:szCs w:val="20"/>
              </w:rPr>
              <w:t>s</w:t>
            </w:r>
            <w:r w:rsidRPr="00453EDB">
              <w:rPr>
                <w:rFonts w:eastAsia="Times New Roman" w:cs="Times New Roman"/>
                <w:sz w:val="20"/>
                <w:szCs w:val="20"/>
              </w:rPr>
              <w:t xml:space="preserve"> family: €582.57</w:t>
            </w:r>
            <w:bookmarkEnd w:id="76"/>
          </w:p>
          <w:p w14:paraId="2C9B0EB5" w14:textId="6DB1DC84" w:rsidR="00DB47F7" w:rsidRPr="00453EDB" w:rsidRDefault="00DB47F7" w:rsidP="00710453">
            <w:pPr>
              <w:spacing w:after="120"/>
              <w:jc w:val="left"/>
              <w:rPr>
                <w:rFonts w:eastAsia="Times New Roman" w:cs="Times New Roman"/>
                <w:sz w:val="20"/>
                <w:szCs w:val="20"/>
              </w:rPr>
            </w:pPr>
            <w:bookmarkStart w:id="77" w:name="_Toc481676887"/>
            <w:bookmarkStart w:id="78" w:name="_Toc481676454"/>
            <w:bookmarkStart w:id="79" w:name="_Toc481677017"/>
            <w:bookmarkEnd w:id="77"/>
            <w:bookmarkEnd w:id="78"/>
            <w:r w:rsidRPr="00453EDB">
              <w:rPr>
                <w:rFonts w:eastAsia="Times New Roman" w:cs="Times New Roman"/>
                <w:sz w:val="20"/>
                <w:szCs w:val="20"/>
              </w:rPr>
              <w:t>The four missing KLA</w:t>
            </w:r>
            <w:r w:rsidR="00677EAB">
              <w:rPr>
                <w:rFonts w:eastAsia="Times New Roman" w:cs="Times New Roman"/>
                <w:sz w:val="20"/>
                <w:szCs w:val="20"/>
              </w:rPr>
              <w:t>s</w:t>
            </w:r>
            <w:r w:rsidRPr="00453EDB">
              <w:rPr>
                <w:rFonts w:eastAsia="Times New Roman" w:cs="Times New Roman"/>
                <w:sz w:val="20"/>
                <w:szCs w:val="20"/>
              </w:rPr>
              <w:t xml:space="preserve"> family: €627.39</w:t>
            </w:r>
            <w:bookmarkEnd w:id="79"/>
          </w:p>
          <w:p w14:paraId="538FF13F" w14:textId="11EB9707" w:rsidR="00DB47F7" w:rsidRPr="00453EDB" w:rsidRDefault="00DB47F7" w:rsidP="004E6D08">
            <w:pPr>
              <w:spacing w:after="0"/>
              <w:jc w:val="left"/>
              <w:rPr>
                <w:rFonts w:eastAsia="Times New Roman" w:cs="Times New Roman"/>
                <w:sz w:val="20"/>
                <w:szCs w:val="20"/>
              </w:rPr>
            </w:pPr>
            <w:bookmarkStart w:id="80" w:name="_Toc481676888"/>
            <w:bookmarkStart w:id="81" w:name="_Toc481676455"/>
            <w:bookmarkStart w:id="82" w:name="_Toc481677018"/>
            <w:bookmarkEnd w:id="80"/>
            <w:bookmarkEnd w:id="81"/>
            <w:r w:rsidRPr="00453EDB">
              <w:rPr>
                <w:rFonts w:eastAsia="Times New Roman" w:cs="Times New Roman"/>
                <w:sz w:val="20"/>
                <w:szCs w:val="20"/>
              </w:rPr>
              <w:t>Family with more than four missing KLA</w:t>
            </w:r>
            <w:r w:rsidR="00677EAB">
              <w:rPr>
                <w:rFonts w:eastAsia="Times New Roman" w:cs="Times New Roman"/>
                <w:sz w:val="20"/>
                <w:szCs w:val="20"/>
              </w:rPr>
              <w:t>s</w:t>
            </w:r>
            <w:r w:rsidRPr="00453EDB">
              <w:rPr>
                <w:rFonts w:eastAsia="Times New Roman" w:cs="Times New Roman"/>
                <w:sz w:val="20"/>
                <w:szCs w:val="20"/>
              </w:rPr>
              <w:t xml:space="preserve">: </w:t>
            </w:r>
            <w:r w:rsidR="00677EAB" w:rsidRPr="00453EDB">
              <w:rPr>
                <w:rFonts w:eastAsia="Times New Roman" w:cs="Times New Roman"/>
                <w:sz w:val="20"/>
                <w:szCs w:val="20"/>
              </w:rPr>
              <w:t>€</w:t>
            </w:r>
            <w:r w:rsidRPr="00453EDB">
              <w:rPr>
                <w:rFonts w:eastAsia="Times New Roman" w:cs="Times New Roman"/>
                <w:sz w:val="20"/>
                <w:szCs w:val="20"/>
              </w:rPr>
              <w:t xml:space="preserve">672.19 </w:t>
            </w:r>
            <w:bookmarkEnd w:id="82"/>
          </w:p>
        </w:tc>
      </w:tr>
      <w:tr w:rsidR="00DB47F7" w:rsidRPr="00453EDB" w14:paraId="0BB4A3C1"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767D7F" w14:textId="2EAEA1CE" w:rsidR="00DB47F7" w:rsidRPr="00453EDB" w:rsidRDefault="00DB47F7" w:rsidP="00710453">
            <w:pPr>
              <w:spacing w:after="120"/>
              <w:jc w:val="left"/>
              <w:rPr>
                <w:rFonts w:eastAsia="Times New Roman" w:cs="Times New Roman"/>
                <w:sz w:val="20"/>
                <w:szCs w:val="20"/>
              </w:rPr>
            </w:pPr>
            <w:bookmarkStart w:id="83" w:name="_Toc481676889"/>
            <w:bookmarkStart w:id="84" w:name="_Toc481676456"/>
            <w:bookmarkStart w:id="85" w:name="_Toc481677019"/>
            <w:bookmarkEnd w:id="83"/>
            <w:bookmarkEnd w:id="84"/>
            <w:r w:rsidRPr="00453EDB">
              <w:rPr>
                <w:rFonts w:eastAsia="Times New Roman" w:cs="Times New Roman"/>
                <w:b/>
                <w:bCs/>
                <w:sz w:val="20"/>
                <w:szCs w:val="20"/>
              </w:rPr>
              <w:t xml:space="preserve">Pensions of Families of Victims and Missing Civilian </w:t>
            </w:r>
            <w:bookmarkEnd w:id="85"/>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B96773" w14:textId="03D086C6" w:rsidR="00DB47F7" w:rsidRPr="00453EDB" w:rsidRDefault="00DB47F7" w:rsidP="00710453">
            <w:pPr>
              <w:spacing w:after="120"/>
              <w:jc w:val="left"/>
              <w:rPr>
                <w:rFonts w:eastAsia="Times New Roman" w:cs="Times New Roman"/>
                <w:sz w:val="20"/>
                <w:szCs w:val="20"/>
              </w:rPr>
            </w:pPr>
            <w:bookmarkStart w:id="86" w:name="_Toc481676890"/>
            <w:bookmarkStart w:id="87" w:name="_Toc481676457"/>
            <w:bookmarkStart w:id="88" w:name="_Toc481677020"/>
            <w:bookmarkEnd w:id="86"/>
            <w:bookmarkEnd w:id="87"/>
            <w:r w:rsidRPr="00453EDB">
              <w:rPr>
                <w:rFonts w:eastAsia="Times New Roman" w:cs="Times New Roman"/>
                <w:sz w:val="20"/>
                <w:szCs w:val="20"/>
              </w:rPr>
              <w:t xml:space="preserve">The order </w:t>
            </w:r>
            <w:r w:rsidR="00677EAB">
              <w:rPr>
                <w:rFonts w:eastAsia="Times New Roman" w:cs="Times New Roman"/>
                <w:sz w:val="20"/>
                <w:szCs w:val="20"/>
              </w:rPr>
              <w:t>is</w:t>
            </w:r>
            <w:r w:rsidRPr="00453EDB">
              <w:rPr>
                <w:rFonts w:eastAsia="Times New Roman" w:cs="Times New Roman"/>
                <w:sz w:val="20"/>
                <w:szCs w:val="20"/>
              </w:rPr>
              <w:t xml:space="preserve"> husband </w:t>
            </w:r>
            <w:r w:rsidR="006816D3">
              <w:rPr>
                <w:rFonts w:eastAsia="Times New Roman" w:cs="Times New Roman"/>
                <w:sz w:val="20"/>
                <w:szCs w:val="20"/>
              </w:rPr>
              <w:t>or</w:t>
            </w:r>
            <w:r w:rsidRPr="00453EDB">
              <w:rPr>
                <w:rFonts w:eastAsia="Times New Roman" w:cs="Times New Roman"/>
                <w:sz w:val="20"/>
                <w:szCs w:val="20"/>
              </w:rPr>
              <w:t xml:space="preserve"> wife, children, illegitimate children, adopted children, parents, stepson, stepdaughter</w:t>
            </w:r>
            <w:r w:rsidR="00654D4E">
              <w:rPr>
                <w:rFonts w:eastAsia="Times New Roman" w:cs="Times New Roman"/>
                <w:sz w:val="20"/>
                <w:szCs w:val="20"/>
              </w:rPr>
              <w:t>.</w:t>
            </w:r>
            <w:bookmarkEnd w:id="88"/>
          </w:p>
          <w:p w14:paraId="51C2796C" w14:textId="46FBA55D" w:rsidR="00DB47F7" w:rsidRPr="00453EDB" w:rsidRDefault="00DB47F7" w:rsidP="00710453">
            <w:pPr>
              <w:spacing w:after="120"/>
              <w:jc w:val="left"/>
              <w:rPr>
                <w:rFonts w:eastAsia="Times New Roman" w:cs="Times New Roman"/>
                <w:sz w:val="20"/>
                <w:szCs w:val="20"/>
              </w:rPr>
            </w:pPr>
            <w:bookmarkStart w:id="89" w:name="_Toc481676891"/>
            <w:bookmarkStart w:id="90" w:name="_Toc481676458"/>
            <w:bookmarkStart w:id="91" w:name="_Toc481677021"/>
            <w:bookmarkEnd w:id="89"/>
            <w:bookmarkEnd w:id="90"/>
            <w:r w:rsidRPr="00453EDB">
              <w:rPr>
                <w:rFonts w:eastAsia="Times New Roman" w:cs="Times New Roman"/>
                <w:sz w:val="20"/>
                <w:szCs w:val="20"/>
              </w:rPr>
              <w:t xml:space="preserve">The spouse who enters into a new marriage shall lose the rights set forth in this </w:t>
            </w:r>
            <w:r w:rsidR="006816D3">
              <w:rPr>
                <w:rFonts w:eastAsia="Times New Roman" w:cs="Times New Roman"/>
                <w:sz w:val="20"/>
                <w:szCs w:val="20"/>
              </w:rPr>
              <w:t>l</w:t>
            </w:r>
            <w:r w:rsidRPr="00453EDB">
              <w:rPr>
                <w:rFonts w:eastAsia="Times New Roman" w:cs="Times New Roman"/>
                <w:sz w:val="20"/>
                <w:szCs w:val="20"/>
              </w:rPr>
              <w:t>aw</w:t>
            </w:r>
            <w:r w:rsidR="00654D4E">
              <w:rPr>
                <w:rFonts w:eastAsia="Times New Roman" w:cs="Times New Roman"/>
                <w:sz w:val="20"/>
                <w:szCs w:val="20"/>
              </w:rPr>
              <w:t>.</w:t>
            </w:r>
            <w:bookmarkEnd w:id="91"/>
          </w:p>
          <w:p w14:paraId="2CB90B7D" w14:textId="556532DC" w:rsidR="00DB47F7" w:rsidRPr="00453EDB" w:rsidRDefault="00DB47F7" w:rsidP="00710453">
            <w:pPr>
              <w:spacing w:after="120"/>
              <w:jc w:val="left"/>
              <w:rPr>
                <w:rFonts w:eastAsia="Times New Roman" w:cs="Times New Roman"/>
                <w:sz w:val="20"/>
                <w:szCs w:val="20"/>
              </w:rPr>
            </w:pPr>
            <w:bookmarkStart w:id="92" w:name="_Toc481676892"/>
            <w:bookmarkStart w:id="93" w:name="_Toc481676459"/>
            <w:bookmarkStart w:id="94" w:name="_Toc481677022"/>
            <w:bookmarkEnd w:id="92"/>
            <w:bookmarkEnd w:id="93"/>
            <w:r w:rsidRPr="00453EDB">
              <w:rPr>
                <w:rFonts w:eastAsia="Times New Roman" w:cs="Times New Roman"/>
                <w:sz w:val="20"/>
                <w:szCs w:val="20"/>
              </w:rPr>
              <w:t>Children of the victim or civilian missing without parental care are beneficiaries of the family pension and enjoy the right to 18 years of age</w:t>
            </w:r>
            <w:r w:rsidR="006816D3">
              <w:rPr>
                <w:rFonts w:eastAsia="Times New Roman" w:cs="Times New Roman"/>
                <w:sz w:val="20"/>
                <w:szCs w:val="20"/>
              </w:rPr>
              <w:t>,</w:t>
            </w:r>
            <w:r w:rsidRPr="00453EDB">
              <w:rPr>
                <w:rFonts w:eastAsia="Times New Roman" w:cs="Times New Roman"/>
                <w:sz w:val="20"/>
                <w:szCs w:val="20"/>
              </w:rPr>
              <w:t xml:space="preserve"> or 26 if they are attending regular education</w:t>
            </w:r>
            <w:r w:rsidR="006816D3">
              <w:rPr>
                <w:rFonts w:eastAsia="Times New Roman" w:cs="Times New Roman"/>
                <w:sz w:val="20"/>
                <w:szCs w:val="20"/>
              </w:rPr>
              <w:t>.</w:t>
            </w:r>
            <w:bookmarkEnd w:id="94"/>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FA796D" w14:textId="63738A21" w:rsidR="00DB47F7" w:rsidRPr="00453EDB" w:rsidRDefault="00DB47F7" w:rsidP="00710453">
            <w:pPr>
              <w:spacing w:after="120"/>
              <w:jc w:val="left"/>
              <w:rPr>
                <w:rFonts w:eastAsia="Times New Roman" w:cs="Times New Roman"/>
                <w:sz w:val="20"/>
                <w:szCs w:val="20"/>
              </w:rPr>
            </w:pPr>
            <w:bookmarkStart w:id="95" w:name="_Toc481676893"/>
            <w:bookmarkStart w:id="96" w:name="_Toc481676460"/>
            <w:bookmarkStart w:id="97" w:name="_Toc481677023"/>
            <w:bookmarkEnd w:id="95"/>
            <w:bookmarkEnd w:id="96"/>
            <w:r w:rsidRPr="00453EDB">
              <w:rPr>
                <w:rFonts w:eastAsia="Times New Roman" w:cs="Times New Roman"/>
                <w:sz w:val="20"/>
                <w:szCs w:val="20"/>
              </w:rPr>
              <w:t xml:space="preserve">Family with one victim </w:t>
            </w:r>
            <w:r w:rsidR="0067063B">
              <w:rPr>
                <w:rFonts w:eastAsia="Times New Roman" w:cs="Times New Roman"/>
                <w:sz w:val="20"/>
                <w:szCs w:val="20"/>
              </w:rPr>
              <w:t>or</w:t>
            </w:r>
            <w:r w:rsidRPr="00453EDB">
              <w:rPr>
                <w:rFonts w:eastAsia="Times New Roman" w:cs="Times New Roman"/>
                <w:sz w:val="20"/>
                <w:szCs w:val="20"/>
              </w:rPr>
              <w:t xml:space="preserve"> missing</w:t>
            </w:r>
            <w:r w:rsidR="0067063B">
              <w:rPr>
                <w:rFonts w:eastAsia="Times New Roman" w:cs="Times New Roman"/>
                <w:sz w:val="20"/>
                <w:szCs w:val="20"/>
              </w:rPr>
              <w:t xml:space="preserve"> person</w:t>
            </w:r>
            <w:r w:rsidRPr="00453EDB">
              <w:rPr>
                <w:rFonts w:eastAsia="Times New Roman" w:cs="Times New Roman"/>
                <w:sz w:val="20"/>
                <w:szCs w:val="20"/>
              </w:rPr>
              <w:t xml:space="preserve">: </w:t>
            </w:r>
            <w:r w:rsidR="0067063B" w:rsidRPr="00453EDB">
              <w:rPr>
                <w:rFonts w:eastAsia="Times New Roman" w:cs="Times New Roman"/>
                <w:sz w:val="20"/>
                <w:szCs w:val="20"/>
              </w:rPr>
              <w:t>€</w:t>
            </w:r>
            <w:r w:rsidRPr="00453EDB">
              <w:rPr>
                <w:rFonts w:eastAsia="Times New Roman" w:cs="Times New Roman"/>
                <w:sz w:val="20"/>
                <w:szCs w:val="20"/>
              </w:rPr>
              <w:t xml:space="preserve">168.75 </w:t>
            </w:r>
            <w:bookmarkEnd w:id="97"/>
          </w:p>
          <w:p w14:paraId="11111B39" w14:textId="6558926C" w:rsidR="00DB47F7" w:rsidRPr="00453EDB" w:rsidRDefault="00DB47F7" w:rsidP="00710453">
            <w:pPr>
              <w:spacing w:after="120"/>
              <w:jc w:val="left"/>
              <w:rPr>
                <w:rFonts w:eastAsia="Times New Roman" w:cs="Times New Roman"/>
                <w:sz w:val="20"/>
                <w:szCs w:val="20"/>
              </w:rPr>
            </w:pPr>
            <w:bookmarkStart w:id="98" w:name="_Toc481676894"/>
            <w:bookmarkStart w:id="99" w:name="_Toc481676461"/>
            <w:bookmarkStart w:id="100" w:name="_Toc481677024"/>
            <w:bookmarkEnd w:id="98"/>
            <w:bookmarkEnd w:id="99"/>
            <w:r w:rsidRPr="00453EDB">
              <w:rPr>
                <w:rFonts w:eastAsia="Times New Roman" w:cs="Times New Roman"/>
                <w:sz w:val="20"/>
                <w:szCs w:val="20"/>
              </w:rPr>
              <w:t xml:space="preserve">Family with two casualties </w:t>
            </w:r>
            <w:r w:rsidR="0067063B">
              <w:rPr>
                <w:rFonts w:eastAsia="Times New Roman" w:cs="Times New Roman"/>
                <w:sz w:val="20"/>
                <w:szCs w:val="20"/>
              </w:rPr>
              <w:t xml:space="preserve"> or</w:t>
            </w:r>
            <w:r w:rsidRPr="00453EDB">
              <w:rPr>
                <w:rFonts w:eastAsia="Times New Roman" w:cs="Times New Roman"/>
                <w:sz w:val="20"/>
                <w:szCs w:val="20"/>
              </w:rPr>
              <w:t xml:space="preserve"> missing</w:t>
            </w:r>
            <w:r w:rsidR="0067063B">
              <w:rPr>
                <w:rFonts w:eastAsia="Times New Roman" w:cs="Times New Roman"/>
                <w:sz w:val="20"/>
                <w:szCs w:val="20"/>
              </w:rPr>
              <w:t xml:space="preserve"> civilians</w:t>
            </w:r>
            <w:r w:rsidRPr="00453EDB">
              <w:rPr>
                <w:rFonts w:eastAsia="Times New Roman" w:cs="Times New Roman"/>
                <w:sz w:val="20"/>
                <w:szCs w:val="20"/>
              </w:rPr>
              <w:t xml:space="preserve">: </w:t>
            </w:r>
            <w:r w:rsidR="0067063B" w:rsidRPr="00453EDB">
              <w:rPr>
                <w:rFonts w:eastAsia="Times New Roman" w:cs="Times New Roman"/>
                <w:sz w:val="20"/>
                <w:szCs w:val="20"/>
              </w:rPr>
              <w:t>€</w:t>
            </w:r>
            <w:r w:rsidRPr="00453EDB">
              <w:rPr>
                <w:rFonts w:eastAsia="Times New Roman" w:cs="Times New Roman"/>
                <w:sz w:val="20"/>
                <w:szCs w:val="20"/>
              </w:rPr>
              <w:t xml:space="preserve">202.50 </w:t>
            </w:r>
            <w:bookmarkEnd w:id="100"/>
          </w:p>
          <w:p w14:paraId="584E1E44" w14:textId="6D16F109" w:rsidR="00DB47F7" w:rsidRPr="00453EDB" w:rsidRDefault="00DB47F7" w:rsidP="00710453">
            <w:pPr>
              <w:spacing w:after="120"/>
              <w:jc w:val="left"/>
              <w:rPr>
                <w:rFonts w:eastAsia="Times New Roman" w:cs="Times New Roman"/>
                <w:sz w:val="20"/>
                <w:szCs w:val="20"/>
              </w:rPr>
            </w:pPr>
            <w:bookmarkStart w:id="101" w:name="_Toc481676895"/>
            <w:bookmarkStart w:id="102" w:name="_Toc481676462"/>
            <w:bookmarkStart w:id="103" w:name="_Toc481677025"/>
            <w:bookmarkEnd w:id="101"/>
            <w:bookmarkEnd w:id="102"/>
            <w:r w:rsidRPr="00453EDB">
              <w:rPr>
                <w:rFonts w:eastAsia="Times New Roman" w:cs="Times New Roman"/>
                <w:sz w:val="20"/>
                <w:szCs w:val="20"/>
              </w:rPr>
              <w:t xml:space="preserve">Family with three casualties </w:t>
            </w:r>
            <w:r w:rsidR="0067063B">
              <w:rPr>
                <w:rFonts w:eastAsia="Times New Roman" w:cs="Times New Roman"/>
                <w:sz w:val="20"/>
                <w:szCs w:val="20"/>
              </w:rPr>
              <w:t>or</w:t>
            </w:r>
            <w:r w:rsidRPr="00453EDB">
              <w:rPr>
                <w:rFonts w:eastAsia="Times New Roman" w:cs="Times New Roman"/>
                <w:sz w:val="20"/>
                <w:szCs w:val="20"/>
              </w:rPr>
              <w:t xml:space="preserve"> missing</w:t>
            </w:r>
            <w:r w:rsidR="0067063B">
              <w:rPr>
                <w:rFonts w:eastAsia="Times New Roman" w:cs="Times New Roman"/>
                <w:sz w:val="20"/>
                <w:szCs w:val="20"/>
              </w:rPr>
              <w:t xml:space="preserve"> civilians</w:t>
            </w:r>
            <w:r w:rsidRPr="00453EDB">
              <w:rPr>
                <w:rFonts w:eastAsia="Times New Roman" w:cs="Times New Roman"/>
                <w:sz w:val="20"/>
                <w:szCs w:val="20"/>
              </w:rPr>
              <w:t xml:space="preserve">: </w:t>
            </w:r>
            <w:r w:rsidR="0067063B" w:rsidRPr="00453EDB">
              <w:rPr>
                <w:rFonts w:eastAsia="Times New Roman" w:cs="Times New Roman"/>
                <w:sz w:val="20"/>
                <w:szCs w:val="20"/>
              </w:rPr>
              <w:t>€</w:t>
            </w:r>
            <w:r w:rsidRPr="00453EDB">
              <w:rPr>
                <w:rFonts w:eastAsia="Times New Roman" w:cs="Times New Roman"/>
                <w:sz w:val="20"/>
                <w:szCs w:val="20"/>
              </w:rPr>
              <w:t xml:space="preserve">219.38 </w:t>
            </w:r>
            <w:bookmarkEnd w:id="103"/>
          </w:p>
          <w:p w14:paraId="47EBF842" w14:textId="0B5C45C8" w:rsidR="00DB47F7" w:rsidRPr="00453EDB" w:rsidRDefault="00DB47F7" w:rsidP="00710453">
            <w:pPr>
              <w:spacing w:after="120"/>
              <w:jc w:val="left"/>
              <w:rPr>
                <w:rFonts w:eastAsia="Times New Roman" w:cs="Times New Roman"/>
                <w:sz w:val="20"/>
                <w:szCs w:val="20"/>
              </w:rPr>
            </w:pPr>
            <w:bookmarkStart w:id="104" w:name="_Toc481676896"/>
            <w:bookmarkStart w:id="105" w:name="_Toc481676463"/>
            <w:bookmarkStart w:id="106" w:name="_Toc481677026"/>
            <w:bookmarkEnd w:id="104"/>
            <w:bookmarkEnd w:id="105"/>
            <w:r w:rsidRPr="00453EDB">
              <w:rPr>
                <w:rFonts w:eastAsia="Times New Roman" w:cs="Times New Roman"/>
                <w:sz w:val="20"/>
                <w:szCs w:val="20"/>
              </w:rPr>
              <w:t xml:space="preserve">Family with four casualties </w:t>
            </w:r>
            <w:r w:rsidR="0067063B">
              <w:rPr>
                <w:rFonts w:eastAsia="Times New Roman" w:cs="Times New Roman"/>
                <w:sz w:val="20"/>
                <w:szCs w:val="20"/>
              </w:rPr>
              <w:t>or</w:t>
            </w:r>
            <w:r w:rsidRPr="00453EDB">
              <w:rPr>
                <w:rFonts w:eastAsia="Times New Roman" w:cs="Times New Roman"/>
                <w:sz w:val="20"/>
                <w:szCs w:val="20"/>
              </w:rPr>
              <w:t xml:space="preserve"> missing</w:t>
            </w:r>
            <w:r w:rsidR="0067063B">
              <w:rPr>
                <w:rFonts w:eastAsia="Times New Roman" w:cs="Times New Roman"/>
                <w:sz w:val="20"/>
                <w:szCs w:val="20"/>
              </w:rPr>
              <w:t xml:space="preserve"> civilians</w:t>
            </w:r>
            <w:r w:rsidRPr="00453EDB">
              <w:rPr>
                <w:rFonts w:eastAsia="Times New Roman" w:cs="Times New Roman"/>
                <w:sz w:val="20"/>
                <w:szCs w:val="20"/>
              </w:rPr>
              <w:t>: €236.25</w:t>
            </w:r>
            <w:bookmarkEnd w:id="106"/>
          </w:p>
          <w:p w14:paraId="429FE8D9" w14:textId="48836611" w:rsidR="00DB47F7" w:rsidRPr="00453EDB" w:rsidRDefault="00DB47F7" w:rsidP="004E6D08">
            <w:pPr>
              <w:spacing w:after="0"/>
              <w:jc w:val="left"/>
              <w:rPr>
                <w:rFonts w:eastAsia="Times New Roman" w:cs="Times New Roman"/>
                <w:sz w:val="20"/>
                <w:szCs w:val="20"/>
              </w:rPr>
            </w:pPr>
            <w:bookmarkStart w:id="107" w:name="_Toc481676897"/>
            <w:bookmarkStart w:id="108" w:name="_Toc481676464"/>
            <w:bookmarkStart w:id="109" w:name="_Toc481677027"/>
            <w:bookmarkEnd w:id="107"/>
            <w:bookmarkEnd w:id="108"/>
            <w:r w:rsidRPr="00453EDB">
              <w:rPr>
                <w:rFonts w:eastAsia="Times New Roman" w:cs="Times New Roman"/>
                <w:sz w:val="20"/>
                <w:szCs w:val="20"/>
              </w:rPr>
              <w:t xml:space="preserve">Family with four or more casualties </w:t>
            </w:r>
            <w:r w:rsidR="00FA2649">
              <w:rPr>
                <w:rFonts w:eastAsia="Times New Roman" w:cs="Times New Roman"/>
                <w:sz w:val="20"/>
                <w:szCs w:val="20"/>
              </w:rPr>
              <w:t>or</w:t>
            </w:r>
            <w:r w:rsidRPr="00453EDB">
              <w:rPr>
                <w:rFonts w:eastAsia="Times New Roman" w:cs="Times New Roman"/>
                <w:sz w:val="20"/>
                <w:szCs w:val="20"/>
              </w:rPr>
              <w:t xml:space="preserve"> missing</w:t>
            </w:r>
            <w:r w:rsidR="00FA2649">
              <w:rPr>
                <w:rFonts w:eastAsia="Times New Roman" w:cs="Times New Roman"/>
                <w:sz w:val="20"/>
                <w:szCs w:val="20"/>
              </w:rPr>
              <w:t xml:space="preserve"> civilians</w:t>
            </w:r>
            <w:r w:rsidRPr="00453EDB">
              <w:rPr>
                <w:rFonts w:eastAsia="Times New Roman" w:cs="Times New Roman"/>
                <w:sz w:val="20"/>
                <w:szCs w:val="20"/>
              </w:rPr>
              <w:t>: €253.13</w:t>
            </w:r>
            <w:bookmarkEnd w:id="109"/>
          </w:p>
        </w:tc>
      </w:tr>
      <w:tr w:rsidR="00DB47F7" w:rsidRPr="00453EDB" w14:paraId="0384DD0B"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FACB34" w14:textId="2EDFF805" w:rsidR="00DB47F7" w:rsidRPr="00453EDB" w:rsidRDefault="00DB47F7" w:rsidP="00710453">
            <w:pPr>
              <w:spacing w:after="120"/>
              <w:jc w:val="left"/>
              <w:rPr>
                <w:rFonts w:eastAsia="Times New Roman" w:cs="Times New Roman"/>
                <w:sz w:val="20"/>
                <w:szCs w:val="20"/>
              </w:rPr>
            </w:pPr>
            <w:bookmarkStart w:id="110" w:name="_Toc481676898"/>
            <w:bookmarkStart w:id="111" w:name="_Toc481676465"/>
            <w:bookmarkStart w:id="112" w:name="_Toc481677028"/>
            <w:bookmarkEnd w:id="110"/>
            <w:bookmarkEnd w:id="111"/>
            <w:r w:rsidRPr="00453EDB">
              <w:rPr>
                <w:rFonts w:eastAsia="Times New Roman" w:cs="Times New Roman"/>
                <w:b/>
                <w:bCs/>
                <w:sz w:val="20"/>
                <w:szCs w:val="20"/>
              </w:rPr>
              <w:t>Invalidity Pension of</w:t>
            </w:r>
            <w:r w:rsidR="004E6D08">
              <w:rPr>
                <w:rFonts w:eastAsia="Times New Roman" w:cs="Times New Roman"/>
                <w:b/>
                <w:bCs/>
                <w:sz w:val="20"/>
                <w:szCs w:val="20"/>
              </w:rPr>
              <w:t xml:space="preserve"> </w:t>
            </w:r>
            <w:r w:rsidRPr="00453EDB">
              <w:rPr>
                <w:rFonts w:eastAsia="Times New Roman" w:cs="Times New Roman"/>
                <w:b/>
                <w:bCs/>
                <w:sz w:val="20"/>
                <w:szCs w:val="20"/>
              </w:rPr>
              <w:t>the KLA</w:t>
            </w:r>
            <w:bookmarkEnd w:id="112"/>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52442F" w14:textId="74F03754" w:rsidR="00DB47F7" w:rsidRPr="00453EDB" w:rsidRDefault="00DB47F7" w:rsidP="00485709">
            <w:pPr>
              <w:spacing w:after="120"/>
              <w:jc w:val="left"/>
              <w:rPr>
                <w:rFonts w:eastAsia="Times New Roman" w:cs="Times New Roman"/>
                <w:sz w:val="20"/>
                <w:szCs w:val="20"/>
              </w:rPr>
            </w:pPr>
            <w:bookmarkStart w:id="113" w:name="_Toc481676899"/>
            <w:bookmarkStart w:id="114" w:name="_Toc481676466"/>
            <w:bookmarkStart w:id="115" w:name="_Toc481677029"/>
            <w:bookmarkEnd w:id="113"/>
            <w:bookmarkEnd w:id="114"/>
            <w:r w:rsidRPr="00453EDB">
              <w:rPr>
                <w:rFonts w:eastAsia="Times New Roman" w:cs="Times New Roman"/>
                <w:sz w:val="20"/>
                <w:szCs w:val="20"/>
              </w:rPr>
              <w:t>Invalids with 20</w:t>
            </w:r>
            <w:r w:rsidR="00485709">
              <w:rPr>
                <w:rFonts w:eastAsia="Times New Roman" w:cs="Times New Roman"/>
                <w:sz w:val="20"/>
                <w:szCs w:val="20"/>
              </w:rPr>
              <w:t>–</w:t>
            </w:r>
            <w:r w:rsidRPr="00453EDB">
              <w:rPr>
                <w:rFonts w:eastAsia="Times New Roman" w:cs="Times New Roman"/>
                <w:sz w:val="20"/>
                <w:szCs w:val="20"/>
              </w:rPr>
              <w:t>100% of bodily harm are entitled to retirement</w:t>
            </w:r>
            <w:bookmarkEnd w:id="115"/>
            <w:r w:rsidR="00485709">
              <w:rPr>
                <w:rFonts w:eastAsia="Times New Roman" w:cs="Times New Roman"/>
                <w:sz w:val="20"/>
                <w:szCs w:val="20"/>
              </w:rPr>
              <w:t>.</w:t>
            </w:r>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0EA50E" w14:textId="2B1CA81E" w:rsidR="00DB47F7" w:rsidRPr="00453EDB" w:rsidRDefault="00DB47F7" w:rsidP="00710453">
            <w:pPr>
              <w:spacing w:after="120"/>
              <w:jc w:val="left"/>
              <w:rPr>
                <w:rFonts w:eastAsia="Times New Roman" w:cs="Times New Roman"/>
                <w:sz w:val="20"/>
                <w:szCs w:val="20"/>
              </w:rPr>
            </w:pPr>
            <w:bookmarkStart w:id="116" w:name="_Toc481676900"/>
            <w:bookmarkStart w:id="117" w:name="_Toc481676467"/>
            <w:bookmarkStart w:id="118" w:name="_Toc481677030"/>
            <w:bookmarkEnd w:id="116"/>
            <w:bookmarkEnd w:id="117"/>
            <w:r w:rsidRPr="00453EDB">
              <w:rPr>
                <w:rFonts w:eastAsia="Times New Roman" w:cs="Times New Roman"/>
                <w:sz w:val="20"/>
                <w:szCs w:val="20"/>
              </w:rPr>
              <w:t>Invalid with </w:t>
            </w:r>
            <w:r w:rsidR="00AC3778" w:rsidRPr="00453EDB">
              <w:rPr>
                <w:rFonts w:eastAsia="Times New Roman" w:cs="Times New Roman"/>
                <w:sz w:val="20"/>
                <w:szCs w:val="20"/>
              </w:rPr>
              <w:t>over 80%</w:t>
            </w:r>
            <w:r w:rsidR="00AC3778">
              <w:rPr>
                <w:rFonts w:eastAsia="Times New Roman" w:cs="Times New Roman"/>
                <w:sz w:val="20"/>
                <w:szCs w:val="20"/>
              </w:rPr>
              <w:t xml:space="preserve"> </w:t>
            </w:r>
            <w:r w:rsidRPr="00453EDB">
              <w:rPr>
                <w:rFonts w:eastAsia="Times New Roman" w:cs="Times New Roman"/>
                <w:sz w:val="20"/>
                <w:szCs w:val="20"/>
              </w:rPr>
              <w:t xml:space="preserve">body injury: </w:t>
            </w:r>
            <w:r w:rsidR="00AC3778" w:rsidRPr="00453EDB">
              <w:rPr>
                <w:rFonts w:eastAsia="Times New Roman" w:cs="Times New Roman"/>
                <w:sz w:val="20"/>
                <w:szCs w:val="20"/>
              </w:rPr>
              <w:t>€</w:t>
            </w:r>
            <w:r w:rsidRPr="00453EDB">
              <w:rPr>
                <w:rFonts w:eastAsia="Times New Roman" w:cs="Times New Roman"/>
                <w:sz w:val="20"/>
                <w:szCs w:val="20"/>
              </w:rPr>
              <w:t>448.13</w:t>
            </w:r>
            <w:bookmarkEnd w:id="118"/>
          </w:p>
          <w:p w14:paraId="26DEC5BB" w14:textId="7EEF79D9" w:rsidR="00DB47F7" w:rsidRPr="00453EDB" w:rsidRDefault="00DB47F7" w:rsidP="00710453">
            <w:pPr>
              <w:spacing w:after="120"/>
              <w:jc w:val="left"/>
              <w:rPr>
                <w:rFonts w:eastAsia="Times New Roman" w:cs="Times New Roman"/>
                <w:sz w:val="20"/>
                <w:szCs w:val="20"/>
              </w:rPr>
            </w:pPr>
            <w:bookmarkStart w:id="119" w:name="_Toc481676901"/>
            <w:bookmarkStart w:id="120" w:name="_Toc481676468"/>
            <w:bookmarkStart w:id="121" w:name="_Toc481677031"/>
            <w:bookmarkEnd w:id="119"/>
            <w:bookmarkEnd w:id="120"/>
            <w:r w:rsidRPr="00453EDB">
              <w:rPr>
                <w:rFonts w:eastAsia="Times New Roman" w:cs="Times New Roman"/>
                <w:sz w:val="20"/>
                <w:szCs w:val="20"/>
              </w:rPr>
              <w:t>Invalid with </w:t>
            </w:r>
            <w:r w:rsidR="00AC3778" w:rsidRPr="00453EDB">
              <w:rPr>
                <w:rFonts w:eastAsia="Times New Roman" w:cs="Times New Roman"/>
                <w:sz w:val="20"/>
                <w:szCs w:val="20"/>
              </w:rPr>
              <w:t>71</w:t>
            </w:r>
            <w:r w:rsidR="00AC3778">
              <w:rPr>
                <w:rFonts w:eastAsia="Times New Roman" w:cs="Times New Roman"/>
                <w:sz w:val="20"/>
                <w:szCs w:val="20"/>
              </w:rPr>
              <w:t>–</w:t>
            </w:r>
            <w:r w:rsidR="00AC3778" w:rsidRPr="00453EDB">
              <w:rPr>
                <w:rFonts w:eastAsia="Times New Roman" w:cs="Times New Roman"/>
                <w:sz w:val="20"/>
                <w:szCs w:val="20"/>
              </w:rPr>
              <w:t>80%</w:t>
            </w:r>
            <w:r w:rsidR="00AC3778">
              <w:rPr>
                <w:rFonts w:eastAsia="Times New Roman" w:cs="Times New Roman"/>
                <w:sz w:val="20"/>
                <w:szCs w:val="20"/>
              </w:rPr>
              <w:t xml:space="preserve"> </w:t>
            </w:r>
            <w:r w:rsidRPr="00453EDB">
              <w:rPr>
                <w:rFonts w:eastAsia="Times New Roman" w:cs="Times New Roman"/>
                <w:sz w:val="20"/>
                <w:szCs w:val="20"/>
              </w:rPr>
              <w:t xml:space="preserve">bodily injury: </w:t>
            </w:r>
            <w:r w:rsidR="00AC3778" w:rsidRPr="00453EDB">
              <w:rPr>
                <w:rFonts w:eastAsia="Times New Roman" w:cs="Times New Roman"/>
                <w:sz w:val="20"/>
                <w:szCs w:val="20"/>
              </w:rPr>
              <w:t>€</w:t>
            </w:r>
            <w:r w:rsidRPr="00453EDB">
              <w:rPr>
                <w:rFonts w:eastAsia="Times New Roman" w:cs="Times New Roman"/>
                <w:sz w:val="20"/>
                <w:szCs w:val="20"/>
              </w:rPr>
              <w:t xml:space="preserve">412.5 </w:t>
            </w:r>
            <w:bookmarkEnd w:id="121"/>
          </w:p>
          <w:p w14:paraId="4B5460E3" w14:textId="60C8E9E0" w:rsidR="00DB47F7" w:rsidRPr="00453EDB" w:rsidRDefault="00DB47F7" w:rsidP="00710453">
            <w:pPr>
              <w:spacing w:after="120"/>
              <w:jc w:val="left"/>
              <w:rPr>
                <w:rFonts w:eastAsia="Times New Roman" w:cs="Times New Roman"/>
                <w:sz w:val="20"/>
                <w:szCs w:val="20"/>
              </w:rPr>
            </w:pPr>
            <w:bookmarkStart w:id="122" w:name="_Toc481676902"/>
            <w:bookmarkStart w:id="123" w:name="_Toc481676469"/>
            <w:bookmarkStart w:id="124" w:name="_Toc481677032"/>
            <w:bookmarkEnd w:id="122"/>
            <w:bookmarkEnd w:id="123"/>
            <w:r w:rsidRPr="00453EDB">
              <w:rPr>
                <w:rFonts w:eastAsia="Times New Roman" w:cs="Times New Roman"/>
                <w:sz w:val="20"/>
                <w:szCs w:val="20"/>
              </w:rPr>
              <w:t>Invalid with </w:t>
            </w:r>
            <w:r w:rsidR="00AC3778">
              <w:rPr>
                <w:rFonts w:eastAsia="Times New Roman" w:cs="Times New Roman"/>
                <w:sz w:val="20"/>
                <w:szCs w:val="20"/>
              </w:rPr>
              <w:t>61–</w:t>
            </w:r>
            <w:r w:rsidR="00AC3778" w:rsidRPr="00453EDB">
              <w:rPr>
                <w:rFonts w:eastAsia="Times New Roman" w:cs="Times New Roman"/>
                <w:sz w:val="20"/>
                <w:szCs w:val="20"/>
              </w:rPr>
              <w:t>70%</w:t>
            </w:r>
            <w:r w:rsidR="00DD6958">
              <w:rPr>
                <w:rFonts w:eastAsia="Times New Roman" w:cs="Times New Roman"/>
                <w:sz w:val="20"/>
                <w:szCs w:val="20"/>
              </w:rPr>
              <w:t xml:space="preserve"> </w:t>
            </w:r>
            <w:r w:rsidRPr="00453EDB">
              <w:rPr>
                <w:rFonts w:eastAsia="Times New Roman" w:cs="Times New Roman"/>
                <w:sz w:val="20"/>
                <w:szCs w:val="20"/>
              </w:rPr>
              <w:t xml:space="preserve">body injuries: </w:t>
            </w:r>
            <w:r w:rsidR="00AC3778" w:rsidRPr="00453EDB">
              <w:rPr>
                <w:rFonts w:eastAsia="Times New Roman" w:cs="Times New Roman"/>
                <w:sz w:val="20"/>
                <w:szCs w:val="20"/>
              </w:rPr>
              <w:t>€</w:t>
            </w:r>
            <w:r w:rsidRPr="00453EDB">
              <w:rPr>
                <w:rFonts w:eastAsia="Times New Roman" w:cs="Times New Roman"/>
                <w:sz w:val="20"/>
                <w:szCs w:val="20"/>
              </w:rPr>
              <w:t xml:space="preserve">393.75 </w:t>
            </w:r>
            <w:bookmarkEnd w:id="124"/>
          </w:p>
          <w:p w14:paraId="7F15C904" w14:textId="35DDC74A" w:rsidR="00DB47F7" w:rsidRPr="00453EDB" w:rsidRDefault="00DB47F7" w:rsidP="00710453">
            <w:pPr>
              <w:spacing w:after="120"/>
              <w:jc w:val="left"/>
              <w:rPr>
                <w:rFonts w:eastAsia="Times New Roman" w:cs="Times New Roman"/>
                <w:sz w:val="20"/>
                <w:szCs w:val="20"/>
              </w:rPr>
            </w:pPr>
            <w:bookmarkStart w:id="125" w:name="_Toc481676903"/>
            <w:bookmarkStart w:id="126" w:name="_Toc481676470"/>
            <w:bookmarkStart w:id="127" w:name="_Toc481677033"/>
            <w:bookmarkEnd w:id="125"/>
            <w:bookmarkEnd w:id="126"/>
            <w:r w:rsidRPr="00453EDB">
              <w:rPr>
                <w:rFonts w:eastAsia="Times New Roman" w:cs="Times New Roman"/>
                <w:sz w:val="20"/>
                <w:szCs w:val="20"/>
              </w:rPr>
              <w:t>Invalid with</w:t>
            </w:r>
            <w:r w:rsidR="00DD6958">
              <w:rPr>
                <w:rFonts w:eastAsia="Times New Roman" w:cs="Times New Roman"/>
                <w:sz w:val="20"/>
                <w:szCs w:val="20"/>
              </w:rPr>
              <w:t xml:space="preserve"> </w:t>
            </w:r>
            <w:r w:rsidR="00B321EA">
              <w:rPr>
                <w:rFonts w:eastAsia="Times New Roman" w:cs="Times New Roman"/>
                <w:sz w:val="20"/>
                <w:szCs w:val="20"/>
              </w:rPr>
              <w:t>51–</w:t>
            </w:r>
            <w:r w:rsidR="00DD6958" w:rsidRPr="00453EDB">
              <w:rPr>
                <w:rFonts w:eastAsia="Times New Roman" w:cs="Times New Roman"/>
                <w:sz w:val="20"/>
                <w:szCs w:val="20"/>
              </w:rPr>
              <w:t>60%</w:t>
            </w:r>
            <w:r w:rsidRPr="00453EDB">
              <w:rPr>
                <w:rFonts w:eastAsia="Times New Roman" w:cs="Times New Roman"/>
                <w:sz w:val="20"/>
                <w:szCs w:val="20"/>
              </w:rPr>
              <w:t xml:space="preserve"> bodily harm: </w:t>
            </w:r>
            <w:r w:rsidR="00DD6958" w:rsidRPr="00453EDB">
              <w:rPr>
                <w:rFonts w:eastAsia="Times New Roman" w:cs="Times New Roman"/>
                <w:sz w:val="20"/>
                <w:szCs w:val="20"/>
              </w:rPr>
              <w:t>€</w:t>
            </w:r>
            <w:r w:rsidRPr="00453EDB">
              <w:rPr>
                <w:rFonts w:eastAsia="Times New Roman" w:cs="Times New Roman"/>
                <w:sz w:val="20"/>
                <w:szCs w:val="20"/>
              </w:rPr>
              <w:t xml:space="preserve">375 </w:t>
            </w:r>
            <w:bookmarkEnd w:id="127"/>
          </w:p>
          <w:p w14:paraId="01CD9585" w14:textId="08932E26" w:rsidR="00DB47F7" w:rsidRPr="00453EDB" w:rsidRDefault="00DB47F7" w:rsidP="00710453">
            <w:pPr>
              <w:spacing w:after="120"/>
              <w:jc w:val="left"/>
              <w:rPr>
                <w:rFonts w:eastAsia="Times New Roman" w:cs="Times New Roman"/>
                <w:sz w:val="20"/>
                <w:szCs w:val="20"/>
              </w:rPr>
            </w:pPr>
            <w:bookmarkStart w:id="128" w:name="_Toc481676904"/>
            <w:bookmarkStart w:id="129" w:name="_Toc481676471"/>
            <w:bookmarkStart w:id="130" w:name="_Toc481677034"/>
            <w:bookmarkEnd w:id="128"/>
            <w:bookmarkEnd w:id="129"/>
            <w:r w:rsidRPr="00453EDB">
              <w:rPr>
                <w:rFonts w:eastAsia="Times New Roman" w:cs="Times New Roman"/>
                <w:sz w:val="20"/>
                <w:szCs w:val="20"/>
              </w:rPr>
              <w:t>Invalid with </w:t>
            </w:r>
            <w:r w:rsidR="00B321EA" w:rsidRPr="00453EDB">
              <w:rPr>
                <w:rFonts w:eastAsia="Times New Roman" w:cs="Times New Roman"/>
                <w:sz w:val="20"/>
                <w:szCs w:val="20"/>
              </w:rPr>
              <w:t>41</w:t>
            </w:r>
            <w:r w:rsidR="007F0BF9">
              <w:rPr>
                <w:rFonts w:eastAsia="Times New Roman" w:cs="Times New Roman"/>
                <w:sz w:val="20"/>
                <w:szCs w:val="20"/>
              </w:rPr>
              <w:t>–</w:t>
            </w:r>
            <w:r w:rsidR="00B321EA" w:rsidRPr="00453EDB">
              <w:rPr>
                <w:rFonts w:eastAsia="Times New Roman" w:cs="Times New Roman"/>
                <w:sz w:val="20"/>
                <w:szCs w:val="20"/>
              </w:rPr>
              <w:t>50%</w:t>
            </w:r>
            <w:r w:rsidR="00B321EA">
              <w:rPr>
                <w:rFonts w:eastAsia="Times New Roman" w:cs="Times New Roman"/>
                <w:sz w:val="20"/>
                <w:szCs w:val="20"/>
              </w:rPr>
              <w:t xml:space="preserve"> </w:t>
            </w:r>
            <w:r w:rsidRPr="00453EDB">
              <w:rPr>
                <w:rFonts w:eastAsia="Times New Roman" w:cs="Times New Roman"/>
                <w:sz w:val="20"/>
                <w:szCs w:val="20"/>
              </w:rPr>
              <w:t xml:space="preserve">bodily harm: </w:t>
            </w:r>
            <w:r w:rsidR="00B321EA" w:rsidRPr="00453EDB">
              <w:rPr>
                <w:rFonts w:eastAsia="Times New Roman" w:cs="Times New Roman"/>
                <w:sz w:val="20"/>
                <w:szCs w:val="20"/>
              </w:rPr>
              <w:t>€</w:t>
            </w:r>
            <w:r w:rsidRPr="00453EDB">
              <w:rPr>
                <w:rFonts w:eastAsia="Times New Roman" w:cs="Times New Roman"/>
                <w:sz w:val="20"/>
                <w:szCs w:val="20"/>
              </w:rPr>
              <w:t>3</w:t>
            </w:r>
            <w:r w:rsidR="00375726">
              <w:rPr>
                <w:rFonts w:eastAsia="Times New Roman" w:cs="Times New Roman"/>
                <w:sz w:val="20"/>
                <w:szCs w:val="20"/>
              </w:rPr>
              <w:t>5</w:t>
            </w:r>
            <w:r w:rsidRPr="00453EDB">
              <w:rPr>
                <w:rFonts w:eastAsia="Times New Roman" w:cs="Times New Roman"/>
                <w:sz w:val="20"/>
                <w:szCs w:val="20"/>
              </w:rPr>
              <w:t xml:space="preserve">6.25 </w:t>
            </w:r>
            <w:bookmarkEnd w:id="130"/>
          </w:p>
          <w:p w14:paraId="46EDB48E" w14:textId="60A3615D" w:rsidR="00DB47F7" w:rsidRPr="00453EDB" w:rsidRDefault="00DB47F7" w:rsidP="00710453">
            <w:pPr>
              <w:spacing w:after="120"/>
              <w:jc w:val="left"/>
              <w:rPr>
                <w:rFonts w:eastAsia="Times New Roman" w:cs="Times New Roman"/>
                <w:sz w:val="20"/>
                <w:szCs w:val="20"/>
              </w:rPr>
            </w:pPr>
            <w:bookmarkStart w:id="131" w:name="_Toc481676905"/>
            <w:bookmarkStart w:id="132" w:name="_Toc481676472"/>
            <w:bookmarkStart w:id="133" w:name="_Toc481677035"/>
            <w:bookmarkEnd w:id="131"/>
            <w:bookmarkEnd w:id="132"/>
            <w:r w:rsidRPr="00453EDB">
              <w:rPr>
                <w:rFonts w:eastAsia="Times New Roman" w:cs="Times New Roman"/>
                <w:sz w:val="20"/>
                <w:szCs w:val="20"/>
              </w:rPr>
              <w:t>Invalid with </w:t>
            </w:r>
            <w:r w:rsidR="002F2FD2" w:rsidRPr="00453EDB">
              <w:rPr>
                <w:rFonts w:eastAsia="Times New Roman" w:cs="Times New Roman"/>
                <w:sz w:val="20"/>
                <w:szCs w:val="20"/>
              </w:rPr>
              <w:t>31</w:t>
            </w:r>
            <w:r w:rsidR="007F0BF9">
              <w:rPr>
                <w:rFonts w:eastAsia="Times New Roman" w:cs="Times New Roman"/>
                <w:sz w:val="20"/>
                <w:szCs w:val="20"/>
              </w:rPr>
              <w:t>–</w:t>
            </w:r>
            <w:r w:rsidR="002F2FD2" w:rsidRPr="00453EDB">
              <w:rPr>
                <w:rFonts w:eastAsia="Times New Roman" w:cs="Times New Roman"/>
                <w:sz w:val="20"/>
                <w:szCs w:val="20"/>
              </w:rPr>
              <w:t>40%</w:t>
            </w:r>
            <w:r w:rsidR="002F2FD2">
              <w:rPr>
                <w:rFonts w:eastAsia="Times New Roman" w:cs="Times New Roman"/>
                <w:sz w:val="20"/>
                <w:szCs w:val="20"/>
              </w:rPr>
              <w:t xml:space="preserve"> </w:t>
            </w:r>
            <w:r w:rsidRPr="00453EDB">
              <w:rPr>
                <w:rFonts w:eastAsia="Times New Roman" w:cs="Times New Roman"/>
                <w:sz w:val="20"/>
                <w:szCs w:val="20"/>
              </w:rPr>
              <w:t xml:space="preserve">bodily harm: </w:t>
            </w:r>
            <w:r w:rsidR="007F0BF9" w:rsidRPr="00453EDB">
              <w:rPr>
                <w:rFonts w:eastAsia="Times New Roman" w:cs="Times New Roman"/>
                <w:sz w:val="20"/>
                <w:szCs w:val="20"/>
              </w:rPr>
              <w:t>€</w:t>
            </w:r>
            <w:r w:rsidRPr="00453EDB">
              <w:rPr>
                <w:rFonts w:eastAsia="Times New Roman" w:cs="Times New Roman"/>
                <w:sz w:val="20"/>
                <w:szCs w:val="20"/>
              </w:rPr>
              <w:t xml:space="preserve">318.75 </w:t>
            </w:r>
            <w:bookmarkEnd w:id="133"/>
          </w:p>
          <w:p w14:paraId="28348FFE" w14:textId="78573676" w:rsidR="00DB47F7" w:rsidRPr="00453EDB" w:rsidRDefault="00DB47F7" w:rsidP="004E6D08">
            <w:pPr>
              <w:spacing w:after="0"/>
              <w:jc w:val="left"/>
              <w:rPr>
                <w:rFonts w:eastAsia="Times New Roman" w:cs="Times New Roman"/>
                <w:sz w:val="20"/>
                <w:szCs w:val="20"/>
              </w:rPr>
            </w:pPr>
            <w:bookmarkStart w:id="134" w:name="_Toc481676906"/>
            <w:bookmarkStart w:id="135" w:name="_Toc481676473"/>
            <w:bookmarkStart w:id="136" w:name="_Toc481677036"/>
            <w:bookmarkEnd w:id="134"/>
            <w:bookmarkEnd w:id="135"/>
            <w:r w:rsidRPr="00453EDB">
              <w:rPr>
                <w:rFonts w:eastAsia="Times New Roman" w:cs="Times New Roman"/>
                <w:sz w:val="20"/>
                <w:szCs w:val="20"/>
              </w:rPr>
              <w:t>Invalid with </w:t>
            </w:r>
            <w:r w:rsidR="007F0BF9" w:rsidRPr="00453EDB">
              <w:rPr>
                <w:rFonts w:eastAsia="Times New Roman" w:cs="Times New Roman"/>
                <w:sz w:val="20"/>
                <w:szCs w:val="20"/>
              </w:rPr>
              <w:t>21</w:t>
            </w:r>
            <w:r w:rsidR="007F0BF9">
              <w:rPr>
                <w:rFonts w:eastAsia="Times New Roman" w:cs="Times New Roman"/>
                <w:sz w:val="20"/>
                <w:szCs w:val="20"/>
              </w:rPr>
              <w:t>–</w:t>
            </w:r>
            <w:r w:rsidR="007F0BF9" w:rsidRPr="00453EDB">
              <w:rPr>
                <w:rFonts w:eastAsia="Times New Roman" w:cs="Times New Roman"/>
                <w:sz w:val="20"/>
                <w:szCs w:val="20"/>
              </w:rPr>
              <w:t>30%</w:t>
            </w:r>
            <w:r w:rsidR="007F0BF9">
              <w:rPr>
                <w:rFonts w:eastAsia="Times New Roman" w:cs="Times New Roman"/>
                <w:sz w:val="20"/>
                <w:szCs w:val="20"/>
              </w:rPr>
              <w:t xml:space="preserve"> </w:t>
            </w:r>
            <w:r w:rsidRPr="00453EDB">
              <w:rPr>
                <w:rFonts w:eastAsia="Times New Roman" w:cs="Times New Roman"/>
                <w:sz w:val="20"/>
                <w:szCs w:val="20"/>
              </w:rPr>
              <w:t xml:space="preserve">bodily harm: </w:t>
            </w:r>
            <w:r w:rsidR="007F0BF9" w:rsidRPr="00453EDB">
              <w:rPr>
                <w:rFonts w:eastAsia="Times New Roman" w:cs="Times New Roman"/>
                <w:sz w:val="20"/>
                <w:szCs w:val="20"/>
              </w:rPr>
              <w:t>€</w:t>
            </w:r>
            <w:r w:rsidRPr="00453EDB">
              <w:rPr>
                <w:rFonts w:eastAsia="Times New Roman" w:cs="Times New Roman"/>
                <w:sz w:val="20"/>
                <w:szCs w:val="20"/>
              </w:rPr>
              <w:t xml:space="preserve">225 </w:t>
            </w:r>
            <w:bookmarkEnd w:id="136"/>
          </w:p>
        </w:tc>
      </w:tr>
      <w:tr w:rsidR="00DB47F7" w:rsidRPr="00453EDB" w14:paraId="0C8296DD"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209357" w14:textId="4CC5C7FA" w:rsidR="00DB47F7" w:rsidRPr="00453EDB" w:rsidRDefault="00DB47F7" w:rsidP="00710453">
            <w:pPr>
              <w:spacing w:after="120"/>
              <w:jc w:val="left"/>
              <w:rPr>
                <w:rFonts w:eastAsia="Times New Roman" w:cs="Times New Roman"/>
                <w:sz w:val="20"/>
                <w:szCs w:val="20"/>
              </w:rPr>
            </w:pPr>
            <w:bookmarkStart w:id="137" w:name="_Toc481676907"/>
            <w:bookmarkStart w:id="138" w:name="_Toc481676474"/>
            <w:bookmarkStart w:id="139" w:name="_Toc481677037"/>
            <w:bookmarkEnd w:id="137"/>
            <w:bookmarkEnd w:id="138"/>
            <w:r w:rsidRPr="00453EDB">
              <w:rPr>
                <w:rFonts w:eastAsia="Times New Roman" w:cs="Times New Roman"/>
                <w:b/>
                <w:bCs/>
                <w:sz w:val="20"/>
                <w:szCs w:val="20"/>
              </w:rPr>
              <w:t>Civil Invalids</w:t>
            </w:r>
            <w:r w:rsidR="004E6D08">
              <w:rPr>
                <w:rFonts w:eastAsia="Times New Roman" w:cs="Times New Roman"/>
                <w:b/>
                <w:bCs/>
                <w:sz w:val="20"/>
                <w:szCs w:val="20"/>
              </w:rPr>
              <w:t xml:space="preserve"> </w:t>
            </w:r>
            <w:r w:rsidRPr="00453EDB">
              <w:rPr>
                <w:rFonts w:eastAsia="Times New Roman" w:cs="Times New Roman"/>
                <w:b/>
                <w:bCs/>
                <w:sz w:val="20"/>
                <w:szCs w:val="20"/>
              </w:rPr>
              <w:t>Pensions of War</w:t>
            </w:r>
            <w:bookmarkEnd w:id="139"/>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C127C1" w14:textId="3047C417" w:rsidR="00DB47F7" w:rsidRPr="00453EDB" w:rsidRDefault="00DB47F7" w:rsidP="00764D77">
            <w:pPr>
              <w:spacing w:after="120"/>
              <w:jc w:val="left"/>
              <w:rPr>
                <w:rFonts w:eastAsia="Times New Roman" w:cs="Times New Roman"/>
                <w:sz w:val="20"/>
                <w:szCs w:val="20"/>
              </w:rPr>
            </w:pPr>
            <w:bookmarkStart w:id="140" w:name="_Toc481676908"/>
            <w:bookmarkStart w:id="141" w:name="_Toc481676475"/>
            <w:bookmarkStart w:id="142" w:name="_Toc481677038"/>
            <w:bookmarkEnd w:id="140"/>
            <w:bookmarkEnd w:id="141"/>
            <w:r w:rsidRPr="00453EDB">
              <w:rPr>
                <w:rFonts w:eastAsia="Times New Roman" w:cs="Times New Roman"/>
                <w:sz w:val="20"/>
                <w:szCs w:val="20"/>
              </w:rPr>
              <w:t xml:space="preserve">Invalids </w:t>
            </w:r>
            <w:r w:rsidR="00442324">
              <w:rPr>
                <w:rFonts w:eastAsia="Times New Roman" w:cs="Times New Roman"/>
                <w:sz w:val="20"/>
                <w:szCs w:val="20"/>
              </w:rPr>
              <w:t xml:space="preserve">from </w:t>
            </w:r>
            <w:r w:rsidRPr="00453EDB">
              <w:rPr>
                <w:rFonts w:eastAsia="Times New Roman" w:cs="Times New Roman"/>
                <w:sz w:val="20"/>
                <w:szCs w:val="20"/>
              </w:rPr>
              <w:t xml:space="preserve">civil war with </w:t>
            </w:r>
            <w:r w:rsidR="00C64E1C" w:rsidRPr="00453EDB">
              <w:rPr>
                <w:rFonts w:eastAsia="Times New Roman" w:cs="Times New Roman"/>
                <w:sz w:val="20"/>
                <w:szCs w:val="20"/>
              </w:rPr>
              <w:t>40</w:t>
            </w:r>
            <w:r w:rsidR="00764D77">
              <w:rPr>
                <w:rFonts w:eastAsia="Times New Roman" w:cs="Times New Roman"/>
                <w:sz w:val="20"/>
                <w:szCs w:val="20"/>
              </w:rPr>
              <w:t>–</w:t>
            </w:r>
            <w:r w:rsidR="00C64E1C" w:rsidRPr="00453EDB">
              <w:rPr>
                <w:rFonts w:eastAsia="Times New Roman" w:cs="Times New Roman"/>
                <w:sz w:val="20"/>
                <w:szCs w:val="20"/>
              </w:rPr>
              <w:t>60%</w:t>
            </w:r>
            <w:r w:rsidR="00C64E1C">
              <w:rPr>
                <w:rFonts w:eastAsia="Times New Roman" w:cs="Times New Roman"/>
                <w:sz w:val="20"/>
                <w:szCs w:val="20"/>
              </w:rPr>
              <w:t xml:space="preserve"> </w:t>
            </w:r>
            <w:r w:rsidRPr="00453EDB">
              <w:rPr>
                <w:rFonts w:eastAsia="Times New Roman" w:cs="Times New Roman"/>
                <w:sz w:val="20"/>
                <w:szCs w:val="20"/>
              </w:rPr>
              <w:t>degree of disability</w:t>
            </w:r>
            <w:r w:rsidR="00C64E1C">
              <w:rPr>
                <w:rFonts w:eastAsia="Times New Roman" w:cs="Times New Roman"/>
                <w:sz w:val="20"/>
                <w:szCs w:val="20"/>
              </w:rPr>
              <w:t>.</w:t>
            </w:r>
            <w:r w:rsidRPr="00453EDB">
              <w:rPr>
                <w:rFonts w:eastAsia="Times New Roman" w:cs="Times New Roman"/>
                <w:sz w:val="20"/>
                <w:szCs w:val="20"/>
              </w:rPr>
              <w:t xml:space="preserve"> </w:t>
            </w:r>
            <w:bookmarkEnd w:id="142"/>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1EE4F7" w14:textId="2692AF22" w:rsidR="00DB47F7" w:rsidRPr="00453EDB" w:rsidRDefault="00DB47F7" w:rsidP="00710453">
            <w:pPr>
              <w:spacing w:after="120"/>
              <w:jc w:val="left"/>
              <w:rPr>
                <w:rFonts w:eastAsia="Times New Roman" w:cs="Times New Roman"/>
                <w:sz w:val="20"/>
                <w:szCs w:val="20"/>
              </w:rPr>
            </w:pPr>
            <w:bookmarkStart w:id="143" w:name="_Toc481676909"/>
            <w:bookmarkStart w:id="144" w:name="_Toc481676476"/>
            <w:bookmarkStart w:id="145" w:name="_Toc481677039"/>
            <w:bookmarkEnd w:id="143"/>
            <w:bookmarkEnd w:id="144"/>
            <w:r w:rsidRPr="00453EDB">
              <w:rPr>
                <w:rFonts w:eastAsia="Times New Roman" w:cs="Times New Roman"/>
                <w:sz w:val="20"/>
                <w:szCs w:val="20"/>
              </w:rPr>
              <w:t>Invalid with </w:t>
            </w:r>
            <w:r w:rsidR="00764D77" w:rsidRPr="00453EDB">
              <w:rPr>
                <w:rFonts w:eastAsia="Times New Roman" w:cs="Times New Roman"/>
                <w:sz w:val="20"/>
                <w:szCs w:val="20"/>
              </w:rPr>
              <w:t>over 80%</w:t>
            </w:r>
            <w:r w:rsidR="00764D77">
              <w:rPr>
                <w:rFonts w:eastAsia="Times New Roman" w:cs="Times New Roman"/>
                <w:sz w:val="20"/>
                <w:szCs w:val="20"/>
              </w:rPr>
              <w:t xml:space="preserve"> </w:t>
            </w:r>
            <w:r w:rsidRPr="00453EDB">
              <w:rPr>
                <w:rFonts w:eastAsia="Times New Roman" w:cs="Times New Roman"/>
                <w:sz w:val="20"/>
                <w:szCs w:val="20"/>
              </w:rPr>
              <w:t xml:space="preserve">bodily harm: </w:t>
            </w:r>
            <w:r w:rsidR="00764D77" w:rsidRPr="00453EDB">
              <w:rPr>
                <w:rFonts w:eastAsia="Times New Roman" w:cs="Times New Roman"/>
                <w:sz w:val="20"/>
                <w:szCs w:val="20"/>
              </w:rPr>
              <w:t>€</w:t>
            </w:r>
            <w:r w:rsidRPr="00453EDB">
              <w:rPr>
                <w:rFonts w:eastAsia="Times New Roman" w:cs="Times New Roman"/>
                <w:sz w:val="20"/>
                <w:szCs w:val="20"/>
              </w:rPr>
              <w:t xml:space="preserve">152.5 </w:t>
            </w:r>
            <w:bookmarkEnd w:id="145"/>
          </w:p>
          <w:p w14:paraId="5842A701" w14:textId="62357D92" w:rsidR="00DB47F7" w:rsidRPr="00453EDB" w:rsidRDefault="00DB47F7" w:rsidP="00710453">
            <w:pPr>
              <w:spacing w:after="120"/>
              <w:jc w:val="left"/>
              <w:rPr>
                <w:rFonts w:eastAsia="Times New Roman" w:cs="Times New Roman"/>
                <w:sz w:val="20"/>
                <w:szCs w:val="20"/>
              </w:rPr>
            </w:pPr>
            <w:bookmarkStart w:id="146" w:name="_Toc481676910"/>
            <w:bookmarkStart w:id="147" w:name="_Toc481676477"/>
            <w:bookmarkStart w:id="148" w:name="_Toc481677040"/>
            <w:bookmarkEnd w:id="146"/>
            <w:bookmarkEnd w:id="147"/>
            <w:r w:rsidRPr="00453EDB">
              <w:rPr>
                <w:rFonts w:eastAsia="Times New Roman" w:cs="Times New Roman"/>
                <w:sz w:val="20"/>
                <w:szCs w:val="20"/>
              </w:rPr>
              <w:t>Invalid with </w:t>
            </w:r>
            <w:r w:rsidR="00764D77" w:rsidRPr="00453EDB">
              <w:rPr>
                <w:rFonts w:eastAsia="Times New Roman" w:cs="Times New Roman"/>
                <w:sz w:val="20"/>
                <w:szCs w:val="20"/>
              </w:rPr>
              <w:t>61</w:t>
            </w:r>
            <w:r w:rsidR="00764D77">
              <w:rPr>
                <w:rFonts w:eastAsia="Times New Roman" w:cs="Times New Roman"/>
                <w:sz w:val="20"/>
                <w:szCs w:val="20"/>
              </w:rPr>
              <w:t>–</w:t>
            </w:r>
            <w:r w:rsidR="00764D77" w:rsidRPr="00453EDB">
              <w:rPr>
                <w:rFonts w:eastAsia="Times New Roman" w:cs="Times New Roman"/>
                <w:sz w:val="20"/>
                <w:szCs w:val="20"/>
              </w:rPr>
              <w:t>80%</w:t>
            </w:r>
            <w:r w:rsidR="00764D77">
              <w:rPr>
                <w:rFonts w:eastAsia="Times New Roman" w:cs="Times New Roman"/>
                <w:sz w:val="20"/>
                <w:szCs w:val="20"/>
              </w:rPr>
              <w:t xml:space="preserve"> </w:t>
            </w:r>
            <w:r w:rsidRPr="00453EDB">
              <w:rPr>
                <w:rFonts w:eastAsia="Times New Roman" w:cs="Times New Roman"/>
                <w:sz w:val="20"/>
                <w:szCs w:val="20"/>
              </w:rPr>
              <w:t xml:space="preserve">bodily harm: </w:t>
            </w:r>
            <w:r w:rsidR="00764D77" w:rsidRPr="00453EDB">
              <w:rPr>
                <w:rFonts w:eastAsia="Times New Roman" w:cs="Times New Roman"/>
                <w:sz w:val="20"/>
                <w:szCs w:val="20"/>
              </w:rPr>
              <w:t>€</w:t>
            </w:r>
            <w:r w:rsidRPr="00453EDB">
              <w:rPr>
                <w:rFonts w:eastAsia="Times New Roman" w:cs="Times New Roman"/>
                <w:sz w:val="20"/>
                <w:szCs w:val="20"/>
              </w:rPr>
              <w:t xml:space="preserve">136.25 </w:t>
            </w:r>
            <w:bookmarkEnd w:id="148"/>
          </w:p>
          <w:p w14:paraId="100DB1F3" w14:textId="1AA25521" w:rsidR="00DB47F7" w:rsidRPr="00453EDB" w:rsidRDefault="00DB47F7" w:rsidP="00710453">
            <w:pPr>
              <w:spacing w:after="120"/>
              <w:jc w:val="left"/>
              <w:rPr>
                <w:rFonts w:eastAsia="Times New Roman" w:cs="Times New Roman"/>
                <w:sz w:val="20"/>
                <w:szCs w:val="20"/>
              </w:rPr>
            </w:pPr>
            <w:bookmarkStart w:id="149" w:name="_Toc481676911"/>
            <w:bookmarkStart w:id="150" w:name="_Toc481676478"/>
            <w:bookmarkStart w:id="151" w:name="_Toc481677041"/>
            <w:bookmarkEnd w:id="149"/>
            <w:bookmarkEnd w:id="150"/>
            <w:r w:rsidRPr="00453EDB">
              <w:rPr>
                <w:rFonts w:eastAsia="Times New Roman" w:cs="Times New Roman"/>
                <w:sz w:val="20"/>
                <w:szCs w:val="20"/>
              </w:rPr>
              <w:t>Invalid with </w:t>
            </w:r>
            <w:r w:rsidR="00764D77" w:rsidRPr="00453EDB">
              <w:rPr>
                <w:rFonts w:eastAsia="Times New Roman" w:cs="Times New Roman"/>
                <w:sz w:val="20"/>
                <w:szCs w:val="20"/>
              </w:rPr>
              <w:t>40</w:t>
            </w:r>
            <w:r w:rsidR="00764D77">
              <w:rPr>
                <w:rFonts w:eastAsia="Times New Roman" w:cs="Times New Roman"/>
                <w:sz w:val="20"/>
                <w:szCs w:val="20"/>
              </w:rPr>
              <w:t>–</w:t>
            </w:r>
            <w:r w:rsidR="00764D77" w:rsidRPr="00453EDB">
              <w:rPr>
                <w:rFonts w:eastAsia="Times New Roman" w:cs="Times New Roman"/>
                <w:sz w:val="20"/>
                <w:szCs w:val="20"/>
              </w:rPr>
              <w:t>60%</w:t>
            </w:r>
            <w:r w:rsidR="00764D77">
              <w:rPr>
                <w:rFonts w:eastAsia="Times New Roman" w:cs="Times New Roman"/>
                <w:sz w:val="20"/>
                <w:szCs w:val="20"/>
              </w:rPr>
              <w:t xml:space="preserve"> </w:t>
            </w:r>
            <w:r w:rsidRPr="00453EDB">
              <w:rPr>
                <w:rFonts w:eastAsia="Times New Roman" w:cs="Times New Roman"/>
                <w:sz w:val="20"/>
                <w:szCs w:val="20"/>
              </w:rPr>
              <w:t xml:space="preserve">bodily harm: </w:t>
            </w:r>
            <w:r w:rsidR="00764D77" w:rsidRPr="00453EDB">
              <w:rPr>
                <w:rFonts w:eastAsia="Times New Roman" w:cs="Times New Roman"/>
                <w:sz w:val="20"/>
                <w:szCs w:val="20"/>
              </w:rPr>
              <w:t>€</w:t>
            </w:r>
            <w:r w:rsidRPr="00453EDB">
              <w:rPr>
                <w:rFonts w:eastAsia="Times New Roman" w:cs="Times New Roman"/>
                <w:sz w:val="20"/>
                <w:szCs w:val="20"/>
              </w:rPr>
              <w:t xml:space="preserve">120 </w:t>
            </w:r>
            <w:bookmarkEnd w:id="151"/>
          </w:p>
          <w:p w14:paraId="78706FEC" w14:textId="1DC515E1" w:rsidR="00DB47F7" w:rsidRPr="00453EDB" w:rsidRDefault="00DB47F7" w:rsidP="004E6D08">
            <w:pPr>
              <w:spacing w:after="0"/>
              <w:jc w:val="left"/>
              <w:rPr>
                <w:rFonts w:eastAsia="Times New Roman" w:cs="Times New Roman"/>
                <w:sz w:val="20"/>
                <w:szCs w:val="20"/>
              </w:rPr>
            </w:pPr>
            <w:bookmarkStart w:id="152" w:name="_Toc481676912"/>
            <w:bookmarkStart w:id="153" w:name="_Toc481676479"/>
            <w:bookmarkStart w:id="154" w:name="_Toc481677042"/>
            <w:bookmarkEnd w:id="152"/>
            <w:bookmarkEnd w:id="153"/>
            <w:r w:rsidRPr="00453EDB">
              <w:rPr>
                <w:rFonts w:eastAsia="Times New Roman" w:cs="Times New Roman"/>
                <w:sz w:val="20"/>
                <w:szCs w:val="20"/>
              </w:rPr>
              <w:t xml:space="preserve">+ caretaker for </w:t>
            </w:r>
            <w:r w:rsidR="00252641" w:rsidRPr="00453EDB">
              <w:rPr>
                <w:rFonts w:eastAsia="Times New Roman" w:cs="Times New Roman"/>
                <w:sz w:val="20"/>
                <w:szCs w:val="20"/>
              </w:rPr>
              <w:t>over 80%</w:t>
            </w:r>
            <w:r w:rsidR="00252641">
              <w:rPr>
                <w:rFonts w:eastAsia="Times New Roman" w:cs="Times New Roman"/>
                <w:sz w:val="20"/>
                <w:szCs w:val="20"/>
              </w:rPr>
              <w:t xml:space="preserve"> </w:t>
            </w:r>
            <w:r w:rsidRPr="00453EDB">
              <w:rPr>
                <w:rFonts w:eastAsia="Times New Roman" w:cs="Times New Roman"/>
                <w:sz w:val="20"/>
                <w:szCs w:val="20"/>
              </w:rPr>
              <w:t xml:space="preserve">bodily injury: </w:t>
            </w:r>
            <w:r w:rsidR="00252641" w:rsidRPr="00453EDB">
              <w:rPr>
                <w:rFonts w:eastAsia="Times New Roman" w:cs="Times New Roman"/>
                <w:sz w:val="20"/>
                <w:szCs w:val="20"/>
              </w:rPr>
              <w:t>€</w:t>
            </w:r>
            <w:r w:rsidRPr="00453EDB">
              <w:rPr>
                <w:rFonts w:eastAsia="Times New Roman" w:cs="Times New Roman"/>
                <w:sz w:val="20"/>
                <w:szCs w:val="20"/>
              </w:rPr>
              <w:t xml:space="preserve">50.13 </w:t>
            </w:r>
            <w:bookmarkEnd w:id="154"/>
          </w:p>
        </w:tc>
      </w:tr>
      <w:tr w:rsidR="00DB47F7" w:rsidRPr="00453EDB" w14:paraId="61E4E286"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265F1" w14:textId="1A3F4E4F" w:rsidR="00DB47F7" w:rsidRPr="00453EDB" w:rsidRDefault="00DB47F7" w:rsidP="00710453">
            <w:pPr>
              <w:spacing w:after="120"/>
              <w:jc w:val="left"/>
              <w:rPr>
                <w:rFonts w:eastAsia="Times New Roman" w:cs="Times New Roman"/>
                <w:sz w:val="20"/>
                <w:szCs w:val="20"/>
              </w:rPr>
            </w:pPr>
            <w:bookmarkStart w:id="155" w:name="_Toc481676913"/>
            <w:bookmarkStart w:id="156" w:name="_Toc481676480"/>
            <w:bookmarkStart w:id="157" w:name="_Toc481677043"/>
            <w:bookmarkEnd w:id="155"/>
            <w:bookmarkEnd w:id="156"/>
            <w:r w:rsidRPr="00453EDB">
              <w:rPr>
                <w:rFonts w:eastAsia="Times New Roman" w:cs="Times New Roman"/>
                <w:b/>
                <w:bCs/>
                <w:sz w:val="20"/>
                <w:szCs w:val="20"/>
              </w:rPr>
              <w:t>Invalidity pensions of</w:t>
            </w:r>
            <w:r w:rsidR="004E6D08">
              <w:rPr>
                <w:rFonts w:eastAsia="Times New Roman" w:cs="Times New Roman"/>
                <w:b/>
                <w:bCs/>
                <w:sz w:val="20"/>
                <w:szCs w:val="20"/>
              </w:rPr>
              <w:t xml:space="preserve"> </w:t>
            </w:r>
            <w:r w:rsidRPr="00453EDB">
              <w:rPr>
                <w:rFonts w:eastAsia="Times New Roman" w:cs="Times New Roman"/>
                <w:b/>
                <w:bCs/>
                <w:sz w:val="20"/>
                <w:szCs w:val="20"/>
              </w:rPr>
              <w:t>the KLA after the death of the Invalid</w:t>
            </w:r>
            <w:bookmarkEnd w:id="157"/>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6D973B" w14:textId="712DAB54" w:rsidR="00DB47F7" w:rsidRPr="00453EDB" w:rsidRDefault="00DB47F7" w:rsidP="00710453">
            <w:pPr>
              <w:spacing w:after="120"/>
              <w:jc w:val="left"/>
              <w:rPr>
                <w:rFonts w:eastAsia="Times New Roman" w:cs="Times New Roman"/>
                <w:sz w:val="20"/>
                <w:szCs w:val="20"/>
              </w:rPr>
            </w:pPr>
            <w:bookmarkStart w:id="158" w:name="_Toc481676914"/>
            <w:bookmarkStart w:id="159" w:name="_Toc481676481"/>
            <w:bookmarkStart w:id="160" w:name="_Toc481677044"/>
            <w:bookmarkEnd w:id="158"/>
            <w:bookmarkEnd w:id="159"/>
            <w:r w:rsidRPr="00453EDB">
              <w:rPr>
                <w:rFonts w:eastAsia="Times New Roman" w:cs="Times New Roman"/>
                <w:sz w:val="20"/>
                <w:szCs w:val="20"/>
              </w:rPr>
              <w:t>The spouse who enters into a new marriage after the death of the invalid loses the right to pension and benefits</w:t>
            </w:r>
            <w:r w:rsidR="00654D4E">
              <w:rPr>
                <w:rFonts w:eastAsia="Times New Roman" w:cs="Times New Roman"/>
                <w:sz w:val="20"/>
                <w:szCs w:val="20"/>
              </w:rPr>
              <w:t>.</w:t>
            </w:r>
            <w:bookmarkEnd w:id="160"/>
          </w:p>
          <w:p w14:paraId="374F939E" w14:textId="65B5039D" w:rsidR="00DB47F7" w:rsidRPr="00453EDB" w:rsidRDefault="00DB47F7" w:rsidP="00710453">
            <w:pPr>
              <w:spacing w:after="120"/>
              <w:jc w:val="left"/>
              <w:rPr>
                <w:rFonts w:eastAsia="Times New Roman" w:cs="Times New Roman"/>
                <w:sz w:val="20"/>
                <w:szCs w:val="20"/>
              </w:rPr>
            </w:pPr>
            <w:bookmarkStart w:id="161" w:name="_Toc481676915"/>
            <w:bookmarkStart w:id="162" w:name="_Toc481676482"/>
            <w:bookmarkStart w:id="163" w:name="_Toc481677045"/>
            <w:bookmarkEnd w:id="161"/>
            <w:bookmarkEnd w:id="162"/>
            <w:r w:rsidRPr="00453EDB">
              <w:rPr>
                <w:rFonts w:eastAsia="Times New Roman" w:cs="Times New Roman"/>
                <w:sz w:val="20"/>
                <w:szCs w:val="20"/>
              </w:rPr>
              <w:t xml:space="preserve">KLA children without parental care are beneficiaries of the family pension and are </w:t>
            </w:r>
            <w:r w:rsidRPr="00453EDB">
              <w:rPr>
                <w:rFonts w:eastAsia="Times New Roman" w:cs="Times New Roman"/>
                <w:sz w:val="20"/>
                <w:szCs w:val="20"/>
              </w:rPr>
              <w:lastRenderedPageBreak/>
              <w:t xml:space="preserve">entitled to enjoy up to the age of 18 </w:t>
            </w:r>
            <w:r w:rsidR="00F21B26">
              <w:rPr>
                <w:rFonts w:eastAsia="Times New Roman" w:cs="Times New Roman"/>
                <w:sz w:val="20"/>
                <w:szCs w:val="20"/>
              </w:rPr>
              <w:t xml:space="preserve">years, </w:t>
            </w:r>
            <w:r w:rsidRPr="00453EDB">
              <w:rPr>
                <w:rFonts w:eastAsia="Times New Roman" w:cs="Times New Roman"/>
                <w:sz w:val="20"/>
                <w:szCs w:val="20"/>
              </w:rPr>
              <w:t xml:space="preserve">or 26 </w:t>
            </w:r>
            <w:r w:rsidR="00F21B26">
              <w:rPr>
                <w:rFonts w:eastAsia="Times New Roman" w:cs="Times New Roman"/>
                <w:sz w:val="20"/>
                <w:szCs w:val="20"/>
              </w:rPr>
              <w:t xml:space="preserve">years </w:t>
            </w:r>
            <w:r w:rsidRPr="00453EDB">
              <w:rPr>
                <w:rFonts w:eastAsia="Times New Roman" w:cs="Times New Roman"/>
                <w:sz w:val="20"/>
                <w:szCs w:val="20"/>
              </w:rPr>
              <w:t>if they are attending regular education</w:t>
            </w:r>
            <w:r w:rsidR="00654D4E">
              <w:rPr>
                <w:rFonts w:eastAsia="Times New Roman" w:cs="Times New Roman"/>
                <w:sz w:val="20"/>
                <w:szCs w:val="20"/>
              </w:rPr>
              <w:t>.</w:t>
            </w:r>
            <w:bookmarkEnd w:id="163"/>
          </w:p>
          <w:p w14:paraId="02DEDE82" w14:textId="4661BC9F" w:rsidR="00DB47F7" w:rsidRPr="00453EDB" w:rsidRDefault="00DB47F7" w:rsidP="00654D4E">
            <w:pPr>
              <w:spacing w:after="0"/>
              <w:jc w:val="left"/>
              <w:rPr>
                <w:rFonts w:eastAsia="Times New Roman" w:cs="Times New Roman"/>
                <w:sz w:val="20"/>
                <w:szCs w:val="20"/>
              </w:rPr>
            </w:pPr>
            <w:bookmarkStart w:id="164" w:name="_Toc481676916"/>
            <w:bookmarkStart w:id="165" w:name="_Toc481676483"/>
            <w:bookmarkStart w:id="166" w:name="_Toc481677046"/>
            <w:bookmarkEnd w:id="164"/>
            <w:bookmarkEnd w:id="165"/>
            <w:r w:rsidRPr="00453EDB">
              <w:rPr>
                <w:rFonts w:eastAsia="Times New Roman" w:cs="Times New Roman"/>
                <w:sz w:val="20"/>
                <w:szCs w:val="20"/>
              </w:rPr>
              <w:t>Families of war-wounded KLA invalids who die as a result of these injuries (within 3 years after the war) have the right to a family pension at 100% disability</w:t>
            </w:r>
            <w:r w:rsidR="00F21B26">
              <w:rPr>
                <w:rFonts w:eastAsia="Times New Roman" w:cs="Times New Roman"/>
                <w:sz w:val="20"/>
                <w:szCs w:val="20"/>
              </w:rPr>
              <w:t>.</w:t>
            </w:r>
            <w:bookmarkEnd w:id="166"/>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AC6FE" w14:textId="6929B954" w:rsidR="00DB47F7" w:rsidRPr="00453EDB" w:rsidRDefault="00DB47F7" w:rsidP="00710453">
            <w:pPr>
              <w:spacing w:after="120"/>
              <w:jc w:val="left"/>
              <w:rPr>
                <w:rFonts w:eastAsia="Times New Roman" w:cs="Times New Roman"/>
                <w:sz w:val="20"/>
                <w:szCs w:val="20"/>
              </w:rPr>
            </w:pPr>
            <w:bookmarkStart w:id="167" w:name="_Toc481676917"/>
            <w:bookmarkStart w:id="168" w:name="_Toc481676484"/>
            <w:bookmarkStart w:id="169" w:name="_Toc481677047"/>
            <w:bookmarkEnd w:id="167"/>
            <w:bookmarkEnd w:id="168"/>
            <w:r w:rsidRPr="00453EDB">
              <w:rPr>
                <w:rFonts w:eastAsia="Times New Roman" w:cs="Times New Roman"/>
                <w:sz w:val="20"/>
                <w:szCs w:val="20"/>
              </w:rPr>
              <w:lastRenderedPageBreak/>
              <w:t>Invalid with </w:t>
            </w:r>
            <w:r w:rsidR="002C2C53" w:rsidRPr="00453EDB">
              <w:rPr>
                <w:rFonts w:eastAsia="Times New Roman" w:cs="Times New Roman"/>
                <w:sz w:val="20"/>
                <w:szCs w:val="20"/>
              </w:rPr>
              <w:t>over 80%</w:t>
            </w:r>
            <w:r w:rsidR="002C2C53">
              <w:rPr>
                <w:rFonts w:eastAsia="Times New Roman" w:cs="Times New Roman"/>
                <w:sz w:val="20"/>
                <w:szCs w:val="20"/>
              </w:rPr>
              <w:t xml:space="preserve"> </w:t>
            </w:r>
            <w:r w:rsidRPr="00453EDB">
              <w:rPr>
                <w:rFonts w:eastAsia="Times New Roman" w:cs="Times New Roman"/>
                <w:sz w:val="20"/>
                <w:szCs w:val="20"/>
              </w:rPr>
              <w:t xml:space="preserve">bodily harm: </w:t>
            </w:r>
            <w:r w:rsidR="002C2C53" w:rsidRPr="00453EDB">
              <w:rPr>
                <w:rFonts w:eastAsia="Times New Roman" w:cs="Times New Roman"/>
                <w:sz w:val="20"/>
                <w:szCs w:val="20"/>
              </w:rPr>
              <w:t>€</w:t>
            </w:r>
            <w:r w:rsidRPr="00453EDB">
              <w:rPr>
                <w:rFonts w:eastAsia="Times New Roman" w:cs="Times New Roman"/>
                <w:sz w:val="20"/>
                <w:szCs w:val="20"/>
              </w:rPr>
              <w:t xml:space="preserve">385.50 </w:t>
            </w:r>
            <w:bookmarkEnd w:id="169"/>
          </w:p>
          <w:p w14:paraId="2780C6BC" w14:textId="218C6900" w:rsidR="00DB47F7" w:rsidRPr="00453EDB" w:rsidRDefault="00DB47F7" w:rsidP="00710453">
            <w:pPr>
              <w:spacing w:after="120"/>
              <w:jc w:val="left"/>
              <w:rPr>
                <w:rFonts w:eastAsia="Times New Roman" w:cs="Times New Roman"/>
                <w:sz w:val="20"/>
                <w:szCs w:val="20"/>
              </w:rPr>
            </w:pPr>
            <w:bookmarkStart w:id="170" w:name="_Toc481676918"/>
            <w:bookmarkStart w:id="171" w:name="_Toc481676485"/>
            <w:bookmarkStart w:id="172" w:name="_Toc481677048"/>
            <w:bookmarkEnd w:id="170"/>
            <w:bookmarkEnd w:id="171"/>
            <w:r w:rsidRPr="00453EDB">
              <w:rPr>
                <w:rFonts w:eastAsia="Times New Roman" w:cs="Times New Roman"/>
                <w:sz w:val="20"/>
                <w:szCs w:val="20"/>
              </w:rPr>
              <w:t>Invalid with </w:t>
            </w:r>
            <w:r w:rsidR="002C2C53" w:rsidRPr="00453EDB">
              <w:rPr>
                <w:rFonts w:eastAsia="Times New Roman" w:cs="Times New Roman"/>
                <w:sz w:val="20"/>
                <w:szCs w:val="20"/>
              </w:rPr>
              <w:t>71</w:t>
            </w:r>
            <w:r w:rsidR="002C2C53">
              <w:rPr>
                <w:rFonts w:eastAsia="Times New Roman" w:cs="Times New Roman"/>
                <w:sz w:val="20"/>
                <w:szCs w:val="20"/>
              </w:rPr>
              <w:t>–</w:t>
            </w:r>
            <w:r w:rsidR="002C2C53" w:rsidRPr="00453EDB">
              <w:rPr>
                <w:rFonts w:eastAsia="Times New Roman" w:cs="Times New Roman"/>
                <w:sz w:val="20"/>
                <w:szCs w:val="20"/>
              </w:rPr>
              <w:t>80%</w:t>
            </w:r>
            <w:r w:rsidRPr="00453EDB">
              <w:rPr>
                <w:rFonts w:eastAsia="Times New Roman" w:cs="Times New Roman"/>
                <w:sz w:val="20"/>
                <w:szCs w:val="20"/>
              </w:rPr>
              <w:t xml:space="preserve">bodily harm: </w:t>
            </w:r>
            <w:r w:rsidR="002C2C53" w:rsidRPr="00453EDB">
              <w:rPr>
                <w:rFonts w:eastAsia="Times New Roman" w:cs="Times New Roman"/>
                <w:sz w:val="20"/>
                <w:szCs w:val="20"/>
              </w:rPr>
              <w:t>€</w:t>
            </w:r>
            <w:r w:rsidRPr="00453EDB">
              <w:rPr>
                <w:rFonts w:eastAsia="Times New Roman" w:cs="Times New Roman"/>
                <w:sz w:val="20"/>
                <w:szCs w:val="20"/>
              </w:rPr>
              <w:t xml:space="preserve">330 </w:t>
            </w:r>
            <w:bookmarkEnd w:id="172"/>
          </w:p>
          <w:p w14:paraId="1254D737" w14:textId="0BF4232D" w:rsidR="00DB47F7" w:rsidRPr="00453EDB" w:rsidRDefault="00DB47F7" w:rsidP="00710453">
            <w:pPr>
              <w:spacing w:after="120"/>
              <w:jc w:val="left"/>
              <w:rPr>
                <w:rFonts w:eastAsia="Times New Roman" w:cs="Times New Roman"/>
                <w:sz w:val="20"/>
                <w:szCs w:val="20"/>
              </w:rPr>
            </w:pPr>
            <w:bookmarkStart w:id="173" w:name="_Toc481676919"/>
            <w:bookmarkStart w:id="174" w:name="_Toc481676486"/>
            <w:bookmarkStart w:id="175" w:name="_Toc481677049"/>
            <w:bookmarkEnd w:id="173"/>
            <w:bookmarkEnd w:id="174"/>
            <w:r w:rsidRPr="00453EDB">
              <w:rPr>
                <w:rFonts w:eastAsia="Times New Roman" w:cs="Times New Roman"/>
                <w:sz w:val="20"/>
                <w:szCs w:val="20"/>
              </w:rPr>
              <w:t>Invalid with </w:t>
            </w:r>
            <w:r w:rsidR="002C2C53" w:rsidRPr="00453EDB">
              <w:rPr>
                <w:rFonts w:eastAsia="Times New Roman" w:cs="Times New Roman"/>
                <w:sz w:val="20"/>
                <w:szCs w:val="20"/>
              </w:rPr>
              <w:t>61</w:t>
            </w:r>
            <w:r w:rsidR="002C2C53">
              <w:rPr>
                <w:rFonts w:eastAsia="Times New Roman" w:cs="Times New Roman"/>
                <w:sz w:val="20"/>
                <w:szCs w:val="20"/>
              </w:rPr>
              <w:t>–</w:t>
            </w:r>
            <w:r w:rsidR="002C2C53" w:rsidRPr="00453EDB">
              <w:rPr>
                <w:rFonts w:eastAsia="Times New Roman" w:cs="Times New Roman"/>
                <w:sz w:val="20"/>
                <w:szCs w:val="20"/>
              </w:rPr>
              <w:t>70%</w:t>
            </w:r>
            <w:r w:rsidR="002C2C53">
              <w:rPr>
                <w:rFonts w:eastAsia="Times New Roman" w:cs="Times New Roman"/>
                <w:sz w:val="20"/>
                <w:szCs w:val="20"/>
              </w:rPr>
              <w:t xml:space="preserve"> </w:t>
            </w:r>
            <w:r w:rsidRPr="00453EDB">
              <w:rPr>
                <w:rFonts w:eastAsia="Times New Roman" w:cs="Times New Roman"/>
                <w:sz w:val="20"/>
                <w:szCs w:val="20"/>
              </w:rPr>
              <w:t xml:space="preserve">bodily harm: </w:t>
            </w:r>
            <w:r w:rsidR="002C2C53" w:rsidRPr="00453EDB">
              <w:rPr>
                <w:rFonts w:eastAsia="Times New Roman" w:cs="Times New Roman"/>
                <w:sz w:val="20"/>
                <w:szCs w:val="20"/>
              </w:rPr>
              <w:t>€</w:t>
            </w:r>
            <w:r w:rsidRPr="00453EDB">
              <w:rPr>
                <w:rFonts w:eastAsia="Times New Roman" w:cs="Times New Roman"/>
                <w:sz w:val="20"/>
                <w:szCs w:val="20"/>
              </w:rPr>
              <w:t xml:space="preserve">315 </w:t>
            </w:r>
            <w:bookmarkEnd w:id="175"/>
          </w:p>
          <w:p w14:paraId="5BD1264E" w14:textId="0F868BF8" w:rsidR="00DB47F7" w:rsidRPr="00453EDB" w:rsidRDefault="00DB47F7" w:rsidP="00710453">
            <w:pPr>
              <w:spacing w:after="120"/>
              <w:jc w:val="left"/>
              <w:rPr>
                <w:rFonts w:eastAsia="Times New Roman" w:cs="Times New Roman"/>
                <w:sz w:val="20"/>
                <w:szCs w:val="20"/>
              </w:rPr>
            </w:pPr>
            <w:bookmarkStart w:id="176" w:name="_Toc481676920"/>
            <w:bookmarkStart w:id="177" w:name="_Toc481676487"/>
            <w:bookmarkStart w:id="178" w:name="_Toc481677050"/>
            <w:bookmarkEnd w:id="176"/>
            <w:bookmarkEnd w:id="177"/>
            <w:r w:rsidRPr="00453EDB">
              <w:rPr>
                <w:rFonts w:eastAsia="Times New Roman" w:cs="Times New Roman"/>
                <w:sz w:val="20"/>
                <w:szCs w:val="20"/>
              </w:rPr>
              <w:lastRenderedPageBreak/>
              <w:t>Invalid with </w:t>
            </w:r>
            <w:r w:rsidR="002C2C53" w:rsidRPr="00453EDB">
              <w:rPr>
                <w:rFonts w:eastAsia="Times New Roman" w:cs="Times New Roman"/>
                <w:sz w:val="20"/>
                <w:szCs w:val="20"/>
              </w:rPr>
              <w:t>51</w:t>
            </w:r>
            <w:r w:rsidR="002C2C53">
              <w:rPr>
                <w:rFonts w:eastAsia="Times New Roman" w:cs="Times New Roman"/>
                <w:sz w:val="20"/>
                <w:szCs w:val="20"/>
              </w:rPr>
              <w:t>–</w:t>
            </w:r>
            <w:r w:rsidR="002C2C53" w:rsidRPr="00453EDB">
              <w:rPr>
                <w:rFonts w:eastAsia="Times New Roman" w:cs="Times New Roman"/>
                <w:sz w:val="20"/>
                <w:szCs w:val="20"/>
              </w:rPr>
              <w:t>60%</w:t>
            </w:r>
            <w:r w:rsidR="002C2C53">
              <w:rPr>
                <w:rFonts w:eastAsia="Times New Roman" w:cs="Times New Roman"/>
                <w:sz w:val="20"/>
                <w:szCs w:val="20"/>
              </w:rPr>
              <w:t xml:space="preserve"> </w:t>
            </w:r>
            <w:r w:rsidRPr="00453EDB">
              <w:rPr>
                <w:rFonts w:eastAsia="Times New Roman" w:cs="Times New Roman"/>
                <w:sz w:val="20"/>
                <w:szCs w:val="20"/>
              </w:rPr>
              <w:t xml:space="preserve">bodily harm: </w:t>
            </w:r>
            <w:r w:rsidR="002C2C53" w:rsidRPr="00453EDB">
              <w:rPr>
                <w:rFonts w:eastAsia="Times New Roman" w:cs="Times New Roman"/>
                <w:sz w:val="20"/>
                <w:szCs w:val="20"/>
              </w:rPr>
              <w:t>€</w:t>
            </w:r>
            <w:r w:rsidRPr="00453EDB">
              <w:rPr>
                <w:rFonts w:eastAsia="Times New Roman" w:cs="Times New Roman"/>
                <w:sz w:val="20"/>
                <w:szCs w:val="20"/>
              </w:rPr>
              <w:t xml:space="preserve">300 </w:t>
            </w:r>
            <w:bookmarkEnd w:id="178"/>
          </w:p>
          <w:p w14:paraId="01B76990" w14:textId="1575AFEC" w:rsidR="00DB47F7" w:rsidRPr="00453EDB" w:rsidRDefault="00DB47F7" w:rsidP="00710453">
            <w:pPr>
              <w:spacing w:after="120"/>
              <w:jc w:val="left"/>
              <w:rPr>
                <w:rFonts w:eastAsia="Times New Roman" w:cs="Times New Roman"/>
                <w:sz w:val="20"/>
                <w:szCs w:val="20"/>
              </w:rPr>
            </w:pPr>
            <w:bookmarkStart w:id="179" w:name="_Toc481676921"/>
            <w:bookmarkStart w:id="180" w:name="_Toc481676488"/>
            <w:bookmarkStart w:id="181" w:name="_Toc481677051"/>
            <w:bookmarkEnd w:id="179"/>
            <w:bookmarkEnd w:id="180"/>
            <w:r w:rsidRPr="00453EDB">
              <w:rPr>
                <w:rFonts w:eastAsia="Times New Roman" w:cs="Times New Roman"/>
                <w:sz w:val="20"/>
                <w:szCs w:val="20"/>
              </w:rPr>
              <w:t>Invalid with 41</w:t>
            </w:r>
            <w:r w:rsidR="00065A1B">
              <w:rPr>
                <w:rFonts w:eastAsia="Times New Roman" w:cs="Times New Roman"/>
                <w:sz w:val="20"/>
                <w:szCs w:val="20"/>
              </w:rPr>
              <w:t>–</w:t>
            </w:r>
            <w:r w:rsidRPr="00453EDB">
              <w:rPr>
                <w:rFonts w:eastAsia="Times New Roman" w:cs="Times New Roman"/>
                <w:sz w:val="20"/>
                <w:szCs w:val="20"/>
              </w:rPr>
              <w:t xml:space="preserve">50% bodily harm: </w:t>
            </w:r>
            <w:r w:rsidR="00065A1B" w:rsidRPr="00453EDB">
              <w:rPr>
                <w:rFonts w:eastAsia="Times New Roman" w:cs="Times New Roman"/>
                <w:sz w:val="20"/>
                <w:szCs w:val="20"/>
              </w:rPr>
              <w:t>€</w:t>
            </w:r>
            <w:r w:rsidRPr="00453EDB">
              <w:rPr>
                <w:rFonts w:eastAsia="Times New Roman" w:cs="Times New Roman"/>
                <w:sz w:val="20"/>
                <w:szCs w:val="20"/>
              </w:rPr>
              <w:t xml:space="preserve">285 </w:t>
            </w:r>
            <w:bookmarkEnd w:id="181"/>
          </w:p>
          <w:p w14:paraId="74596A03" w14:textId="449B9B95" w:rsidR="00DB47F7" w:rsidRPr="00453EDB" w:rsidRDefault="00DB47F7" w:rsidP="00710453">
            <w:pPr>
              <w:spacing w:after="120"/>
              <w:jc w:val="left"/>
              <w:rPr>
                <w:rFonts w:eastAsia="Times New Roman" w:cs="Times New Roman"/>
                <w:sz w:val="20"/>
                <w:szCs w:val="20"/>
              </w:rPr>
            </w:pPr>
            <w:bookmarkStart w:id="182" w:name="_Toc481676922"/>
            <w:bookmarkStart w:id="183" w:name="_Toc481676489"/>
            <w:bookmarkStart w:id="184" w:name="_Toc481677052"/>
            <w:bookmarkEnd w:id="182"/>
            <w:bookmarkEnd w:id="183"/>
            <w:r w:rsidRPr="00453EDB">
              <w:rPr>
                <w:rFonts w:eastAsia="Times New Roman" w:cs="Times New Roman"/>
                <w:sz w:val="20"/>
                <w:szCs w:val="20"/>
              </w:rPr>
              <w:t>Invalid with </w:t>
            </w:r>
            <w:r w:rsidR="00065A1B" w:rsidRPr="00453EDB">
              <w:rPr>
                <w:rFonts w:eastAsia="Times New Roman" w:cs="Times New Roman"/>
                <w:sz w:val="20"/>
                <w:szCs w:val="20"/>
              </w:rPr>
              <w:t>31</w:t>
            </w:r>
            <w:r w:rsidR="00065A1B">
              <w:rPr>
                <w:rFonts w:eastAsia="Times New Roman" w:cs="Times New Roman"/>
                <w:sz w:val="20"/>
                <w:szCs w:val="20"/>
              </w:rPr>
              <w:t>–</w:t>
            </w:r>
            <w:r w:rsidR="00065A1B" w:rsidRPr="00453EDB">
              <w:rPr>
                <w:rFonts w:eastAsia="Times New Roman" w:cs="Times New Roman"/>
                <w:sz w:val="20"/>
                <w:szCs w:val="20"/>
              </w:rPr>
              <w:t>40%</w:t>
            </w:r>
            <w:r w:rsidR="00065A1B">
              <w:rPr>
                <w:rFonts w:eastAsia="Times New Roman" w:cs="Times New Roman"/>
                <w:sz w:val="20"/>
                <w:szCs w:val="20"/>
              </w:rPr>
              <w:t xml:space="preserve"> </w:t>
            </w:r>
            <w:r w:rsidRPr="00453EDB">
              <w:rPr>
                <w:rFonts w:eastAsia="Times New Roman" w:cs="Times New Roman"/>
                <w:sz w:val="20"/>
                <w:szCs w:val="20"/>
              </w:rPr>
              <w:t xml:space="preserve">bodily harm: </w:t>
            </w:r>
            <w:r w:rsidR="00065A1B" w:rsidRPr="00453EDB">
              <w:rPr>
                <w:rFonts w:eastAsia="Times New Roman" w:cs="Times New Roman"/>
                <w:sz w:val="20"/>
                <w:szCs w:val="20"/>
              </w:rPr>
              <w:t>€</w:t>
            </w:r>
            <w:r w:rsidRPr="00453EDB">
              <w:rPr>
                <w:rFonts w:eastAsia="Times New Roman" w:cs="Times New Roman"/>
                <w:sz w:val="20"/>
                <w:szCs w:val="20"/>
              </w:rPr>
              <w:t xml:space="preserve">255 </w:t>
            </w:r>
            <w:bookmarkEnd w:id="184"/>
          </w:p>
          <w:p w14:paraId="2544F7D8" w14:textId="081EB6F6" w:rsidR="00DB47F7" w:rsidRPr="00453EDB" w:rsidRDefault="00DB47F7" w:rsidP="004E6D08">
            <w:pPr>
              <w:spacing w:after="0"/>
              <w:jc w:val="left"/>
              <w:rPr>
                <w:rFonts w:eastAsia="Times New Roman" w:cs="Times New Roman"/>
                <w:sz w:val="20"/>
                <w:szCs w:val="20"/>
              </w:rPr>
            </w:pPr>
            <w:bookmarkStart w:id="185" w:name="_Toc481676923"/>
            <w:bookmarkStart w:id="186" w:name="_Toc481676490"/>
            <w:bookmarkStart w:id="187" w:name="_Toc481677053"/>
            <w:bookmarkEnd w:id="185"/>
            <w:bookmarkEnd w:id="186"/>
            <w:r w:rsidRPr="00453EDB">
              <w:rPr>
                <w:rFonts w:eastAsia="Times New Roman" w:cs="Times New Roman"/>
                <w:sz w:val="20"/>
                <w:szCs w:val="20"/>
              </w:rPr>
              <w:t>Invalid with </w:t>
            </w:r>
            <w:r w:rsidR="00065A1B" w:rsidRPr="00453EDB">
              <w:rPr>
                <w:rFonts w:eastAsia="Times New Roman" w:cs="Times New Roman"/>
                <w:sz w:val="20"/>
                <w:szCs w:val="20"/>
              </w:rPr>
              <w:t>21</w:t>
            </w:r>
            <w:r w:rsidR="00065A1B">
              <w:rPr>
                <w:rFonts w:eastAsia="Times New Roman" w:cs="Times New Roman"/>
                <w:sz w:val="20"/>
                <w:szCs w:val="20"/>
              </w:rPr>
              <w:t>–</w:t>
            </w:r>
            <w:r w:rsidR="00065A1B" w:rsidRPr="00453EDB">
              <w:rPr>
                <w:rFonts w:eastAsia="Times New Roman" w:cs="Times New Roman"/>
                <w:sz w:val="20"/>
                <w:szCs w:val="20"/>
              </w:rPr>
              <w:t>30%</w:t>
            </w:r>
            <w:r w:rsidR="00065A1B">
              <w:rPr>
                <w:rFonts w:eastAsia="Times New Roman" w:cs="Times New Roman"/>
                <w:sz w:val="20"/>
                <w:szCs w:val="20"/>
              </w:rPr>
              <w:t xml:space="preserve"> </w:t>
            </w:r>
            <w:r w:rsidRPr="00453EDB">
              <w:rPr>
                <w:rFonts w:eastAsia="Times New Roman" w:cs="Times New Roman"/>
                <w:sz w:val="20"/>
                <w:szCs w:val="20"/>
              </w:rPr>
              <w:t xml:space="preserve">bodily harm: </w:t>
            </w:r>
            <w:r w:rsidR="00065A1B" w:rsidRPr="00453EDB">
              <w:rPr>
                <w:rFonts w:eastAsia="Times New Roman" w:cs="Times New Roman"/>
                <w:sz w:val="20"/>
                <w:szCs w:val="20"/>
              </w:rPr>
              <w:t>€</w:t>
            </w:r>
            <w:r w:rsidRPr="00453EDB">
              <w:rPr>
                <w:rFonts w:eastAsia="Times New Roman" w:cs="Times New Roman"/>
                <w:sz w:val="20"/>
                <w:szCs w:val="20"/>
              </w:rPr>
              <w:t xml:space="preserve">180 </w:t>
            </w:r>
            <w:bookmarkEnd w:id="187"/>
          </w:p>
        </w:tc>
      </w:tr>
      <w:tr w:rsidR="00DB47F7" w:rsidRPr="00453EDB" w14:paraId="56C7488A"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D30C58" w14:textId="3E632E5D" w:rsidR="00DB47F7" w:rsidRPr="00453EDB" w:rsidRDefault="00DB47F7" w:rsidP="00654D4E">
            <w:pPr>
              <w:spacing w:after="0"/>
              <w:jc w:val="left"/>
              <w:rPr>
                <w:rFonts w:eastAsia="Times New Roman" w:cs="Times New Roman"/>
                <w:sz w:val="20"/>
                <w:szCs w:val="20"/>
              </w:rPr>
            </w:pPr>
            <w:bookmarkStart w:id="188" w:name="_Toc481676924"/>
            <w:bookmarkStart w:id="189" w:name="_Toc481676491"/>
            <w:bookmarkStart w:id="190" w:name="_Toc481677054"/>
            <w:bookmarkEnd w:id="188"/>
            <w:bookmarkEnd w:id="189"/>
            <w:r w:rsidRPr="00453EDB">
              <w:rPr>
                <w:rFonts w:eastAsia="Times New Roman" w:cs="Times New Roman"/>
                <w:b/>
                <w:bCs/>
                <w:sz w:val="20"/>
                <w:szCs w:val="20"/>
              </w:rPr>
              <w:t>Nursing Pensions of</w:t>
            </w:r>
            <w:r w:rsidRPr="00453EDB">
              <w:rPr>
                <w:rFonts w:eastAsia="Times New Roman" w:cs="Times New Roman"/>
                <w:sz w:val="20"/>
                <w:szCs w:val="20"/>
              </w:rPr>
              <w:t> </w:t>
            </w:r>
            <w:r w:rsidRPr="00453EDB">
              <w:rPr>
                <w:rFonts w:eastAsia="Times New Roman" w:cs="Times New Roman"/>
                <w:b/>
                <w:bCs/>
                <w:sz w:val="20"/>
                <w:szCs w:val="20"/>
              </w:rPr>
              <w:t>KLA Invalids</w:t>
            </w:r>
            <w:bookmarkEnd w:id="190"/>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8D4164" w14:textId="349FF50C" w:rsidR="00DB47F7" w:rsidRPr="00453EDB" w:rsidRDefault="00DB47F7" w:rsidP="00654D4E">
            <w:pPr>
              <w:spacing w:after="0"/>
              <w:jc w:val="left"/>
              <w:rPr>
                <w:rFonts w:eastAsia="Times New Roman" w:cs="Times New Roman"/>
                <w:sz w:val="20"/>
                <w:szCs w:val="20"/>
              </w:rPr>
            </w:pPr>
            <w:bookmarkStart w:id="191" w:name="_Toc481676925"/>
            <w:bookmarkStart w:id="192" w:name="_Toc481676492"/>
            <w:bookmarkStart w:id="193" w:name="_Toc481677055"/>
            <w:bookmarkEnd w:id="191"/>
            <w:bookmarkEnd w:id="192"/>
            <w:r w:rsidRPr="00453EDB">
              <w:rPr>
                <w:rFonts w:eastAsia="Times New Roman" w:cs="Times New Roman"/>
                <w:sz w:val="20"/>
                <w:szCs w:val="20"/>
              </w:rPr>
              <w:t xml:space="preserve">For invalids with </w:t>
            </w:r>
            <w:r w:rsidR="00065A1B">
              <w:rPr>
                <w:rFonts w:eastAsia="Times New Roman" w:cs="Times New Roman"/>
                <w:sz w:val="20"/>
                <w:szCs w:val="20"/>
              </w:rPr>
              <w:t>81–</w:t>
            </w:r>
            <w:r w:rsidR="00065A1B" w:rsidRPr="00453EDB">
              <w:rPr>
                <w:rFonts w:eastAsia="Times New Roman" w:cs="Times New Roman"/>
                <w:sz w:val="20"/>
                <w:szCs w:val="20"/>
              </w:rPr>
              <w:t>100%</w:t>
            </w:r>
            <w:r w:rsidR="00065A1B">
              <w:rPr>
                <w:rFonts w:eastAsia="Times New Roman" w:cs="Times New Roman"/>
                <w:sz w:val="20"/>
                <w:szCs w:val="20"/>
              </w:rPr>
              <w:t xml:space="preserve"> </w:t>
            </w:r>
            <w:r w:rsidRPr="00453EDB">
              <w:rPr>
                <w:rFonts w:eastAsia="Times New Roman" w:cs="Times New Roman"/>
                <w:sz w:val="20"/>
                <w:szCs w:val="20"/>
              </w:rPr>
              <w:t xml:space="preserve">degree of </w:t>
            </w:r>
            <w:r w:rsidR="00065A1B" w:rsidRPr="00453EDB">
              <w:rPr>
                <w:rFonts w:eastAsia="Times New Roman" w:cs="Times New Roman"/>
                <w:sz w:val="20"/>
                <w:szCs w:val="20"/>
              </w:rPr>
              <w:t>disability</w:t>
            </w:r>
            <w:bookmarkEnd w:id="193"/>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1286B8" w14:textId="4B8DFDA3" w:rsidR="00DB47F7" w:rsidRPr="00453EDB" w:rsidRDefault="00065A1B" w:rsidP="00654D4E">
            <w:pPr>
              <w:spacing w:after="0"/>
              <w:jc w:val="left"/>
              <w:rPr>
                <w:rFonts w:eastAsia="Times New Roman" w:cs="Times New Roman"/>
                <w:sz w:val="20"/>
                <w:szCs w:val="20"/>
              </w:rPr>
            </w:pPr>
            <w:bookmarkStart w:id="194" w:name="_Toc481676926"/>
            <w:bookmarkStart w:id="195" w:name="_Toc481676493"/>
            <w:bookmarkStart w:id="196" w:name="_Toc481677056"/>
            <w:bookmarkEnd w:id="194"/>
            <w:bookmarkEnd w:id="195"/>
            <w:r w:rsidRPr="00453EDB">
              <w:rPr>
                <w:rFonts w:eastAsia="Times New Roman" w:cs="Times New Roman"/>
                <w:sz w:val="20"/>
                <w:szCs w:val="20"/>
              </w:rPr>
              <w:t>€</w:t>
            </w:r>
            <w:r w:rsidR="00DB47F7" w:rsidRPr="00453EDB">
              <w:rPr>
                <w:rFonts w:eastAsia="Times New Roman" w:cs="Times New Roman"/>
                <w:sz w:val="20"/>
                <w:szCs w:val="20"/>
              </w:rPr>
              <w:t>225 </w:t>
            </w:r>
            <w:bookmarkEnd w:id="196"/>
          </w:p>
        </w:tc>
      </w:tr>
      <w:tr w:rsidR="00DB47F7" w:rsidRPr="00453EDB" w14:paraId="3025DEA9" w14:textId="77777777" w:rsidTr="00654D4E">
        <w:trPr>
          <w:jc w:val="center"/>
        </w:trPr>
        <w:tc>
          <w:tcPr>
            <w:tcW w:w="9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36AE2D" w14:textId="77777777" w:rsidR="00DB47F7" w:rsidRPr="00453EDB" w:rsidRDefault="00DB47F7" w:rsidP="00710453">
            <w:pPr>
              <w:spacing w:after="120"/>
              <w:jc w:val="left"/>
              <w:rPr>
                <w:rFonts w:eastAsia="Times New Roman" w:cs="Times New Roman"/>
                <w:sz w:val="20"/>
                <w:szCs w:val="20"/>
              </w:rPr>
            </w:pPr>
            <w:bookmarkStart w:id="197" w:name="_Toc481676927"/>
            <w:bookmarkStart w:id="198" w:name="_Toc481676494"/>
            <w:bookmarkEnd w:id="197"/>
            <w:bookmarkEnd w:id="198"/>
            <w:r w:rsidRPr="00453EDB">
              <w:rPr>
                <w:rFonts w:eastAsia="Times New Roman" w:cs="Times New Roman"/>
                <w:b/>
                <w:bCs/>
                <w:sz w:val="20"/>
                <w:szCs w:val="20"/>
              </w:rPr>
              <w:t xml:space="preserve">Children of Civil Invalids of War after Death of </w:t>
            </w:r>
            <w:bookmarkStart w:id="199" w:name="_GoBack"/>
            <w:r w:rsidRPr="00453EDB">
              <w:rPr>
                <w:rFonts w:eastAsia="Times New Roman" w:cs="Times New Roman"/>
                <w:b/>
                <w:bCs/>
                <w:sz w:val="20"/>
                <w:szCs w:val="20"/>
              </w:rPr>
              <w:t>Invalids</w:t>
            </w:r>
            <w:bookmarkEnd w:id="199"/>
          </w:p>
        </w:tc>
        <w:tc>
          <w:tcPr>
            <w:tcW w:w="22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C4B83B" w14:textId="77777777" w:rsidR="00DB47F7" w:rsidRPr="00453EDB" w:rsidRDefault="00DB47F7" w:rsidP="00710453">
            <w:pPr>
              <w:spacing w:after="120"/>
              <w:jc w:val="left"/>
              <w:rPr>
                <w:rFonts w:eastAsia="Times New Roman" w:cs="Times New Roman"/>
                <w:sz w:val="20"/>
                <w:szCs w:val="20"/>
              </w:rPr>
            </w:pPr>
            <w:r w:rsidRPr="00453EDB">
              <w:rPr>
                <w:rFonts w:eastAsia="Times New Roman" w:cs="Times New Roman"/>
                <w:sz w:val="20"/>
                <w:szCs w:val="20"/>
              </w:rPr>
              <w:t> </w:t>
            </w:r>
          </w:p>
        </w:tc>
        <w:tc>
          <w:tcPr>
            <w:tcW w:w="18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DC9F01" w14:textId="0AB6FB5C" w:rsidR="00DB47F7" w:rsidRPr="00453EDB" w:rsidRDefault="00DB47F7" w:rsidP="00710453">
            <w:pPr>
              <w:spacing w:after="120"/>
              <w:jc w:val="left"/>
              <w:rPr>
                <w:rFonts w:eastAsia="Times New Roman" w:cs="Times New Roman"/>
                <w:sz w:val="20"/>
                <w:szCs w:val="20"/>
              </w:rPr>
            </w:pPr>
            <w:bookmarkStart w:id="200" w:name="_Toc481676928"/>
            <w:bookmarkStart w:id="201" w:name="_Toc481676495"/>
            <w:bookmarkStart w:id="202" w:name="_Toc481677058"/>
            <w:bookmarkEnd w:id="200"/>
            <w:bookmarkEnd w:id="201"/>
            <w:r w:rsidRPr="00453EDB">
              <w:rPr>
                <w:rFonts w:eastAsia="Times New Roman" w:cs="Times New Roman"/>
                <w:sz w:val="20"/>
                <w:szCs w:val="20"/>
              </w:rPr>
              <w:t>Invalid with</w:t>
            </w:r>
            <w:r w:rsidR="004E6D08">
              <w:rPr>
                <w:rFonts w:eastAsia="Times New Roman" w:cs="Times New Roman"/>
                <w:sz w:val="20"/>
                <w:szCs w:val="20"/>
              </w:rPr>
              <w:t xml:space="preserve"> </w:t>
            </w:r>
            <w:r w:rsidR="00065A1B" w:rsidRPr="00453EDB">
              <w:rPr>
                <w:rFonts w:eastAsia="Times New Roman" w:cs="Times New Roman"/>
                <w:sz w:val="20"/>
                <w:szCs w:val="20"/>
              </w:rPr>
              <w:t>over 80%</w:t>
            </w:r>
            <w:r w:rsidR="00065A1B">
              <w:rPr>
                <w:rFonts w:eastAsia="Times New Roman" w:cs="Times New Roman"/>
                <w:sz w:val="20"/>
                <w:szCs w:val="20"/>
              </w:rPr>
              <w:t xml:space="preserve"> </w:t>
            </w:r>
            <w:r w:rsidRPr="00453EDB">
              <w:rPr>
                <w:rFonts w:eastAsia="Times New Roman" w:cs="Times New Roman"/>
                <w:sz w:val="20"/>
                <w:szCs w:val="20"/>
              </w:rPr>
              <w:t xml:space="preserve">physical impairment: </w:t>
            </w:r>
            <w:r w:rsidR="00065A1B" w:rsidRPr="00453EDB">
              <w:rPr>
                <w:rFonts w:eastAsia="Times New Roman" w:cs="Times New Roman"/>
                <w:sz w:val="20"/>
                <w:szCs w:val="20"/>
              </w:rPr>
              <w:t>€</w:t>
            </w:r>
            <w:r w:rsidRPr="00453EDB">
              <w:rPr>
                <w:rFonts w:eastAsia="Times New Roman" w:cs="Times New Roman"/>
                <w:sz w:val="20"/>
                <w:szCs w:val="20"/>
              </w:rPr>
              <w:t xml:space="preserve">123.25 </w:t>
            </w:r>
            <w:bookmarkEnd w:id="202"/>
          </w:p>
          <w:p w14:paraId="05CCAEAD" w14:textId="184D3B0E" w:rsidR="00DB47F7" w:rsidRPr="00453EDB" w:rsidRDefault="00DB47F7" w:rsidP="00710453">
            <w:pPr>
              <w:spacing w:after="120"/>
              <w:jc w:val="left"/>
              <w:rPr>
                <w:rFonts w:eastAsia="Times New Roman" w:cs="Times New Roman"/>
                <w:sz w:val="20"/>
                <w:szCs w:val="20"/>
              </w:rPr>
            </w:pPr>
            <w:bookmarkStart w:id="203" w:name="_Toc481676929"/>
            <w:bookmarkStart w:id="204" w:name="_Toc481676496"/>
            <w:bookmarkStart w:id="205" w:name="_Toc481677059"/>
            <w:bookmarkEnd w:id="203"/>
            <w:bookmarkEnd w:id="204"/>
            <w:r w:rsidRPr="00453EDB">
              <w:rPr>
                <w:rFonts w:eastAsia="Times New Roman" w:cs="Times New Roman"/>
                <w:sz w:val="20"/>
                <w:szCs w:val="20"/>
              </w:rPr>
              <w:t>Invalid with</w:t>
            </w:r>
            <w:r w:rsidR="004E6D08">
              <w:rPr>
                <w:rFonts w:eastAsia="Times New Roman" w:cs="Times New Roman"/>
                <w:sz w:val="20"/>
                <w:szCs w:val="20"/>
              </w:rPr>
              <w:t xml:space="preserve"> </w:t>
            </w:r>
            <w:r w:rsidR="00065A1B" w:rsidRPr="00453EDB">
              <w:rPr>
                <w:rFonts w:eastAsia="Times New Roman" w:cs="Times New Roman"/>
                <w:sz w:val="20"/>
                <w:szCs w:val="20"/>
              </w:rPr>
              <w:t>61</w:t>
            </w:r>
            <w:r w:rsidR="00065A1B">
              <w:rPr>
                <w:rFonts w:eastAsia="Times New Roman" w:cs="Times New Roman"/>
                <w:sz w:val="20"/>
                <w:szCs w:val="20"/>
              </w:rPr>
              <w:t>–</w:t>
            </w:r>
            <w:r w:rsidR="00065A1B" w:rsidRPr="00453EDB">
              <w:rPr>
                <w:rFonts w:eastAsia="Times New Roman" w:cs="Times New Roman"/>
                <w:sz w:val="20"/>
                <w:szCs w:val="20"/>
              </w:rPr>
              <w:t>80%</w:t>
            </w:r>
            <w:r w:rsidR="00065A1B">
              <w:rPr>
                <w:rFonts w:eastAsia="Times New Roman" w:cs="Times New Roman"/>
                <w:sz w:val="20"/>
                <w:szCs w:val="20"/>
              </w:rPr>
              <w:t xml:space="preserve"> </w:t>
            </w:r>
            <w:r w:rsidRPr="00453EDB">
              <w:rPr>
                <w:rFonts w:eastAsia="Times New Roman" w:cs="Times New Roman"/>
                <w:sz w:val="20"/>
                <w:szCs w:val="20"/>
              </w:rPr>
              <w:t xml:space="preserve">physical injury: </w:t>
            </w:r>
            <w:r w:rsidR="00065A1B" w:rsidRPr="00453EDB">
              <w:rPr>
                <w:rFonts w:eastAsia="Times New Roman" w:cs="Times New Roman"/>
                <w:sz w:val="20"/>
                <w:szCs w:val="20"/>
              </w:rPr>
              <w:t>€</w:t>
            </w:r>
            <w:r w:rsidRPr="00453EDB">
              <w:rPr>
                <w:rFonts w:eastAsia="Times New Roman" w:cs="Times New Roman"/>
                <w:sz w:val="20"/>
                <w:szCs w:val="20"/>
              </w:rPr>
              <w:t xml:space="preserve">110.25 </w:t>
            </w:r>
            <w:bookmarkEnd w:id="205"/>
          </w:p>
          <w:p w14:paraId="1855D700" w14:textId="5A857A40" w:rsidR="00DB47F7" w:rsidRPr="00453EDB" w:rsidRDefault="00DB47F7" w:rsidP="004E6D08">
            <w:pPr>
              <w:spacing w:after="0"/>
              <w:jc w:val="left"/>
              <w:rPr>
                <w:rFonts w:eastAsia="Times New Roman" w:cs="Times New Roman"/>
                <w:sz w:val="20"/>
                <w:szCs w:val="20"/>
              </w:rPr>
            </w:pPr>
            <w:bookmarkStart w:id="206" w:name="_Toc481676930"/>
            <w:bookmarkStart w:id="207" w:name="_Toc481676497"/>
            <w:bookmarkStart w:id="208" w:name="_Toc481677060"/>
            <w:bookmarkEnd w:id="206"/>
            <w:bookmarkEnd w:id="207"/>
            <w:r w:rsidRPr="00453EDB">
              <w:rPr>
                <w:rFonts w:eastAsia="Times New Roman" w:cs="Times New Roman"/>
                <w:sz w:val="20"/>
                <w:szCs w:val="20"/>
              </w:rPr>
              <w:t xml:space="preserve">Invalid with </w:t>
            </w:r>
            <w:r w:rsidR="00065A1B" w:rsidRPr="00453EDB">
              <w:rPr>
                <w:rFonts w:eastAsia="Times New Roman" w:cs="Times New Roman"/>
                <w:sz w:val="20"/>
                <w:szCs w:val="20"/>
              </w:rPr>
              <w:t>40</w:t>
            </w:r>
            <w:r w:rsidR="00065A1B">
              <w:rPr>
                <w:rFonts w:eastAsia="Times New Roman" w:cs="Times New Roman"/>
                <w:sz w:val="20"/>
                <w:szCs w:val="20"/>
              </w:rPr>
              <w:t>–</w:t>
            </w:r>
            <w:r w:rsidR="00065A1B" w:rsidRPr="00453EDB">
              <w:rPr>
                <w:rFonts w:eastAsia="Times New Roman" w:cs="Times New Roman"/>
                <w:sz w:val="20"/>
                <w:szCs w:val="20"/>
              </w:rPr>
              <w:t>60%</w:t>
            </w:r>
            <w:r w:rsidR="00065A1B">
              <w:rPr>
                <w:rFonts w:eastAsia="Times New Roman" w:cs="Times New Roman"/>
                <w:sz w:val="20"/>
                <w:szCs w:val="20"/>
              </w:rPr>
              <w:t xml:space="preserve"> </w:t>
            </w:r>
            <w:r w:rsidRPr="00453EDB">
              <w:rPr>
                <w:rFonts w:eastAsia="Times New Roman" w:cs="Times New Roman"/>
                <w:sz w:val="20"/>
                <w:szCs w:val="20"/>
              </w:rPr>
              <w:t xml:space="preserve">bodily injury: </w:t>
            </w:r>
            <w:r w:rsidR="00065A1B" w:rsidRPr="00453EDB">
              <w:rPr>
                <w:rFonts w:eastAsia="Times New Roman" w:cs="Times New Roman"/>
                <w:sz w:val="20"/>
                <w:szCs w:val="20"/>
              </w:rPr>
              <w:t>€</w:t>
            </w:r>
            <w:r w:rsidRPr="00453EDB">
              <w:rPr>
                <w:rFonts w:eastAsia="Times New Roman" w:cs="Times New Roman"/>
                <w:sz w:val="20"/>
                <w:szCs w:val="20"/>
              </w:rPr>
              <w:t xml:space="preserve">97.25 </w:t>
            </w:r>
            <w:bookmarkEnd w:id="208"/>
          </w:p>
        </w:tc>
      </w:tr>
    </w:tbl>
    <w:p w14:paraId="37DBD40F" w14:textId="7457E37C" w:rsidR="00DB47F7" w:rsidRPr="003A27A8" w:rsidRDefault="00DB47F7" w:rsidP="004E6D08">
      <w:pPr>
        <w:spacing w:after="120"/>
        <w:jc w:val="left"/>
        <w:rPr>
          <w:rFonts w:eastAsia="Times New Roman" w:cs="Times New Roman"/>
          <w:color w:val="000000"/>
          <w:sz w:val="28"/>
          <w:szCs w:val="27"/>
        </w:rPr>
      </w:pPr>
      <w:bookmarkStart w:id="209" w:name="_Toc481676498"/>
      <w:bookmarkStart w:id="210" w:name="_Toc481676931"/>
      <w:bookmarkStart w:id="211" w:name="_Toc481677061"/>
      <w:bookmarkEnd w:id="209"/>
      <w:bookmarkEnd w:id="210"/>
      <w:r w:rsidRPr="00453EDB">
        <w:rPr>
          <w:rFonts w:eastAsia="Times New Roman" w:cs="Times New Roman"/>
          <w:i/>
          <w:color w:val="000000"/>
          <w:sz w:val="20"/>
          <w:szCs w:val="18"/>
        </w:rPr>
        <w:t>Source</w:t>
      </w:r>
      <w:r w:rsidRPr="003A27A8">
        <w:rPr>
          <w:rFonts w:eastAsia="Times New Roman" w:cs="Times New Roman"/>
          <w:color w:val="000000"/>
          <w:sz w:val="20"/>
          <w:szCs w:val="18"/>
        </w:rPr>
        <w:t>: Legislative Legislation</w:t>
      </w:r>
      <w:r w:rsidR="004E6D08">
        <w:rPr>
          <w:rFonts w:eastAsia="Times New Roman" w:cs="Times New Roman"/>
          <w:color w:val="000000"/>
          <w:sz w:val="28"/>
          <w:szCs w:val="27"/>
        </w:rPr>
        <w:t xml:space="preserve"> </w:t>
      </w:r>
      <w:r w:rsidRPr="003A27A8">
        <w:rPr>
          <w:rFonts w:eastAsia="Times New Roman" w:cs="Times New Roman"/>
          <w:color w:val="000000"/>
          <w:sz w:val="20"/>
          <w:szCs w:val="18"/>
        </w:rPr>
        <w:t>for each Scheme and Social Statistics 2015</w:t>
      </w:r>
      <w:r w:rsidR="00453EDB">
        <w:rPr>
          <w:rFonts w:eastAsia="Times New Roman" w:cs="Times New Roman"/>
          <w:color w:val="000000"/>
          <w:sz w:val="20"/>
          <w:szCs w:val="18"/>
        </w:rPr>
        <w:t>,</w:t>
      </w:r>
      <w:r w:rsidRPr="003A27A8">
        <w:rPr>
          <w:rFonts w:eastAsia="Times New Roman" w:cs="Times New Roman"/>
          <w:color w:val="000000"/>
          <w:sz w:val="20"/>
          <w:szCs w:val="18"/>
        </w:rPr>
        <w:t xml:space="preserve"> KAS 2016</w:t>
      </w:r>
      <w:r w:rsidR="00453EDB">
        <w:rPr>
          <w:rFonts w:eastAsia="Times New Roman" w:cs="Times New Roman"/>
          <w:color w:val="000000"/>
          <w:sz w:val="20"/>
          <w:szCs w:val="18"/>
        </w:rPr>
        <w:t>.</w:t>
      </w:r>
      <w:bookmarkEnd w:id="211"/>
    </w:p>
    <w:sectPr w:rsidR="00DB47F7" w:rsidRPr="003A27A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6E65" w14:textId="77777777" w:rsidR="005206FD" w:rsidRDefault="005206FD" w:rsidP="004E3747">
      <w:pPr>
        <w:spacing w:after="0"/>
      </w:pPr>
      <w:r>
        <w:separator/>
      </w:r>
    </w:p>
  </w:endnote>
  <w:endnote w:type="continuationSeparator" w:id="0">
    <w:p w14:paraId="4D3D17E8" w14:textId="77777777" w:rsidR="005206FD" w:rsidRDefault="005206FD" w:rsidP="004E37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3330" w14:textId="77777777" w:rsidR="00376793" w:rsidRDefault="0037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203351"/>
      <w:docPartObj>
        <w:docPartGallery w:val="Page Numbers (Bottom of Page)"/>
        <w:docPartUnique/>
      </w:docPartObj>
    </w:sdtPr>
    <w:sdtEndPr>
      <w:rPr>
        <w:noProof/>
      </w:rPr>
    </w:sdtEndPr>
    <w:sdtContent>
      <w:p w14:paraId="007936FA" w14:textId="37C1F83E" w:rsidR="00CC6E5E" w:rsidRDefault="00376793" w:rsidP="00376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8E28" w14:textId="77777777" w:rsidR="00376793" w:rsidRDefault="0037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54EF" w14:textId="77777777" w:rsidR="005206FD" w:rsidRDefault="005206FD" w:rsidP="004E3747">
      <w:pPr>
        <w:spacing w:after="0"/>
      </w:pPr>
      <w:r>
        <w:separator/>
      </w:r>
    </w:p>
  </w:footnote>
  <w:footnote w:type="continuationSeparator" w:id="0">
    <w:p w14:paraId="119DDA01" w14:textId="77777777" w:rsidR="005206FD" w:rsidRDefault="005206FD" w:rsidP="004E3747">
      <w:pPr>
        <w:spacing w:after="0"/>
      </w:pPr>
      <w:r>
        <w:continuationSeparator/>
      </w:r>
    </w:p>
  </w:footnote>
  <w:footnote w:id="1">
    <w:p w14:paraId="084FCB49" w14:textId="789BD80C" w:rsidR="00AF617F" w:rsidRPr="00AF617F" w:rsidRDefault="00AF617F" w:rsidP="00AF617F">
      <w:pPr>
        <w:pStyle w:val="FootnoteText"/>
        <w:rPr>
          <w:rFonts w:cstheme="minorHAnsi"/>
          <w:lang w:val="hr-HR"/>
        </w:rPr>
      </w:pPr>
      <w:r w:rsidRPr="00AF617F">
        <w:rPr>
          <w:rStyle w:val="FootnoteReference"/>
          <w:rFonts w:cstheme="minorHAnsi"/>
        </w:rPr>
        <w:footnoteRef/>
      </w:r>
      <w:r w:rsidRPr="00AF617F">
        <w:rPr>
          <w:rFonts w:cstheme="minorHAnsi"/>
        </w:rPr>
        <w:t xml:space="preserve"> </w:t>
      </w:r>
      <w:r w:rsidRPr="00AF617F">
        <w:rPr>
          <w:rFonts w:cstheme="minorHAnsi"/>
          <w:lang w:val="hr-HR"/>
        </w:rPr>
        <w:t>This note</w:t>
      </w:r>
      <w:r w:rsidR="002B4B62">
        <w:rPr>
          <w:rFonts w:cstheme="minorHAnsi"/>
          <w:lang w:val="hr-HR"/>
        </w:rPr>
        <w:t xml:space="preserve"> was</w:t>
      </w:r>
      <w:r w:rsidRPr="00AF617F">
        <w:rPr>
          <w:rFonts w:cstheme="minorHAnsi"/>
          <w:lang w:val="hr-HR"/>
        </w:rPr>
        <w:t xml:space="preserve"> prepared under World Bank’s </w:t>
      </w:r>
      <w:r w:rsidRPr="00AF617F">
        <w:rPr>
          <w:rFonts w:cstheme="minorHAnsi"/>
          <w:shd w:val="clear" w:color="auto" w:fill="FFFFFF"/>
        </w:rPr>
        <w:t xml:space="preserve">Advisory Services and Analytics (ASA) activity for </w:t>
      </w:r>
      <w:r w:rsidRPr="00AF617F">
        <w:rPr>
          <w:rFonts w:cstheme="minorHAnsi"/>
          <w:lang w:val="hr-HR"/>
        </w:rPr>
        <w:t xml:space="preserve">Western Balkans Pensions </w:t>
      </w:r>
      <w:r w:rsidRPr="00AF617F">
        <w:rPr>
          <w:rFonts w:cstheme="minorHAnsi"/>
          <w:shd w:val="clear" w:color="auto" w:fill="FFFFFF"/>
        </w:rPr>
        <w:t xml:space="preserve">in Q1 2020. It does not capture the developments during and after </w:t>
      </w:r>
      <w:r w:rsidR="009C30F0">
        <w:rPr>
          <w:rFonts w:cstheme="minorHAnsi"/>
          <w:shd w:val="clear" w:color="auto" w:fill="FFFFFF"/>
        </w:rPr>
        <w:t xml:space="preserve">the </w:t>
      </w:r>
      <w:r w:rsidRPr="00AF617F">
        <w:rPr>
          <w:rFonts w:cstheme="minorHAnsi"/>
          <w:shd w:val="clear" w:color="auto" w:fill="FFFFFF"/>
        </w:rPr>
        <w:t xml:space="preserve">global Covid-19 pandemic and its potential impact on the pension system in </w:t>
      </w:r>
      <w:r>
        <w:rPr>
          <w:rFonts w:cstheme="minorHAnsi"/>
          <w:shd w:val="clear" w:color="auto" w:fill="FFFFFF"/>
        </w:rPr>
        <w:t>Kosovo</w:t>
      </w:r>
      <w:r w:rsidRPr="00AF617F">
        <w:rPr>
          <w:rFonts w:cstheme="minorHAnsi"/>
          <w:shd w:val="clear" w:color="auto" w:fill="FFFFFF"/>
        </w:rPr>
        <w:t xml:space="preserve">. Analysis of the effects of Covid-19 on pensions in </w:t>
      </w:r>
      <w:r>
        <w:rPr>
          <w:rFonts w:cstheme="minorHAnsi"/>
          <w:shd w:val="clear" w:color="auto" w:fill="FFFFFF"/>
        </w:rPr>
        <w:t>Kosovo</w:t>
      </w:r>
      <w:r w:rsidRPr="00AF617F">
        <w:rPr>
          <w:rFonts w:cstheme="minorHAnsi"/>
          <w:shd w:val="clear" w:color="auto" w:fill="FFFFFF"/>
        </w:rPr>
        <w:t xml:space="preserve">, policy responses undertaken by the authorities, and further policy options will be carried through follow-up ASA for Western Balkans and other World Bank programs and activities. </w:t>
      </w:r>
    </w:p>
  </w:footnote>
  <w:footnote w:id="2">
    <w:p w14:paraId="56163E1A" w14:textId="77777777" w:rsidR="004E3747" w:rsidRPr="001347EB" w:rsidRDefault="004E3747" w:rsidP="00AF617F">
      <w:pPr>
        <w:pStyle w:val="FootnoteText"/>
        <w:rPr>
          <w:rFonts w:cs="Times New Roman"/>
        </w:rPr>
      </w:pPr>
      <w:r w:rsidRPr="00AF617F">
        <w:rPr>
          <w:rStyle w:val="FootnoteReference"/>
          <w:rFonts w:cstheme="minorHAnsi"/>
        </w:rPr>
        <w:footnoteRef/>
      </w:r>
      <w:r w:rsidRPr="00AF617F">
        <w:rPr>
          <w:rFonts w:cstheme="minorHAnsi"/>
        </w:rPr>
        <w:t xml:space="preserve"> See Annex 1 for a description of all pension benefits currently existing in Kosovo.</w:t>
      </w:r>
      <w:r w:rsidRPr="001347EB">
        <w:rPr>
          <w:rFonts w:cs="Times New Roman"/>
        </w:rPr>
        <w:t xml:space="preserve"> </w:t>
      </w:r>
    </w:p>
  </w:footnote>
  <w:footnote w:id="3">
    <w:p w14:paraId="7DA299B2" w14:textId="56A9E5AD" w:rsidR="002875CE" w:rsidRDefault="002875CE">
      <w:pPr>
        <w:pStyle w:val="FootnoteText"/>
      </w:pPr>
      <w:r>
        <w:rPr>
          <w:rStyle w:val="FootnoteReference"/>
        </w:rPr>
        <w:footnoteRef/>
      </w:r>
      <w:r>
        <w:t xml:space="preserve"> Final figures for 2019 are not yet available. </w:t>
      </w:r>
    </w:p>
  </w:footnote>
  <w:footnote w:id="4">
    <w:p w14:paraId="493C4256" w14:textId="3C46A0E6" w:rsidR="00923057" w:rsidRDefault="00923057">
      <w:pPr>
        <w:pStyle w:val="FootnoteText"/>
      </w:pPr>
      <w:r>
        <w:rPr>
          <w:rStyle w:val="FootnoteReference"/>
        </w:rPr>
        <w:footnoteRef/>
      </w:r>
      <w:r>
        <w:t xml:space="preserve"> Since KPST records the withdrawal of the full account balance at</w:t>
      </w:r>
      <w:r w:rsidR="00E01850">
        <w:t xml:space="preserve"> the</w:t>
      </w:r>
      <w:r>
        <w:t xml:space="preserve"> time of retirement</w:t>
      </w:r>
      <w:r w:rsidR="00ED4974">
        <w:t xml:space="preserve">, the figure of total pension payments in a year cannot be obtained from KPST </w:t>
      </w:r>
      <w:r w:rsidR="00D35594">
        <w:t xml:space="preserve">financial accounts. </w:t>
      </w:r>
    </w:p>
  </w:footnote>
  <w:footnote w:id="5">
    <w:p w14:paraId="4F176F81" w14:textId="0DBC4CF5" w:rsidR="00607B2C" w:rsidRPr="00607B2C" w:rsidRDefault="00607B2C">
      <w:pPr>
        <w:pStyle w:val="FootnoteText"/>
        <w:rPr>
          <w:rFonts w:cs="Times New Roman"/>
        </w:rPr>
      </w:pPr>
      <w:r w:rsidRPr="00607B2C">
        <w:rPr>
          <w:rStyle w:val="FootnoteReference"/>
          <w:rFonts w:cs="Times New Roman"/>
        </w:rPr>
        <w:footnoteRef/>
      </w:r>
      <w:r w:rsidRPr="00607B2C">
        <w:rPr>
          <w:rFonts w:cs="Times New Roman"/>
        </w:rPr>
        <w:t xml:space="preserve"> Alternatively, this benefit could be financed by general revenue as a co</w:t>
      </w:r>
      <w:r>
        <w:rPr>
          <w:rFonts w:cs="Times New Roman"/>
        </w:rPr>
        <w:t xml:space="preserve">mpensatory measure to the clawback of basic pensions, such that the longevity risk would be borne by the State instead of the individual. </w:t>
      </w:r>
    </w:p>
  </w:footnote>
  <w:footnote w:id="6">
    <w:p w14:paraId="7F2B3FC7" w14:textId="77777777" w:rsidR="00DB47F7" w:rsidRPr="003A27A8" w:rsidRDefault="00DB47F7" w:rsidP="00DB47F7">
      <w:pPr>
        <w:pStyle w:val="FootnoteText"/>
        <w:rPr>
          <w:rFonts w:cs="Times New Roman"/>
        </w:rPr>
      </w:pPr>
      <w:r w:rsidRPr="003A27A8">
        <w:rPr>
          <w:rStyle w:val="FootnoteReference"/>
          <w:rFonts w:cs="Times New Roman"/>
        </w:rPr>
        <w:footnoteRef/>
      </w:r>
      <w:r w:rsidRPr="003A27A8">
        <w:rPr>
          <w:rFonts w:cs="Times New Roman"/>
        </w:rPr>
        <w:t xml:space="preserve"> Increased to €90 in 2019.</w:t>
      </w:r>
    </w:p>
  </w:footnote>
  <w:footnote w:id="7">
    <w:p w14:paraId="393AAE01" w14:textId="0BE10B94" w:rsidR="00DB47F7" w:rsidRPr="003A27A8" w:rsidRDefault="00DB47F7" w:rsidP="00DB47F7">
      <w:pPr>
        <w:pStyle w:val="FootnoteText"/>
        <w:rPr>
          <w:rFonts w:cs="Times New Roman"/>
        </w:rPr>
      </w:pPr>
      <w:r w:rsidRPr="003A27A8">
        <w:rPr>
          <w:rStyle w:val="FootnoteReference"/>
          <w:rFonts w:cs="Times New Roman"/>
        </w:rPr>
        <w:footnoteRef/>
      </w:r>
      <w:r w:rsidRPr="003A27A8">
        <w:rPr>
          <w:rFonts w:cs="Times New Roman"/>
        </w:rPr>
        <w:t xml:space="preserve"> Increased by 15</w:t>
      </w:r>
      <w:r w:rsidR="00654D4E">
        <w:rPr>
          <w:rFonts w:cs="Times New Roman"/>
        </w:rPr>
        <w:t xml:space="preserve"> percent</w:t>
      </w:r>
      <w:r w:rsidRPr="003A27A8">
        <w:rPr>
          <w:rFonts w:cs="Times New Roman"/>
        </w:rPr>
        <w:t xml:space="preserve"> in 2019.</w:t>
      </w:r>
    </w:p>
  </w:footnote>
  <w:footnote w:id="8">
    <w:p w14:paraId="1B3227D2" w14:textId="5385E58F" w:rsidR="00DB47F7" w:rsidRDefault="00DB47F7" w:rsidP="00DB47F7">
      <w:pPr>
        <w:pStyle w:val="FootnoteText"/>
      </w:pPr>
      <w:r w:rsidRPr="003A27A8">
        <w:rPr>
          <w:rStyle w:val="FootnoteReference"/>
          <w:rFonts w:cs="Times New Roman"/>
        </w:rPr>
        <w:footnoteRef/>
      </w:r>
      <w:r w:rsidRPr="003A27A8">
        <w:rPr>
          <w:rFonts w:cs="Times New Roman"/>
        </w:rPr>
        <w:t xml:space="preserve"> Increased by 20</w:t>
      </w:r>
      <w:r w:rsidR="00654D4E">
        <w:rPr>
          <w:rFonts w:cs="Times New Roman"/>
        </w:rPr>
        <w:t xml:space="preserve"> percent</w:t>
      </w:r>
      <w:r w:rsidRPr="003A27A8">
        <w:rPr>
          <w:rFonts w:cs="Times New Roman"/>
        </w:rPr>
        <w:t xml:space="preserve"> 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D137" w14:textId="77777777" w:rsidR="00376793" w:rsidRDefault="00376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3421" w14:textId="77777777" w:rsidR="00376793" w:rsidRDefault="0037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EA34" w14:textId="77777777" w:rsidR="00376793" w:rsidRDefault="00376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205F"/>
    <w:multiLevelType w:val="multilevel"/>
    <w:tmpl w:val="3B70B8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6DE1B46"/>
    <w:multiLevelType w:val="hybridMultilevel"/>
    <w:tmpl w:val="F4F8574A"/>
    <w:lvl w:ilvl="0" w:tplc="78689AFA">
      <w:start w:val="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4590E"/>
    <w:multiLevelType w:val="hybridMultilevel"/>
    <w:tmpl w:val="888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C1B6C"/>
    <w:multiLevelType w:val="hybridMultilevel"/>
    <w:tmpl w:val="EA94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B36BB"/>
    <w:multiLevelType w:val="hybridMultilevel"/>
    <w:tmpl w:val="BCB0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C664D0"/>
    <w:multiLevelType w:val="hybridMultilevel"/>
    <w:tmpl w:val="8070A868"/>
    <w:lvl w:ilvl="0" w:tplc="8E18D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F4F00"/>
    <w:multiLevelType w:val="multilevel"/>
    <w:tmpl w:val="DEAC1AC0"/>
    <w:lvl w:ilvl="0">
      <w:start w:val="1"/>
      <w:numFmt w:val="decimal"/>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47"/>
    <w:rsid w:val="00001788"/>
    <w:rsid w:val="00003BAD"/>
    <w:rsid w:val="00015D56"/>
    <w:rsid w:val="00021AB5"/>
    <w:rsid w:val="000354C4"/>
    <w:rsid w:val="00036C19"/>
    <w:rsid w:val="00040B20"/>
    <w:rsid w:val="00045D6A"/>
    <w:rsid w:val="00065A1B"/>
    <w:rsid w:val="000672CC"/>
    <w:rsid w:val="00081041"/>
    <w:rsid w:val="0008299C"/>
    <w:rsid w:val="0009227E"/>
    <w:rsid w:val="000A300B"/>
    <w:rsid w:val="000C5717"/>
    <w:rsid w:val="000D2A43"/>
    <w:rsid w:val="000D60A6"/>
    <w:rsid w:val="000F487A"/>
    <w:rsid w:val="00100264"/>
    <w:rsid w:val="00105DCC"/>
    <w:rsid w:val="00107F4C"/>
    <w:rsid w:val="00110BB0"/>
    <w:rsid w:val="00122A8B"/>
    <w:rsid w:val="00126AE4"/>
    <w:rsid w:val="00127E9B"/>
    <w:rsid w:val="00132EFA"/>
    <w:rsid w:val="00133A99"/>
    <w:rsid w:val="0013434F"/>
    <w:rsid w:val="001347EB"/>
    <w:rsid w:val="001509A3"/>
    <w:rsid w:val="0017221E"/>
    <w:rsid w:val="00177655"/>
    <w:rsid w:val="00180953"/>
    <w:rsid w:val="00182DA3"/>
    <w:rsid w:val="00183E65"/>
    <w:rsid w:val="00190E74"/>
    <w:rsid w:val="001B0057"/>
    <w:rsid w:val="001D248C"/>
    <w:rsid w:val="001D645A"/>
    <w:rsid w:val="001D746A"/>
    <w:rsid w:val="001D76CC"/>
    <w:rsid w:val="001E03C6"/>
    <w:rsid w:val="001E0530"/>
    <w:rsid w:val="001E3211"/>
    <w:rsid w:val="001F6555"/>
    <w:rsid w:val="00205625"/>
    <w:rsid w:val="00206C4F"/>
    <w:rsid w:val="00210A73"/>
    <w:rsid w:val="00226E97"/>
    <w:rsid w:val="0023150A"/>
    <w:rsid w:val="00234CEB"/>
    <w:rsid w:val="00243A1D"/>
    <w:rsid w:val="00247392"/>
    <w:rsid w:val="00251895"/>
    <w:rsid w:val="00252641"/>
    <w:rsid w:val="0027628F"/>
    <w:rsid w:val="00284806"/>
    <w:rsid w:val="002875CE"/>
    <w:rsid w:val="00293ACE"/>
    <w:rsid w:val="002B4B62"/>
    <w:rsid w:val="002B5CE2"/>
    <w:rsid w:val="002C17A9"/>
    <w:rsid w:val="002C2C53"/>
    <w:rsid w:val="002C7CB0"/>
    <w:rsid w:val="002D271E"/>
    <w:rsid w:val="002F2FD2"/>
    <w:rsid w:val="003014AF"/>
    <w:rsid w:val="00314768"/>
    <w:rsid w:val="003336F3"/>
    <w:rsid w:val="00335B17"/>
    <w:rsid w:val="00335E0E"/>
    <w:rsid w:val="00351F59"/>
    <w:rsid w:val="00353E27"/>
    <w:rsid w:val="003610D8"/>
    <w:rsid w:val="0036370E"/>
    <w:rsid w:val="00375726"/>
    <w:rsid w:val="00376793"/>
    <w:rsid w:val="00383641"/>
    <w:rsid w:val="003862A5"/>
    <w:rsid w:val="0039090A"/>
    <w:rsid w:val="003A2190"/>
    <w:rsid w:val="003A2BAE"/>
    <w:rsid w:val="003A2DA6"/>
    <w:rsid w:val="003C072A"/>
    <w:rsid w:val="003C074F"/>
    <w:rsid w:val="003C5B4B"/>
    <w:rsid w:val="003C6003"/>
    <w:rsid w:val="003F1571"/>
    <w:rsid w:val="003F2A0F"/>
    <w:rsid w:val="003F5E24"/>
    <w:rsid w:val="003F5FBC"/>
    <w:rsid w:val="004066D3"/>
    <w:rsid w:val="00415C64"/>
    <w:rsid w:val="00420847"/>
    <w:rsid w:val="00442324"/>
    <w:rsid w:val="00453EDB"/>
    <w:rsid w:val="004551DA"/>
    <w:rsid w:val="004564DA"/>
    <w:rsid w:val="004655C9"/>
    <w:rsid w:val="004743F0"/>
    <w:rsid w:val="00475850"/>
    <w:rsid w:val="00475E01"/>
    <w:rsid w:val="00476163"/>
    <w:rsid w:val="0048438D"/>
    <w:rsid w:val="00485709"/>
    <w:rsid w:val="004A1306"/>
    <w:rsid w:val="004B6F11"/>
    <w:rsid w:val="004C0913"/>
    <w:rsid w:val="004E3747"/>
    <w:rsid w:val="004E6D08"/>
    <w:rsid w:val="004F44FE"/>
    <w:rsid w:val="004F6CB1"/>
    <w:rsid w:val="00504FAB"/>
    <w:rsid w:val="005206FD"/>
    <w:rsid w:val="0052244C"/>
    <w:rsid w:val="00534716"/>
    <w:rsid w:val="00553CB8"/>
    <w:rsid w:val="0059036C"/>
    <w:rsid w:val="00594574"/>
    <w:rsid w:val="00594E7B"/>
    <w:rsid w:val="005A6667"/>
    <w:rsid w:val="005B48FB"/>
    <w:rsid w:val="005C7B4E"/>
    <w:rsid w:val="005E53A7"/>
    <w:rsid w:val="005F667B"/>
    <w:rsid w:val="00602CD6"/>
    <w:rsid w:val="00605B4A"/>
    <w:rsid w:val="00607B2C"/>
    <w:rsid w:val="006128E1"/>
    <w:rsid w:val="00630A04"/>
    <w:rsid w:val="00647615"/>
    <w:rsid w:val="00654D4E"/>
    <w:rsid w:val="00656AA6"/>
    <w:rsid w:val="00661DBA"/>
    <w:rsid w:val="006623E1"/>
    <w:rsid w:val="00664303"/>
    <w:rsid w:val="006679D4"/>
    <w:rsid w:val="0067063B"/>
    <w:rsid w:val="00673A5C"/>
    <w:rsid w:val="00677EAB"/>
    <w:rsid w:val="006816D3"/>
    <w:rsid w:val="006972E0"/>
    <w:rsid w:val="006A1900"/>
    <w:rsid w:val="006A417B"/>
    <w:rsid w:val="006A4EA8"/>
    <w:rsid w:val="006C0F60"/>
    <w:rsid w:val="006C409C"/>
    <w:rsid w:val="006C5FB9"/>
    <w:rsid w:val="006C750E"/>
    <w:rsid w:val="006E014F"/>
    <w:rsid w:val="006E4E15"/>
    <w:rsid w:val="00704A29"/>
    <w:rsid w:val="00710453"/>
    <w:rsid w:val="00717930"/>
    <w:rsid w:val="00724211"/>
    <w:rsid w:val="00743540"/>
    <w:rsid w:val="0075580F"/>
    <w:rsid w:val="00757F07"/>
    <w:rsid w:val="00760DDD"/>
    <w:rsid w:val="00764D77"/>
    <w:rsid w:val="00771CC8"/>
    <w:rsid w:val="007764F2"/>
    <w:rsid w:val="00783FD3"/>
    <w:rsid w:val="00785466"/>
    <w:rsid w:val="007868FA"/>
    <w:rsid w:val="00790C2A"/>
    <w:rsid w:val="007A2CDD"/>
    <w:rsid w:val="007A32AF"/>
    <w:rsid w:val="007A7139"/>
    <w:rsid w:val="007C0504"/>
    <w:rsid w:val="007C24C2"/>
    <w:rsid w:val="007D4A2F"/>
    <w:rsid w:val="007D7205"/>
    <w:rsid w:val="007F0BF9"/>
    <w:rsid w:val="007F22E0"/>
    <w:rsid w:val="00810E4D"/>
    <w:rsid w:val="008347F9"/>
    <w:rsid w:val="0083769D"/>
    <w:rsid w:val="008461FE"/>
    <w:rsid w:val="00855D1C"/>
    <w:rsid w:val="00857661"/>
    <w:rsid w:val="00857D45"/>
    <w:rsid w:val="00863CBB"/>
    <w:rsid w:val="008723C6"/>
    <w:rsid w:val="00872FB6"/>
    <w:rsid w:val="00894BDD"/>
    <w:rsid w:val="008A11EA"/>
    <w:rsid w:val="008A6D2B"/>
    <w:rsid w:val="008B21E3"/>
    <w:rsid w:val="008B4A67"/>
    <w:rsid w:val="008B6FDC"/>
    <w:rsid w:val="008E0E14"/>
    <w:rsid w:val="008E3488"/>
    <w:rsid w:val="00915D6D"/>
    <w:rsid w:val="00923057"/>
    <w:rsid w:val="0092690A"/>
    <w:rsid w:val="00927FE1"/>
    <w:rsid w:val="009364B6"/>
    <w:rsid w:val="009475F2"/>
    <w:rsid w:val="009645B2"/>
    <w:rsid w:val="00967078"/>
    <w:rsid w:val="00971023"/>
    <w:rsid w:val="00981421"/>
    <w:rsid w:val="00982F2F"/>
    <w:rsid w:val="00984F40"/>
    <w:rsid w:val="009A2A71"/>
    <w:rsid w:val="009A66FB"/>
    <w:rsid w:val="009B4042"/>
    <w:rsid w:val="009B4E6F"/>
    <w:rsid w:val="009C30F0"/>
    <w:rsid w:val="00A01898"/>
    <w:rsid w:val="00A047A1"/>
    <w:rsid w:val="00A242D0"/>
    <w:rsid w:val="00A34657"/>
    <w:rsid w:val="00A66D7E"/>
    <w:rsid w:val="00A91127"/>
    <w:rsid w:val="00AA4DFA"/>
    <w:rsid w:val="00AB62B9"/>
    <w:rsid w:val="00AB6A87"/>
    <w:rsid w:val="00AC3778"/>
    <w:rsid w:val="00AC49A3"/>
    <w:rsid w:val="00AD0396"/>
    <w:rsid w:val="00AD7C86"/>
    <w:rsid w:val="00AE6ABB"/>
    <w:rsid w:val="00AF617F"/>
    <w:rsid w:val="00B0188F"/>
    <w:rsid w:val="00B06DF3"/>
    <w:rsid w:val="00B12478"/>
    <w:rsid w:val="00B321EA"/>
    <w:rsid w:val="00B33407"/>
    <w:rsid w:val="00B373B4"/>
    <w:rsid w:val="00B40504"/>
    <w:rsid w:val="00B50E30"/>
    <w:rsid w:val="00B53A48"/>
    <w:rsid w:val="00B56722"/>
    <w:rsid w:val="00B624F6"/>
    <w:rsid w:val="00B663C2"/>
    <w:rsid w:val="00B73720"/>
    <w:rsid w:val="00B96CCA"/>
    <w:rsid w:val="00BA1AC3"/>
    <w:rsid w:val="00BA26BE"/>
    <w:rsid w:val="00BA45B9"/>
    <w:rsid w:val="00BB1D71"/>
    <w:rsid w:val="00BB7AA1"/>
    <w:rsid w:val="00BC0D6A"/>
    <w:rsid w:val="00BC64EF"/>
    <w:rsid w:val="00BC7BA1"/>
    <w:rsid w:val="00BE20D0"/>
    <w:rsid w:val="00BE48B0"/>
    <w:rsid w:val="00BF2CC4"/>
    <w:rsid w:val="00C01E80"/>
    <w:rsid w:val="00C030D7"/>
    <w:rsid w:val="00C06E96"/>
    <w:rsid w:val="00C133D8"/>
    <w:rsid w:val="00C22C2B"/>
    <w:rsid w:val="00C57A9E"/>
    <w:rsid w:val="00C64E1C"/>
    <w:rsid w:val="00C659FC"/>
    <w:rsid w:val="00C66B52"/>
    <w:rsid w:val="00C8780F"/>
    <w:rsid w:val="00C948B6"/>
    <w:rsid w:val="00CB4898"/>
    <w:rsid w:val="00CB4918"/>
    <w:rsid w:val="00CC6E5E"/>
    <w:rsid w:val="00CD076B"/>
    <w:rsid w:val="00CE1886"/>
    <w:rsid w:val="00CF05E3"/>
    <w:rsid w:val="00CF5D1C"/>
    <w:rsid w:val="00CF61AB"/>
    <w:rsid w:val="00D20974"/>
    <w:rsid w:val="00D35594"/>
    <w:rsid w:val="00D370C4"/>
    <w:rsid w:val="00D40993"/>
    <w:rsid w:val="00D5127F"/>
    <w:rsid w:val="00D5623C"/>
    <w:rsid w:val="00D601F2"/>
    <w:rsid w:val="00D9430C"/>
    <w:rsid w:val="00D96111"/>
    <w:rsid w:val="00DA0C3E"/>
    <w:rsid w:val="00DB47F7"/>
    <w:rsid w:val="00DB5CCD"/>
    <w:rsid w:val="00DC6E0B"/>
    <w:rsid w:val="00DD0B3E"/>
    <w:rsid w:val="00DD2F9B"/>
    <w:rsid w:val="00DD35C0"/>
    <w:rsid w:val="00DD528A"/>
    <w:rsid w:val="00DD6958"/>
    <w:rsid w:val="00DF134D"/>
    <w:rsid w:val="00DF2555"/>
    <w:rsid w:val="00DF7806"/>
    <w:rsid w:val="00E01850"/>
    <w:rsid w:val="00E06715"/>
    <w:rsid w:val="00E2685A"/>
    <w:rsid w:val="00E41A80"/>
    <w:rsid w:val="00E44712"/>
    <w:rsid w:val="00E44E9D"/>
    <w:rsid w:val="00E543BD"/>
    <w:rsid w:val="00E54EF9"/>
    <w:rsid w:val="00E7654A"/>
    <w:rsid w:val="00E80DD5"/>
    <w:rsid w:val="00EA616D"/>
    <w:rsid w:val="00EA6B7F"/>
    <w:rsid w:val="00EA7FC3"/>
    <w:rsid w:val="00EC0D57"/>
    <w:rsid w:val="00EC1629"/>
    <w:rsid w:val="00ED0EB1"/>
    <w:rsid w:val="00ED276C"/>
    <w:rsid w:val="00ED4974"/>
    <w:rsid w:val="00EF1BCD"/>
    <w:rsid w:val="00EF2720"/>
    <w:rsid w:val="00EF3460"/>
    <w:rsid w:val="00EF5A5C"/>
    <w:rsid w:val="00F0037D"/>
    <w:rsid w:val="00F21B26"/>
    <w:rsid w:val="00F23C65"/>
    <w:rsid w:val="00F3203E"/>
    <w:rsid w:val="00F33709"/>
    <w:rsid w:val="00F51D6F"/>
    <w:rsid w:val="00F572A0"/>
    <w:rsid w:val="00F809D0"/>
    <w:rsid w:val="00F95616"/>
    <w:rsid w:val="00FA0912"/>
    <w:rsid w:val="00FA198E"/>
    <w:rsid w:val="00FA2649"/>
    <w:rsid w:val="00FA7B0D"/>
    <w:rsid w:val="00FC280D"/>
    <w:rsid w:val="00FD504D"/>
    <w:rsid w:val="00FE0E28"/>
    <w:rsid w:val="00FE2072"/>
    <w:rsid w:val="00FE3149"/>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BF3A"/>
  <w15:docId w15:val="{0455F3E5-744C-4467-8052-4E241F73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87A"/>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47"/>
    <w:pPr>
      <w:ind w:left="720"/>
      <w:contextualSpacing/>
    </w:pPr>
  </w:style>
  <w:style w:type="paragraph" w:styleId="FootnoteText">
    <w:name w:val="footnote text"/>
    <w:basedOn w:val="Normal"/>
    <w:link w:val="FootnoteTextChar"/>
    <w:uiPriority w:val="99"/>
    <w:semiHidden/>
    <w:unhideWhenUsed/>
    <w:rsid w:val="004E3747"/>
    <w:pPr>
      <w:spacing w:after="0"/>
    </w:pPr>
    <w:rPr>
      <w:sz w:val="20"/>
      <w:szCs w:val="20"/>
    </w:rPr>
  </w:style>
  <w:style w:type="character" w:customStyle="1" w:styleId="FootnoteTextChar">
    <w:name w:val="Footnote Text Char"/>
    <w:basedOn w:val="DefaultParagraphFont"/>
    <w:link w:val="FootnoteText"/>
    <w:uiPriority w:val="99"/>
    <w:semiHidden/>
    <w:rsid w:val="004E3747"/>
    <w:rPr>
      <w:sz w:val="20"/>
      <w:szCs w:val="20"/>
    </w:rPr>
  </w:style>
  <w:style w:type="character" w:styleId="FootnoteReference">
    <w:name w:val="footnote reference"/>
    <w:basedOn w:val="DefaultParagraphFont"/>
    <w:uiPriority w:val="99"/>
    <w:semiHidden/>
    <w:unhideWhenUsed/>
    <w:rsid w:val="004E3747"/>
    <w:rPr>
      <w:vertAlign w:val="superscript"/>
    </w:rPr>
  </w:style>
  <w:style w:type="paragraph" w:styleId="BalloonText">
    <w:name w:val="Balloon Text"/>
    <w:basedOn w:val="Normal"/>
    <w:link w:val="BalloonTextChar"/>
    <w:uiPriority w:val="99"/>
    <w:semiHidden/>
    <w:unhideWhenUsed/>
    <w:rsid w:val="00A018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98"/>
    <w:rPr>
      <w:rFonts w:ascii="Segoe UI" w:hAnsi="Segoe UI" w:cs="Segoe UI"/>
      <w:sz w:val="18"/>
      <w:szCs w:val="18"/>
    </w:rPr>
  </w:style>
  <w:style w:type="table" w:styleId="TableGrid">
    <w:name w:val="Table Grid"/>
    <w:basedOn w:val="TableNormal"/>
    <w:uiPriority w:val="39"/>
    <w:rsid w:val="00E4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DB47F7"/>
  </w:style>
  <w:style w:type="paragraph" w:styleId="Header">
    <w:name w:val="header"/>
    <w:basedOn w:val="Normal"/>
    <w:link w:val="HeaderChar"/>
    <w:uiPriority w:val="99"/>
    <w:unhideWhenUsed/>
    <w:rsid w:val="00CC6E5E"/>
    <w:pPr>
      <w:tabs>
        <w:tab w:val="center" w:pos="4680"/>
        <w:tab w:val="right" w:pos="9360"/>
      </w:tabs>
      <w:spacing w:after="0"/>
    </w:pPr>
  </w:style>
  <w:style w:type="character" w:customStyle="1" w:styleId="HeaderChar">
    <w:name w:val="Header Char"/>
    <w:basedOn w:val="DefaultParagraphFont"/>
    <w:link w:val="Header"/>
    <w:uiPriority w:val="99"/>
    <w:rsid w:val="00CC6E5E"/>
  </w:style>
  <w:style w:type="paragraph" w:styleId="Footer">
    <w:name w:val="footer"/>
    <w:basedOn w:val="Normal"/>
    <w:link w:val="FooterChar"/>
    <w:uiPriority w:val="99"/>
    <w:unhideWhenUsed/>
    <w:rsid w:val="00CC6E5E"/>
    <w:pPr>
      <w:tabs>
        <w:tab w:val="center" w:pos="4680"/>
        <w:tab w:val="right" w:pos="9360"/>
      </w:tabs>
      <w:spacing w:after="0"/>
    </w:pPr>
  </w:style>
  <w:style w:type="character" w:customStyle="1" w:styleId="FooterChar">
    <w:name w:val="Footer Char"/>
    <w:basedOn w:val="DefaultParagraphFont"/>
    <w:link w:val="Footer"/>
    <w:uiPriority w:val="99"/>
    <w:rsid w:val="00CC6E5E"/>
  </w:style>
  <w:style w:type="paragraph" w:styleId="Caption">
    <w:name w:val="caption"/>
    <w:basedOn w:val="Normal"/>
    <w:next w:val="Normal"/>
    <w:uiPriority w:val="35"/>
    <w:unhideWhenUsed/>
    <w:qFormat/>
    <w:rsid w:val="001D248C"/>
    <w:pPr>
      <w:keepNext/>
      <w:spacing w:before="120" w:after="120"/>
      <w:jc w:val="center"/>
    </w:pPr>
    <w:rPr>
      <w:b/>
      <w:bCs/>
      <w:sz w:val="20"/>
      <w:szCs w:val="18"/>
    </w:rPr>
  </w:style>
  <w:style w:type="character" w:styleId="CommentReference">
    <w:name w:val="annotation reference"/>
    <w:basedOn w:val="DefaultParagraphFont"/>
    <w:uiPriority w:val="99"/>
    <w:semiHidden/>
    <w:unhideWhenUsed/>
    <w:rsid w:val="006C0F60"/>
    <w:rPr>
      <w:sz w:val="16"/>
      <w:szCs w:val="16"/>
    </w:rPr>
  </w:style>
  <w:style w:type="paragraph" w:styleId="CommentText">
    <w:name w:val="annotation text"/>
    <w:basedOn w:val="Normal"/>
    <w:link w:val="CommentTextChar"/>
    <w:uiPriority w:val="99"/>
    <w:unhideWhenUsed/>
    <w:rsid w:val="006C0F60"/>
    <w:rPr>
      <w:sz w:val="20"/>
      <w:szCs w:val="20"/>
    </w:rPr>
  </w:style>
  <w:style w:type="character" w:customStyle="1" w:styleId="CommentTextChar">
    <w:name w:val="Comment Text Char"/>
    <w:basedOn w:val="DefaultParagraphFont"/>
    <w:link w:val="CommentText"/>
    <w:uiPriority w:val="99"/>
    <w:rsid w:val="006C0F60"/>
    <w:rPr>
      <w:sz w:val="20"/>
      <w:szCs w:val="20"/>
    </w:rPr>
  </w:style>
  <w:style w:type="paragraph" w:styleId="CommentSubject">
    <w:name w:val="annotation subject"/>
    <w:basedOn w:val="CommentText"/>
    <w:next w:val="CommentText"/>
    <w:link w:val="CommentSubjectChar"/>
    <w:uiPriority w:val="99"/>
    <w:semiHidden/>
    <w:unhideWhenUsed/>
    <w:rsid w:val="006C0F60"/>
    <w:rPr>
      <w:b/>
      <w:bCs/>
    </w:rPr>
  </w:style>
  <w:style w:type="character" w:customStyle="1" w:styleId="CommentSubjectChar">
    <w:name w:val="Comment Subject Char"/>
    <w:basedOn w:val="CommentTextChar"/>
    <w:link w:val="CommentSubject"/>
    <w:uiPriority w:val="99"/>
    <w:semiHidden/>
    <w:rsid w:val="006C0F60"/>
    <w:rPr>
      <w:b/>
      <w:bCs/>
      <w:sz w:val="20"/>
      <w:szCs w:val="20"/>
    </w:rPr>
  </w:style>
  <w:style w:type="paragraph" w:styleId="Revision">
    <w:name w:val="Revision"/>
    <w:hidden/>
    <w:uiPriority w:val="99"/>
    <w:semiHidden/>
    <w:rsid w:val="005E53A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Total!$A$136</c:f>
              <c:strCache>
                <c:ptCount val="1"/>
                <c:pt idx="0">
                  <c:v>Support ratio (Population 15-65 / Population 65+)</c:v>
                </c:pt>
              </c:strCache>
            </c:strRef>
          </c:tx>
          <c:spPr>
            <a:ln w="28575" cap="rnd">
              <a:solidFill>
                <a:schemeClr val="accent1"/>
              </a:solidFill>
              <a:round/>
            </a:ln>
            <a:effectLst/>
          </c:spPr>
          <c:marker>
            <c:symbol val="none"/>
          </c:marker>
          <c:cat>
            <c:strRef>
              <c:f>Total!$C$135:$AT$135</c:f>
              <c:strCache>
                <c:ptCount val="4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pt idx="34">
                  <c:v>2052</c:v>
                </c:pt>
                <c:pt idx="35">
                  <c:v>2053</c:v>
                </c:pt>
                <c:pt idx="36">
                  <c:v>2054</c:v>
                </c:pt>
                <c:pt idx="37">
                  <c:v>2055</c:v>
                </c:pt>
                <c:pt idx="38">
                  <c:v>2056</c:v>
                </c:pt>
                <c:pt idx="39">
                  <c:v>2057</c:v>
                </c:pt>
                <c:pt idx="40">
                  <c:v>2058</c:v>
                </c:pt>
                <c:pt idx="41">
                  <c:v>2059</c:v>
                </c:pt>
                <c:pt idx="42">
                  <c:v>2060</c:v>
                </c:pt>
                <c:pt idx="43">
                  <c:v>2061</c:v>
                </c:pt>
              </c:strCache>
            </c:strRef>
          </c:cat>
          <c:val>
            <c:numRef>
              <c:f>Total!$C$136:$AT$136</c:f>
              <c:numCache>
                <c:formatCode>General</c:formatCode>
                <c:ptCount val="44"/>
                <c:pt idx="0">
                  <c:v>8.0012877225991978</c:v>
                </c:pt>
                <c:pt idx="1">
                  <c:v>7.8087440196040294</c:v>
                </c:pt>
                <c:pt idx="2">
                  <c:v>7.5139383007836793</c:v>
                </c:pt>
                <c:pt idx="3">
                  <c:v>7.2838222916917159</c:v>
                </c:pt>
                <c:pt idx="4">
                  <c:v>7.0362205820108885</c:v>
                </c:pt>
                <c:pt idx="5">
                  <c:v>6.8389997411571404</c:v>
                </c:pt>
                <c:pt idx="6">
                  <c:v>6.5809036519667563</c:v>
                </c:pt>
                <c:pt idx="7">
                  <c:v>6.3660169025877185</c:v>
                </c:pt>
                <c:pt idx="8">
                  <c:v>6.1077159594457449</c:v>
                </c:pt>
                <c:pt idx="9">
                  <c:v>5.9266010905591786</c:v>
                </c:pt>
                <c:pt idx="10">
                  <c:v>5.7281172332942552</c:v>
                </c:pt>
                <c:pt idx="11">
                  <c:v>5.5209665313209317</c:v>
                </c:pt>
                <c:pt idx="12">
                  <c:v>5.3364524394616479</c:v>
                </c:pt>
                <c:pt idx="13">
                  <c:v>5.1421404046674857</c:v>
                </c:pt>
                <c:pt idx="14">
                  <c:v>4.987920624764155</c:v>
                </c:pt>
                <c:pt idx="15">
                  <c:v>4.7811199962108955</c:v>
                </c:pt>
                <c:pt idx="16">
                  <c:v>4.615494671124611</c:v>
                </c:pt>
                <c:pt idx="17">
                  <c:v>4.4498532289628177</c:v>
                </c:pt>
                <c:pt idx="18">
                  <c:v>4.3118228377696024</c:v>
                </c:pt>
                <c:pt idx="19">
                  <c:v>4.1742105355544243</c:v>
                </c:pt>
                <c:pt idx="20">
                  <c:v>4.0169427492997247</c:v>
                </c:pt>
                <c:pt idx="21">
                  <c:v>3.8877166791075726</c:v>
                </c:pt>
                <c:pt idx="22">
                  <c:v>3.7501678502259521</c:v>
                </c:pt>
                <c:pt idx="23">
                  <c:v>3.6156586872441303</c:v>
                </c:pt>
                <c:pt idx="24">
                  <c:v>3.5044847457210611</c:v>
                </c:pt>
                <c:pt idx="25">
                  <c:v>3.4011972083196649</c:v>
                </c:pt>
                <c:pt idx="26">
                  <c:v>3.3146585804266007</c:v>
                </c:pt>
                <c:pt idx="27">
                  <c:v>3.2261553646244283</c:v>
                </c:pt>
                <c:pt idx="28">
                  <c:v>3.1434343724011358</c:v>
                </c:pt>
                <c:pt idx="29">
                  <c:v>3.0615511952044927</c:v>
                </c:pt>
                <c:pt idx="30">
                  <c:v>2.987035142540956</c:v>
                </c:pt>
                <c:pt idx="31">
                  <c:v>2.919930537370619</c:v>
                </c:pt>
                <c:pt idx="32">
                  <c:v>2.8596946856737122</c:v>
                </c:pt>
                <c:pt idx="33">
                  <c:v>2.7943272951298068</c:v>
                </c:pt>
                <c:pt idx="34">
                  <c:v>2.7320852681020753</c:v>
                </c:pt>
                <c:pt idx="35">
                  <c:v>2.6725917674517294</c:v>
                </c:pt>
                <c:pt idx="36">
                  <c:v>2.6130151387720773</c:v>
                </c:pt>
                <c:pt idx="37">
                  <c:v>2.5597383648849341</c:v>
                </c:pt>
                <c:pt idx="38">
                  <c:v>2.5036571378268446</c:v>
                </c:pt>
                <c:pt idx="39">
                  <c:v>2.4539175785845386</c:v>
                </c:pt>
                <c:pt idx="40">
                  <c:v>2.3969965305277787</c:v>
                </c:pt>
                <c:pt idx="41">
                  <c:v>2.3470880078893459</c:v>
                </c:pt>
                <c:pt idx="42">
                  <c:v>2.2925459019496497</c:v>
                </c:pt>
                <c:pt idx="43">
                  <c:v>2.23272505382986</c:v>
                </c:pt>
              </c:numCache>
            </c:numRef>
          </c:val>
          <c:smooth val="0"/>
          <c:extLst>
            <c:ext xmlns:c16="http://schemas.microsoft.com/office/drawing/2014/chart" uri="{C3380CC4-5D6E-409C-BE32-E72D297353CC}">
              <c16:uniqueId val="{00000000-BF85-482A-9498-974F0FF9CEE6}"/>
            </c:ext>
          </c:extLst>
        </c:ser>
        <c:dLbls>
          <c:showLegendKey val="0"/>
          <c:showVal val="0"/>
          <c:showCatName val="0"/>
          <c:showSerName val="0"/>
          <c:showPercent val="0"/>
          <c:showBubbleSize val="0"/>
        </c:dLbls>
        <c:smooth val="0"/>
        <c:axId val="102456704"/>
        <c:axId val="102560896"/>
      </c:lineChart>
      <c:catAx>
        <c:axId val="10245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60896"/>
        <c:crosses val="autoZero"/>
        <c:auto val="1"/>
        <c:lblAlgn val="ctr"/>
        <c:lblOffset val="100"/>
        <c:noMultiLvlLbl val="0"/>
      </c:catAx>
      <c:valAx>
        <c:axId val="10256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456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0949256342957E-2"/>
          <c:y val="5.0925925925925923E-2"/>
          <c:w val="0.87868285214348207"/>
          <c:h val="0.73577136191309422"/>
        </c:manualLayout>
      </c:layout>
      <c:barChart>
        <c:barDir val="col"/>
        <c:grouping val="stacked"/>
        <c:varyColors val="0"/>
        <c:ser>
          <c:idx val="0"/>
          <c:order val="0"/>
          <c:tx>
            <c:v>General budget financed pensions</c:v>
          </c:tx>
          <c:spPr>
            <a:solidFill>
              <a:schemeClr val="accent1"/>
            </a:solidFill>
            <a:ln>
              <a:noFill/>
            </a:ln>
            <a:effectLst/>
          </c:spPr>
          <c:invertIfNegative val="0"/>
          <c:cat>
            <c:numRef>
              <c:f>Sheet3!$J$1:$T$1</c:f>
              <c:numCache>
                <c:formatCode>0</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Sheet3!$J$18:$T$18</c:f>
              <c:numCache>
                <c:formatCode>0.0%</c:formatCode>
                <c:ptCount val="11"/>
                <c:pt idx="0">
                  <c:v>2.2265039404553471E-2</c:v>
                </c:pt>
                <c:pt idx="1">
                  <c:v>2.3876707293100118E-2</c:v>
                </c:pt>
                <c:pt idx="2">
                  <c:v>2.4278667651067749E-2</c:v>
                </c:pt>
                <c:pt idx="3">
                  <c:v>2.1835561371803702E-2</c:v>
                </c:pt>
                <c:pt idx="4">
                  <c:v>2.4565685425685473E-2</c:v>
                </c:pt>
                <c:pt idx="5">
                  <c:v>2.3433345849134573E-2</c:v>
                </c:pt>
                <c:pt idx="6">
                  <c:v>2.8577088998652946E-2</c:v>
                </c:pt>
                <c:pt idx="7">
                  <c:v>3.7138749720189469E-2</c:v>
                </c:pt>
                <c:pt idx="8" formatCode="0.00%">
                  <c:v>3.9424062206553499E-2</c:v>
                </c:pt>
                <c:pt idx="9" formatCode="0.00%">
                  <c:v>3.7339995946304175E-2</c:v>
                </c:pt>
                <c:pt idx="10" formatCode="0.00%">
                  <c:v>3.950709696698048E-2</c:v>
                </c:pt>
              </c:numCache>
            </c:numRef>
          </c:val>
          <c:extLst>
            <c:ext xmlns:c16="http://schemas.microsoft.com/office/drawing/2014/chart" uri="{C3380CC4-5D6E-409C-BE32-E72D297353CC}">
              <c16:uniqueId val="{00000000-6877-404F-8301-170248BC86C8}"/>
            </c:ext>
          </c:extLst>
        </c:ser>
        <c:ser>
          <c:idx val="1"/>
          <c:order val="1"/>
          <c:tx>
            <c:v>War related pensions</c:v>
          </c:tx>
          <c:spPr>
            <a:solidFill>
              <a:schemeClr val="accent2"/>
            </a:solidFill>
            <a:ln>
              <a:noFill/>
            </a:ln>
            <a:effectLst/>
          </c:spPr>
          <c:invertIfNegative val="0"/>
          <c:cat>
            <c:numRef>
              <c:f>Sheet3!$J$1:$T$1</c:f>
              <c:numCache>
                <c:formatCode>0</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Sheet3!$J$23:$T$23</c:f>
              <c:numCache>
                <c:formatCode>0.0%</c:formatCode>
                <c:ptCount val="11"/>
                <c:pt idx="0">
                  <c:v>4.6043351473163832E-3</c:v>
                </c:pt>
                <c:pt idx="1">
                  <c:v>4.8625307081777199E-3</c:v>
                </c:pt>
                <c:pt idx="2">
                  <c:v>5.5452606974102803E-3</c:v>
                </c:pt>
                <c:pt idx="3">
                  <c:v>6.3045317525601994E-3</c:v>
                </c:pt>
                <c:pt idx="4">
                  <c:v>6.2615101148471132E-3</c:v>
                </c:pt>
                <c:pt idx="5">
                  <c:v>5.9895812957609087E-3</c:v>
                </c:pt>
                <c:pt idx="6">
                  <c:v>6.7841350731926466E-3</c:v>
                </c:pt>
                <c:pt idx="7">
                  <c:v>7.4235887938011308E-3</c:v>
                </c:pt>
                <c:pt idx="8" formatCode="0.00%">
                  <c:v>1.4033376715375386E-2</c:v>
                </c:pt>
                <c:pt idx="9" formatCode="0.00%">
                  <c:v>1.6008200938586532E-2</c:v>
                </c:pt>
                <c:pt idx="10" formatCode="0.00%">
                  <c:v>1.7532646048109991E-2</c:v>
                </c:pt>
              </c:numCache>
            </c:numRef>
          </c:val>
          <c:extLst>
            <c:ext xmlns:c16="http://schemas.microsoft.com/office/drawing/2014/chart" uri="{C3380CC4-5D6E-409C-BE32-E72D297353CC}">
              <c16:uniqueId val="{00000001-6877-404F-8301-170248BC86C8}"/>
            </c:ext>
          </c:extLst>
        </c:ser>
        <c:dLbls>
          <c:showLegendKey val="0"/>
          <c:showVal val="0"/>
          <c:showCatName val="0"/>
          <c:showSerName val="0"/>
          <c:showPercent val="0"/>
          <c:showBubbleSize val="0"/>
        </c:dLbls>
        <c:gapWidth val="150"/>
        <c:overlap val="100"/>
        <c:axId val="103819520"/>
        <c:axId val="103821312"/>
      </c:barChart>
      <c:catAx>
        <c:axId val="10381952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21312"/>
        <c:crosses val="autoZero"/>
        <c:auto val="1"/>
        <c:lblAlgn val="ctr"/>
        <c:lblOffset val="100"/>
        <c:noMultiLvlLbl val="0"/>
      </c:catAx>
      <c:valAx>
        <c:axId val="103821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1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a:t>    </a:t>
            </a:r>
          </a:p>
        </c:rich>
      </c:tx>
      <c:overlay val="0"/>
      <c:spPr>
        <a:noFill/>
        <a:ln>
          <a:noFill/>
        </a:ln>
        <a:effectLst/>
      </c:spPr>
    </c:title>
    <c:autoTitleDeleted val="0"/>
    <c:plotArea>
      <c:layout>
        <c:manualLayout>
          <c:layoutTarget val="inner"/>
          <c:xMode val="edge"/>
          <c:yMode val="edge"/>
          <c:x val="0.10552096875741002"/>
          <c:y val="8.7678040244969377E-2"/>
          <c:w val="0.87348158352106697"/>
          <c:h val="0.79659116401610319"/>
        </c:manualLayout>
      </c:layout>
      <c:lineChart>
        <c:grouping val="standard"/>
        <c:varyColors val="0"/>
        <c:ser>
          <c:idx val="0"/>
          <c:order val="0"/>
          <c:tx>
            <c:strRef>
              <c:f>Sheet1!$A$155</c:f>
              <c:strCache>
                <c:ptCount val="1"/>
                <c:pt idx="0">
                  <c:v>    Fund Reserve: Funded</c:v>
                </c:pt>
              </c:strCache>
            </c:strRef>
          </c:tx>
          <c:spPr>
            <a:ln w="28575" cap="rnd">
              <a:solidFill>
                <a:schemeClr val="accent1"/>
              </a:solidFill>
              <a:round/>
            </a:ln>
            <a:effectLst/>
          </c:spPr>
          <c:marker>
            <c:symbol val="none"/>
          </c:marker>
          <c:cat>
            <c:numRef>
              <c:f>Sheet1!$B$154:$BM$154</c:f>
              <c:numCache>
                <c:formatCode>0000</c:formatCode>
                <c:ptCount val="6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pt idx="22">
                  <c:v>2039</c:v>
                </c:pt>
                <c:pt idx="23">
                  <c:v>2040</c:v>
                </c:pt>
                <c:pt idx="24">
                  <c:v>2041</c:v>
                </c:pt>
                <c:pt idx="25">
                  <c:v>2042</c:v>
                </c:pt>
                <c:pt idx="26">
                  <c:v>2043</c:v>
                </c:pt>
                <c:pt idx="27">
                  <c:v>2044</c:v>
                </c:pt>
                <c:pt idx="28">
                  <c:v>2045</c:v>
                </c:pt>
                <c:pt idx="29">
                  <c:v>2046</c:v>
                </c:pt>
                <c:pt idx="30">
                  <c:v>2047</c:v>
                </c:pt>
                <c:pt idx="31">
                  <c:v>2048</c:v>
                </c:pt>
                <c:pt idx="32">
                  <c:v>2049</c:v>
                </c:pt>
                <c:pt idx="33">
                  <c:v>2050</c:v>
                </c:pt>
                <c:pt idx="34">
                  <c:v>2051</c:v>
                </c:pt>
                <c:pt idx="35">
                  <c:v>2052</c:v>
                </c:pt>
                <c:pt idx="36">
                  <c:v>2053</c:v>
                </c:pt>
                <c:pt idx="37">
                  <c:v>2054</c:v>
                </c:pt>
                <c:pt idx="38">
                  <c:v>2055</c:v>
                </c:pt>
                <c:pt idx="39">
                  <c:v>2056</c:v>
                </c:pt>
                <c:pt idx="40">
                  <c:v>2057</c:v>
                </c:pt>
                <c:pt idx="41">
                  <c:v>2058</c:v>
                </c:pt>
                <c:pt idx="42">
                  <c:v>2059</c:v>
                </c:pt>
                <c:pt idx="43">
                  <c:v>2060</c:v>
                </c:pt>
                <c:pt idx="44">
                  <c:v>2061</c:v>
                </c:pt>
                <c:pt idx="45">
                  <c:v>2062</c:v>
                </c:pt>
                <c:pt idx="46">
                  <c:v>2063</c:v>
                </c:pt>
                <c:pt idx="47">
                  <c:v>2064</c:v>
                </c:pt>
                <c:pt idx="48">
                  <c:v>2065</c:v>
                </c:pt>
                <c:pt idx="49">
                  <c:v>2066</c:v>
                </c:pt>
                <c:pt idx="50">
                  <c:v>2067</c:v>
                </c:pt>
                <c:pt idx="51">
                  <c:v>2068</c:v>
                </c:pt>
                <c:pt idx="52">
                  <c:v>2069</c:v>
                </c:pt>
                <c:pt idx="53">
                  <c:v>2070</c:v>
                </c:pt>
                <c:pt idx="54">
                  <c:v>2071</c:v>
                </c:pt>
                <c:pt idx="55">
                  <c:v>2072</c:v>
                </c:pt>
                <c:pt idx="56">
                  <c:v>2073</c:v>
                </c:pt>
                <c:pt idx="57">
                  <c:v>2074</c:v>
                </c:pt>
                <c:pt idx="58">
                  <c:v>2075</c:v>
                </c:pt>
                <c:pt idx="59">
                  <c:v>2076</c:v>
                </c:pt>
                <c:pt idx="60">
                  <c:v>2077</c:v>
                </c:pt>
                <c:pt idx="61">
                  <c:v>2078</c:v>
                </c:pt>
                <c:pt idx="62">
                  <c:v>2079</c:v>
                </c:pt>
                <c:pt idx="63">
                  <c:v>2080</c:v>
                </c:pt>
              </c:numCache>
            </c:numRef>
          </c:cat>
          <c:val>
            <c:numRef>
              <c:f>Sheet1!$B$155:$BM$155</c:f>
              <c:numCache>
                <c:formatCode>#.0%_);[Red]\(#.0%\);</c:formatCode>
                <c:ptCount val="64"/>
                <c:pt idx="0">
                  <c:v>0.23822884261608124</c:v>
                </c:pt>
                <c:pt idx="1">
                  <c:v>0.2607668936252594</c:v>
                </c:pt>
                <c:pt idx="2">
                  <c:v>0.28210419416427612</c:v>
                </c:pt>
                <c:pt idx="3">
                  <c:v>0.30359211564064026</c:v>
                </c:pt>
                <c:pt idx="4">
                  <c:v>0.32432249188423157</c:v>
                </c:pt>
                <c:pt idx="5">
                  <c:v>0.34492585062980652</c:v>
                </c:pt>
                <c:pt idx="6">
                  <c:v>0.36418965458869934</c:v>
                </c:pt>
                <c:pt idx="7">
                  <c:v>0.38348087668418884</c:v>
                </c:pt>
                <c:pt idx="8">
                  <c:v>0.40149399638175964</c:v>
                </c:pt>
                <c:pt idx="9">
                  <c:v>0.41954907774925232</c:v>
                </c:pt>
                <c:pt idx="10">
                  <c:v>0.43717467784881592</c:v>
                </c:pt>
                <c:pt idx="11">
                  <c:v>0.45381972193717957</c:v>
                </c:pt>
                <c:pt idx="12">
                  <c:v>0.46991941332817078</c:v>
                </c:pt>
                <c:pt idx="13">
                  <c:v>0.48545849323272705</c:v>
                </c:pt>
                <c:pt idx="14">
                  <c:v>0.50116682052612305</c:v>
                </c:pt>
                <c:pt idx="15">
                  <c:v>0.51570713520050049</c:v>
                </c:pt>
                <c:pt idx="16">
                  <c:v>0.53007590770721436</c:v>
                </c:pt>
                <c:pt idx="17">
                  <c:v>0.54324382543563843</c:v>
                </c:pt>
                <c:pt idx="18">
                  <c:v>0.55668777227401733</c:v>
                </c:pt>
                <c:pt idx="19">
                  <c:v>0.56835663318634033</c:v>
                </c:pt>
                <c:pt idx="20">
                  <c:v>0.57921987771987915</c:v>
                </c:pt>
                <c:pt idx="21">
                  <c:v>0.589851975440979</c:v>
                </c:pt>
                <c:pt idx="22">
                  <c:v>0.59887707233428955</c:v>
                </c:pt>
                <c:pt idx="23">
                  <c:v>0.60645294189453125</c:v>
                </c:pt>
                <c:pt idx="24">
                  <c:v>0.61465811729431152</c:v>
                </c:pt>
                <c:pt idx="25">
                  <c:v>0.62212324142456055</c:v>
                </c:pt>
                <c:pt idx="26">
                  <c:v>0.62903457880020142</c:v>
                </c:pt>
                <c:pt idx="27">
                  <c:v>0.63523542881011963</c:v>
                </c:pt>
                <c:pt idx="28">
                  <c:v>0.64036446809768677</c:v>
                </c:pt>
                <c:pt idx="29">
                  <c:v>0.64465928077697754</c:v>
                </c:pt>
                <c:pt idx="30">
                  <c:v>0.64880716800689697</c:v>
                </c:pt>
                <c:pt idx="31">
                  <c:v>0.65265917778015137</c:v>
                </c:pt>
                <c:pt idx="32">
                  <c:v>0.65606868267059326</c:v>
                </c:pt>
                <c:pt idx="33">
                  <c:v>0.65810376405715942</c:v>
                </c:pt>
                <c:pt idx="34">
                  <c:v>0.65924978256225586</c:v>
                </c:pt>
                <c:pt idx="35">
                  <c:v>0.66045093536376953</c:v>
                </c:pt>
                <c:pt idx="36">
                  <c:v>0.66107773780822754</c:v>
                </c:pt>
                <c:pt idx="37">
                  <c:v>0.66161543130874634</c:v>
                </c:pt>
                <c:pt idx="38">
                  <c:v>0.66176706552505493</c:v>
                </c:pt>
                <c:pt idx="39">
                  <c:v>0.66173547506332397</c:v>
                </c:pt>
                <c:pt idx="40">
                  <c:v>0.66080445051193237</c:v>
                </c:pt>
                <c:pt idx="41">
                  <c:v>0.6599993109703064</c:v>
                </c:pt>
                <c:pt idx="42">
                  <c:v>0.65869772434234619</c:v>
                </c:pt>
                <c:pt idx="43">
                  <c:v>0.65641516447067261</c:v>
                </c:pt>
                <c:pt idx="44">
                  <c:v>0.65284466743469238</c:v>
                </c:pt>
                <c:pt idx="45">
                  <c:v>0.64903032779693604</c:v>
                </c:pt>
                <c:pt idx="46">
                  <c:v>0.64512890577316284</c:v>
                </c:pt>
                <c:pt idx="47">
                  <c:v>0.6418946385383606</c:v>
                </c:pt>
                <c:pt idx="48">
                  <c:v>0.6289370059967041</c:v>
                </c:pt>
                <c:pt idx="49">
                  <c:v>0.62277299165725708</c:v>
                </c:pt>
                <c:pt idx="50">
                  <c:v>0.61852496862411499</c:v>
                </c:pt>
                <c:pt idx="51">
                  <c:v>0.61632084846496582</c:v>
                </c:pt>
                <c:pt idx="52">
                  <c:v>0.61409246921539307</c:v>
                </c:pt>
                <c:pt idx="53">
                  <c:v>0.6128840446472168</c:v>
                </c:pt>
                <c:pt idx="54">
                  <c:v>0.6125255823135376</c:v>
                </c:pt>
                <c:pt idx="55">
                  <c:v>0.61170613765716553</c:v>
                </c:pt>
                <c:pt idx="56">
                  <c:v>0.61056721210479736</c:v>
                </c:pt>
                <c:pt idx="57">
                  <c:v>0.60913467407226563</c:v>
                </c:pt>
                <c:pt idx="58">
                  <c:v>0.60781419277191162</c:v>
                </c:pt>
                <c:pt idx="59">
                  <c:v>0.60264569520950317</c:v>
                </c:pt>
                <c:pt idx="60">
                  <c:v>0.59699058532714844</c:v>
                </c:pt>
                <c:pt idx="61">
                  <c:v>0.59286195039749146</c:v>
                </c:pt>
                <c:pt idx="62">
                  <c:v>0.58856350183486938</c:v>
                </c:pt>
                <c:pt idx="63">
                  <c:v>0.58621358871459961</c:v>
                </c:pt>
              </c:numCache>
            </c:numRef>
          </c:val>
          <c:smooth val="0"/>
          <c:extLst>
            <c:ext xmlns:c16="http://schemas.microsoft.com/office/drawing/2014/chart" uri="{C3380CC4-5D6E-409C-BE32-E72D297353CC}">
              <c16:uniqueId val="{00000000-253F-47F4-9704-9FC8BD7BEBB7}"/>
            </c:ext>
          </c:extLst>
        </c:ser>
        <c:dLbls>
          <c:showLegendKey val="0"/>
          <c:showVal val="0"/>
          <c:showCatName val="0"/>
          <c:showSerName val="0"/>
          <c:showPercent val="0"/>
          <c:showBubbleSize val="0"/>
        </c:dLbls>
        <c:smooth val="0"/>
        <c:axId val="103837696"/>
        <c:axId val="103839232"/>
      </c:lineChart>
      <c:catAx>
        <c:axId val="103837696"/>
        <c:scaling>
          <c:orientation val="minMax"/>
        </c:scaling>
        <c:delete val="0"/>
        <c:axPos val="b"/>
        <c:numFmt formatCode="0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39232"/>
        <c:crosses val="autoZero"/>
        <c:auto val="1"/>
        <c:lblAlgn val="ctr"/>
        <c:lblOffset val="100"/>
        <c:noMultiLvlLbl val="0"/>
      </c:catAx>
      <c:valAx>
        <c:axId val="103839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3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1"/>
            <c:invertIfNegative val="0"/>
            <c:bubble3D val="0"/>
            <c:extLst>
              <c:ext xmlns:c16="http://schemas.microsoft.com/office/drawing/2014/chart" uri="{C3380CC4-5D6E-409C-BE32-E72D297353CC}">
                <c16:uniqueId val="{00000001-DC7A-42CA-B850-73B7F0588D22}"/>
              </c:ext>
            </c:extLst>
          </c:dPt>
          <c:dPt>
            <c:idx val="19"/>
            <c:invertIfNegative val="0"/>
            <c:bubble3D val="0"/>
            <c:spPr>
              <a:solidFill>
                <a:srgbClr val="FF0000"/>
              </a:solidFill>
              <a:ln>
                <a:noFill/>
              </a:ln>
              <a:effectLst/>
            </c:spPr>
            <c:extLst>
              <c:ext xmlns:c16="http://schemas.microsoft.com/office/drawing/2014/chart" uri="{C3380CC4-5D6E-409C-BE32-E72D297353CC}">
                <c16:uniqueId val="{00000003-DC7A-42CA-B850-73B7F0588D22}"/>
              </c:ext>
            </c:extLst>
          </c:dPt>
          <c:dPt>
            <c:idx val="20"/>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5-DC7A-42CA-B850-73B7F0588D22}"/>
              </c:ext>
            </c:extLst>
          </c:dPt>
          <c:dPt>
            <c:idx val="28"/>
            <c:invertIfNegative val="0"/>
            <c:bubble3D val="0"/>
            <c:extLst>
              <c:ext xmlns:c16="http://schemas.microsoft.com/office/drawing/2014/chart" uri="{C3380CC4-5D6E-409C-BE32-E72D297353CC}">
                <c16:uniqueId val="{00000007-DC7A-42CA-B850-73B7F0588D22}"/>
              </c:ext>
            </c:extLst>
          </c:dPt>
          <c:dPt>
            <c:idx val="31"/>
            <c:invertIfNegative val="0"/>
            <c:bubble3D val="0"/>
            <c:extLst>
              <c:ext xmlns:c16="http://schemas.microsoft.com/office/drawing/2014/chart" uri="{C3380CC4-5D6E-409C-BE32-E72D297353CC}">
                <c16:uniqueId val="{00000009-DC7A-42CA-B850-73B7F0588D22}"/>
              </c:ext>
            </c:extLst>
          </c:dPt>
          <c:cat>
            <c:strRef>
              <c:f>'Tab 7.1'!$L$9:$L$42</c:f>
              <c:strCache>
                <c:ptCount val="34"/>
                <c:pt idx="0">
                  <c:v>Mexico</c:v>
                </c:pt>
                <c:pt idx="1">
                  <c:v>Korea</c:v>
                </c:pt>
                <c:pt idx="2">
                  <c:v>Australia</c:v>
                </c:pt>
                <c:pt idx="3">
                  <c:v>Canada</c:v>
                </c:pt>
                <c:pt idx="4">
                  <c:v>Chile</c:v>
                </c:pt>
                <c:pt idx="5">
                  <c:v>Denmark</c:v>
                </c:pt>
                <c:pt idx="6">
                  <c:v>Luxembourg</c:v>
                </c:pt>
                <c:pt idx="7">
                  <c:v>Switzerland</c:v>
                </c:pt>
                <c:pt idx="8">
                  <c:v>Belgium</c:v>
                </c:pt>
                <c:pt idx="9">
                  <c:v>Japan</c:v>
                </c:pt>
                <c:pt idx="10">
                  <c:v>Germany</c:v>
                </c:pt>
                <c:pt idx="11">
                  <c:v>Iceland</c:v>
                </c:pt>
                <c:pt idx="12">
                  <c:v>Netherlands</c:v>
                </c:pt>
                <c:pt idx="13">
                  <c:v>Sweden</c:v>
                </c:pt>
                <c:pt idx="14">
                  <c:v>Israel</c:v>
                </c:pt>
                <c:pt idx="15">
                  <c:v>Finland</c:v>
                </c:pt>
                <c:pt idx="16">
                  <c:v>France</c:v>
                </c:pt>
                <c:pt idx="17">
                  <c:v>Greece</c:v>
                </c:pt>
                <c:pt idx="18">
                  <c:v>Italy</c:v>
                </c:pt>
                <c:pt idx="19">
                  <c:v>Kosovo</c:v>
                </c:pt>
                <c:pt idx="20">
                  <c:v>Bulgaria</c:v>
                </c:pt>
                <c:pt idx="21">
                  <c:v>Macedonia</c:v>
                </c:pt>
                <c:pt idx="22">
                  <c:v>Slovak Republic</c:v>
                </c:pt>
                <c:pt idx="23">
                  <c:v>BIH RS</c:v>
                </c:pt>
                <c:pt idx="24">
                  <c:v>Poland</c:v>
                </c:pt>
                <c:pt idx="25">
                  <c:v>Turkey</c:v>
                </c:pt>
                <c:pt idx="26">
                  <c:v>Croatia</c:v>
                </c:pt>
                <c:pt idx="27">
                  <c:v>Montenegro</c:v>
                </c:pt>
                <c:pt idx="28">
                  <c:v>Albania</c:v>
                </c:pt>
                <c:pt idx="29">
                  <c:v>Russian Federation</c:v>
                </c:pt>
                <c:pt idx="30">
                  <c:v>BIH Federation</c:v>
                </c:pt>
                <c:pt idx="31">
                  <c:v>Serbia</c:v>
                </c:pt>
                <c:pt idx="32">
                  <c:v>Romania</c:v>
                </c:pt>
                <c:pt idx="33">
                  <c:v>Hungary</c:v>
                </c:pt>
              </c:strCache>
            </c:strRef>
          </c:cat>
          <c:val>
            <c:numRef>
              <c:f>'Tab 7.1'!$M$9:$M$42</c:f>
              <c:numCache>
                <c:formatCode>General</c:formatCode>
                <c:ptCount val="34"/>
                <c:pt idx="0">
                  <c:v>6.2750000000000004</c:v>
                </c:pt>
                <c:pt idx="1">
                  <c:v>9</c:v>
                </c:pt>
                <c:pt idx="2">
                  <c:v>9.5</c:v>
                </c:pt>
                <c:pt idx="3">
                  <c:v>9.9</c:v>
                </c:pt>
                <c:pt idx="4">
                  <c:v>12.38</c:v>
                </c:pt>
                <c:pt idx="5">
                  <c:v>12.780000000000001</c:v>
                </c:pt>
                <c:pt idx="6">
                  <c:v>16</c:v>
                </c:pt>
                <c:pt idx="7">
                  <c:v>16.2</c:v>
                </c:pt>
                <c:pt idx="8">
                  <c:v>16.36</c:v>
                </c:pt>
                <c:pt idx="9">
                  <c:v>17.827999999999999</c:v>
                </c:pt>
                <c:pt idx="10">
                  <c:v>18.7</c:v>
                </c:pt>
                <c:pt idx="11">
                  <c:v>19.350000000000001</c:v>
                </c:pt>
                <c:pt idx="12">
                  <c:v>20.9</c:v>
                </c:pt>
                <c:pt idx="13">
                  <c:v>22.880000000000003</c:v>
                </c:pt>
                <c:pt idx="14">
                  <c:v>25</c:v>
                </c:pt>
                <c:pt idx="15">
                  <c:v>25.2</c:v>
                </c:pt>
                <c:pt idx="16">
                  <c:v>25.4</c:v>
                </c:pt>
                <c:pt idx="17">
                  <c:v>26</c:v>
                </c:pt>
                <c:pt idx="18">
                  <c:v>33</c:v>
                </c:pt>
                <c:pt idx="19">
                  <c:v>10</c:v>
                </c:pt>
                <c:pt idx="20">
                  <c:v>17.8</c:v>
                </c:pt>
                <c:pt idx="21">
                  <c:v>18</c:v>
                </c:pt>
                <c:pt idx="22">
                  <c:v>18</c:v>
                </c:pt>
                <c:pt idx="23">
                  <c:v>18.5</c:v>
                </c:pt>
                <c:pt idx="24">
                  <c:v>19.52</c:v>
                </c:pt>
                <c:pt idx="25">
                  <c:v>20</c:v>
                </c:pt>
                <c:pt idx="26">
                  <c:v>20</c:v>
                </c:pt>
                <c:pt idx="27">
                  <c:v>20.5</c:v>
                </c:pt>
                <c:pt idx="28">
                  <c:v>21.6</c:v>
                </c:pt>
                <c:pt idx="29">
                  <c:v>22</c:v>
                </c:pt>
                <c:pt idx="30">
                  <c:v>23</c:v>
                </c:pt>
                <c:pt idx="31">
                  <c:v>26</c:v>
                </c:pt>
                <c:pt idx="32">
                  <c:v>26.3</c:v>
                </c:pt>
                <c:pt idx="33">
                  <c:v>30.75</c:v>
                </c:pt>
              </c:numCache>
            </c:numRef>
          </c:val>
          <c:extLst>
            <c:ext xmlns:c16="http://schemas.microsoft.com/office/drawing/2014/chart" uri="{C3380CC4-5D6E-409C-BE32-E72D297353CC}">
              <c16:uniqueId val="{0000000A-DC7A-42CA-B850-73B7F0588D22}"/>
            </c:ext>
          </c:extLst>
        </c:ser>
        <c:dLbls>
          <c:showLegendKey val="0"/>
          <c:showVal val="0"/>
          <c:showCatName val="0"/>
          <c:showSerName val="0"/>
          <c:showPercent val="0"/>
          <c:showBubbleSize val="0"/>
        </c:dLbls>
        <c:gapWidth val="219"/>
        <c:overlap val="-27"/>
        <c:axId val="105510400"/>
        <c:axId val="105511936"/>
      </c:barChart>
      <c:catAx>
        <c:axId val="10551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11936"/>
        <c:crosses val="autoZero"/>
        <c:auto val="1"/>
        <c:lblAlgn val="ctr"/>
        <c:lblOffset val="100"/>
        <c:noMultiLvlLbl val="0"/>
      </c:catAx>
      <c:valAx>
        <c:axId val="10551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1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000175391:Zoran Anusic:zanusic@worldbank.org;</DocAuthors>
    <Authors xmlns="b99a068c-3844-4a16-badd-77233eea0529">
      <UserInfo>
        <DisplayName>i:0#.w|wb\wb175391</DisplayName>
        <AccountId>7653</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2020-06-19T04:00:00+00:00</DocumentDate>
    <WBDocType xmlns="b99a068c-3844-4a16-badd-77233eea0529">Report</WBDocType>
    <SecurityClassification xmlns="b99a068c-3844-4a16-badd-77233eea0529">Public</SecurityClassification>
    <DeliverableID xmlns="b99a068c-3844-4a16-badd-77233eea0529">DLV0379360</DeliverableID>
    <ProjectID xmlns="b99a068c-3844-4a16-badd-77233eea0529">P168178</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C88A7FDA1A87A4881AD9277D94D0711" ma:contentTypeVersion="3" ma:contentTypeDescription="" ma:contentTypeScope="" ma:versionID="40807a0e07c2ccbd2db8eea0138492a2">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B5FCCB0E-05AA-48D8-967C-32ADB9EBD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A5EDD-E175-44F0-B30A-683F249E665B}">
  <ds:schemaRefs>
    <ds:schemaRef ds:uri="http://schemas.microsoft.com/sharepoint/v3/contenttype/forms"/>
  </ds:schemaRefs>
</ds:datastoreItem>
</file>

<file path=customXml/itemProps3.xml><?xml version="1.0" encoding="utf-8"?>
<ds:datastoreItem xmlns:ds="http://schemas.openxmlformats.org/officeDocument/2006/customXml" ds:itemID="{2C71F81E-67F3-4A46-A634-86252D7827AF}"/>
</file>

<file path=customXml/itemProps4.xml><?xml version="1.0" encoding="utf-8"?>
<ds:datastoreItem xmlns:ds="http://schemas.openxmlformats.org/officeDocument/2006/customXml" ds:itemID="{E1A0A143-5D1A-47A1-8900-EEEE0D9E288A}">
  <ds:schemaRefs>
    <ds:schemaRef ds:uri="http://schemas.openxmlformats.org/officeDocument/2006/bibliography"/>
  </ds:schemaRefs>
</ds:datastoreItem>
</file>

<file path=customXml/itemProps5.xml><?xml version="1.0" encoding="utf-8"?>
<ds:datastoreItem xmlns:ds="http://schemas.openxmlformats.org/officeDocument/2006/customXml" ds:itemID="{4D7FB390-FE14-4867-8DE2-93A9C8D209E7}"/>
</file>

<file path=docProps/app.xml><?xml version="1.0" encoding="utf-8"?>
<Properties xmlns="http://schemas.openxmlformats.org/officeDocument/2006/extended-properties" xmlns:vt="http://schemas.openxmlformats.org/officeDocument/2006/docPropsVTypes">
  <Template>Normal.dotm</Template>
  <TotalTime>1092</TotalTime>
  <Pages>12</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Kosovo pension policy note (5-pager)</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Kosovo Pension Note 2020 After DM and Edited</dc:title>
  <dc:creator>Gonzalo Javier Reyes Hartley</dc:creator>
  <cp:lastModifiedBy>Gonzalo Javier Reyes Hartley</cp:lastModifiedBy>
  <cp:revision>8</cp:revision>
  <dcterms:created xsi:type="dcterms:W3CDTF">2020-06-16T22:43:00Z</dcterms:created>
  <dcterms:modified xsi:type="dcterms:W3CDTF">2020-06-17T16:54:00Z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0x01010054E0FEF4951F9D49A6F48A35419983C7004C88A7FDA1A87A4881AD9277D94D0711</vt:lpwstr>
  </property>
  <property fmtid="{D5CDD505-2E9C-101B-9397-08002B2CF9AE}" pid="4" name="RatedBy">
    <vt:lpwstr/>
  </property>
  <property fmtid="{D5CDD505-2E9C-101B-9397-08002B2CF9AE}" pid="6" name="LikedBy">
    <vt:lpwstr/>
  </property>
</Properties>
</file>