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EA78" w14:textId="4C6604B4" w:rsidR="009B7BC7" w:rsidRDefault="00627BB3" w:rsidP="009B7BC7">
      <w:bookmarkStart w:id="0" w:name="_Toc150869"/>
      <w:bookmarkStart w:id="1" w:name="_GoBack"/>
      <w:bookmarkEnd w:id="1"/>
      <w:r>
        <w:rPr>
          <w:noProof/>
          <w:lang w:eastAsia="en-GB"/>
        </w:rPr>
        <w:drawing>
          <wp:anchor distT="0" distB="0" distL="114300" distR="114300" simplePos="0" relativeHeight="251662336" behindDoc="0" locked="0" layoutInCell="1" allowOverlap="1" wp14:anchorId="3BC13413" wp14:editId="753E0F94">
            <wp:simplePos x="0" y="0"/>
            <wp:positionH relativeFrom="page">
              <wp:align>right</wp:align>
            </wp:positionH>
            <wp:positionV relativeFrom="paragraph">
              <wp:posOffset>-909955</wp:posOffset>
            </wp:positionV>
            <wp:extent cx="12944475" cy="13385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944475" cy="1338580"/>
                    </a:xfrm>
                    <a:prstGeom prst="rect">
                      <a:avLst/>
                    </a:prstGeom>
                  </pic:spPr>
                </pic:pic>
              </a:graphicData>
            </a:graphic>
            <wp14:sizeRelH relativeFrom="margin">
              <wp14:pctWidth>0</wp14:pctWidth>
            </wp14:sizeRelH>
            <wp14:sizeRelV relativeFrom="margin">
              <wp14:pctHeight>0</wp14:pctHeight>
            </wp14:sizeRelV>
          </wp:anchor>
        </w:drawing>
      </w:r>
    </w:p>
    <w:p w14:paraId="53C5D688" w14:textId="6CC4EE28" w:rsidR="009B7BC7" w:rsidRDefault="009B7BC7" w:rsidP="009B7BC7"/>
    <w:p w14:paraId="67C4108C" w14:textId="77777777" w:rsidR="009B7BC7" w:rsidRPr="00D93090" w:rsidRDefault="009B7BC7" w:rsidP="009B7BC7"/>
    <w:tbl>
      <w:tblPr>
        <w:tblW w:w="9575" w:type="dxa"/>
        <w:jc w:val="center"/>
        <w:tblBorders>
          <w:top w:val="double" w:sz="4" w:space="0" w:color="auto"/>
          <w:bottom w:val="double" w:sz="4" w:space="0" w:color="auto"/>
        </w:tblBorders>
        <w:tblLayout w:type="fixed"/>
        <w:tblLook w:val="04A0" w:firstRow="1" w:lastRow="0" w:firstColumn="1" w:lastColumn="0" w:noHBand="0" w:noVBand="1"/>
      </w:tblPr>
      <w:tblGrid>
        <w:gridCol w:w="2763"/>
        <w:gridCol w:w="3693"/>
        <w:gridCol w:w="3119"/>
      </w:tblGrid>
      <w:tr w:rsidR="00627BB3" w:rsidRPr="00A357D0" w14:paraId="03219E36" w14:textId="77777777" w:rsidTr="00776E84">
        <w:trPr>
          <w:trHeight w:val="1955"/>
          <w:jc w:val="center"/>
        </w:trPr>
        <w:tc>
          <w:tcPr>
            <w:tcW w:w="2763" w:type="dxa"/>
            <w:shd w:val="clear" w:color="auto" w:fill="auto"/>
            <w:vAlign w:val="center"/>
          </w:tcPr>
          <w:p w14:paraId="58E0AB4A" w14:textId="6AED3D26" w:rsidR="00627BB3" w:rsidRPr="00A357D0" w:rsidRDefault="00DF0D7D" w:rsidP="00776E84">
            <w:pPr>
              <w:jc w:val="center"/>
              <w:rPr>
                <w:rFonts w:asciiTheme="minorHAnsi" w:hAnsiTheme="minorHAnsi" w:cstheme="minorHAnsi"/>
                <w:b/>
              </w:rPr>
            </w:pPr>
            <w:r>
              <w:br w:type="page"/>
            </w:r>
            <w:r w:rsidR="00350561">
              <w:rPr>
                <w:noProof/>
              </w:rPr>
              <w:t xml:space="preserve"> </w:t>
            </w:r>
            <w:r w:rsidR="00627BB3" w:rsidRPr="00A357D0">
              <w:rPr>
                <w:rFonts w:asciiTheme="minorHAnsi" w:hAnsiTheme="minorHAnsi" w:cstheme="minorHAnsi"/>
                <w:noProof/>
                <w:lang w:eastAsia="en-GB"/>
              </w:rPr>
              <w:drawing>
                <wp:anchor distT="0" distB="0" distL="114300" distR="114300" simplePos="0" relativeHeight="251664384" behindDoc="1" locked="0" layoutInCell="1" allowOverlap="1" wp14:anchorId="1B792A10" wp14:editId="53365AF4">
                  <wp:simplePos x="0" y="0"/>
                  <wp:positionH relativeFrom="column">
                    <wp:posOffset>63500</wp:posOffset>
                  </wp:positionH>
                  <wp:positionV relativeFrom="paragraph">
                    <wp:posOffset>16510</wp:posOffset>
                  </wp:positionV>
                  <wp:extent cx="1514475" cy="723900"/>
                  <wp:effectExtent l="0" t="0" r="9525" b="0"/>
                  <wp:wrapNone/>
                  <wp:docPr id="22" name="Picture 1" descr="KIP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PRA LOGO"/>
                          <pic:cNvPicPr>
                            <a:picLocks noChangeAspect="1" noChangeArrowheads="1"/>
                          </pic:cNvPicPr>
                        </pic:nvPicPr>
                        <pic:blipFill>
                          <a:blip r:embed="rId12" cstate="print"/>
                          <a:srcRect/>
                          <a:stretch>
                            <a:fillRect/>
                          </a:stretch>
                        </pic:blipFill>
                        <pic:spPr bwMode="auto">
                          <a:xfrm>
                            <a:off x="0" y="0"/>
                            <a:ext cx="151447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693" w:type="dxa"/>
            <w:shd w:val="clear" w:color="auto" w:fill="auto"/>
            <w:vAlign w:val="center"/>
          </w:tcPr>
          <w:p w14:paraId="3E180E4C" w14:textId="718EF6D6" w:rsidR="00627BB3" w:rsidRPr="00A357D0" w:rsidRDefault="00627BB3" w:rsidP="00776E84">
            <w:pPr>
              <w:jc w:val="center"/>
              <w:rPr>
                <w:rFonts w:asciiTheme="minorHAnsi" w:hAnsiTheme="minorHAnsi" w:cstheme="minorHAnsi"/>
                <w:b/>
              </w:rPr>
            </w:pPr>
            <w:r>
              <w:rPr>
                <w:noProof/>
                <w:lang w:eastAsia="en-GB"/>
              </w:rPr>
              <w:drawing>
                <wp:anchor distT="0" distB="0" distL="114300" distR="114300" simplePos="0" relativeHeight="251666432" behindDoc="1" locked="0" layoutInCell="1" allowOverlap="1" wp14:anchorId="43AA9561" wp14:editId="0FD909A9">
                  <wp:simplePos x="0" y="0"/>
                  <wp:positionH relativeFrom="column">
                    <wp:posOffset>-8255</wp:posOffset>
                  </wp:positionH>
                  <wp:positionV relativeFrom="paragraph">
                    <wp:posOffset>230505</wp:posOffset>
                  </wp:positionV>
                  <wp:extent cx="2343150" cy="790575"/>
                  <wp:effectExtent l="0" t="0" r="0" b="9525"/>
                  <wp:wrapThrough wrapText="bothSides">
                    <wp:wrapPolygon edited="0">
                      <wp:start x="0" y="0"/>
                      <wp:lineTo x="0" y="21340"/>
                      <wp:lineTo x="21424" y="21340"/>
                      <wp:lineTo x="21424" y="0"/>
                      <wp:lineTo x="0" y="0"/>
                    </wp:wrapPolygon>
                  </wp:wrapThrough>
                  <wp:docPr id="8" name="Picture 23" descr="https://www.kajiado.go.ke/wp-content/uploads/2014/05/kajiado_home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kajiado.go.ke/wp-content/uploads/2014/05/kajiado_home_banne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shd w:val="clear" w:color="auto" w:fill="auto"/>
            <w:vAlign w:val="center"/>
          </w:tcPr>
          <w:p w14:paraId="3BE96056" w14:textId="77777777" w:rsidR="00627BB3" w:rsidRPr="00A357D0" w:rsidRDefault="00627BB3" w:rsidP="00776E84">
            <w:pPr>
              <w:jc w:val="center"/>
              <w:rPr>
                <w:rFonts w:asciiTheme="minorHAnsi" w:hAnsiTheme="minorHAnsi" w:cstheme="minorHAnsi"/>
                <w:b/>
              </w:rPr>
            </w:pPr>
            <w:r>
              <w:rPr>
                <w:noProof/>
                <w:lang w:eastAsia="en-GB"/>
              </w:rPr>
              <w:drawing>
                <wp:inline distT="0" distB="0" distL="0" distR="0" wp14:anchorId="0A5A9D0C" wp14:editId="514778F3">
                  <wp:extent cx="1704302" cy="37579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4302" cy="375793"/>
                          </a:xfrm>
                          <a:prstGeom prst="rect">
                            <a:avLst/>
                          </a:prstGeom>
                        </pic:spPr>
                      </pic:pic>
                    </a:graphicData>
                  </a:graphic>
                </wp:inline>
              </w:drawing>
            </w:r>
          </w:p>
        </w:tc>
      </w:tr>
    </w:tbl>
    <w:p w14:paraId="3BBF1E5D" w14:textId="52C5C22A" w:rsidR="00627BB3" w:rsidRDefault="00350561" w:rsidP="00627BB3">
      <w:r>
        <w:rPr>
          <w:noProof/>
        </w:rPr>
        <w:t xml:space="preserve"> </w:t>
      </w:r>
    </w:p>
    <w:p w14:paraId="2DFC97BA" w14:textId="77777777" w:rsidR="00627BB3" w:rsidRDefault="00627BB3" w:rsidP="00627BB3">
      <w:r>
        <w:rPr>
          <w:noProof/>
          <w:lang w:eastAsia="en-GB"/>
        </w:rPr>
        <w:drawing>
          <wp:inline distT="0" distB="0" distL="0" distR="0" wp14:anchorId="3DF7E6D5" wp14:editId="6A5F4A13">
            <wp:extent cx="146685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66850" cy="695325"/>
                    </a:xfrm>
                    <a:prstGeom prst="rect">
                      <a:avLst/>
                    </a:prstGeom>
                  </pic:spPr>
                </pic:pic>
              </a:graphicData>
            </a:graphic>
          </wp:inline>
        </w:drawing>
      </w:r>
    </w:p>
    <w:p w14:paraId="4E557F0E" w14:textId="77777777" w:rsidR="00627BB3" w:rsidRDefault="00627BB3" w:rsidP="00627BB3"/>
    <w:p w14:paraId="40F816AD" w14:textId="7FBCC32F" w:rsidR="00627BB3" w:rsidRPr="008F2C3E" w:rsidRDefault="00627BB3" w:rsidP="00627BB3">
      <w:pPr>
        <w:rPr>
          <w:b/>
          <w:bCs/>
          <w:color w:val="1F3864" w:themeColor="accent5" w:themeShade="80"/>
          <w:sz w:val="48"/>
          <w:szCs w:val="48"/>
        </w:rPr>
      </w:pPr>
      <w:bookmarkStart w:id="2" w:name="_Hlk532242190"/>
      <w:r>
        <w:rPr>
          <w:b/>
          <w:bCs/>
          <w:color w:val="1F3864" w:themeColor="accent5" w:themeShade="80"/>
          <w:sz w:val="48"/>
          <w:szCs w:val="48"/>
        </w:rPr>
        <w:t>KAJIADO</w:t>
      </w:r>
      <w:r w:rsidRPr="008F2C3E">
        <w:rPr>
          <w:b/>
          <w:bCs/>
          <w:color w:val="1F3864" w:themeColor="accent5" w:themeShade="80"/>
          <w:sz w:val="48"/>
          <w:szCs w:val="48"/>
        </w:rPr>
        <w:t xml:space="preserve"> COUNTY</w:t>
      </w:r>
      <w:bookmarkEnd w:id="2"/>
    </w:p>
    <w:p w14:paraId="088AB57B" w14:textId="77777777" w:rsidR="00627BB3" w:rsidRDefault="00627BB3" w:rsidP="00627BB3"/>
    <w:p w14:paraId="4C60DFDD" w14:textId="1CF42067" w:rsidR="00627BB3" w:rsidRDefault="00627BB3" w:rsidP="00627BB3">
      <w:pPr>
        <w:jc w:val="left"/>
        <w:rPr>
          <w:b/>
          <w:bCs/>
          <w:color w:val="1F3864" w:themeColor="accent5" w:themeShade="80"/>
          <w:sz w:val="48"/>
          <w:szCs w:val="48"/>
        </w:rPr>
      </w:pPr>
      <w:r w:rsidRPr="001814D4">
        <w:rPr>
          <w:b/>
          <w:bCs/>
          <w:color w:val="1F3864" w:themeColor="accent5" w:themeShade="80"/>
          <w:sz w:val="48"/>
          <w:szCs w:val="48"/>
        </w:rPr>
        <w:t>Public Expenditure and Financial Accountability Assess</w:t>
      </w:r>
      <w:r>
        <w:rPr>
          <w:b/>
          <w:bCs/>
          <w:color w:val="1F3864" w:themeColor="accent5" w:themeShade="80"/>
          <w:sz w:val="48"/>
          <w:szCs w:val="48"/>
        </w:rPr>
        <w:t>ment 2018</w:t>
      </w:r>
    </w:p>
    <w:p w14:paraId="6668F618" w14:textId="77777777" w:rsidR="00627BB3" w:rsidRDefault="00627BB3" w:rsidP="00627BB3">
      <w:pPr>
        <w:jc w:val="left"/>
        <w:rPr>
          <w:b/>
          <w:bCs/>
          <w:color w:val="1F3864" w:themeColor="accent5" w:themeShade="80"/>
          <w:sz w:val="48"/>
          <w:szCs w:val="48"/>
        </w:rPr>
      </w:pPr>
    </w:p>
    <w:p w14:paraId="3B78F342" w14:textId="677C54D1" w:rsidR="00627BB3" w:rsidRPr="001814D4" w:rsidRDefault="00627BB3" w:rsidP="00627BB3">
      <w:pPr>
        <w:jc w:val="left"/>
        <w:rPr>
          <w:b/>
          <w:bCs/>
          <w:color w:val="1F3864" w:themeColor="accent5" w:themeShade="80"/>
          <w:sz w:val="48"/>
          <w:szCs w:val="48"/>
        </w:rPr>
      </w:pPr>
      <w:r>
        <w:rPr>
          <w:b/>
          <w:bCs/>
          <w:color w:val="1F3864" w:themeColor="accent5" w:themeShade="80"/>
          <w:sz w:val="48"/>
          <w:szCs w:val="48"/>
        </w:rPr>
        <w:t xml:space="preserve">Final </w:t>
      </w:r>
      <w:r w:rsidR="009E07C3">
        <w:rPr>
          <w:b/>
          <w:bCs/>
          <w:color w:val="1F3864" w:themeColor="accent5" w:themeShade="80"/>
          <w:sz w:val="48"/>
          <w:szCs w:val="48"/>
        </w:rPr>
        <w:t>report</w:t>
      </w:r>
      <w:r>
        <w:rPr>
          <w:b/>
          <w:bCs/>
          <w:color w:val="1F3864" w:themeColor="accent5" w:themeShade="80"/>
          <w:sz w:val="48"/>
          <w:szCs w:val="48"/>
        </w:rPr>
        <w:t xml:space="preserve"> </w:t>
      </w:r>
      <w:r>
        <w:rPr>
          <w:b/>
          <w:noProof/>
          <w:lang w:eastAsia="en-GB"/>
        </w:rPr>
        <w:drawing>
          <wp:inline distT="0" distB="0" distL="0" distR="0" wp14:anchorId="64A9ACCB" wp14:editId="5C56C52E">
            <wp:extent cx="1428750" cy="1428750"/>
            <wp:effectExtent l="19050" t="0" r="0" b="0"/>
            <wp:docPr id="25" name="Picture 1" descr="PEFA_che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FA_checklogo.jpg"/>
                    <pic:cNvPicPr/>
                  </pic:nvPicPr>
                  <pic:blipFill>
                    <a:blip r:embed="rId16" cstate="print"/>
                    <a:stretch>
                      <a:fillRect/>
                    </a:stretch>
                  </pic:blipFill>
                  <pic:spPr>
                    <a:xfrm>
                      <a:off x="0" y="0"/>
                      <a:ext cx="1428750" cy="1428750"/>
                    </a:xfrm>
                    <a:prstGeom prst="rect">
                      <a:avLst/>
                    </a:prstGeom>
                  </pic:spPr>
                </pic:pic>
              </a:graphicData>
            </a:graphic>
          </wp:inline>
        </w:drawing>
      </w:r>
    </w:p>
    <w:p w14:paraId="2A18F9E1" w14:textId="685E8A5E" w:rsidR="00627BB3" w:rsidRPr="004104D2" w:rsidRDefault="00627BB3" w:rsidP="00627BB3">
      <w:r w:rsidRPr="001814D4">
        <w:rPr>
          <w:b/>
          <w:bCs/>
          <w:color w:val="1F3864" w:themeColor="accent5" w:themeShade="80"/>
          <w:sz w:val="28"/>
          <w:szCs w:val="28"/>
        </w:rPr>
        <w:t>November 2018</w:t>
      </w:r>
      <w:r w:rsidRPr="00123B07">
        <w:rPr>
          <w:rFonts w:ascii="Times New Roman" w:hAnsi="Times New Roman"/>
          <w:noProof/>
          <w:lang w:eastAsia="en-GB"/>
        </w:rPr>
        <mc:AlternateContent>
          <mc:Choice Requires="wps">
            <w:drawing>
              <wp:anchor distT="0" distB="0" distL="114300" distR="114300" simplePos="0" relativeHeight="251661312" behindDoc="0" locked="0" layoutInCell="1" allowOverlap="1" wp14:anchorId="200D3D44" wp14:editId="36F415DF">
                <wp:simplePos x="0" y="0"/>
                <wp:positionH relativeFrom="column">
                  <wp:posOffset>4472305</wp:posOffset>
                </wp:positionH>
                <wp:positionV relativeFrom="paragraph">
                  <wp:posOffset>7463790</wp:posOffset>
                </wp:positionV>
                <wp:extent cx="2286000" cy="15786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7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D49D" w14:textId="77777777" w:rsidR="007815B0" w:rsidRDefault="007815B0" w:rsidP="00627BB3">
                            <w:pPr>
                              <w:spacing w:line="360" w:lineRule="auto"/>
                              <w:rPr>
                                <w:rFonts w:ascii="Gill Sans" w:hAnsi="Gill Sans"/>
                                <w:color w:val="FFFFFF"/>
                              </w:rPr>
                            </w:pPr>
                          </w:p>
                          <w:p w14:paraId="22EC43AF" w14:textId="77777777" w:rsidR="007815B0" w:rsidRDefault="007815B0" w:rsidP="00627BB3">
                            <w:pPr>
                              <w:spacing w:line="360" w:lineRule="auto"/>
                              <w:jc w:val="center"/>
                              <w:rPr>
                                <w:rFonts w:ascii="Gill Sans" w:hAnsi="Gill Sans"/>
                                <w:color w:val="FFFFFF"/>
                              </w:rPr>
                            </w:pPr>
                          </w:p>
                          <w:p w14:paraId="5CED5056" w14:textId="77777777" w:rsidR="007815B0" w:rsidRPr="00753AA7" w:rsidRDefault="007815B0" w:rsidP="00627BB3">
                            <w:pPr>
                              <w:jc w:val="center"/>
                              <w:rPr>
                                <w:rFonts w:ascii="AECOM Sans" w:hAnsi="AECOM Sans" w:cs="AECOM Sans"/>
                                <w:color w:val="FFFFFF"/>
                                <w:sz w:val="20"/>
                              </w:rPr>
                            </w:pPr>
                            <w:r w:rsidRPr="00753AA7">
                              <w:rPr>
                                <w:rFonts w:ascii="AECOM Sans" w:hAnsi="AECOM Sans" w:cs="AECOM Sans"/>
                                <w:color w:val="FFFFFF"/>
                                <w:sz w:val="20"/>
                              </w:rPr>
                              <w:t xml:space="preserve">This Project </w:t>
                            </w:r>
                            <w:r>
                              <w:rPr>
                                <w:rFonts w:ascii="AECOM Sans" w:hAnsi="AECOM Sans" w:cs="AECOM Sans"/>
                                <w:color w:val="FFFFFF"/>
                                <w:sz w:val="20"/>
                              </w:rPr>
                              <w:t>is</w:t>
                            </w:r>
                            <w:r w:rsidRPr="00753AA7">
                              <w:rPr>
                                <w:rFonts w:ascii="AECOM Sans" w:hAnsi="AECOM Sans" w:cs="AECOM Sans"/>
                                <w:color w:val="FFFFFF"/>
                                <w:sz w:val="20"/>
                              </w:rPr>
                              <w:t xml:space="preserve"> financed</w:t>
                            </w:r>
                          </w:p>
                          <w:p w14:paraId="172FE330" w14:textId="77777777" w:rsidR="007815B0" w:rsidRPr="00753AA7" w:rsidRDefault="007815B0" w:rsidP="00627BB3">
                            <w:pPr>
                              <w:jc w:val="center"/>
                              <w:rPr>
                                <w:rFonts w:ascii="AECOM Sans" w:hAnsi="AECOM Sans" w:cs="AECOM Sans"/>
                                <w:color w:val="FFFFFF"/>
                                <w:sz w:val="20"/>
                              </w:rPr>
                            </w:pPr>
                            <w:r w:rsidRPr="00753AA7">
                              <w:rPr>
                                <w:rFonts w:ascii="AECOM Sans" w:hAnsi="AECOM Sans" w:cs="AECOM Sans"/>
                                <w:color w:val="FFFFFF"/>
                                <w:sz w:val="20"/>
                              </w:rPr>
                              <w:t xml:space="preserve">By the </w:t>
                            </w:r>
                            <w:r>
                              <w:rPr>
                                <w:rFonts w:ascii="AECOM Sans" w:hAnsi="AECOM Sans" w:cs="AECOM Sans"/>
                                <w:color w:val="FFFFFF"/>
                                <w:sz w:val="20"/>
                              </w:rPr>
                              <w:t>World Bank</w:t>
                            </w:r>
                          </w:p>
                          <w:p w14:paraId="232B6A27" w14:textId="77777777" w:rsidR="007815B0" w:rsidRPr="00753AA7" w:rsidRDefault="007815B0" w:rsidP="00627BB3">
                            <w:pPr>
                              <w:jc w:val="center"/>
                              <w:rPr>
                                <w:color w:val="FFFFF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3D44" id="_x0000_t202" coordsize="21600,21600" o:spt="202" path="m,l,21600r21600,l21600,xe">
                <v:stroke joinstyle="miter"/>
                <v:path gradientshapeok="t" o:connecttype="rect"/>
              </v:shapetype>
              <v:shape id="Text Box 5" o:spid="_x0000_s1026" type="#_x0000_t202" style="position:absolute;left:0;text-align:left;margin-left:352.15pt;margin-top:587.7pt;width:180pt;height:1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" filled="f" stroked="f">
                <v:textbox inset="0,0,0,0">
                  <w:txbxContent>
                    <w:p w14:paraId="21DFD49D" w14:textId="77777777" w:rsidR="007815B0" w:rsidRDefault="007815B0" w:rsidP="00627BB3">
                      <w:pPr>
                        <w:spacing w:line="360" w:lineRule="auto"/>
                        <w:rPr>
                          <w:rFonts w:ascii="Gill Sans" w:hAnsi="Gill Sans"/>
                          <w:color w:val="FFFFFF"/>
                        </w:rPr>
                      </w:pPr>
                    </w:p>
                    <w:p w14:paraId="22EC43AF" w14:textId="77777777" w:rsidR="007815B0" w:rsidRDefault="007815B0" w:rsidP="00627BB3">
                      <w:pPr>
                        <w:spacing w:line="360" w:lineRule="auto"/>
                        <w:jc w:val="center"/>
                        <w:rPr>
                          <w:rFonts w:ascii="Gill Sans" w:hAnsi="Gill Sans"/>
                          <w:color w:val="FFFFFF"/>
                        </w:rPr>
                      </w:pPr>
                    </w:p>
                    <w:p w14:paraId="5CED5056" w14:textId="77777777" w:rsidR="007815B0" w:rsidRPr="00753AA7" w:rsidRDefault="007815B0" w:rsidP="00627BB3">
                      <w:pPr>
                        <w:jc w:val="center"/>
                        <w:rPr>
                          <w:rFonts w:ascii="AECOM Sans" w:hAnsi="AECOM Sans" w:cs="AECOM Sans"/>
                          <w:color w:val="FFFFFF"/>
                          <w:sz w:val="20"/>
                        </w:rPr>
                      </w:pPr>
                      <w:r w:rsidRPr="00753AA7">
                        <w:rPr>
                          <w:rFonts w:ascii="AECOM Sans" w:hAnsi="AECOM Sans" w:cs="AECOM Sans"/>
                          <w:color w:val="FFFFFF"/>
                          <w:sz w:val="20"/>
                        </w:rPr>
                        <w:t xml:space="preserve">This Project </w:t>
                      </w:r>
                      <w:r>
                        <w:rPr>
                          <w:rFonts w:ascii="AECOM Sans" w:hAnsi="AECOM Sans" w:cs="AECOM Sans"/>
                          <w:color w:val="FFFFFF"/>
                          <w:sz w:val="20"/>
                        </w:rPr>
                        <w:t>is</w:t>
                      </w:r>
                      <w:r w:rsidRPr="00753AA7">
                        <w:rPr>
                          <w:rFonts w:ascii="AECOM Sans" w:hAnsi="AECOM Sans" w:cs="AECOM Sans"/>
                          <w:color w:val="FFFFFF"/>
                          <w:sz w:val="20"/>
                        </w:rPr>
                        <w:t xml:space="preserve"> financed</w:t>
                      </w:r>
                    </w:p>
                    <w:p w14:paraId="172FE330" w14:textId="77777777" w:rsidR="007815B0" w:rsidRPr="00753AA7" w:rsidRDefault="007815B0" w:rsidP="00627BB3">
                      <w:pPr>
                        <w:jc w:val="center"/>
                        <w:rPr>
                          <w:rFonts w:ascii="AECOM Sans" w:hAnsi="AECOM Sans" w:cs="AECOM Sans"/>
                          <w:color w:val="FFFFFF"/>
                          <w:sz w:val="20"/>
                        </w:rPr>
                      </w:pPr>
                      <w:r w:rsidRPr="00753AA7">
                        <w:rPr>
                          <w:rFonts w:ascii="AECOM Sans" w:hAnsi="AECOM Sans" w:cs="AECOM Sans"/>
                          <w:color w:val="FFFFFF"/>
                          <w:sz w:val="20"/>
                        </w:rPr>
                        <w:t xml:space="preserve">By the </w:t>
                      </w:r>
                      <w:r>
                        <w:rPr>
                          <w:rFonts w:ascii="AECOM Sans" w:hAnsi="AECOM Sans" w:cs="AECOM Sans"/>
                          <w:color w:val="FFFFFF"/>
                          <w:sz w:val="20"/>
                        </w:rPr>
                        <w:t>World Bank</w:t>
                      </w:r>
                    </w:p>
                    <w:p w14:paraId="232B6A27" w14:textId="77777777" w:rsidR="007815B0" w:rsidRPr="00753AA7" w:rsidRDefault="007815B0" w:rsidP="00627BB3">
                      <w:pPr>
                        <w:jc w:val="center"/>
                        <w:rPr>
                          <w:color w:val="FFFFFF"/>
                          <w:sz w:val="20"/>
                        </w:rPr>
                      </w:pPr>
                    </w:p>
                  </w:txbxContent>
                </v:textbox>
              </v:shape>
            </w:pict>
          </mc:Fallback>
        </mc:AlternateContent>
      </w:r>
      <w:r w:rsidRPr="00123B07">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4CF7E061" wp14:editId="5C67D74E">
                <wp:simplePos x="0" y="0"/>
                <wp:positionH relativeFrom="column">
                  <wp:posOffset>3867150</wp:posOffset>
                </wp:positionH>
                <wp:positionV relativeFrom="paragraph">
                  <wp:posOffset>7666355</wp:posOffset>
                </wp:positionV>
                <wp:extent cx="2520315" cy="1150620"/>
                <wp:effectExtent l="0" t="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10D3" w14:textId="77777777" w:rsidR="007815B0" w:rsidRDefault="007815B0" w:rsidP="00627BB3">
                            <w:pPr>
                              <w:spacing w:line="360" w:lineRule="auto"/>
                              <w:jc w:val="center"/>
                              <w:rPr>
                                <w:rFonts w:ascii="Gill Sans" w:hAnsi="Gill Sans"/>
                                <w:color w:val="FFFFFF"/>
                              </w:rPr>
                            </w:pPr>
                          </w:p>
                          <w:p w14:paraId="12565DB3" w14:textId="77777777" w:rsidR="007815B0" w:rsidRDefault="007815B0" w:rsidP="00627BB3">
                            <w:pPr>
                              <w:spacing w:line="360" w:lineRule="auto"/>
                              <w:jc w:val="center"/>
                              <w:rPr>
                                <w:rFonts w:ascii="Gill Sans" w:hAnsi="Gill Sans"/>
                                <w:color w:val="FFFFFF"/>
                              </w:rPr>
                            </w:pPr>
                          </w:p>
                          <w:p w14:paraId="16555700" w14:textId="77777777" w:rsidR="007815B0" w:rsidRPr="00D465D2" w:rsidRDefault="007815B0" w:rsidP="00627BB3">
                            <w:pPr>
                              <w:jc w:val="center"/>
                              <w:rPr>
                                <w:rFonts w:ascii="AECOM Sans" w:hAnsi="AECOM Sans" w:cs="AECOM Sans"/>
                                <w:color w:val="FFFFFF"/>
                                <w:sz w:val="4"/>
                                <w:szCs w:val="4"/>
                              </w:rPr>
                            </w:pPr>
                          </w:p>
                          <w:p w14:paraId="62F74C9A" w14:textId="77777777" w:rsidR="007815B0" w:rsidRPr="00753AA7" w:rsidRDefault="007815B0" w:rsidP="00627BB3">
                            <w:pPr>
                              <w:jc w:val="center"/>
                              <w:rPr>
                                <w:color w:val="FFFFFF"/>
                                <w:sz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E061" id="Text Box 2" o:spid="_x0000_s1027" type="#_x0000_t202" style="position:absolute;left:0;text-align:left;margin-left:304.5pt;margin-top:603.65pt;width:198.4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etswIAALE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" filled="f" stroked="f">
                <v:textbox inset="0,0,0,0">
                  <w:txbxContent>
                    <w:p w14:paraId="739410D3" w14:textId="77777777" w:rsidR="007815B0" w:rsidRDefault="007815B0" w:rsidP="00627BB3">
                      <w:pPr>
                        <w:spacing w:line="360" w:lineRule="auto"/>
                        <w:jc w:val="center"/>
                        <w:rPr>
                          <w:rFonts w:ascii="Gill Sans" w:hAnsi="Gill Sans"/>
                          <w:color w:val="FFFFFF"/>
                        </w:rPr>
                      </w:pPr>
                    </w:p>
                    <w:p w14:paraId="12565DB3" w14:textId="77777777" w:rsidR="007815B0" w:rsidRDefault="007815B0" w:rsidP="00627BB3">
                      <w:pPr>
                        <w:spacing w:line="360" w:lineRule="auto"/>
                        <w:jc w:val="center"/>
                        <w:rPr>
                          <w:rFonts w:ascii="Gill Sans" w:hAnsi="Gill Sans"/>
                          <w:color w:val="FFFFFF"/>
                        </w:rPr>
                      </w:pPr>
                    </w:p>
                    <w:p w14:paraId="16555700" w14:textId="77777777" w:rsidR="007815B0" w:rsidRPr="00D465D2" w:rsidRDefault="007815B0" w:rsidP="00627BB3">
                      <w:pPr>
                        <w:jc w:val="center"/>
                        <w:rPr>
                          <w:rFonts w:ascii="AECOM Sans" w:hAnsi="AECOM Sans" w:cs="AECOM Sans"/>
                          <w:color w:val="FFFFFF"/>
                          <w:sz w:val="4"/>
                          <w:szCs w:val="4"/>
                        </w:rPr>
                      </w:pPr>
                    </w:p>
                    <w:p w14:paraId="62F74C9A" w14:textId="77777777" w:rsidR="007815B0" w:rsidRPr="00753AA7" w:rsidRDefault="007815B0" w:rsidP="00627BB3">
                      <w:pPr>
                        <w:jc w:val="center"/>
                        <w:rPr>
                          <w:color w:val="FFFFFF"/>
                          <w:sz w:val="20"/>
                          <w:lang w:val="fr-FR"/>
                        </w:rPr>
                      </w:pPr>
                    </w:p>
                  </w:txbxContent>
                </v:textbox>
              </v:shape>
            </w:pict>
          </mc:Fallback>
        </mc:AlternateContent>
      </w:r>
      <w:r w:rsidRPr="004104D2">
        <w:t xml:space="preserve"> </w:t>
      </w:r>
    </w:p>
    <w:p w14:paraId="1B36EA7B" w14:textId="421B7F6E" w:rsidR="00627BB3" w:rsidRPr="004104D2" w:rsidRDefault="00627BB3" w:rsidP="00627BB3"/>
    <w:p w14:paraId="24CE3DF0" w14:textId="47CD9ABE" w:rsidR="00627BB3" w:rsidRPr="00D954F5" w:rsidRDefault="00627BB3" w:rsidP="00627BB3">
      <w:pPr>
        <w:jc w:val="center"/>
        <w:rPr>
          <w:b/>
        </w:rPr>
      </w:pPr>
    </w:p>
    <w:p w14:paraId="172ADE15" w14:textId="58E20130" w:rsidR="00627BB3" w:rsidRDefault="00627BB3" w:rsidP="00627BB3">
      <w:pPr>
        <w:pStyle w:val="Default"/>
        <w:rPr>
          <w:sz w:val="28"/>
          <w:szCs w:val="28"/>
        </w:rPr>
      </w:pPr>
    </w:p>
    <w:p w14:paraId="48A956B3" w14:textId="7154795C" w:rsidR="00627BB3" w:rsidRDefault="00627BB3">
      <w:pPr>
        <w:jc w:val="left"/>
        <w:rPr>
          <w:rFonts w:ascii="Footlight MT Light" w:eastAsia="Calibri" w:hAnsi="Footlight MT Light" w:cs="Footlight MT Light"/>
          <w:color w:val="000000"/>
          <w:sz w:val="28"/>
          <w:szCs w:val="28"/>
          <w:lang w:val="en-US" w:eastAsia="en-US"/>
        </w:rPr>
      </w:pPr>
      <w:r>
        <w:rPr>
          <w:noProof/>
          <w:lang w:eastAsia="en-GB"/>
        </w:rPr>
        <w:drawing>
          <wp:anchor distT="0" distB="0" distL="114300" distR="114300" simplePos="0" relativeHeight="251668480" behindDoc="0" locked="0" layoutInCell="1" allowOverlap="1" wp14:anchorId="7E5967FC" wp14:editId="64147BAE">
            <wp:simplePos x="0" y="0"/>
            <wp:positionH relativeFrom="page">
              <wp:posOffset>19050</wp:posOffset>
            </wp:positionH>
            <wp:positionV relativeFrom="paragraph">
              <wp:posOffset>913765</wp:posOffset>
            </wp:positionV>
            <wp:extent cx="7776058" cy="13392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776058" cy="1339215"/>
                    </a:xfrm>
                    <a:prstGeom prst="rect">
                      <a:avLst/>
                    </a:prstGeom>
                  </pic:spPr>
                </pic:pic>
              </a:graphicData>
            </a:graphic>
            <wp14:sizeRelH relativeFrom="margin">
              <wp14:pctWidth>0</wp14:pctWidth>
            </wp14:sizeRelH>
          </wp:anchor>
        </w:drawing>
      </w:r>
      <w:r>
        <w:rPr>
          <w:sz w:val="28"/>
          <w:szCs w:val="28"/>
        </w:rPr>
        <w:br w:type="page"/>
      </w:r>
    </w:p>
    <w:p w14:paraId="62968074" w14:textId="15979C39" w:rsidR="00627BB3" w:rsidRDefault="00627BB3" w:rsidP="00627BB3">
      <w:pPr>
        <w:pStyle w:val="Default"/>
        <w:jc w:val="center"/>
        <w:rPr>
          <w:sz w:val="28"/>
          <w:szCs w:val="28"/>
        </w:rPr>
      </w:pPr>
      <w:r>
        <w:rPr>
          <w:sz w:val="28"/>
          <w:szCs w:val="28"/>
        </w:rPr>
        <w:lastRenderedPageBreak/>
        <w:t>Kenya</w:t>
      </w:r>
      <w:r w:rsidR="00B64296">
        <w:rPr>
          <w:sz w:val="28"/>
          <w:szCs w:val="28"/>
        </w:rPr>
        <w:t xml:space="preserve"> -</w:t>
      </w:r>
      <w:r w:rsidRPr="00602961">
        <w:t xml:space="preserve"> </w:t>
      </w:r>
      <w:r>
        <w:rPr>
          <w:sz w:val="28"/>
          <w:szCs w:val="28"/>
        </w:rPr>
        <w:t>Kajiado</w:t>
      </w:r>
      <w:r w:rsidRPr="00072E60">
        <w:rPr>
          <w:sz w:val="28"/>
          <w:szCs w:val="28"/>
        </w:rPr>
        <w:t xml:space="preserve"> </w:t>
      </w:r>
      <w:r w:rsidR="003A1FE9">
        <w:rPr>
          <w:sz w:val="28"/>
          <w:szCs w:val="28"/>
        </w:rPr>
        <w:t>C</w:t>
      </w:r>
      <w:r>
        <w:rPr>
          <w:sz w:val="28"/>
          <w:szCs w:val="28"/>
        </w:rPr>
        <w:t>ounty</w:t>
      </w:r>
    </w:p>
    <w:p w14:paraId="42CABE27" w14:textId="7C0641A8" w:rsidR="00627BB3" w:rsidRDefault="00627BB3" w:rsidP="00627BB3">
      <w:pPr>
        <w:pStyle w:val="Default"/>
        <w:jc w:val="center"/>
        <w:rPr>
          <w:sz w:val="28"/>
          <w:szCs w:val="28"/>
        </w:rPr>
      </w:pPr>
      <w:r w:rsidRPr="00547448">
        <w:rPr>
          <w:sz w:val="28"/>
          <w:szCs w:val="28"/>
        </w:rPr>
        <w:t xml:space="preserve">Public Expenditure and Financial Accountability </w:t>
      </w:r>
      <w:r w:rsidRPr="00F677C9">
        <w:rPr>
          <w:sz w:val="28"/>
          <w:szCs w:val="28"/>
        </w:rPr>
        <w:t>(PEFA)</w:t>
      </w:r>
      <w:r w:rsidRPr="00547448">
        <w:rPr>
          <w:sz w:val="28"/>
          <w:szCs w:val="28"/>
        </w:rPr>
        <w:t xml:space="preserve"> Assessment </w:t>
      </w:r>
      <w:r>
        <w:rPr>
          <w:sz w:val="28"/>
          <w:szCs w:val="28"/>
        </w:rPr>
        <w:t>of Kajiado</w:t>
      </w:r>
      <w:r w:rsidRPr="00072E60">
        <w:rPr>
          <w:sz w:val="28"/>
          <w:szCs w:val="28"/>
        </w:rPr>
        <w:t xml:space="preserve"> </w:t>
      </w:r>
      <w:r w:rsidR="00F677C9">
        <w:rPr>
          <w:sz w:val="28"/>
          <w:szCs w:val="28"/>
        </w:rPr>
        <w:t>Co</w:t>
      </w:r>
      <w:r>
        <w:rPr>
          <w:sz w:val="28"/>
          <w:szCs w:val="28"/>
        </w:rPr>
        <w:t xml:space="preserve">unty, Kenya </w:t>
      </w:r>
      <w:r w:rsidR="003A1FE9">
        <w:rPr>
          <w:sz w:val="28"/>
          <w:szCs w:val="28"/>
        </w:rPr>
        <w:t>- Based on PEFA M</w:t>
      </w:r>
      <w:r>
        <w:rPr>
          <w:sz w:val="28"/>
          <w:szCs w:val="28"/>
        </w:rPr>
        <w:t>ethodology 2016</w:t>
      </w:r>
    </w:p>
    <w:p w14:paraId="76EDBA1A" w14:textId="28719873" w:rsidR="00627BB3" w:rsidRPr="00547448" w:rsidRDefault="00627BB3" w:rsidP="00627BB3">
      <w:pPr>
        <w:pStyle w:val="Default"/>
        <w:jc w:val="center"/>
        <w:rPr>
          <w:sz w:val="28"/>
          <w:szCs w:val="28"/>
        </w:rPr>
      </w:pPr>
      <w:r>
        <w:rPr>
          <w:sz w:val="28"/>
          <w:szCs w:val="28"/>
        </w:rPr>
        <w:t>July 2018</w:t>
      </w:r>
    </w:p>
    <w:p w14:paraId="190972C8" w14:textId="139995C4" w:rsidR="00627BB3" w:rsidRPr="00E67EB7" w:rsidRDefault="00627BB3" w:rsidP="00627BB3">
      <w:pPr>
        <w:contextualSpacing/>
        <w:rPr>
          <w:b/>
          <w:sz w:val="52"/>
        </w:rPr>
      </w:pPr>
    </w:p>
    <w:p w14:paraId="1A851589" w14:textId="6249DE50" w:rsidR="00627BB3" w:rsidRDefault="00627BB3" w:rsidP="00627BB3">
      <w:pPr>
        <w:pStyle w:val="Default"/>
        <w:jc w:val="center"/>
        <w:rPr>
          <w:b/>
          <w:sz w:val="28"/>
          <w:szCs w:val="28"/>
        </w:rPr>
      </w:pPr>
    </w:p>
    <w:p w14:paraId="7E97E90E" w14:textId="77777777" w:rsidR="00627BB3" w:rsidRDefault="00627BB3" w:rsidP="00627BB3">
      <w:pPr>
        <w:pStyle w:val="Default"/>
        <w:jc w:val="center"/>
        <w:rPr>
          <w:b/>
          <w:sz w:val="28"/>
          <w:szCs w:val="28"/>
        </w:rPr>
      </w:pPr>
      <w:r>
        <w:rPr>
          <w:b/>
          <w:noProof/>
          <w:lang w:val="en-GB" w:eastAsia="en-GB"/>
        </w:rPr>
        <w:drawing>
          <wp:inline distT="0" distB="0" distL="0" distR="0" wp14:anchorId="16BBC506" wp14:editId="3C822A0E">
            <wp:extent cx="1428750" cy="1428750"/>
            <wp:effectExtent l="19050" t="0" r="0" b="0"/>
            <wp:docPr id="7" name="Picture 1" descr="PEFA_che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FA_checklogo.jpg"/>
                    <pic:cNvPicPr/>
                  </pic:nvPicPr>
                  <pic:blipFill>
                    <a:blip r:embed="rId16" cstate="print"/>
                    <a:stretch>
                      <a:fillRect/>
                    </a:stretch>
                  </pic:blipFill>
                  <pic:spPr>
                    <a:xfrm>
                      <a:off x="0" y="0"/>
                      <a:ext cx="1428750" cy="1428750"/>
                    </a:xfrm>
                    <a:prstGeom prst="rect">
                      <a:avLst/>
                    </a:prstGeom>
                  </pic:spPr>
                </pic:pic>
              </a:graphicData>
            </a:graphic>
          </wp:inline>
        </w:drawing>
      </w:r>
    </w:p>
    <w:p w14:paraId="24D4B872" w14:textId="77777777" w:rsidR="00627BB3" w:rsidRDefault="00627BB3" w:rsidP="00627BB3">
      <w:pPr>
        <w:rPr>
          <w:rFonts w:ascii="Times New Roman" w:hAnsi="Times New Roman"/>
          <w:sz w:val="28"/>
          <w:szCs w:val="28"/>
        </w:rPr>
      </w:pPr>
      <w:r w:rsidRPr="00214B21">
        <w:rPr>
          <w:rFonts w:ascii="Times New Roman" w:hAnsi="Times New Roman"/>
          <w:sz w:val="28"/>
          <w:szCs w:val="28"/>
        </w:rPr>
        <w:t xml:space="preserve">The quality assurance process </w:t>
      </w:r>
      <w:r>
        <w:rPr>
          <w:rFonts w:ascii="Times New Roman" w:hAnsi="Times New Roman"/>
          <w:sz w:val="28"/>
          <w:szCs w:val="28"/>
        </w:rPr>
        <w:t>followed</w:t>
      </w:r>
      <w:r w:rsidRPr="00214B21">
        <w:rPr>
          <w:rFonts w:ascii="Times New Roman" w:hAnsi="Times New Roman"/>
          <w:sz w:val="28"/>
          <w:szCs w:val="28"/>
        </w:rPr>
        <w:t xml:space="preserve"> </w:t>
      </w:r>
      <w:r>
        <w:rPr>
          <w:rFonts w:ascii="Times New Roman" w:hAnsi="Times New Roman"/>
          <w:sz w:val="28"/>
          <w:szCs w:val="28"/>
        </w:rPr>
        <w:t>in the production of this report</w:t>
      </w:r>
      <w:r w:rsidRPr="00214B21">
        <w:rPr>
          <w:rFonts w:ascii="Times New Roman" w:hAnsi="Times New Roman"/>
          <w:sz w:val="28"/>
          <w:szCs w:val="28"/>
        </w:rPr>
        <w:t xml:space="preserve"> satisfies </w:t>
      </w:r>
      <w:r>
        <w:rPr>
          <w:rFonts w:ascii="Times New Roman" w:hAnsi="Times New Roman"/>
          <w:sz w:val="28"/>
          <w:szCs w:val="28"/>
        </w:rPr>
        <w:t xml:space="preserve">all </w:t>
      </w:r>
      <w:r w:rsidRPr="00214B21">
        <w:rPr>
          <w:rFonts w:ascii="Times New Roman" w:hAnsi="Times New Roman"/>
          <w:sz w:val="28"/>
          <w:szCs w:val="28"/>
        </w:rPr>
        <w:t>the requirement</w:t>
      </w:r>
      <w:r>
        <w:rPr>
          <w:rFonts w:ascii="Times New Roman" w:hAnsi="Times New Roman"/>
          <w:sz w:val="28"/>
          <w:szCs w:val="28"/>
        </w:rPr>
        <w:t>s</w:t>
      </w:r>
      <w:r w:rsidRPr="00214B21">
        <w:rPr>
          <w:rFonts w:ascii="Times New Roman" w:hAnsi="Times New Roman"/>
          <w:sz w:val="28"/>
          <w:szCs w:val="28"/>
        </w:rPr>
        <w:t xml:space="preserve"> of the PEFA Secretariat </w:t>
      </w:r>
      <w:r>
        <w:rPr>
          <w:rFonts w:ascii="Times New Roman" w:hAnsi="Times New Roman"/>
          <w:sz w:val="28"/>
          <w:szCs w:val="28"/>
        </w:rPr>
        <w:t>and hence receives the ‘</w:t>
      </w:r>
      <w:r w:rsidRPr="00625735">
        <w:rPr>
          <w:rFonts w:ascii="Times New Roman" w:hAnsi="Times New Roman"/>
          <w:b/>
          <w:sz w:val="28"/>
          <w:szCs w:val="28"/>
        </w:rPr>
        <w:t>PEFA CHECK</w:t>
      </w:r>
      <w:r>
        <w:rPr>
          <w:rFonts w:ascii="Times New Roman" w:hAnsi="Times New Roman"/>
          <w:b/>
          <w:sz w:val="28"/>
          <w:szCs w:val="28"/>
        </w:rPr>
        <w:t>’</w:t>
      </w:r>
      <w:r w:rsidRPr="00625735">
        <w:rPr>
          <w:rFonts w:ascii="Times New Roman" w:hAnsi="Times New Roman"/>
          <w:sz w:val="28"/>
          <w:szCs w:val="28"/>
        </w:rPr>
        <w:t xml:space="preserve">. </w:t>
      </w:r>
    </w:p>
    <w:p w14:paraId="0FB4B8B8" w14:textId="77777777" w:rsidR="00627BB3" w:rsidRDefault="00627BB3" w:rsidP="00627BB3">
      <w:pPr>
        <w:rPr>
          <w:rFonts w:ascii="Times New Roman" w:hAnsi="Times New Roman"/>
          <w:sz w:val="28"/>
          <w:szCs w:val="28"/>
        </w:rPr>
      </w:pPr>
    </w:p>
    <w:p w14:paraId="231F3360" w14:textId="77777777" w:rsidR="00627BB3" w:rsidRPr="00625735" w:rsidRDefault="00627BB3" w:rsidP="00627BB3">
      <w:pPr>
        <w:jc w:val="center"/>
        <w:rPr>
          <w:rFonts w:ascii="Times New Roman" w:hAnsi="Times New Roman"/>
          <w:sz w:val="28"/>
          <w:szCs w:val="28"/>
        </w:rPr>
      </w:pPr>
    </w:p>
    <w:p w14:paraId="7F02BD1E" w14:textId="77777777" w:rsidR="00627BB3" w:rsidRPr="00214B21" w:rsidRDefault="00627BB3" w:rsidP="00627BB3">
      <w:pPr>
        <w:rPr>
          <w:rFonts w:ascii="Times New Roman" w:hAnsi="Times New Roman"/>
          <w:sz w:val="28"/>
          <w:szCs w:val="28"/>
        </w:rPr>
      </w:pPr>
    </w:p>
    <w:p w14:paraId="271E2089" w14:textId="77777777" w:rsidR="00627BB3" w:rsidRDefault="00627BB3" w:rsidP="00627BB3">
      <w:pPr>
        <w:rPr>
          <w:rFonts w:ascii="Times New Roman" w:hAnsi="Times New Roman"/>
          <w:sz w:val="28"/>
          <w:szCs w:val="28"/>
        </w:rPr>
      </w:pPr>
      <w:r w:rsidRPr="00214B21">
        <w:rPr>
          <w:rFonts w:ascii="Times New Roman" w:hAnsi="Times New Roman"/>
          <w:sz w:val="28"/>
          <w:szCs w:val="28"/>
        </w:rPr>
        <w:t xml:space="preserve">PEFA Secretariat, </w:t>
      </w:r>
    </w:p>
    <w:p w14:paraId="49D2EC54" w14:textId="77777777" w:rsidR="00627BB3" w:rsidRPr="00214B21" w:rsidRDefault="00627BB3" w:rsidP="00627BB3">
      <w:pPr>
        <w:rPr>
          <w:rFonts w:ascii="Times New Roman" w:hAnsi="Times New Roman"/>
          <w:sz w:val="28"/>
          <w:szCs w:val="28"/>
        </w:rPr>
      </w:pPr>
      <w:r>
        <w:rPr>
          <w:rFonts w:ascii="Times New Roman" w:hAnsi="Times New Roman"/>
          <w:sz w:val="28"/>
          <w:szCs w:val="28"/>
        </w:rPr>
        <w:t>November 15, 2018</w:t>
      </w:r>
    </w:p>
    <w:p w14:paraId="01F80E5A" w14:textId="3EEFDF1C" w:rsidR="00627BB3" w:rsidRDefault="00627BB3">
      <w:pPr>
        <w:jc w:val="left"/>
      </w:pPr>
      <w:r>
        <w:br w:type="page"/>
      </w:r>
    </w:p>
    <w:p w14:paraId="134EFFE1" w14:textId="77777777" w:rsidR="00DF0D7D" w:rsidRDefault="00DF0D7D">
      <w:pPr>
        <w:jc w:val="left"/>
      </w:pPr>
    </w:p>
    <w:p w14:paraId="59655FB6" w14:textId="77C1EB5D" w:rsidR="00DF0D7D" w:rsidRDefault="00DF0D7D">
      <w:pPr>
        <w:jc w:val="left"/>
      </w:pPr>
    </w:p>
    <w:p w14:paraId="7385E81E" w14:textId="77777777" w:rsidR="00DF0D7D" w:rsidRPr="00D0707A" w:rsidRDefault="00DF0D7D" w:rsidP="00D0707A">
      <w:pPr>
        <w:jc w:val="center"/>
        <w:rPr>
          <w:rStyle w:val="Strong"/>
          <w:sz w:val="28"/>
        </w:rPr>
      </w:pPr>
      <w:r w:rsidRPr="00D0707A">
        <w:rPr>
          <w:rStyle w:val="Strong"/>
          <w:sz w:val="28"/>
        </w:rPr>
        <w:t>Currency and indicative exchange rates</w:t>
      </w:r>
    </w:p>
    <w:p w14:paraId="7326BA49" w14:textId="5C8BCB82" w:rsidR="00DF0D7D" w:rsidRDefault="00DF0D7D" w:rsidP="00D0707A">
      <w:pPr>
        <w:jc w:val="center"/>
      </w:pPr>
      <w:r>
        <w:t>Local currency unit = Kenyan Shilling (</w:t>
      </w:r>
      <w:r w:rsidR="00E73ED7">
        <w:t>Ksh</w:t>
      </w:r>
      <w:r>
        <w:t>)</w:t>
      </w:r>
    </w:p>
    <w:p w14:paraId="45A2570F" w14:textId="2F31F964" w:rsidR="00DF0D7D" w:rsidRDefault="00F677C9" w:rsidP="00D0707A">
      <w:pPr>
        <w:jc w:val="center"/>
      </w:pPr>
      <w:r w:rsidRPr="00DF0D7D">
        <w:t xml:space="preserve">EUR </w:t>
      </w:r>
      <w:r w:rsidR="00DF0D7D" w:rsidRPr="00DF0D7D">
        <w:t xml:space="preserve">1 = </w:t>
      </w:r>
      <w:r w:rsidR="00E73ED7">
        <w:t>Ksh</w:t>
      </w:r>
      <w:r w:rsidR="003A1FE9">
        <w:t xml:space="preserve"> </w:t>
      </w:r>
      <w:r w:rsidR="00DF0D7D" w:rsidRPr="00DF0D7D">
        <w:t xml:space="preserve">118.7000 </w:t>
      </w:r>
      <w:r w:rsidR="00DF0D7D">
        <w:t>(December 2017)</w:t>
      </w:r>
    </w:p>
    <w:p w14:paraId="7FF2BC4D" w14:textId="2B394E17" w:rsidR="00DF0D7D" w:rsidRDefault="00F677C9" w:rsidP="00D0707A">
      <w:pPr>
        <w:jc w:val="center"/>
      </w:pPr>
      <w:r w:rsidRPr="00DF0D7D">
        <w:t xml:space="preserve">USD </w:t>
      </w:r>
      <w:r w:rsidR="00DF0D7D" w:rsidRPr="00DF0D7D">
        <w:t xml:space="preserve">1 = </w:t>
      </w:r>
      <w:r w:rsidR="00E73ED7">
        <w:t>Ksh</w:t>
      </w:r>
      <w:r w:rsidR="003A1FE9">
        <w:t xml:space="preserve"> </w:t>
      </w:r>
      <w:r w:rsidR="00DF0D7D" w:rsidRPr="00DF0D7D">
        <w:t xml:space="preserve">100.7520 </w:t>
      </w:r>
      <w:r w:rsidR="00DF0D7D">
        <w:t>(March 2017)</w:t>
      </w:r>
    </w:p>
    <w:p w14:paraId="6A9C0B03" w14:textId="7F5F5FDB" w:rsidR="00DF0D7D" w:rsidRDefault="00DF0D7D" w:rsidP="00D0707A">
      <w:pPr>
        <w:jc w:val="center"/>
      </w:pPr>
    </w:p>
    <w:p w14:paraId="08ED58BC" w14:textId="77777777" w:rsidR="00DF0D7D" w:rsidRDefault="00DF0D7D" w:rsidP="00D0707A">
      <w:pPr>
        <w:jc w:val="center"/>
      </w:pPr>
    </w:p>
    <w:p w14:paraId="5AD885FC" w14:textId="63DBD325" w:rsidR="00DF0D7D" w:rsidRPr="00D0707A" w:rsidRDefault="00DF0D7D" w:rsidP="00D0707A">
      <w:pPr>
        <w:jc w:val="center"/>
        <w:rPr>
          <w:sz w:val="28"/>
        </w:rPr>
      </w:pPr>
      <w:r w:rsidRPr="00D0707A">
        <w:rPr>
          <w:rStyle w:val="Strong"/>
          <w:sz w:val="28"/>
        </w:rPr>
        <w:t>Fiscal Year</w:t>
      </w:r>
    </w:p>
    <w:p w14:paraId="7B6F637B" w14:textId="5C0D6ED7" w:rsidR="001E0DE4" w:rsidRDefault="00DF0D7D" w:rsidP="00D0707A">
      <w:pPr>
        <w:jc w:val="center"/>
      </w:pPr>
      <w:r>
        <w:t xml:space="preserve">July </w:t>
      </w:r>
      <w:r w:rsidR="00F677C9">
        <w:t xml:space="preserve">1 </w:t>
      </w:r>
      <w:r w:rsidR="00FC0ED2">
        <w:t>to June</w:t>
      </w:r>
      <w:r w:rsidR="00F677C9">
        <w:t xml:space="preserve"> 30</w:t>
      </w:r>
    </w:p>
    <w:p w14:paraId="251494CB" w14:textId="77777777" w:rsidR="00DF0D7D" w:rsidRDefault="00DF0D7D" w:rsidP="00DF0D7D"/>
    <w:p w14:paraId="207A11AF" w14:textId="77777777" w:rsidR="00DF0D7D" w:rsidRDefault="00DF0D7D" w:rsidP="00DF0D7D"/>
    <w:p w14:paraId="0F2C5AB9" w14:textId="77777777" w:rsidR="00DF0D7D" w:rsidRDefault="00DF0D7D" w:rsidP="00DF0D7D"/>
    <w:p w14:paraId="4722F13F" w14:textId="77777777" w:rsidR="00DF0D7D" w:rsidRDefault="00DF0D7D" w:rsidP="00DF0D7D"/>
    <w:p w14:paraId="304EB773" w14:textId="33A11EAF" w:rsidR="00DF0D7D" w:rsidRPr="00890A84" w:rsidRDefault="00DF0D7D" w:rsidP="00DF0D7D">
      <w:pPr>
        <w:sectPr w:rsidR="00DF0D7D" w:rsidRPr="00890A84" w:rsidSect="00AB619A">
          <w:headerReference w:type="even" r:id="rId17"/>
          <w:footerReference w:type="even" r:id="rId18"/>
          <w:headerReference w:type="first" r:id="rId19"/>
          <w:pgSz w:w="12240" w:h="15840"/>
          <w:pgMar w:top="1440" w:right="1440" w:bottom="1440" w:left="1440" w:header="760" w:footer="723" w:gutter="0"/>
          <w:pgNumType w:start="1"/>
          <w:cols w:space="720"/>
          <w:docGrid w:linePitch="326"/>
        </w:sectPr>
      </w:pPr>
    </w:p>
    <w:p w14:paraId="244B4BCB" w14:textId="77777777" w:rsidR="00227897" w:rsidRPr="00B64296" w:rsidRDefault="00227897" w:rsidP="00B64296">
      <w:pPr>
        <w:spacing w:after="240"/>
        <w:rPr>
          <w:b/>
          <w:color w:val="0070C0"/>
        </w:rPr>
      </w:pPr>
      <w:r w:rsidRPr="00B64296">
        <w:rPr>
          <w:b/>
          <w:color w:val="0070C0"/>
        </w:rPr>
        <w:t>Table of Contents</w:t>
      </w:r>
    </w:p>
    <w:p w14:paraId="1E2CDAA7" w14:textId="65E5E173" w:rsidR="00C577DD" w:rsidRDefault="00426456">
      <w:pPr>
        <w:pStyle w:val="TOC1"/>
        <w:tabs>
          <w:tab w:val="right" w:leader="dot" w:pos="9350"/>
        </w:tabs>
        <w:rPr>
          <w:rFonts w:asciiTheme="minorHAnsi" w:eastAsiaTheme="minorEastAsia" w:hAnsiTheme="minorHAnsi" w:cstheme="minorBidi"/>
          <w:noProof/>
          <w:color w:val="auto"/>
          <w:lang w:val="en-US" w:eastAsia="en-US"/>
        </w:rPr>
      </w:pPr>
      <w:r w:rsidRPr="00997EEC">
        <w:rPr>
          <w:rFonts w:eastAsia="Times New Roman"/>
          <w:color w:val="auto"/>
          <w:lang w:val="en-GB"/>
        </w:rPr>
        <w:fldChar w:fldCharType="begin"/>
      </w:r>
      <w:r w:rsidR="00E42BB9" w:rsidRPr="00997EEC">
        <w:instrText xml:space="preserve"> TOC \o "1-3" \h \z \u </w:instrText>
      </w:r>
      <w:r w:rsidRPr="00997EEC">
        <w:rPr>
          <w:rFonts w:eastAsia="Times New Roman"/>
          <w:color w:val="auto"/>
          <w:lang w:val="en-GB"/>
        </w:rPr>
        <w:fldChar w:fldCharType="separate"/>
      </w:r>
      <w:hyperlink w:anchor="_Toc532426015" w:history="1">
        <w:r w:rsidR="00C577DD" w:rsidRPr="00B462D2">
          <w:rPr>
            <w:rStyle w:val="Hyperlink"/>
            <w:noProof/>
            <w:lang w:eastAsia="en-US"/>
          </w:rPr>
          <w:t>Acronyms</w:t>
        </w:r>
        <w:r w:rsidR="00C577DD">
          <w:rPr>
            <w:noProof/>
            <w:webHidden/>
          </w:rPr>
          <w:tab/>
        </w:r>
        <w:r w:rsidR="00C577DD">
          <w:rPr>
            <w:noProof/>
            <w:webHidden/>
          </w:rPr>
          <w:fldChar w:fldCharType="begin"/>
        </w:r>
        <w:r w:rsidR="00C577DD">
          <w:rPr>
            <w:noProof/>
            <w:webHidden/>
          </w:rPr>
          <w:instrText xml:space="preserve"> PAGEREF _Toc532426015 \h </w:instrText>
        </w:r>
        <w:r w:rsidR="00C577DD">
          <w:rPr>
            <w:noProof/>
            <w:webHidden/>
          </w:rPr>
        </w:r>
        <w:r w:rsidR="00C577DD">
          <w:rPr>
            <w:noProof/>
            <w:webHidden/>
          </w:rPr>
          <w:fldChar w:fldCharType="separate"/>
        </w:r>
        <w:r w:rsidR="00C577DD">
          <w:rPr>
            <w:noProof/>
            <w:webHidden/>
          </w:rPr>
          <w:t>i</w:t>
        </w:r>
        <w:r w:rsidR="00C577DD">
          <w:rPr>
            <w:noProof/>
            <w:webHidden/>
          </w:rPr>
          <w:fldChar w:fldCharType="end"/>
        </w:r>
      </w:hyperlink>
    </w:p>
    <w:p w14:paraId="39CCEBEC" w14:textId="5707E89F" w:rsidR="00C577DD" w:rsidRDefault="008B59A7">
      <w:pPr>
        <w:pStyle w:val="TOC1"/>
        <w:tabs>
          <w:tab w:val="right" w:leader="dot" w:pos="9350"/>
        </w:tabs>
        <w:rPr>
          <w:rFonts w:asciiTheme="minorHAnsi" w:eastAsiaTheme="minorEastAsia" w:hAnsiTheme="minorHAnsi" w:cstheme="minorBidi"/>
          <w:noProof/>
          <w:color w:val="auto"/>
          <w:lang w:val="en-US" w:eastAsia="en-US"/>
        </w:rPr>
      </w:pPr>
      <w:hyperlink w:anchor="_Toc532426016" w:history="1">
        <w:r w:rsidR="00C577DD" w:rsidRPr="00B462D2">
          <w:rPr>
            <w:rStyle w:val="Hyperlink"/>
            <w:noProof/>
            <w:lang w:eastAsia="en-US"/>
          </w:rPr>
          <w:t>Executive Summary</w:t>
        </w:r>
        <w:r w:rsidR="00C577DD">
          <w:rPr>
            <w:noProof/>
            <w:webHidden/>
          </w:rPr>
          <w:tab/>
        </w:r>
        <w:r w:rsidR="00C577DD">
          <w:rPr>
            <w:noProof/>
            <w:webHidden/>
          </w:rPr>
          <w:fldChar w:fldCharType="begin"/>
        </w:r>
        <w:r w:rsidR="00C577DD">
          <w:rPr>
            <w:noProof/>
            <w:webHidden/>
          </w:rPr>
          <w:instrText xml:space="preserve"> PAGEREF _Toc532426016 \h </w:instrText>
        </w:r>
        <w:r w:rsidR="00C577DD">
          <w:rPr>
            <w:noProof/>
            <w:webHidden/>
          </w:rPr>
        </w:r>
        <w:r w:rsidR="00C577DD">
          <w:rPr>
            <w:noProof/>
            <w:webHidden/>
          </w:rPr>
          <w:fldChar w:fldCharType="separate"/>
        </w:r>
        <w:r w:rsidR="00C577DD">
          <w:rPr>
            <w:noProof/>
            <w:webHidden/>
          </w:rPr>
          <w:t>1</w:t>
        </w:r>
        <w:r w:rsidR="00C577DD">
          <w:rPr>
            <w:noProof/>
            <w:webHidden/>
          </w:rPr>
          <w:fldChar w:fldCharType="end"/>
        </w:r>
      </w:hyperlink>
    </w:p>
    <w:p w14:paraId="05838502" w14:textId="30976277" w:rsidR="00C577DD" w:rsidRDefault="008B59A7">
      <w:pPr>
        <w:pStyle w:val="TOC1"/>
        <w:tabs>
          <w:tab w:val="left" w:pos="505"/>
          <w:tab w:val="right" w:leader="dot" w:pos="9350"/>
        </w:tabs>
        <w:rPr>
          <w:rFonts w:asciiTheme="minorHAnsi" w:eastAsiaTheme="minorEastAsia" w:hAnsiTheme="minorHAnsi" w:cstheme="minorBidi"/>
          <w:noProof/>
          <w:color w:val="auto"/>
          <w:lang w:val="en-US" w:eastAsia="en-US"/>
        </w:rPr>
      </w:pPr>
      <w:hyperlink w:anchor="_Toc532426017" w:history="1">
        <w:r w:rsidR="00C577DD" w:rsidRPr="00B462D2">
          <w:rPr>
            <w:rStyle w:val="Hyperlink"/>
            <w:noProof/>
          </w:rPr>
          <w:t>1.</w:t>
        </w:r>
        <w:r w:rsidR="00C577DD">
          <w:rPr>
            <w:rFonts w:asciiTheme="minorHAnsi" w:eastAsiaTheme="minorEastAsia" w:hAnsiTheme="minorHAnsi" w:cstheme="minorBidi"/>
            <w:noProof/>
            <w:color w:val="auto"/>
            <w:lang w:val="en-US" w:eastAsia="en-US"/>
          </w:rPr>
          <w:tab/>
        </w:r>
        <w:r w:rsidR="00C577DD" w:rsidRPr="00B462D2">
          <w:rPr>
            <w:rStyle w:val="Hyperlink"/>
            <w:noProof/>
          </w:rPr>
          <w:t>Introduction</w:t>
        </w:r>
        <w:r w:rsidR="00C577DD">
          <w:rPr>
            <w:noProof/>
            <w:webHidden/>
          </w:rPr>
          <w:tab/>
        </w:r>
        <w:r w:rsidR="00C577DD">
          <w:rPr>
            <w:noProof/>
            <w:webHidden/>
          </w:rPr>
          <w:fldChar w:fldCharType="begin"/>
        </w:r>
        <w:r w:rsidR="00C577DD">
          <w:rPr>
            <w:noProof/>
            <w:webHidden/>
          </w:rPr>
          <w:instrText xml:space="preserve"> PAGEREF _Toc532426017 \h </w:instrText>
        </w:r>
        <w:r w:rsidR="00C577DD">
          <w:rPr>
            <w:noProof/>
            <w:webHidden/>
          </w:rPr>
        </w:r>
        <w:r w:rsidR="00C577DD">
          <w:rPr>
            <w:noProof/>
            <w:webHidden/>
          </w:rPr>
          <w:fldChar w:fldCharType="separate"/>
        </w:r>
        <w:r w:rsidR="00C577DD">
          <w:rPr>
            <w:noProof/>
            <w:webHidden/>
          </w:rPr>
          <w:t>5</w:t>
        </w:r>
        <w:r w:rsidR="00C577DD">
          <w:rPr>
            <w:noProof/>
            <w:webHidden/>
          </w:rPr>
          <w:fldChar w:fldCharType="end"/>
        </w:r>
      </w:hyperlink>
    </w:p>
    <w:p w14:paraId="21924571" w14:textId="060E7CF1"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18" w:history="1">
        <w:r w:rsidR="00C577DD" w:rsidRPr="00B462D2">
          <w:rPr>
            <w:rStyle w:val="Hyperlink"/>
            <w:noProof/>
          </w:rPr>
          <w:t>1.1</w:t>
        </w:r>
        <w:r w:rsidR="00C577DD">
          <w:rPr>
            <w:rFonts w:asciiTheme="minorHAnsi" w:eastAsiaTheme="minorEastAsia" w:hAnsiTheme="minorHAnsi" w:cstheme="minorBidi"/>
            <w:noProof/>
            <w:color w:val="auto"/>
            <w:lang w:val="en-US" w:eastAsia="en-US"/>
          </w:rPr>
          <w:tab/>
        </w:r>
        <w:r w:rsidR="00C577DD" w:rsidRPr="00B462D2">
          <w:rPr>
            <w:rStyle w:val="Hyperlink"/>
            <w:noProof/>
          </w:rPr>
          <w:t>Rationale and purpose</w:t>
        </w:r>
        <w:r w:rsidR="00C577DD">
          <w:rPr>
            <w:noProof/>
            <w:webHidden/>
          </w:rPr>
          <w:tab/>
        </w:r>
        <w:r w:rsidR="00C577DD">
          <w:rPr>
            <w:noProof/>
            <w:webHidden/>
          </w:rPr>
          <w:fldChar w:fldCharType="begin"/>
        </w:r>
        <w:r w:rsidR="00C577DD">
          <w:rPr>
            <w:noProof/>
            <w:webHidden/>
          </w:rPr>
          <w:instrText xml:space="preserve"> PAGEREF _Toc532426018 \h </w:instrText>
        </w:r>
        <w:r w:rsidR="00C577DD">
          <w:rPr>
            <w:noProof/>
            <w:webHidden/>
          </w:rPr>
        </w:r>
        <w:r w:rsidR="00C577DD">
          <w:rPr>
            <w:noProof/>
            <w:webHidden/>
          </w:rPr>
          <w:fldChar w:fldCharType="separate"/>
        </w:r>
        <w:r w:rsidR="00C577DD">
          <w:rPr>
            <w:noProof/>
            <w:webHidden/>
          </w:rPr>
          <w:t>5</w:t>
        </w:r>
        <w:r w:rsidR="00C577DD">
          <w:rPr>
            <w:noProof/>
            <w:webHidden/>
          </w:rPr>
          <w:fldChar w:fldCharType="end"/>
        </w:r>
      </w:hyperlink>
    </w:p>
    <w:p w14:paraId="037EBDDF" w14:textId="5B127DE0"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19" w:history="1">
        <w:r w:rsidR="00C577DD" w:rsidRPr="00B462D2">
          <w:rPr>
            <w:rStyle w:val="Hyperlink"/>
            <w:noProof/>
          </w:rPr>
          <w:t>1.2</w:t>
        </w:r>
        <w:r w:rsidR="00C577DD">
          <w:rPr>
            <w:rFonts w:asciiTheme="minorHAnsi" w:eastAsiaTheme="minorEastAsia" w:hAnsiTheme="minorHAnsi" w:cstheme="minorBidi"/>
            <w:noProof/>
            <w:color w:val="auto"/>
            <w:lang w:val="en-US" w:eastAsia="en-US"/>
          </w:rPr>
          <w:tab/>
        </w:r>
        <w:r w:rsidR="00C577DD" w:rsidRPr="00B462D2">
          <w:rPr>
            <w:rStyle w:val="Hyperlink"/>
            <w:noProof/>
          </w:rPr>
          <w:t>Assessment management and quality assurance</w:t>
        </w:r>
        <w:r w:rsidR="00C577DD">
          <w:rPr>
            <w:noProof/>
            <w:webHidden/>
          </w:rPr>
          <w:tab/>
        </w:r>
        <w:r w:rsidR="00C577DD">
          <w:rPr>
            <w:noProof/>
            <w:webHidden/>
          </w:rPr>
          <w:fldChar w:fldCharType="begin"/>
        </w:r>
        <w:r w:rsidR="00C577DD">
          <w:rPr>
            <w:noProof/>
            <w:webHidden/>
          </w:rPr>
          <w:instrText xml:space="preserve"> PAGEREF _Toc532426019 \h </w:instrText>
        </w:r>
        <w:r w:rsidR="00C577DD">
          <w:rPr>
            <w:noProof/>
            <w:webHidden/>
          </w:rPr>
        </w:r>
        <w:r w:rsidR="00C577DD">
          <w:rPr>
            <w:noProof/>
            <w:webHidden/>
          </w:rPr>
          <w:fldChar w:fldCharType="separate"/>
        </w:r>
        <w:r w:rsidR="00C577DD">
          <w:rPr>
            <w:noProof/>
            <w:webHidden/>
          </w:rPr>
          <w:t>6</w:t>
        </w:r>
        <w:r w:rsidR="00C577DD">
          <w:rPr>
            <w:noProof/>
            <w:webHidden/>
          </w:rPr>
          <w:fldChar w:fldCharType="end"/>
        </w:r>
      </w:hyperlink>
    </w:p>
    <w:p w14:paraId="3046C1DE" w14:textId="70A0441B"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20" w:history="1">
        <w:r w:rsidR="00C577DD" w:rsidRPr="00B462D2">
          <w:rPr>
            <w:rStyle w:val="Hyperlink"/>
            <w:noProof/>
          </w:rPr>
          <w:t>1.3</w:t>
        </w:r>
        <w:r w:rsidR="00C577DD">
          <w:rPr>
            <w:rFonts w:asciiTheme="minorHAnsi" w:eastAsiaTheme="minorEastAsia" w:hAnsiTheme="minorHAnsi" w:cstheme="minorBidi"/>
            <w:noProof/>
            <w:color w:val="auto"/>
            <w:lang w:val="en-US" w:eastAsia="en-US"/>
          </w:rPr>
          <w:tab/>
        </w:r>
        <w:r w:rsidR="00C577DD" w:rsidRPr="00B462D2">
          <w:rPr>
            <w:rStyle w:val="Hyperlink"/>
            <w:noProof/>
          </w:rPr>
          <w:t>Assessment methodology</w:t>
        </w:r>
        <w:r w:rsidR="00C577DD">
          <w:rPr>
            <w:noProof/>
            <w:webHidden/>
          </w:rPr>
          <w:tab/>
        </w:r>
        <w:r w:rsidR="00C577DD">
          <w:rPr>
            <w:noProof/>
            <w:webHidden/>
          </w:rPr>
          <w:fldChar w:fldCharType="begin"/>
        </w:r>
        <w:r w:rsidR="00C577DD">
          <w:rPr>
            <w:noProof/>
            <w:webHidden/>
          </w:rPr>
          <w:instrText xml:space="preserve"> PAGEREF _Toc532426020 \h </w:instrText>
        </w:r>
        <w:r w:rsidR="00C577DD">
          <w:rPr>
            <w:noProof/>
            <w:webHidden/>
          </w:rPr>
        </w:r>
        <w:r w:rsidR="00C577DD">
          <w:rPr>
            <w:noProof/>
            <w:webHidden/>
          </w:rPr>
          <w:fldChar w:fldCharType="separate"/>
        </w:r>
        <w:r w:rsidR="00C577DD">
          <w:rPr>
            <w:noProof/>
            <w:webHidden/>
          </w:rPr>
          <w:t>8</w:t>
        </w:r>
        <w:r w:rsidR="00C577DD">
          <w:rPr>
            <w:noProof/>
            <w:webHidden/>
          </w:rPr>
          <w:fldChar w:fldCharType="end"/>
        </w:r>
      </w:hyperlink>
    </w:p>
    <w:p w14:paraId="258841C9" w14:textId="607A23ED"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21" w:history="1">
        <w:r w:rsidR="00C577DD" w:rsidRPr="00B462D2">
          <w:rPr>
            <w:rStyle w:val="Hyperlink"/>
            <w:noProof/>
          </w:rPr>
          <w:t>Coverage of the assessment</w:t>
        </w:r>
        <w:r w:rsidR="00C577DD">
          <w:rPr>
            <w:noProof/>
            <w:webHidden/>
          </w:rPr>
          <w:tab/>
        </w:r>
        <w:r w:rsidR="00C577DD">
          <w:rPr>
            <w:noProof/>
            <w:webHidden/>
          </w:rPr>
          <w:fldChar w:fldCharType="begin"/>
        </w:r>
        <w:r w:rsidR="00C577DD">
          <w:rPr>
            <w:noProof/>
            <w:webHidden/>
          </w:rPr>
          <w:instrText xml:space="preserve"> PAGEREF _Toc532426021 \h </w:instrText>
        </w:r>
        <w:r w:rsidR="00C577DD">
          <w:rPr>
            <w:noProof/>
            <w:webHidden/>
          </w:rPr>
        </w:r>
        <w:r w:rsidR="00C577DD">
          <w:rPr>
            <w:noProof/>
            <w:webHidden/>
          </w:rPr>
          <w:fldChar w:fldCharType="separate"/>
        </w:r>
        <w:r w:rsidR="00C577DD">
          <w:rPr>
            <w:noProof/>
            <w:webHidden/>
          </w:rPr>
          <w:t>8</w:t>
        </w:r>
        <w:r w:rsidR="00C577DD">
          <w:rPr>
            <w:noProof/>
            <w:webHidden/>
          </w:rPr>
          <w:fldChar w:fldCharType="end"/>
        </w:r>
      </w:hyperlink>
    </w:p>
    <w:p w14:paraId="77507137" w14:textId="3465F460"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22" w:history="1">
        <w:r w:rsidR="00C577DD" w:rsidRPr="00B462D2">
          <w:rPr>
            <w:rStyle w:val="Hyperlink"/>
            <w:noProof/>
          </w:rPr>
          <w:t>Time of the assessment</w:t>
        </w:r>
        <w:r w:rsidR="00C577DD">
          <w:rPr>
            <w:noProof/>
            <w:webHidden/>
          </w:rPr>
          <w:tab/>
        </w:r>
        <w:r w:rsidR="00C577DD">
          <w:rPr>
            <w:noProof/>
            <w:webHidden/>
          </w:rPr>
          <w:fldChar w:fldCharType="begin"/>
        </w:r>
        <w:r w:rsidR="00C577DD">
          <w:rPr>
            <w:noProof/>
            <w:webHidden/>
          </w:rPr>
          <w:instrText xml:space="preserve"> PAGEREF _Toc532426022 \h </w:instrText>
        </w:r>
        <w:r w:rsidR="00C577DD">
          <w:rPr>
            <w:noProof/>
            <w:webHidden/>
          </w:rPr>
        </w:r>
        <w:r w:rsidR="00C577DD">
          <w:rPr>
            <w:noProof/>
            <w:webHidden/>
          </w:rPr>
          <w:fldChar w:fldCharType="separate"/>
        </w:r>
        <w:r w:rsidR="00C577DD">
          <w:rPr>
            <w:noProof/>
            <w:webHidden/>
          </w:rPr>
          <w:t>8</w:t>
        </w:r>
        <w:r w:rsidR="00C577DD">
          <w:rPr>
            <w:noProof/>
            <w:webHidden/>
          </w:rPr>
          <w:fldChar w:fldCharType="end"/>
        </w:r>
      </w:hyperlink>
    </w:p>
    <w:p w14:paraId="641449D5" w14:textId="5217788D"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23" w:history="1">
        <w:r w:rsidR="00C577DD" w:rsidRPr="00B462D2">
          <w:rPr>
            <w:rStyle w:val="Hyperlink"/>
            <w:noProof/>
          </w:rPr>
          <w:t>Sources of information</w:t>
        </w:r>
        <w:r w:rsidR="00C577DD">
          <w:rPr>
            <w:noProof/>
            <w:webHidden/>
          </w:rPr>
          <w:tab/>
        </w:r>
        <w:r w:rsidR="00C577DD">
          <w:rPr>
            <w:noProof/>
            <w:webHidden/>
          </w:rPr>
          <w:fldChar w:fldCharType="begin"/>
        </w:r>
        <w:r w:rsidR="00C577DD">
          <w:rPr>
            <w:noProof/>
            <w:webHidden/>
          </w:rPr>
          <w:instrText xml:space="preserve"> PAGEREF _Toc532426023 \h </w:instrText>
        </w:r>
        <w:r w:rsidR="00C577DD">
          <w:rPr>
            <w:noProof/>
            <w:webHidden/>
          </w:rPr>
        </w:r>
        <w:r w:rsidR="00C577DD">
          <w:rPr>
            <w:noProof/>
            <w:webHidden/>
          </w:rPr>
          <w:fldChar w:fldCharType="separate"/>
        </w:r>
        <w:r w:rsidR="00C577DD">
          <w:rPr>
            <w:noProof/>
            <w:webHidden/>
          </w:rPr>
          <w:t>8</w:t>
        </w:r>
        <w:r w:rsidR="00C577DD">
          <w:rPr>
            <w:noProof/>
            <w:webHidden/>
          </w:rPr>
          <w:fldChar w:fldCharType="end"/>
        </w:r>
      </w:hyperlink>
    </w:p>
    <w:p w14:paraId="79615E25" w14:textId="2A4230F8" w:rsidR="00C577DD" w:rsidRDefault="008B59A7">
      <w:pPr>
        <w:pStyle w:val="TOC1"/>
        <w:tabs>
          <w:tab w:val="left" w:pos="505"/>
          <w:tab w:val="right" w:leader="dot" w:pos="9350"/>
        </w:tabs>
        <w:rPr>
          <w:rFonts w:asciiTheme="minorHAnsi" w:eastAsiaTheme="minorEastAsia" w:hAnsiTheme="minorHAnsi" w:cstheme="minorBidi"/>
          <w:noProof/>
          <w:color w:val="auto"/>
          <w:lang w:val="en-US" w:eastAsia="en-US"/>
        </w:rPr>
      </w:pPr>
      <w:hyperlink w:anchor="_Toc532426024" w:history="1">
        <w:r w:rsidR="00C577DD" w:rsidRPr="00B462D2">
          <w:rPr>
            <w:rStyle w:val="Hyperlink"/>
            <w:noProof/>
          </w:rPr>
          <w:t>2.</w:t>
        </w:r>
        <w:r w:rsidR="00C577DD">
          <w:rPr>
            <w:rFonts w:asciiTheme="minorHAnsi" w:eastAsiaTheme="minorEastAsia" w:hAnsiTheme="minorHAnsi" w:cstheme="minorBidi"/>
            <w:noProof/>
            <w:color w:val="auto"/>
            <w:lang w:val="en-US" w:eastAsia="en-US"/>
          </w:rPr>
          <w:tab/>
        </w:r>
        <w:r w:rsidR="00C577DD" w:rsidRPr="00B462D2">
          <w:rPr>
            <w:rStyle w:val="Hyperlink"/>
            <w:noProof/>
          </w:rPr>
          <w:t>Kajiado County Background Information</w:t>
        </w:r>
        <w:r w:rsidR="00C577DD">
          <w:rPr>
            <w:noProof/>
            <w:webHidden/>
          </w:rPr>
          <w:tab/>
        </w:r>
        <w:r w:rsidR="00C577DD">
          <w:rPr>
            <w:noProof/>
            <w:webHidden/>
          </w:rPr>
          <w:fldChar w:fldCharType="begin"/>
        </w:r>
        <w:r w:rsidR="00C577DD">
          <w:rPr>
            <w:noProof/>
            <w:webHidden/>
          </w:rPr>
          <w:instrText xml:space="preserve"> PAGEREF _Toc532426024 \h </w:instrText>
        </w:r>
        <w:r w:rsidR="00C577DD">
          <w:rPr>
            <w:noProof/>
            <w:webHidden/>
          </w:rPr>
        </w:r>
        <w:r w:rsidR="00C577DD">
          <w:rPr>
            <w:noProof/>
            <w:webHidden/>
          </w:rPr>
          <w:fldChar w:fldCharType="separate"/>
        </w:r>
        <w:r w:rsidR="00C577DD">
          <w:rPr>
            <w:noProof/>
            <w:webHidden/>
          </w:rPr>
          <w:t>9</w:t>
        </w:r>
        <w:r w:rsidR="00C577DD">
          <w:rPr>
            <w:noProof/>
            <w:webHidden/>
          </w:rPr>
          <w:fldChar w:fldCharType="end"/>
        </w:r>
      </w:hyperlink>
    </w:p>
    <w:p w14:paraId="2765B59E" w14:textId="52649E35"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25" w:history="1">
        <w:r w:rsidR="00C577DD" w:rsidRPr="00B462D2">
          <w:rPr>
            <w:rStyle w:val="Hyperlink"/>
            <w:noProof/>
          </w:rPr>
          <w:t>2.1</w:t>
        </w:r>
        <w:r w:rsidR="00C577DD">
          <w:rPr>
            <w:rFonts w:asciiTheme="minorHAnsi" w:eastAsiaTheme="minorEastAsia" w:hAnsiTheme="minorHAnsi" w:cstheme="minorBidi"/>
            <w:noProof/>
            <w:color w:val="auto"/>
            <w:lang w:val="en-US" w:eastAsia="en-US"/>
          </w:rPr>
          <w:tab/>
        </w:r>
        <w:r w:rsidR="00C577DD" w:rsidRPr="00B462D2">
          <w:rPr>
            <w:rStyle w:val="Hyperlink"/>
            <w:noProof/>
          </w:rPr>
          <w:t>Economic context</w:t>
        </w:r>
        <w:r w:rsidR="00C577DD">
          <w:rPr>
            <w:noProof/>
            <w:webHidden/>
          </w:rPr>
          <w:tab/>
        </w:r>
        <w:r w:rsidR="00C577DD">
          <w:rPr>
            <w:noProof/>
            <w:webHidden/>
          </w:rPr>
          <w:fldChar w:fldCharType="begin"/>
        </w:r>
        <w:r w:rsidR="00C577DD">
          <w:rPr>
            <w:noProof/>
            <w:webHidden/>
          </w:rPr>
          <w:instrText xml:space="preserve"> PAGEREF _Toc532426025 \h </w:instrText>
        </w:r>
        <w:r w:rsidR="00C577DD">
          <w:rPr>
            <w:noProof/>
            <w:webHidden/>
          </w:rPr>
        </w:r>
        <w:r w:rsidR="00C577DD">
          <w:rPr>
            <w:noProof/>
            <w:webHidden/>
          </w:rPr>
          <w:fldChar w:fldCharType="separate"/>
        </w:r>
        <w:r w:rsidR="00C577DD">
          <w:rPr>
            <w:noProof/>
            <w:webHidden/>
          </w:rPr>
          <w:t>9</w:t>
        </w:r>
        <w:r w:rsidR="00C577DD">
          <w:rPr>
            <w:noProof/>
            <w:webHidden/>
          </w:rPr>
          <w:fldChar w:fldCharType="end"/>
        </w:r>
      </w:hyperlink>
    </w:p>
    <w:p w14:paraId="03F531C3" w14:textId="51E800F5"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26" w:history="1">
        <w:r w:rsidR="00C577DD" w:rsidRPr="00B462D2">
          <w:rPr>
            <w:rStyle w:val="Hyperlink"/>
            <w:noProof/>
          </w:rPr>
          <w:t>An overview of the Kenyan economy</w:t>
        </w:r>
        <w:r w:rsidR="00C577DD">
          <w:rPr>
            <w:noProof/>
            <w:webHidden/>
          </w:rPr>
          <w:tab/>
        </w:r>
        <w:r w:rsidR="00C577DD">
          <w:rPr>
            <w:noProof/>
            <w:webHidden/>
          </w:rPr>
          <w:fldChar w:fldCharType="begin"/>
        </w:r>
        <w:r w:rsidR="00C577DD">
          <w:rPr>
            <w:noProof/>
            <w:webHidden/>
          </w:rPr>
          <w:instrText xml:space="preserve"> PAGEREF _Toc532426026 \h </w:instrText>
        </w:r>
        <w:r w:rsidR="00C577DD">
          <w:rPr>
            <w:noProof/>
            <w:webHidden/>
          </w:rPr>
        </w:r>
        <w:r w:rsidR="00C577DD">
          <w:rPr>
            <w:noProof/>
            <w:webHidden/>
          </w:rPr>
          <w:fldChar w:fldCharType="separate"/>
        </w:r>
        <w:r w:rsidR="00C577DD">
          <w:rPr>
            <w:noProof/>
            <w:webHidden/>
          </w:rPr>
          <w:t>9</w:t>
        </w:r>
        <w:r w:rsidR="00C577DD">
          <w:rPr>
            <w:noProof/>
            <w:webHidden/>
          </w:rPr>
          <w:fldChar w:fldCharType="end"/>
        </w:r>
      </w:hyperlink>
    </w:p>
    <w:p w14:paraId="7082C4A1" w14:textId="2580CE54"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27" w:history="1">
        <w:r w:rsidR="00C577DD" w:rsidRPr="00B462D2">
          <w:rPr>
            <w:rStyle w:val="Hyperlink"/>
            <w:noProof/>
          </w:rPr>
          <w:t>Overview of Kajiado County economy</w:t>
        </w:r>
        <w:r w:rsidR="00C577DD">
          <w:rPr>
            <w:noProof/>
            <w:webHidden/>
          </w:rPr>
          <w:tab/>
        </w:r>
        <w:r w:rsidR="00C577DD">
          <w:rPr>
            <w:noProof/>
            <w:webHidden/>
          </w:rPr>
          <w:fldChar w:fldCharType="begin"/>
        </w:r>
        <w:r w:rsidR="00C577DD">
          <w:rPr>
            <w:noProof/>
            <w:webHidden/>
          </w:rPr>
          <w:instrText xml:space="preserve"> PAGEREF _Toc532426027 \h </w:instrText>
        </w:r>
        <w:r w:rsidR="00C577DD">
          <w:rPr>
            <w:noProof/>
            <w:webHidden/>
          </w:rPr>
        </w:r>
        <w:r w:rsidR="00C577DD">
          <w:rPr>
            <w:noProof/>
            <w:webHidden/>
          </w:rPr>
          <w:fldChar w:fldCharType="separate"/>
        </w:r>
        <w:r w:rsidR="00C577DD">
          <w:rPr>
            <w:noProof/>
            <w:webHidden/>
          </w:rPr>
          <w:t>9</w:t>
        </w:r>
        <w:r w:rsidR="00C577DD">
          <w:rPr>
            <w:noProof/>
            <w:webHidden/>
          </w:rPr>
          <w:fldChar w:fldCharType="end"/>
        </w:r>
      </w:hyperlink>
    </w:p>
    <w:p w14:paraId="63BE3691" w14:textId="55CD4B53"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28" w:history="1">
        <w:r w:rsidR="00C577DD" w:rsidRPr="00B462D2">
          <w:rPr>
            <w:rStyle w:val="Hyperlink"/>
            <w:noProof/>
          </w:rPr>
          <w:t>2.2</w:t>
        </w:r>
        <w:r w:rsidR="00C577DD">
          <w:rPr>
            <w:rFonts w:asciiTheme="minorHAnsi" w:eastAsiaTheme="minorEastAsia" w:hAnsiTheme="minorHAnsi" w:cstheme="minorBidi"/>
            <w:noProof/>
            <w:color w:val="auto"/>
            <w:lang w:val="en-US" w:eastAsia="en-US"/>
          </w:rPr>
          <w:tab/>
        </w:r>
        <w:r w:rsidR="00C577DD" w:rsidRPr="00B462D2">
          <w:rPr>
            <w:rStyle w:val="Hyperlink"/>
            <w:noProof/>
          </w:rPr>
          <w:t>Fiscal and budgetary trends</w:t>
        </w:r>
        <w:r w:rsidR="00C577DD">
          <w:rPr>
            <w:noProof/>
            <w:webHidden/>
          </w:rPr>
          <w:tab/>
        </w:r>
        <w:r w:rsidR="00C577DD">
          <w:rPr>
            <w:noProof/>
            <w:webHidden/>
          </w:rPr>
          <w:fldChar w:fldCharType="begin"/>
        </w:r>
        <w:r w:rsidR="00C577DD">
          <w:rPr>
            <w:noProof/>
            <w:webHidden/>
          </w:rPr>
          <w:instrText xml:space="preserve"> PAGEREF _Toc532426028 \h </w:instrText>
        </w:r>
        <w:r w:rsidR="00C577DD">
          <w:rPr>
            <w:noProof/>
            <w:webHidden/>
          </w:rPr>
        </w:r>
        <w:r w:rsidR="00C577DD">
          <w:rPr>
            <w:noProof/>
            <w:webHidden/>
          </w:rPr>
          <w:fldChar w:fldCharType="separate"/>
        </w:r>
        <w:r w:rsidR="00C577DD">
          <w:rPr>
            <w:noProof/>
            <w:webHidden/>
          </w:rPr>
          <w:t>10</w:t>
        </w:r>
        <w:r w:rsidR="00C577DD">
          <w:rPr>
            <w:noProof/>
            <w:webHidden/>
          </w:rPr>
          <w:fldChar w:fldCharType="end"/>
        </w:r>
      </w:hyperlink>
    </w:p>
    <w:p w14:paraId="1340500A" w14:textId="046D1F3C"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29" w:history="1">
        <w:r w:rsidR="00C577DD" w:rsidRPr="00B462D2">
          <w:rPr>
            <w:rStyle w:val="Hyperlink"/>
            <w:noProof/>
          </w:rPr>
          <w:t>2.3</w:t>
        </w:r>
        <w:r w:rsidR="00C577DD">
          <w:rPr>
            <w:rFonts w:asciiTheme="minorHAnsi" w:eastAsiaTheme="minorEastAsia" w:hAnsiTheme="minorHAnsi" w:cstheme="minorBidi"/>
            <w:noProof/>
            <w:color w:val="auto"/>
            <w:lang w:val="en-US" w:eastAsia="en-US"/>
          </w:rPr>
          <w:tab/>
        </w:r>
        <w:r w:rsidR="00C577DD" w:rsidRPr="00B462D2">
          <w:rPr>
            <w:rStyle w:val="Hyperlink"/>
            <w:noProof/>
          </w:rPr>
          <w:t>Legal and regulatory arrangements for PFM</w:t>
        </w:r>
        <w:r w:rsidR="00C577DD">
          <w:rPr>
            <w:noProof/>
            <w:webHidden/>
          </w:rPr>
          <w:tab/>
        </w:r>
        <w:r w:rsidR="00C577DD">
          <w:rPr>
            <w:noProof/>
            <w:webHidden/>
          </w:rPr>
          <w:fldChar w:fldCharType="begin"/>
        </w:r>
        <w:r w:rsidR="00C577DD">
          <w:rPr>
            <w:noProof/>
            <w:webHidden/>
          </w:rPr>
          <w:instrText xml:space="preserve"> PAGEREF _Toc532426029 \h </w:instrText>
        </w:r>
        <w:r w:rsidR="00C577DD">
          <w:rPr>
            <w:noProof/>
            <w:webHidden/>
          </w:rPr>
        </w:r>
        <w:r w:rsidR="00C577DD">
          <w:rPr>
            <w:noProof/>
            <w:webHidden/>
          </w:rPr>
          <w:fldChar w:fldCharType="separate"/>
        </w:r>
        <w:r w:rsidR="00C577DD">
          <w:rPr>
            <w:noProof/>
            <w:webHidden/>
          </w:rPr>
          <w:t>12</w:t>
        </w:r>
        <w:r w:rsidR="00C577DD">
          <w:rPr>
            <w:noProof/>
            <w:webHidden/>
          </w:rPr>
          <w:fldChar w:fldCharType="end"/>
        </w:r>
      </w:hyperlink>
    </w:p>
    <w:p w14:paraId="254B50AC" w14:textId="353A375B"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30" w:history="1">
        <w:r w:rsidR="00C577DD" w:rsidRPr="00B462D2">
          <w:rPr>
            <w:rStyle w:val="Hyperlink"/>
            <w:noProof/>
          </w:rPr>
          <w:t>The main features of the legislation</w:t>
        </w:r>
        <w:r w:rsidR="00C577DD">
          <w:rPr>
            <w:noProof/>
            <w:webHidden/>
          </w:rPr>
          <w:tab/>
        </w:r>
        <w:r w:rsidR="00C577DD">
          <w:rPr>
            <w:noProof/>
            <w:webHidden/>
          </w:rPr>
          <w:fldChar w:fldCharType="begin"/>
        </w:r>
        <w:r w:rsidR="00C577DD">
          <w:rPr>
            <w:noProof/>
            <w:webHidden/>
          </w:rPr>
          <w:instrText xml:space="preserve"> PAGEREF _Toc532426030 \h </w:instrText>
        </w:r>
        <w:r w:rsidR="00C577DD">
          <w:rPr>
            <w:noProof/>
            <w:webHidden/>
          </w:rPr>
        </w:r>
        <w:r w:rsidR="00C577DD">
          <w:rPr>
            <w:noProof/>
            <w:webHidden/>
          </w:rPr>
          <w:fldChar w:fldCharType="separate"/>
        </w:r>
        <w:r w:rsidR="00C577DD">
          <w:rPr>
            <w:noProof/>
            <w:webHidden/>
          </w:rPr>
          <w:t>12</w:t>
        </w:r>
        <w:r w:rsidR="00C577DD">
          <w:rPr>
            <w:noProof/>
            <w:webHidden/>
          </w:rPr>
          <w:fldChar w:fldCharType="end"/>
        </w:r>
      </w:hyperlink>
    </w:p>
    <w:p w14:paraId="5562A36F" w14:textId="4A07E3DB"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31" w:history="1">
        <w:r w:rsidR="00C577DD" w:rsidRPr="00B462D2">
          <w:rPr>
            <w:rStyle w:val="Hyperlink"/>
            <w:noProof/>
          </w:rPr>
          <w:t>Framework for the devolved system of government</w:t>
        </w:r>
        <w:r w:rsidR="00C577DD">
          <w:rPr>
            <w:noProof/>
            <w:webHidden/>
          </w:rPr>
          <w:tab/>
        </w:r>
        <w:r w:rsidR="00C577DD">
          <w:rPr>
            <w:noProof/>
            <w:webHidden/>
          </w:rPr>
          <w:fldChar w:fldCharType="begin"/>
        </w:r>
        <w:r w:rsidR="00C577DD">
          <w:rPr>
            <w:noProof/>
            <w:webHidden/>
          </w:rPr>
          <w:instrText xml:space="preserve"> PAGEREF _Toc532426031 \h </w:instrText>
        </w:r>
        <w:r w:rsidR="00C577DD">
          <w:rPr>
            <w:noProof/>
            <w:webHidden/>
          </w:rPr>
        </w:r>
        <w:r w:rsidR="00C577DD">
          <w:rPr>
            <w:noProof/>
            <w:webHidden/>
          </w:rPr>
          <w:fldChar w:fldCharType="separate"/>
        </w:r>
        <w:r w:rsidR="00C577DD">
          <w:rPr>
            <w:noProof/>
            <w:webHidden/>
          </w:rPr>
          <w:t>13</w:t>
        </w:r>
        <w:r w:rsidR="00C577DD">
          <w:rPr>
            <w:noProof/>
            <w:webHidden/>
          </w:rPr>
          <w:fldChar w:fldCharType="end"/>
        </w:r>
      </w:hyperlink>
    </w:p>
    <w:p w14:paraId="4424C811" w14:textId="2CBA51A1"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32" w:history="1">
        <w:r w:rsidR="00C577DD" w:rsidRPr="00B462D2">
          <w:rPr>
            <w:rStyle w:val="Hyperlink"/>
            <w:noProof/>
          </w:rPr>
          <w:t>2.4</w:t>
        </w:r>
        <w:r w:rsidR="00C577DD">
          <w:rPr>
            <w:rFonts w:asciiTheme="minorHAnsi" w:eastAsiaTheme="minorEastAsia" w:hAnsiTheme="minorHAnsi" w:cstheme="minorBidi"/>
            <w:noProof/>
            <w:color w:val="auto"/>
            <w:lang w:val="en-US" w:eastAsia="en-US"/>
          </w:rPr>
          <w:tab/>
        </w:r>
        <w:r w:rsidR="00C577DD" w:rsidRPr="00B462D2">
          <w:rPr>
            <w:rStyle w:val="Hyperlink"/>
            <w:noProof/>
          </w:rPr>
          <w:t>Institutional arrangements for PFM</w:t>
        </w:r>
        <w:r w:rsidR="00C577DD">
          <w:rPr>
            <w:noProof/>
            <w:webHidden/>
          </w:rPr>
          <w:tab/>
        </w:r>
        <w:r w:rsidR="00C577DD">
          <w:rPr>
            <w:noProof/>
            <w:webHidden/>
          </w:rPr>
          <w:fldChar w:fldCharType="begin"/>
        </w:r>
        <w:r w:rsidR="00C577DD">
          <w:rPr>
            <w:noProof/>
            <w:webHidden/>
          </w:rPr>
          <w:instrText xml:space="preserve"> PAGEREF _Toc532426032 \h </w:instrText>
        </w:r>
        <w:r w:rsidR="00C577DD">
          <w:rPr>
            <w:noProof/>
            <w:webHidden/>
          </w:rPr>
        </w:r>
        <w:r w:rsidR="00C577DD">
          <w:rPr>
            <w:noProof/>
            <w:webHidden/>
          </w:rPr>
          <w:fldChar w:fldCharType="separate"/>
        </w:r>
        <w:r w:rsidR="00C577DD">
          <w:rPr>
            <w:noProof/>
            <w:webHidden/>
          </w:rPr>
          <w:t>13</w:t>
        </w:r>
        <w:r w:rsidR="00C577DD">
          <w:rPr>
            <w:noProof/>
            <w:webHidden/>
          </w:rPr>
          <w:fldChar w:fldCharType="end"/>
        </w:r>
      </w:hyperlink>
    </w:p>
    <w:p w14:paraId="521C1FD9" w14:textId="19A20304"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33" w:history="1">
        <w:r w:rsidR="00C577DD" w:rsidRPr="00B462D2">
          <w:rPr>
            <w:rStyle w:val="Hyperlink"/>
            <w:noProof/>
          </w:rPr>
          <w:t>Structure of county governments</w:t>
        </w:r>
        <w:r w:rsidR="00C577DD">
          <w:rPr>
            <w:noProof/>
            <w:webHidden/>
          </w:rPr>
          <w:tab/>
        </w:r>
        <w:r w:rsidR="00C577DD">
          <w:rPr>
            <w:noProof/>
            <w:webHidden/>
          </w:rPr>
          <w:fldChar w:fldCharType="begin"/>
        </w:r>
        <w:r w:rsidR="00C577DD">
          <w:rPr>
            <w:noProof/>
            <w:webHidden/>
          </w:rPr>
          <w:instrText xml:space="preserve"> PAGEREF _Toc532426033 \h </w:instrText>
        </w:r>
        <w:r w:rsidR="00C577DD">
          <w:rPr>
            <w:noProof/>
            <w:webHidden/>
          </w:rPr>
        </w:r>
        <w:r w:rsidR="00C577DD">
          <w:rPr>
            <w:noProof/>
            <w:webHidden/>
          </w:rPr>
          <w:fldChar w:fldCharType="separate"/>
        </w:r>
        <w:r w:rsidR="00C577DD">
          <w:rPr>
            <w:noProof/>
            <w:webHidden/>
          </w:rPr>
          <w:t>13</w:t>
        </w:r>
        <w:r w:rsidR="00C577DD">
          <w:rPr>
            <w:noProof/>
            <w:webHidden/>
          </w:rPr>
          <w:fldChar w:fldCharType="end"/>
        </w:r>
      </w:hyperlink>
    </w:p>
    <w:p w14:paraId="1BFEA259" w14:textId="437F44BD"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34" w:history="1">
        <w:r w:rsidR="00C577DD" w:rsidRPr="00B462D2">
          <w:rPr>
            <w:rStyle w:val="Hyperlink"/>
            <w:noProof/>
          </w:rPr>
          <w:t>Other important features of PFM</w:t>
        </w:r>
        <w:r w:rsidR="00C577DD">
          <w:rPr>
            <w:noProof/>
            <w:webHidden/>
          </w:rPr>
          <w:tab/>
        </w:r>
        <w:r w:rsidR="00C577DD">
          <w:rPr>
            <w:noProof/>
            <w:webHidden/>
          </w:rPr>
          <w:fldChar w:fldCharType="begin"/>
        </w:r>
        <w:r w:rsidR="00C577DD">
          <w:rPr>
            <w:noProof/>
            <w:webHidden/>
          </w:rPr>
          <w:instrText xml:space="preserve"> PAGEREF _Toc532426034 \h </w:instrText>
        </w:r>
        <w:r w:rsidR="00C577DD">
          <w:rPr>
            <w:noProof/>
            <w:webHidden/>
          </w:rPr>
        </w:r>
        <w:r w:rsidR="00C577DD">
          <w:rPr>
            <w:noProof/>
            <w:webHidden/>
          </w:rPr>
          <w:fldChar w:fldCharType="separate"/>
        </w:r>
        <w:r w:rsidR="00C577DD">
          <w:rPr>
            <w:noProof/>
            <w:webHidden/>
          </w:rPr>
          <w:t>15</w:t>
        </w:r>
        <w:r w:rsidR="00C577DD">
          <w:rPr>
            <w:noProof/>
            <w:webHidden/>
          </w:rPr>
          <w:fldChar w:fldCharType="end"/>
        </w:r>
      </w:hyperlink>
    </w:p>
    <w:p w14:paraId="12A6F3FF" w14:textId="5AAB1B30" w:rsidR="00C577DD" w:rsidRDefault="008B59A7">
      <w:pPr>
        <w:pStyle w:val="TOC1"/>
        <w:tabs>
          <w:tab w:val="left" w:pos="505"/>
          <w:tab w:val="right" w:leader="dot" w:pos="9350"/>
        </w:tabs>
        <w:rPr>
          <w:rFonts w:asciiTheme="minorHAnsi" w:eastAsiaTheme="minorEastAsia" w:hAnsiTheme="minorHAnsi" w:cstheme="minorBidi"/>
          <w:noProof/>
          <w:color w:val="auto"/>
          <w:lang w:val="en-US" w:eastAsia="en-US"/>
        </w:rPr>
      </w:pPr>
      <w:hyperlink w:anchor="_Toc532426035" w:history="1">
        <w:r w:rsidR="00C577DD" w:rsidRPr="00B462D2">
          <w:rPr>
            <w:rStyle w:val="Hyperlink"/>
            <w:noProof/>
          </w:rPr>
          <w:t>3.</w:t>
        </w:r>
        <w:r w:rsidR="00C577DD">
          <w:rPr>
            <w:rFonts w:asciiTheme="minorHAnsi" w:eastAsiaTheme="minorEastAsia" w:hAnsiTheme="minorHAnsi" w:cstheme="minorBidi"/>
            <w:noProof/>
            <w:color w:val="auto"/>
            <w:lang w:val="en-US" w:eastAsia="en-US"/>
          </w:rPr>
          <w:tab/>
        </w:r>
        <w:r w:rsidR="00C577DD" w:rsidRPr="00B462D2">
          <w:rPr>
            <w:rStyle w:val="Hyperlink"/>
            <w:noProof/>
          </w:rPr>
          <w:t>Assessment of PFM Performance</w:t>
        </w:r>
        <w:r w:rsidR="00C577DD">
          <w:rPr>
            <w:noProof/>
            <w:webHidden/>
          </w:rPr>
          <w:tab/>
        </w:r>
        <w:r w:rsidR="00C577DD">
          <w:rPr>
            <w:noProof/>
            <w:webHidden/>
          </w:rPr>
          <w:fldChar w:fldCharType="begin"/>
        </w:r>
        <w:r w:rsidR="00C577DD">
          <w:rPr>
            <w:noProof/>
            <w:webHidden/>
          </w:rPr>
          <w:instrText xml:space="preserve"> PAGEREF _Toc532426035 \h </w:instrText>
        </w:r>
        <w:r w:rsidR="00C577DD">
          <w:rPr>
            <w:noProof/>
            <w:webHidden/>
          </w:rPr>
        </w:r>
        <w:r w:rsidR="00C577DD">
          <w:rPr>
            <w:noProof/>
            <w:webHidden/>
          </w:rPr>
          <w:fldChar w:fldCharType="separate"/>
        </w:r>
        <w:r w:rsidR="00C577DD">
          <w:rPr>
            <w:noProof/>
            <w:webHidden/>
          </w:rPr>
          <w:t>16</w:t>
        </w:r>
        <w:r w:rsidR="00C577DD">
          <w:rPr>
            <w:noProof/>
            <w:webHidden/>
          </w:rPr>
          <w:fldChar w:fldCharType="end"/>
        </w:r>
      </w:hyperlink>
    </w:p>
    <w:p w14:paraId="29EB31F0" w14:textId="3D209A13"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36" w:history="1">
        <w:r w:rsidR="00C577DD" w:rsidRPr="00B462D2">
          <w:rPr>
            <w:rStyle w:val="Hyperlink"/>
            <w:noProof/>
          </w:rPr>
          <w:t>3.1</w:t>
        </w:r>
        <w:r w:rsidR="00C577DD">
          <w:rPr>
            <w:rFonts w:asciiTheme="minorHAnsi" w:eastAsiaTheme="minorEastAsia" w:hAnsiTheme="minorHAnsi" w:cstheme="minorBidi"/>
            <w:noProof/>
            <w:color w:val="auto"/>
            <w:lang w:val="en-US" w:eastAsia="en-US"/>
          </w:rPr>
          <w:tab/>
        </w:r>
        <w:r w:rsidR="00C577DD" w:rsidRPr="00B462D2">
          <w:rPr>
            <w:rStyle w:val="Hyperlink"/>
            <w:noProof/>
          </w:rPr>
          <w:t>Subnational Government profile</w:t>
        </w:r>
        <w:r w:rsidR="00C577DD">
          <w:rPr>
            <w:noProof/>
            <w:webHidden/>
          </w:rPr>
          <w:tab/>
        </w:r>
        <w:r w:rsidR="00C577DD">
          <w:rPr>
            <w:noProof/>
            <w:webHidden/>
          </w:rPr>
          <w:fldChar w:fldCharType="begin"/>
        </w:r>
        <w:r w:rsidR="00C577DD">
          <w:rPr>
            <w:noProof/>
            <w:webHidden/>
          </w:rPr>
          <w:instrText xml:space="preserve"> PAGEREF _Toc532426036 \h </w:instrText>
        </w:r>
        <w:r w:rsidR="00C577DD">
          <w:rPr>
            <w:noProof/>
            <w:webHidden/>
          </w:rPr>
        </w:r>
        <w:r w:rsidR="00C577DD">
          <w:rPr>
            <w:noProof/>
            <w:webHidden/>
          </w:rPr>
          <w:fldChar w:fldCharType="separate"/>
        </w:r>
        <w:r w:rsidR="00C577DD">
          <w:rPr>
            <w:noProof/>
            <w:webHidden/>
          </w:rPr>
          <w:t>16</w:t>
        </w:r>
        <w:r w:rsidR="00C577DD">
          <w:rPr>
            <w:noProof/>
            <w:webHidden/>
          </w:rPr>
          <w:fldChar w:fldCharType="end"/>
        </w:r>
      </w:hyperlink>
    </w:p>
    <w:p w14:paraId="3EE795C9" w14:textId="22F20AF9"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37" w:history="1">
        <w:r w:rsidR="00C577DD" w:rsidRPr="00B462D2">
          <w:rPr>
            <w:rStyle w:val="Hyperlink"/>
            <w:noProof/>
          </w:rPr>
          <w:t>3.2</w:t>
        </w:r>
        <w:r w:rsidR="00C577DD">
          <w:rPr>
            <w:rFonts w:asciiTheme="minorHAnsi" w:eastAsiaTheme="minorEastAsia" w:hAnsiTheme="minorHAnsi" w:cstheme="minorBidi"/>
            <w:noProof/>
            <w:color w:val="auto"/>
            <w:lang w:val="en-US" w:eastAsia="en-US"/>
          </w:rPr>
          <w:tab/>
        </w:r>
        <w:r w:rsidR="00C577DD" w:rsidRPr="00B462D2">
          <w:rPr>
            <w:rStyle w:val="Hyperlink"/>
            <w:noProof/>
          </w:rPr>
          <w:t>Pillar I. Budget reliability</w:t>
        </w:r>
        <w:r w:rsidR="00C577DD">
          <w:rPr>
            <w:noProof/>
            <w:webHidden/>
          </w:rPr>
          <w:tab/>
        </w:r>
        <w:r w:rsidR="00C577DD">
          <w:rPr>
            <w:noProof/>
            <w:webHidden/>
          </w:rPr>
          <w:fldChar w:fldCharType="begin"/>
        </w:r>
        <w:r w:rsidR="00C577DD">
          <w:rPr>
            <w:noProof/>
            <w:webHidden/>
          </w:rPr>
          <w:instrText xml:space="preserve"> PAGEREF _Toc532426037 \h </w:instrText>
        </w:r>
        <w:r w:rsidR="00C577DD">
          <w:rPr>
            <w:noProof/>
            <w:webHidden/>
          </w:rPr>
        </w:r>
        <w:r w:rsidR="00C577DD">
          <w:rPr>
            <w:noProof/>
            <w:webHidden/>
          </w:rPr>
          <w:fldChar w:fldCharType="separate"/>
        </w:r>
        <w:r w:rsidR="00C577DD">
          <w:rPr>
            <w:noProof/>
            <w:webHidden/>
          </w:rPr>
          <w:t>18</w:t>
        </w:r>
        <w:r w:rsidR="00C577DD">
          <w:rPr>
            <w:noProof/>
            <w:webHidden/>
          </w:rPr>
          <w:fldChar w:fldCharType="end"/>
        </w:r>
      </w:hyperlink>
    </w:p>
    <w:p w14:paraId="556A1271" w14:textId="02D5AE14"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38" w:history="1">
        <w:r w:rsidR="00C577DD" w:rsidRPr="00B462D2">
          <w:rPr>
            <w:rStyle w:val="Hyperlink"/>
            <w:noProof/>
          </w:rPr>
          <w:t>3.3</w:t>
        </w:r>
        <w:r w:rsidR="00C577DD">
          <w:rPr>
            <w:rFonts w:asciiTheme="minorHAnsi" w:eastAsiaTheme="minorEastAsia" w:hAnsiTheme="minorHAnsi" w:cstheme="minorBidi"/>
            <w:noProof/>
            <w:color w:val="auto"/>
            <w:lang w:val="en-US" w:eastAsia="en-US"/>
          </w:rPr>
          <w:tab/>
        </w:r>
        <w:r w:rsidR="00C577DD" w:rsidRPr="00B462D2">
          <w:rPr>
            <w:rStyle w:val="Hyperlink"/>
            <w:noProof/>
          </w:rPr>
          <w:t>Pillar II. Transparency of public finances</w:t>
        </w:r>
        <w:r w:rsidR="00C577DD">
          <w:rPr>
            <w:noProof/>
            <w:webHidden/>
          </w:rPr>
          <w:tab/>
        </w:r>
        <w:r w:rsidR="00C577DD">
          <w:rPr>
            <w:noProof/>
            <w:webHidden/>
          </w:rPr>
          <w:fldChar w:fldCharType="begin"/>
        </w:r>
        <w:r w:rsidR="00C577DD">
          <w:rPr>
            <w:noProof/>
            <w:webHidden/>
          </w:rPr>
          <w:instrText xml:space="preserve"> PAGEREF _Toc532426038 \h </w:instrText>
        </w:r>
        <w:r w:rsidR="00C577DD">
          <w:rPr>
            <w:noProof/>
            <w:webHidden/>
          </w:rPr>
        </w:r>
        <w:r w:rsidR="00C577DD">
          <w:rPr>
            <w:noProof/>
            <w:webHidden/>
          </w:rPr>
          <w:fldChar w:fldCharType="separate"/>
        </w:r>
        <w:r w:rsidR="00C577DD">
          <w:rPr>
            <w:noProof/>
            <w:webHidden/>
          </w:rPr>
          <w:t>23</w:t>
        </w:r>
        <w:r w:rsidR="00C577DD">
          <w:rPr>
            <w:noProof/>
            <w:webHidden/>
          </w:rPr>
          <w:fldChar w:fldCharType="end"/>
        </w:r>
      </w:hyperlink>
    </w:p>
    <w:p w14:paraId="61524B65" w14:textId="53C31201"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39" w:history="1">
        <w:r w:rsidR="00C577DD" w:rsidRPr="00B462D2">
          <w:rPr>
            <w:rStyle w:val="Hyperlink"/>
            <w:noProof/>
          </w:rPr>
          <w:t>3.4</w:t>
        </w:r>
        <w:r w:rsidR="00C577DD">
          <w:rPr>
            <w:rFonts w:asciiTheme="minorHAnsi" w:eastAsiaTheme="minorEastAsia" w:hAnsiTheme="minorHAnsi" w:cstheme="minorBidi"/>
            <w:noProof/>
            <w:color w:val="auto"/>
            <w:lang w:val="en-US" w:eastAsia="en-US"/>
          </w:rPr>
          <w:tab/>
        </w:r>
        <w:r w:rsidR="00C577DD" w:rsidRPr="00B462D2">
          <w:rPr>
            <w:rStyle w:val="Hyperlink"/>
            <w:noProof/>
          </w:rPr>
          <w:t>Pillar III. Management of assets and liabilities</w:t>
        </w:r>
        <w:r w:rsidR="00C577DD">
          <w:rPr>
            <w:noProof/>
            <w:webHidden/>
          </w:rPr>
          <w:tab/>
        </w:r>
        <w:r w:rsidR="00C577DD">
          <w:rPr>
            <w:noProof/>
            <w:webHidden/>
          </w:rPr>
          <w:fldChar w:fldCharType="begin"/>
        </w:r>
        <w:r w:rsidR="00C577DD">
          <w:rPr>
            <w:noProof/>
            <w:webHidden/>
          </w:rPr>
          <w:instrText xml:space="preserve"> PAGEREF _Toc532426039 \h </w:instrText>
        </w:r>
        <w:r w:rsidR="00C577DD">
          <w:rPr>
            <w:noProof/>
            <w:webHidden/>
          </w:rPr>
        </w:r>
        <w:r w:rsidR="00C577DD">
          <w:rPr>
            <w:noProof/>
            <w:webHidden/>
          </w:rPr>
          <w:fldChar w:fldCharType="separate"/>
        </w:r>
        <w:r w:rsidR="00C577DD">
          <w:rPr>
            <w:noProof/>
            <w:webHidden/>
          </w:rPr>
          <w:t>29</w:t>
        </w:r>
        <w:r w:rsidR="00C577DD">
          <w:rPr>
            <w:noProof/>
            <w:webHidden/>
          </w:rPr>
          <w:fldChar w:fldCharType="end"/>
        </w:r>
      </w:hyperlink>
    </w:p>
    <w:p w14:paraId="2D23536F" w14:textId="58878CB5"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40" w:history="1">
        <w:r w:rsidR="00C577DD" w:rsidRPr="00B462D2">
          <w:rPr>
            <w:rStyle w:val="Hyperlink"/>
            <w:noProof/>
          </w:rPr>
          <w:t>3.5</w:t>
        </w:r>
        <w:r w:rsidR="00C577DD">
          <w:rPr>
            <w:rFonts w:asciiTheme="minorHAnsi" w:eastAsiaTheme="minorEastAsia" w:hAnsiTheme="minorHAnsi" w:cstheme="minorBidi"/>
            <w:noProof/>
            <w:color w:val="auto"/>
            <w:lang w:val="en-US" w:eastAsia="en-US"/>
          </w:rPr>
          <w:tab/>
        </w:r>
        <w:r w:rsidR="00C577DD" w:rsidRPr="00B462D2">
          <w:rPr>
            <w:rStyle w:val="Hyperlink"/>
            <w:noProof/>
          </w:rPr>
          <w:t>Pillar IV. Policy-based fiscal strategy and budgeting</w:t>
        </w:r>
        <w:r w:rsidR="00C577DD">
          <w:rPr>
            <w:noProof/>
            <w:webHidden/>
          </w:rPr>
          <w:tab/>
        </w:r>
        <w:r w:rsidR="00C577DD">
          <w:rPr>
            <w:noProof/>
            <w:webHidden/>
          </w:rPr>
          <w:fldChar w:fldCharType="begin"/>
        </w:r>
        <w:r w:rsidR="00C577DD">
          <w:rPr>
            <w:noProof/>
            <w:webHidden/>
          </w:rPr>
          <w:instrText xml:space="preserve"> PAGEREF _Toc532426040 \h </w:instrText>
        </w:r>
        <w:r w:rsidR="00C577DD">
          <w:rPr>
            <w:noProof/>
            <w:webHidden/>
          </w:rPr>
        </w:r>
        <w:r w:rsidR="00C577DD">
          <w:rPr>
            <w:noProof/>
            <w:webHidden/>
          </w:rPr>
          <w:fldChar w:fldCharType="separate"/>
        </w:r>
        <w:r w:rsidR="00C577DD">
          <w:rPr>
            <w:noProof/>
            <w:webHidden/>
          </w:rPr>
          <w:t>34</w:t>
        </w:r>
        <w:r w:rsidR="00C577DD">
          <w:rPr>
            <w:noProof/>
            <w:webHidden/>
          </w:rPr>
          <w:fldChar w:fldCharType="end"/>
        </w:r>
      </w:hyperlink>
    </w:p>
    <w:p w14:paraId="3F4498D3" w14:textId="6DF4149D"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41" w:history="1">
        <w:r w:rsidR="00C577DD" w:rsidRPr="00B462D2">
          <w:rPr>
            <w:rStyle w:val="Hyperlink"/>
            <w:noProof/>
          </w:rPr>
          <w:t>3.6</w:t>
        </w:r>
        <w:r w:rsidR="00C577DD">
          <w:rPr>
            <w:rFonts w:asciiTheme="minorHAnsi" w:eastAsiaTheme="minorEastAsia" w:hAnsiTheme="minorHAnsi" w:cstheme="minorBidi"/>
            <w:noProof/>
            <w:color w:val="auto"/>
            <w:lang w:val="en-US" w:eastAsia="en-US"/>
          </w:rPr>
          <w:tab/>
        </w:r>
        <w:r w:rsidR="00C577DD" w:rsidRPr="00B462D2">
          <w:rPr>
            <w:rStyle w:val="Hyperlink"/>
            <w:noProof/>
          </w:rPr>
          <w:t>Pillar V. Predictability and control in budget execution</w:t>
        </w:r>
        <w:r w:rsidR="00C577DD">
          <w:rPr>
            <w:noProof/>
            <w:webHidden/>
          </w:rPr>
          <w:tab/>
        </w:r>
        <w:r w:rsidR="00C577DD">
          <w:rPr>
            <w:noProof/>
            <w:webHidden/>
          </w:rPr>
          <w:fldChar w:fldCharType="begin"/>
        </w:r>
        <w:r w:rsidR="00C577DD">
          <w:rPr>
            <w:noProof/>
            <w:webHidden/>
          </w:rPr>
          <w:instrText xml:space="preserve"> PAGEREF _Toc532426041 \h </w:instrText>
        </w:r>
        <w:r w:rsidR="00C577DD">
          <w:rPr>
            <w:noProof/>
            <w:webHidden/>
          </w:rPr>
        </w:r>
        <w:r w:rsidR="00C577DD">
          <w:rPr>
            <w:noProof/>
            <w:webHidden/>
          </w:rPr>
          <w:fldChar w:fldCharType="separate"/>
        </w:r>
        <w:r w:rsidR="00C577DD">
          <w:rPr>
            <w:noProof/>
            <w:webHidden/>
          </w:rPr>
          <w:t>41</w:t>
        </w:r>
        <w:r w:rsidR="00C577DD">
          <w:rPr>
            <w:noProof/>
            <w:webHidden/>
          </w:rPr>
          <w:fldChar w:fldCharType="end"/>
        </w:r>
      </w:hyperlink>
    </w:p>
    <w:p w14:paraId="45A7A5C7" w14:textId="6DD0D468"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42" w:history="1">
        <w:r w:rsidR="00C577DD" w:rsidRPr="00B462D2">
          <w:rPr>
            <w:rStyle w:val="Hyperlink"/>
            <w:noProof/>
            <w:lang w:eastAsia="en-US"/>
          </w:rPr>
          <w:t>3.7</w:t>
        </w:r>
        <w:r w:rsidR="00C577DD">
          <w:rPr>
            <w:rFonts w:asciiTheme="minorHAnsi" w:eastAsiaTheme="minorEastAsia" w:hAnsiTheme="minorHAnsi" w:cstheme="minorBidi"/>
            <w:noProof/>
            <w:color w:val="auto"/>
            <w:lang w:val="en-US" w:eastAsia="en-US"/>
          </w:rPr>
          <w:tab/>
        </w:r>
        <w:r w:rsidR="00C577DD" w:rsidRPr="00B462D2">
          <w:rPr>
            <w:rStyle w:val="Hyperlink"/>
            <w:noProof/>
          </w:rPr>
          <w:t>Pillar VI. Accounting and reporting</w:t>
        </w:r>
        <w:r w:rsidR="00C577DD">
          <w:rPr>
            <w:noProof/>
            <w:webHidden/>
          </w:rPr>
          <w:tab/>
        </w:r>
        <w:r w:rsidR="00C577DD">
          <w:rPr>
            <w:noProof/>
            <w:webHidden/>
          </w:rPr>
          <w:fldChar w:fldCharType="begin"/>
        </w:r>
        <w:r w:rsidR="00C577DD">
          <w:rPr>
            <w:noProof/>
            <w:webHidden/>
          </w:rPr>
          <w:instrText xml:space="preserve"> PAGEREF _Toc532426042 \h </w:instrText>
        </w:r>
        <w:r w:rsidR="00C577DD">
          <w:rPr>
            <w:noProof/>
            <w:webHidden/>
          </w:rPr>
        </w:r>
        <w:r w:rsidR="00C577DD">
          <w:rPr>
            <w:noProof/>
            <w:webHidden/>
          </w:rPr>
          <w:fldChar w:fldCharType="separate"/>
        </w:r>
        <w:r w:rsidR="00C577DD">
          <w:rPr>
            <w:noProof/>
            <w:webHidden/>
          </w:rPr>
          <w:t>57</w:t>
        </w:r>
        <w:r w:rsidR="00C577DD">
          <w:rPr>
            <w:noProof/>
            <w:webHidden/>
          </w:rPr>
          <w:fldChar w:fldCharType="end"/>
        </w:r>
      </w:hyperlink>
    </w:p>
    <w:p w14:paraId="4B8F95F0" w14:textId="0702B51C"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43" w:history="1">
        <w:r w:rsidR="00C577DD" w:rsidRPr="00B462D2">
          <w:rPr>
            <w:rStyle w:val="Hyperlink"/>
            <w:noProof/>
          </w:rPr>
          <w:t>3.8</w:t>
        </w:r>
        <w:r w:rsidR="00C577DD">
          <w:rPr>
            <w:rFonts w:asciiTheme="minorHAnsi" w:eastAsiaTheme="minorEastAsia" w:hAnsiTheme="minorHAnsi" w:cstheme="minorBidi"/>
            <w:noProof/>
            <w:color w:val="auto"/>
            <w:lang w:val="en-US" w:eastAsia="en-US"/>
          </w:rPr>
          <w:tab/>
        </w:r>
        <w:r w:rsidR="00C577DD" w:rsidRPr="00B462D2">
          <w:rPr>
            <w:rStyle w:val="Hyperlink"/>
            <w:noProof/>
          </w:rPr>
          <w:t>Pillar VII. External scrutiny and audit</w:t>
        </w:r>
        <w:r w:rsidR="00C577DD">
          <w:rPr>
            <w:noProof/>
            <w:webHidden/>
          </w:rPr>
          <w:tab/>
        </w:r>
        <w:r w:rsidR="00C577DD">
          <w:rPr>
            <w:noProof/>
            <w:webHidden/>
          </w:rPr>
          <w:fldChar w:fldCharType="begin"/>
        </w:r>
        <w:r w:rsidR="00C577DD">
          <w:rPr>
            <w:noProof/>
            <w:webHidden/>
          </w:rPr>
          <w:instrText xml:space="preserve"> PAGEREF _Toc532426043 \h </w:instrText>
        </w:r>
        <w:r w:rsidR="00C577DD">
          <w:rPr>
            <w:noProof/>
            <w:webHidden/>
          </w:rPr>
        </w:r>
        <w:r w:rsidR="00C577DD">
          <w:rPr>
            <w:noProof/>
            <w:webHidden/>
          </w:rPr>
          <w:fldChar w:fldCharType="separate"/>
        </w:r>
        <w:r w:rsidR="00C577DD">
          <w:rPr>
            <w:noProof/>
            <w:webHidden/>
          </w:rPr>
          <w:t>62</w:t>
        </w:r>
        <w:r w:rsidR="00C577DD">
          <w:rPr>
            <w:noProof/>
            <w:webHidden/>
          </w:rPr>
          <w:fldChar w:fldCharType="end"/>
        </w:r>
      </w:hyperlink>
    </w:p>
    <w:p w14:paraId="5E77FF70" w14:textId="465CA91C" w:rsidR="00C577DD" w:rsidRDefault="008B59A7">
      <w:pPr>
        <w:pStyle w:val="TOC1"/>
        <w:tabs>
          <w:tab w:val="left" w:pos="505"/>
          <w:tab w:val="right" w:leader="dot" w:pos="9350"/>
        </w:tabs>
        <w:rPr>
          <w:rFonts w:asciiTheme="minorHAnsi" w:eastAsiaTheme="minorEastAsia" w:hAnsiTheme="minorHAnsi" w:cstheme="minorBidi"/>
          <w:noProof/>
          <w:color w:val="auto"/>
          <w:lang w:val="en-US" w:eastAsia="en-US"/>
        </w:rPr>
      </w:pPr>
      <w:hyperlink w:anchor="_Toc532426044" w:history="1">
        <w:r w:rsidR="00C577DD" w:rsidRPr="00B462D2">
          <w:rPr>
            <w:rStyle w:val="Hyperlink"/>
            <w:noProof/>
          </w:rPr>
          <w:t>4.</w:t>
        </w:r>
        <w:r w:rsidR="00C577DD">
          <w:rPr>
            <w:rFonts w:asciiTheme="minorHAnsi" w:eastAsiaTheme="minorEastAsia" w:hAnsiTheme="minorHAnsi" w:cstheme="minorBidi"/>
            <w:noProof/>
            <w:color w:val="auto"/>
            <w:lang w:val="en-US" w:eastAsia="en-US"/>
          </w:rPr>
          <w:tab/>
        </w:r>
        <w:r w:rsidR="00C577DD" w:rsidRPr="00B462D2">
          <w:rPr>
            <w:rStyle w:val="Hyperlink"/>
            <w:noProof/>
          </w:rPr>
          <w:t>Conclusions of the Analysis of PFM Systems</w:t>
        </w:r>
        <w:r w:rsidR="00C577DD">
          <w:rPr>
            <w:noProof/>
            <w:webHidden/>
          </w:rPr>
          <w:tab/>
        </w:r>
        <w:r w:rsidR="00C577DD">
          <w:rPr>
            <w:noProof/>
            <w:webHidden/>
          </w:rPr>
          <w:fldChar w:fldCharType="begin"/>
        </w:r>
        <w:r w:rsidR="00C577DD">
          <w:rPr>
            <w:noProof/>
            <w:webHidden/>
          </w:rPr>
          <w:instrText xml:space="preserve"> PAGEREF _Toc532426044 \h </w:instrText>
        </w:r>
        <w:r w:rsidR="00C577DD">
          <w:rPr>
            <w:noProof/>
            <w:webHidden/>
          </w:rPr>
        </w:r>
        <w:r w:rsidR="00C577DD">
          <w:rPr>
            <w:noProof/>
            <w:webHidden/>
          </w:rPr>
          <w:fldChar w:fldCharType="separate"/>
        </w:r>
        <w:r w:rsidR="00C577DD">
          <w:rPr>
            <w:noProof/>
            <w:webHidden/>
          </w:rPr>
          <w:t>67</w:t>
        </w:r>
        <w:r w:rsidR="00C577DD">
          <w:rPr>
            <w:noProof/>
            <w:webHidden/>
          </w:rPr>
          <w:fldChar w:fldCharType="end"/>
        </w:r>
      </w:hyperlink>
    </w:p>
    <w:p w14:paraId="3C8F5111" w14:textId="7A1A75E2"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45" w:history="1">
        <w:r w:rsidR="00C577DD" w:rsidRPr="00B462D2">
          <w:rPr>
            <w:rStyle w:val="Hyperlink"/>
            <w:noProof/>
          </w:rPr>
          <w:t>4.1</w:t>
        </w:r>
        <w:r w:rsidR="00C577DD">
          <w:rPr>
            <w:rFonts w:asciiTheme="minorHAnsi" w:eastAsiaTheme="minorEastAsia" w:hAnsiTheme="minorHAnsi" w:cstheme="minorBidi"/>
            <w:noProof/>
            <w:color w:val="auto"/>
            <w:lang w:val="en-US" w:eastAsia="en-US"/>
          </w:rPr>
          <w:tab/>
        </w:r>
        <w:r w:rsidR="00C577DD" w:rsidRPr="00B462D2">
          <w:rPr>
            <w:rStyle w:val="Hyperlink"/>
            <w:noProof/>
          </w:rPr>
          <w:t>Integrated assessment of PFM performance</w:t>
        </w:r>
        <w:r w:rsidR="00C577DD">
          <w:rPr>
            <w:noProof/>
            <w:webHidden/>
          </w:rPr>
          <w:tab/>
        </w:r>
        <w:r w:rsidR="00C577DD">
          <w:rPr>
            <w:noProof/>
            <w:webHidden/>
          </w:rPr>
          <w:fldChar w:fldCharType="begin"/>
        </w:r>
        <w:r w:rsidR="00C577DD">
          <w:rPr>
            <w:noProof/>
            <w:webHidden/>
          </w:rPr>
          <w:instrText xml:space="preserve"> PAGEREF _Toc532426045 \h </w:instrText>
        </w:r>
        <w:r w:rsidR="00C577DD">
          <w:rPr>
            <w:noProof/>
            <w:webHidden/>
          </w:rPr>
        </w:r>
        <w:r w:rsidR="00C577DD">
          <w:rPr>
            <w:noProof/>
            <w:webHidden/>
          </w:rPr>
          <w:fldChar w:fldCharType="separate"/>
        </w:r>
        <w:r w:rsidR="00C577DD">
          <w:rPr>
            <w:noProof/>
            <w:webHidden/>
          </w:rPr>
          <w:t>67</w:t>
        </w:r>
        <w:r w:rsidR="00C577DD">
          <w:rPr>
            <w:noProof/>
            <w:webHidden/>
          </w:rPr>
          <w:fldChar w:fldCharType="end"/>
        </w:r>
      </w:hyperlink>
    </w:p>
    <w:p w14:paraId="6125C9CC" w14:textId="2617E418"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46" w:history="1">
        <w:r w:rsidR="00C577DD" w:rsidRPr="00B462D2">
          <w:rPr>
            <w:rStyle w:val="Hyperlink"/>
            <w:noProof/>
          </w:rPr>
          <w:t>4.2</w:t>
        </w:r>
        <w:r w:rsidR="00C577DD">
          <w:rPr>
            <w:rFonts w:asciiTheme="minorHAnsi" w:eastAsiaTheme="minorEastAsia" w:hAnsiTheme="minorHAnsi" w:cstheme="minorBidi"/>
            <w:noProof/>
            <w:color w:val="auto"/>
            <w:lang w:val="en-US" w:eastAsia="en-US"/>
          </w:rPr>
          <w:tab/>
        </w:r>
        <w:r w:rsidR="00C577DD" w:rsidRPr="00B462D2">
          <w:rPr>
            <w:rStyle w:val="Hyperlink"/>
            <w:noProof/>
          </w:rPr>
          <w:t>Effectiveness of the internal control framework</w:t>
        </w:r>
        <w:r w:rsidR="00C577DD">
          <w:rPr>
            <w:noProof/>
            <w:webHidden/>
          </w:rPr>
          <w:tab/>
        </w:r>
        <w:r w:rsidR="00C577DD">
          <w:rPr>
            <w:noProof/>
            <w:webHidden/>
          </w:rPr>
          <w:fldChar w:fldCharType="begin"/>
        </w:r>
        <w:r w:rsidR="00C577DD">
          <w:rPr>
            <w:noProof/>
            <w:webHidden/>
          </w:rPr>
          <w:instrText xml:space="preserve"> PAGEREF _Toc532426046 \h </w:instrText>
        </w:r>
        <w:r w:rsidR="00C577DD">
          <w:rPr>
            <w:noProof/>
            <w:webHidden/>
          </w:rPr>
        </w:r>
        <w:r w:rsidR="00C577DD">
          <w:rPr>
            <w:noProof/>
            <w:webHidden/>
          </w:rPr>
          <w:fldChar w:fldCharType="separate"/>
        </w:r>
        <w:r w:rsidR="00C577DD">
          <w:rPr>
            <w:noProof/>
            <w:webHidden/>
          </w:rPr>
          <w:t>70</w:t>
        </w:r>
        <w:r w:rsidR="00C577DD">
          <w:rPr>
            <w:noProof/>
            <w:webHidden/>
          </w:rPr>
          <w:fldChar w:fldCharType="end"/>
        </w:r>
      </w:hyperlink>
    </w:p>
    <w:p w14:paraId="01BB8209" w14:textId="37D7E387"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47" w:history="1">
        <w:r w:rsidR="00C577DD" w:rsidRPr="00B462D2">
          <w:rPr>
            <w:rStyle w:val="Hyperlink"/>
            <w:noProof/>
          </w:rPr>
          <w:t>4.3</w:t>
        </w:r>
        <w:r w:rsidR="00C577DD">
          <w:rPr>
            <w:rFonts w:asciiTheme="minorHAnsi" w:eastAsiaTheme="minorEastAsia" w:hAnsiTheme="minorHAnsi" w:cstheme="minorBidi"/>
            <w:noProof/>
            <w:color w:val="auto"/>
            <w:lang w:val="en-US" w:eastAsia="en-US"/>
          </w:rPr>
          <w:tab/>
        </w:r>
        <w:r w:rsidR="00C577DD" w:rsidRPr="00B462D2">
          <w:rPr>
            <w:rStyle w:val="Hyperlink"/>
            <w:noProof/>
          </w:rPr>
          <w:t>PFM strengths and weaknesses</w:t>
        </w:r>
        <w:r w:rsidR="00C577DD">
          <w:rPr>
            <w:noProof/>
            <w:webHidden/>
          </w:rPr>
          <w:tab/>
        </w:r>
        <w:r w:rsidR="00C577DD">
          <w:rPr>
            <w:noProof/>
            <w:webHidden/>
          </w:rPr>
          <w:fldChar w:fldCharType="begin"/>
        </w:r>
        <w:r w:rsidR="00C577DD">
          <w:rPr>
            <w:noProof/>
            <w:webHidden/>
          </w:rPr>
          <w:instrText xml:space="preserve"> PAGEREF _Toc532426047 \h </w:instrText>
        </w:r>
        <w:r w:rsidR="00C577DD">
          <w:rPr>
            <w:noProof/>
            <w:webHidden/>
          </w:rPr>
        </w:r>
        <w:r w:rsidR="00C577DD">
          <w:rPr>
            <w:noProof/>
            <w:webHidden/>
          </w:rPr>
          <w:fldChar w:fldCharType="separate"/>
        </w:r>
        <w:r w:rsidR="00C577DD">
          <w:rPr>
            <w:noProof/>
            <w:webHidden/>
          </w:rPr>
          <w:t>73</w:t>
        </w:r>
        <w:r w:rsidR="00C577DD">
          <w:rPr>
            <w:noProof/>
            <w:webHidden/>
          </w:rPr>
          <w:fldChar w:fldCharType="end"/>
        </w:r>
      </w:hyperlink>
    </w:p>
    <w:p w14:paraId="11784E77" w14:textId="039DB57D" w:rsidR="00C577DD" w:rsidRDefault="008B59A7">
      <w:pPr>
        <w:pStyle w:val="TOC1"/>
        <w:tabs>
          <w:tab w:val="left" w:pos="505"/>
          <w:tab w:val="right" w:leader="dot" w:pos="9350"/>
        </w:tabs>
        <w:rPr>
          <w:rFonts w:asciiTheme="minorHAnsi" w:eastAsiaTheme="minorEastAsia" w:hAnsiTheme="minorHAnsi" w:cstheme="minorBidi"/>
          <w:noProof/>
          <w:color w:val="auto"/>
          <w:lang w:val="en-US" w:eastAsia="en-US"/>
        </w:rPr>
      </w:pPr>
      <w:hyperlink w:anchor="_Toc532426048" w:history="1">
        <w:r w:rsidR="00C577DD" w:rsidRPr="00B462D2">
          <w:rPr>
            <w:rStyle w:val="Hyperlink"/>
            <w:noProof/>
          </w:rPr>
          <w:t>5.</w:t>
        </w:r>
        <w:r w:rsidR="00C577DD">
          <w:rPr>
            <w:rFonts w:asciiTheme="minorHAnsi" w:eastAsiaTheme="minorEastAsia" w:hAnsiTheme="minorHAnsi" w:cstheme="minorBidi"/>
            <w:noProof/>
            <w:color w:val="auto"/>
            <w:lang w:val="en-US" w:eastAsia="en-US"/>
          </w:rPr>
          <w:tab/>
        </w:r>
        <w:r w:rsidR="00C577DD" w:rsidRPr="00B462D2">
          <w:rPr>
            <w:rStyle w:val="Hyperlink"/>
            <w:noProof/>
          </w:rPr>
          <w:t>Government PFM Reform Process</w:t>
        </w:r>
        <w:r w:rsidR="00C577DD">
          <w:rPr>
            <w:noProof/>
            <w:webHidden/>
          </w:rPr>
          <w:tab/>
        </w:r>
        <w:r w:rsidR="00C577DD">
          <w:rPr>
            <w:noProof/>
            <w:webHidden/>
          </w:rPr>
          <w:fldChar w:fldCharType="begin"/>
        </w:r>
        <w:r w:rsidR="00C577DD">
          <w:rPr>
            <w:noProof/>
            <w:webHidden/>
          </w:rPr>
          <w:instrText xml:space="preserve"> PAGEREF _Toc532426048 \h </w:instrText>
        </w:r>
        <w:r w:rsidR="00C577DD">
          <w:rPr>
            <w:noProof/>
            <w:webHidden/>
          </w:rPr>
        </w:r>
        <w:r w:rsidR="00C577DD">
          <w:rPr>
            <w:noProof/>
            <w:webHidden/>
          </w:rPr>
          <w:fldChar w:fldCharType="separate"/>
        </w:r>
        <w:r w:rsidR="00C577DD">
          <w:rPr>
            <w:noProof/>
            <w:webHidden/>
          </w:rPr>
          <w:t>76</w:t>
        </w:r>
        <w:r w:rsidR="00C577DD">
          <w:rPr>
            <w:noProof/>
            <w:webHidden/>
          </w:rPr>
          <w:fldChar w:fldCharType="end"/>
        </w:r>
      </w:hyperlink>
    </w:p>
    <w:p w14:paraId="4F66F1BD" w14:textId="657156D8"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49" w:history="1">
        <w:r w:rsidR="00C577DD" w:rsidRPr="00B462D2">
          <w:rPr>
            <w:rStyle w:val="Hyperlink"/>
            <w:noProof/>
          </w:rPr>
          <w:t>5.1</w:t>
        </w:r>
        <w:r w:rsidR="00C577DD">
          <w:rPr>
            <w:rFonts w:asciiTheme="minorHAnsi" w:eastAsiaTheme="minorEastAsia" w:hAnsiTheme="minorHAnsi" w:cstheme="minorBidi"/>
            <w:noProof/>
            <w:color w:val="auto"/>
            <w:lang w:val="en-US" w:eastAsia="en-US"/>
          </w:rPr>
          <w:tab/>
        </w:r>
        <w:r w:rsidR="00C577DD" w:rsidRPr="00B462D2">
          <w:rPr>
            <w:rStyle w:val="Hyperlink"/>
            <w:noProof/>
          </w:rPr>
          <w:t>Approach to PFM reforms</w:t>
        </w:r>
        <w:r w:rsidR="00C577DD">
          <w:rPr>
            <w:noProof/>
            <w:webHidden/>
          </w:rPr>
          <w:tab/>
        </w:r>
        <w:r w:rsidR="00C577DD">
          <w:rPr>
            <w:noProof/>
            <w:webHidden/>
          </w:rPr>
          <w:fldChar w:fldCharType="begin"/>
        </w:r>
        <w:r w:rsidR="00C577DD">
          <w:rPr>
            <w:noProof/>
            <w:webHidden/>
          </w:rPr>
          <w:instrText xml:space="preserve"> PAGEREF _Toc532426049 \h </w:instrText>
        </w:r>
        <w:r w:rsidR="00C577DD">
          <w:rPr>
            <w:noProof/>
            <w:webHidden/>
          </w:rPr>
        </w:r>
        <w:r w:rsidR="00C577DD">
          <w:rPr>
            <w:noProof/>
            <w:webHidden/>
          </w:rPr>
          <w:fldChar w:fldCharType="separate"/>
        </w:r>
        <w:r w:rsidR="00C577DD">
          <w:rPr>
            <w:noProof/>
            <w:webHidden/>
          </w:rPr>
          <w:t>76</w:t>
        </w:r>
        <w:r w:rsidR="00C577DD">
          <w:rPr>
            <w:noProof/>
            <w:webHidden/>
          </w:rPr>
          <w:fldChar w:fldCharType="end"/>
        </w:r>
      </w:hyperlink>
    </w:p>
    <w:p w14:paraId="3B54CD95" w14:textId="4FC0A279"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50" w:history="1">
        <w:r w:rsidR="00C577DD" w:rsidRPr="00B462D2">
          <w:rPr>
            <w:rStyle w:val="Hyperlink"/>
            <w:noProof/>
          </w:rPr>
          <w:t>5.2</w:t>
        </w:r>
        <w:r w:rsidR="00C577DD">
          <w:rPr>
            <w:rFonts w:asciiTheme="minorHAnsi" w:eastAsiaTheme="minorEastAsia" w:hAnsiTheme="minorHAnsi" w:cstheme="minorBidi"/>
            <w:noProof/>
            <w:color w:val="auto"/>
            <w:lang w:val="en-US" w:eastAsia="en-US"/>
          </w:rPr>
          <w:tab/>
        </w:r>
        <w:r w:rsidR="00C577DD" w:rsidRPr="00B462D2">
          <w:rPr>
            <w:rStyle w:val="Hyperlink"/>
            <w:noProof/>
          </w:rPr>
          <w:t>Recent and ongoing reform actions</w:t>
        </w:r>
        <w:r w:rsidR="00C577DD">
          <w:rPr>
            <w:noProof/>
            <w:webHidden/>
          </w:rPr>
          <w:tab/>
        </w:r>
        <w:r w:rsidR="00C577DD">
          <w:rPr>
            <w:noProof/>
            <w:webHidden/>
          </w:rPr>
          <w:fldChar w:fldCharType="begin"/>
        </w:r>
        <w:r w:rsidR="00C577DD">
          <w:rPr>
            <w:noProof/>
            <w:webHidden/>
          </w:rPr>
          <w:instrText xml:space="preserve"> PAGEREF _Toc532426050 \h </w:instrText>
        </w:r>
        <w:r w:rsidR="00C577DD">
          <w:rPr>
            <w:noProof/>
            <w:webHidden/>
          </w:rPr>
        </w:r>
        <w:r w:rsidR="00C577DD">
          <w:rPr>
            <w:noProof/>
            <w:webHidden/>
          </w:rPr>
          <w:fldChar w:fldCharType="separate"/>
        </w:r>
        <w:r w:rsidR="00C577DD">
          <w:rPr>
            <w:noProof/>
            <w:webHidden/>
          </w:rPr>
          <w:t>76</w:t>
        </w:r>
        <w:r w:rsidR="00C577DD">
          <w:rPr>
            <w:noProof/>
            <w:webHidden/>
          </w:rPr>
          <w:fldChar w:fldCharType="end"/>
        </w:r>
      </w:hyperlink>
    </w:p>
    <w:p w14:paraId="3F5F9283" w14:textId="196CDA4D" w:rsidR="00C577DD" w:rsidRDefault="008B59A7">
      <w:pPr>
        <w:pStyle w:val="TOC2"/>
        <w:tabs>
          <w:tab w:val="left" w:pos="880"/>
          <w:tab w:val="right" w:leader="dot" w:pos="9350"/>
        </w:tabs>
        <w:rPr>
          <w:rFonts w:asciiTheme="minorHAnsi" w:eastAsiaTheme="minorEastAsia" w:hAnsiTheme="minorHAnsi" w:cstheme="minorBidi"/>
          <w:noProof/>
          <w:color w:val="auto"/>
          <w:lang w:val="en-US" w:eastAsia="en-US"/>
        </w:rPr>
      </w:pPr>
      <w:hyperlink w:anchor="_Toc532426051" w:history="1">
        <w:r w:rsidR="00C577DD" w:rsidRPr="00B462D2">
          <w:rPr>
            <w:rStyle w:val="Hyperlink"/>
            <w:noProof/>
          </w:rPr>
          <w:t>5.3</w:t>
        </w:r>
        <w:r w:rsidR="00C577DD">
          <w:rPr>
            <w:rFonts w:asciiTheme="minorHAnsi" w:eastAsiaTheme="minorEastAsia" w:hAnsiTheme="minorHAnsi" w:cstheme="minorBidi"/>
            <w:noProof/>
            <w:color w:val="auto"/>
            <w:lang w:val="en-US" w:eastAsia="en-US"/>
          </w:rPr>
          <w:tab/>
        </w:r>
        <w:r w:rsidR="00C577DD" w:rsidRPr="00B462D2">
          <w:rPr>
            <w:rStyle w:val="Hyperlink"/>
            <w:noProof/>
          </w:rPr>
          <w:t>Institutional considerations</w:t>
        </w:r>
        <w:r w:rsidR="00C577DD">
          <w:rPr>
            <w:noProof/>
            <w:webHidden/>
          </w:rPr>
          <w:tab/>
        </w:r>
        <w:r w:rsidR="00C577DD">
          <w:rPr>
            <w:noProof/>
            <w:webHidden/>
          </w:rPr>
          <w:fldChar w:fldCharType="begin"/>
        </w:r>
        <w:r w:rsidR="00C577DD">
          <w:rPr>
            <w:noProof/>
            <w:webHidden/>
          </w:rPr>
          <w:instrText xml:space="preserve"> PAGEREF _Toc532426051 \h </w:instrText>
        </w:r>
        <w:r w:rsidR="00C577DD">
          <w:rPr>
            <w:noProof/>
            <w:webHidden/>
          </w:rPr>
        </w:r>
        <w:r w:rsidR="00C577DD">
          <w:rPr>
            <w:noProof/>
            <w:webHidden/>
          </w:rPr>
          <w:fldChar w:fldCharType="separate"/>
        </w:r>
        <w:r w:rsidR="00C577DD">
          <w:rPr>
            <w:noProof/>
            <w:webHidden/>
          </w:rPr>
          <w:t>76</w:t>
        </w:r>
        <w:r w:rsidR="00C577DD">
          <w:rPr>
            <w:noProof/>
            <w:webHidden/>
          </w:rPr>
          <w:fldChar w:fldCharType="end"/>
        </w:r>
      </w:hyperlink>
    </w:p>
    <w:p w14:paraId="50848D12" w14:textId="76DDBA72" w:rsidR="00C577DD" w:rsidRDefault="008B59A7">
      <w:pPr>
        <w:pStyle w:val="TOC1"/>
        <w:tabs>
          <w:tab w:val="right" w:leader="dot" w:pos="9350"/>
        </w:tabs>
        <w:rPr>
          <w:rFonts w:asciiTheme="minorHAnsi" w:eastAsiaTheme="minorEastAsia" w:hAnsiTheme="minorHAnsi" w:cstheme="minorBidi"/>
          <w:noProof/>
          <w:color w:val="auto"/>
          <w:lang w:val="en-US" w:eastAsia="en-US"/>
        </w:rPr>
      </w:pPr>
      <w:hyperlink w:anchor="_Toc532426052" w:history="1">
        <w:r w:rsidR="00C577DD" w:rsidRPr="00B462D2">
          <w:rPr>
            <w:rStyle w:val="Hyperlink"/>
            <w:noProof/>
          </w:rPr>
          <w:t>Annex 1. Performance Indicator Summary</w:t>
        </w:r>
        <w:r w:rsidR="00C577DD">
          <w:rPr>
            <w:noProof/>
            <w:webHidden/>
          </w:rPr>
          <w:tab/>
        </w:r>
        <w:r w:rsidR="00C577DD">
          <w:rPr>
            <w:noProof/>
            <w:webHidden/>
          </w:rPr>
          <w:fldChar w:fldCharType="begin"/>
        </w:r>
        <w:r w:rsidR="00C577DD">
          <w:rPr>
            <w:noProof/>
            <w:webHidden/>
          </w:rPr>
          <w:instrText xml:space="preserve"> PAGEREF _Toc532426052 \h </w:instrText>
        </w:r>
        <w:r w:rsidR="00C577DD">
          <w:rPr>
            <w:noProof/>
            <w:webHidden/>
          </w:rPr>
        </w:r>
        <w:r w:rsidR="00C577DD">
          <w:rPr>
            <w:noProof/>
            <w:webHidden/>
          </w:rPr>
          <w:fldChar w:fldCharType="separate"/>
        </w:r>
        <w:r w:rsidR="00C577DD">
          <w:rPr>
            <w:noProof/>
            <w:webHidden/>
          </w:rPr>
          <w:t>78</w:t>
        </w:r>
        <w:r w:rsidR="00C577DD">
          <w:rPr>
            <w:noProof/>
            <w:webHidden/>
          </w:rPr>
          <w:fldChar w:fldCharType="end"/>
        </w:r>
      </w:hyperlink>
    </w:p>
    <w:p w14:paraId="0824D172" w14:textId="4ECDD51B" w:rsidR="00C577DD" w:rsidRDefault="008B59A7">
      <w:pPr>
        <w:pStyle w:val="TOC1"/>
        <w:tabs>
          <w:tab w:val="right" w:leader="dot" w:pos="9350"/>
        </w:tabs>
        <w:rPr>
          <w:rFonts w:asciiTheme="minorHAnsi" w:eastAsiaTheme="minorEastAsia" w:hAnsiTheme="minorHAnsi" w:cstheme="minorBidi"/>
          <w:noProof/>
          <w:color w:val="auto"/>
          <w:lang w:val="en-US" w:eastAsia="en-US"/>
        </w:rPr>
      </w:pPr>
      <w:hyperlink w:anchor="_Toc532426053" w:history="1">
        <w:r w:rsidR="00C577DD" w:rsidRPr="00B462D2">
          <w:rPr>
            <w:rStyle w:val="Hyperlink"/>
            <w:noProof/>
          </w:rPr>
          <w:t>Annex 2. Summary of Observations on the Internal Control Framework</w:t>
        </w:r>
        <w:r w:rsidR="00C577DD">
          <w:rPr>
            <w:noProof/>
            <w:webHidden/>
          </w:rPr>
          <w:tab/>
        </w:r>
        <w:r w:rsidR="00C577DD">
          <w:rPr>
            <w:noProof/>
            <w:webHidden/>
          </w:rPr>
          <w:fldChar w:fldCharType="begin"/>
        </w:r>
        <w:r w:rsidR="00C577DD">
          <w:rPr>
            <w:noProof/>
            <w:webHidden/>
          </w:rPr>
          <w:instrText xml:space="preserve"> PAGEREF _Toc532426053 \h </w:instrText>
        </w:r>
        <w:r w:rsidR="00C577DD">
          <w:rPr>
            <w:noProof/>
            <w:webHidden/>
          </w:rPr>
        </w:r>
        <w:r w:rsidR="00C577DD">
          <w:rPr>
            <w:noProof/>
            <w:webHidden/>
          </w:rPr>
          <w:fldChar w:fldCharType="separate"/>
        </w:r>
        <w:r w:rsidR="00C577DD">
          <w:rPr>
            <w:noProof/>
            <w:webHidden/>
          </w:rPr>
          <w:t>86</w:t>
        </w:r>
        <w:r w:rsidR="00C577DD">
          <w:rPr>
            <w:noProof/>
            <w:webHidden/>
          </w:rPr>
          <w:fldChar w:fldCharType="end"/>
        </w:r>
      </w:hyperlink>
    </w:p>
    <w:p w14:paraId="0783B718" w14:textId="41075498" w:rsidR="00C577DD" w:rsidRDefault="008B59A7">
      <w:pPr>
        <w:pStyle w:val="TOC1"/>
        <w:tabs>
          <w:tab w:val="right" w:leader="dot" w:pos="9350"/>
        </w:tabs>
        <w:rPr>
          <w:rFonts w:asciiTheme="minorHAnsi" w:eastAsiaTheme="minorEastAsia" w:hAnsiTheme="minorHAnsi" w:cstheme="minorBidi"/>
          <w:noProof/>
          <w:color w:val="auto"/>
          <w:lang w:val="en-US" w:eastAsia="en-US"/>
        </w:rPr>
      </w:pPr>
      <w:hyperlink w:anchor="_Toc532426054" w:history="1">
        <w:r w:rsidR="00C577DD" w:rsidRPr="00B462D2">
          <w:rPr>
            <w:rStyle w:val="Hyperlink"/>
            <w:noProof/>
          </w:rPr>
          <w:t>Annex 3. Sources of Information</w:t>
        </w:r>
        <w:r w:rsidR="00C577DD">
          <w:rPr>
            <w:noProof/>
            <w:webHidden/>
          </w:rPr>
          <w:tab/>
        </w:r>
        <w:r w:rsidR="00C577DD">
          <w:rPr>
            <w:noProof/>
            <w:webHidden/>
          </w:rPr>
          <w:fldChar w:fldCharType="begin"/>
        </w:r>
        <w:r w:rsidR="00C577DD">
          <w:rPr>
            <w:noProof/>
            <w:webHidden/>
          </w:rPr>
          <w:instrText xml:space="preserve"> PAGEREF _Toc532426054 \h </w:instrText>
        </w:r>
        <w:r w:rsidR="00C577DD">
          <w:rPr>
            <w:noProof/>
            <w:webHidden/>
          </w:rPr>
        </w:r>
        <w:r w:rsidR="00C577DD">
          <w:rPr>
            <w:noProof/>
            <w:webHidden/>
          </w:rPr>
          <w:fldChar w:fldCharType="separate"/>
        </w:r>
        <w:r w:rsidR="00C577DD">
          <w:rPr>
            <w:noProof/>
            <w:webHidden/>
          </w:rPr>
          <w:t>89</w:t>
        </w:r>
        <w:r w:rsidR="00C577DD">
          <w:rPr>
            <w:noProof/>
            <w:webHidden/>
          </w:rPr>
          <w:fldChar w:fldCharType="end"/>
        </w:r>
      </w:hyperlink>
    </w:p>
    <w:p w14:paraId="6313BB6E" w14:textId="1BA9C60F"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55" w:history="1">
        <w:r w:rsidR="00C577DD" w:rsidRPr="00B462D2">
          <w:rPr>
            <w:rStyle w:val="Hyperlink"/>
            <w:noProof/>
          </w:rPr>
          <w:t>Annex 3A: List of related surveys and analytical work</w:t>
        </w:r>
        <w:r w:rsidR="00C577DD">
          <w:rPr>
            <w:noProof/>
            <w:webHidden/>
          </w:rPr>
          <w:tab/>
        </w:r>
        <w:r w:rsidR="00C577DD">
          <w:rPr>
            <w:noProof/>
            <w:webHidden/>
          </w:rPr>
          <w:fldChar w:fldCharType="begin"/>
        </w:r>
        <w:r w:rsidR="00C577DD">
          <w:rPr>
            <w:noProof/>
            <w:webHidden/>
          </w:rPr>
          <w:instrText xml:space="preserve"> PAGEREF _Toc532426055 \h </w:instrText>
        </w:r>
        <w:r w:rsidR="00C577DD">
          <w:rPr>
            <w:noProof/>
            <w:webHidden/>
          </w:rPr>
        </w:r>
        <w:r w:rsidR="00C577DD">
          <w:rPr>
            <w:noProof/>
            <w:webHidden/>
          </w:rPr>
          <w:fldChar w:fldCharType="separate"/>
        </w:r>
        <w:r w:rsidR="00C577DD">
          <w:rPr>
            <w:noProof/>
            <w:webHidden/>
          </w:rPr>
          <w:t>89</w:t>
        </w:r>
        <w:r w:rsidR="00C577DD">
          <w:rPr>
            <w:noProof/>
            <w:webHidden/>
          </w:rPr>
          <w:fldChar w:fldCharType="end"/>
        </w:r>
      </w:hyperlink>
    </w:p>
    <w:p w14:paraId="070A4F25" w14:textId="7DCFBF22"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56" w:history="1">
        <w:r w:rsidR="00C577DD" w:rsidRPr="00B462D2">
          <w:rPr>
            <w:rStyle w:val="Hyperlink"/>
            <w:noProof/>
          </w:rPr>
          <w:t>Annex 3B: List of persons who have been interviewed and provided information for the PFM Performance Report</w:t>
        </w:r>
        <w:r w:rsidR="00C577DD">
          <w:rPr>
            <w:noProof/>
            <w:webHidden/>
          </w:rPr>
          <w:tab/>
        </w:r>
        <w:r w:rsidR="00C577DD">
          <w:rPr>
            <w:noProof/>
            <w:webHidden/>
          </w:rPr>
          <w:fldChar w:fldCharType="begin"/>
        </w:r>
        <w:r w:rsidR="00C577DD">
          <w:rPr>
            <w:noProof/>
            <w:webHidden/>
          </w:rPr>
          <w:instrText xml:space="preserve"> PAGEREF _Toc532426056 \h </w:instrText>
        </w:r>
        <w:r w:rsidR="00C577DD">
          <w:rPr>
            <w:noProof/>
            <w:webHidden/>
          </w:rPr>
        </w:r>
        <w:r w:rsidR="00C577DD">
          <w:rPr>
            <w:noProof/>
            <w:webHidden/>
          </w:rPr>
          <w:fldChar w:fldCharType="separate"/>
        </w:r>
        <w:r w:rsidR="00C577DD">
          <w:rPr>
            <w:noProof/>
            <w:webHidden/>
          </w:rPr>
          <w:t>90</w:t>
        </w:r>
        <w:r w:rsidR="00C577DD">
          <w:rPr>
            <w:noProof/>
            <w:webHidden/>
          </w:rPr>
          <w:fldChar w:fldCharType="end"/>
        </w:r>
      </w:hyperlink>
    </w:p>
    <w:p w14:paraId="318AEC4C" w14:textId="4594089C" w:rsidR="00C577DD" w:rsidRDefault="008B59A7">
      <w:pPr>
        <w:pStyle w:val="TOC3"/>
        <w:tabs>
          <w:tab w:val="right" w:leader="dot" w:pos="9350"/>
        </w:tabs>
        <w:rPr>
          <w:rFonts w:asciiTheme="minorHAnsi" w:eastAsiaTheme="minorEastAsia" w:hAnsiTheme="minorHAnsi" w:cstheme="minorBidi"/>
          <w:noProof/>
          <w:color w:val="auto"/>
          <w:lang w:val="en-US" w:eastAsia="en-US"/>
        </w:rPr>
      </w:pPr>
      <w:hyperlink w:anchor="_Toc532426057" w:history="1">
        <w:r w:rsidR="00C577DD" w:rsidRPr="00B462D2">
          <w:rPr>
            <w:rStyle w:val="Hyperlink"/>
            <w:noProof/>
          </w:rPr>
          <w:t>Annex 3C: Sources of information used to extract evidence for scoring each indicator</w:t>
        </w:r>
        <w:r w:rsidR="00C577DD">
          <w:rPr>
            <w:noProof/>
            <w:webHidden/>
          </w:rPr>
          <w:tab/>
        </w:r>
        <w:r w:rsidR="00C577DD">
          <w:rPr>
            <w:noProof/>
            <w:webHidden/>
          </w:rPr>
          <w:fldChar w:fldCharType="begin"/>
        </w:r>
        <w:r w:rsidR="00C577DD">
          <w:rPr>
            <w:noProof/>
            <w:webHidden/>
          </w:rPr>
          <w:instrText xml:space="preserve"> PAGEREF _Toc532426057 \h </w:instrText>
        </w:r>
        <w:r w:rsidR="00C577DD">
          <w:rPr>
            <w:noProof/>
            <w:webHidden/>
          </w:rPr>
        </w:r>
        <w:r w:rsidR="00C577DD">
          <w:rPr>
            <w:noProof/>
            <w:webHidden/>
          </w:rPr>
          <w:fldChar w:fldCharType="separate"/>
        </w:r>
        <w:r w:rsidR="00C577DD">
          <w:rPr>
            <w:noProof/>
            <w:webHidden/>
          </w:rPr>
          <w:t>91</w:t>
        </w:r>
        <w:r w:rsidR="00C577DD">
          <w:rPr>
            <w:noProof/>
            <w:webHidden/>
          </w:rPr>
          <w:fldChar w:fldCharType="end"/>
        </w:r>
      </w:hyperlink>
    </w:p>
    <w:p w14:paraId="3997FFBE" w14:textId="6AA0D6AA" w:rsidR="00C577DD" w:rsidRDefault="008B59A7">
      <w:pPr>
        <w:pStyle w:val="TOC1"/>
        <w:tabs>
          <w:tab w:val="right" w:leader="dot" w:pos="9350"/>
        </w:tabs>
        <w:rPr>
          <w:rFonts w:asciiTheme="minorHAnsi" w:eastAsiaTheme="minorEastAsia" w:hAnsiTheme="minorHAnsi" w:cstheme="minorBidi"/>
          <w:noProof/>
          <w:color w:val="auto"/>
          <w:lang w:val="en-US" w:eastAsia="en-US"/>
        </w:rPr>
      </w:pPr>
      <w:hyperlink w:anchor="_Toc532426058" w:history="1">
        <w:r w:rsidR="00C577DD" w:rsidRPr="00B462D2">
          <w:rPr>
            <w:rStyle w:val="Hyperlink"/>
            <w:noProof/>
          </w:rPr>
          <w:t>Annex 4: County Profile</w:t>
        </w:r>
        <w:r w:rsidR="00C577DD">
          <w:rPr>
            <w:noProof/>
            <w:webHidden/>
          </w:rPr>
          <w:tab/>
        </w:r>
        <w:r w:rsidR="00C577DD">
          <w:rPr>
            <w:noProof/>
            <w:webHidden/>
          </w:rPr>
          <w:fldChar w:fldCharType="begin"/>
        </w:r>
        <w:r w:rsidR="00C577DD">
          <w:rPr>
            <w:noProof/>
            <w:webHidden/>
          </w:rPr>
          <w:instrText xml:space="preserve"> PAGEREF _Toc532426058 \h </w:instrText>
        </w:r>
        <w:r w:rsidR="00C577DD">
          <w:rPr>
            <w:noProof/>
            <w:webHidden/>
          </w:rPr>
        </w:r>
        <w:r w:rsidR="00C577DD">
          <w:rPr>
            <w:noProof/>
            <w:webHidden/>
          </w:rPr>
          <w:fldChar w:fldCharType="separate"/>
        </w:r>
        <w:r w:rsidR="00C577DD">
          <w:rPr>
            <w:noProof/>
            <w:webHidden/>
          </w:rPr>
          <w:t>98</w:t>
        </w:r>
        <w:r w:rsidR="00C577DD">
          <w:rPr>
            <w:noProof/>
            <w:webHidden/>
          </w:rPr>
          <w:fldChar w:fldCharType="end"/>
        </w:r>
      </w:hyperlink>
    </w:p>
    <w:p w14:paraId="173AF797" w14:textId="7E10A28A" w:rsidR="00C577DD" w:rsidRDefault="008B59A7">
      <w:pPr>
        <w:pStyle w:val="TOC1"/>
        <w:tabs>
          <w:tab w:val="right" w:leader="dot" w:pos="9350"/>
        </w:tabs>
        <w:rPr>
          <w:rFonts w:asciiTheme="minorHAnsi" w:eastAsiaTheme="minorEastAsia" w:hAnsiTheme="minorHAnsi" w:cstheme="minorBidi"/>
          <w:noProof/>
          <w:color w:val="auto"/>
          <w:lang w:val="en-US" w:eastAsia="en-US"/>
        </w:rPr>
      </w:pPr>
      <w:hyperlink w:anchor="_Toc532426059" w:history="1">
        <w:r w:rsidR="00C577DD" w:rsidRPr="00B462D2">
          <w:rPr>
            <w:rStyle w:val="Hyperlink"/>
            <w:noProof/>
          </w:rPr>
          <w:t>Annex 5: Calculation Sheet for PFM Indicators PI-1 and PI-2 (i)</w:t>
        </w:r>
        <w:r w:rsidR="00C577DD">
          <w:rPr>
            <w:noProof/>
            <w:webHidden/>
          </w:rPr>
          <w:tab/>
        </w:r>
        <w:r w:rsidR="00C577DD">
          <w:rPr>
            <w:noProof/>
            <w:webHidden/>
          </w:rPr>
          <w:fldChar w:fldCharType="begin"/>
        </w:r>
        <w:r w:rsidR="00C577DD">
          <w:rPr>
            <w:noProof/>
            <w:webHidden/>
          </w:rPr>
          <w:instrText xml:space="preserve"> PAGEREF _Toc532426059 \h </w:instrText>
        </w:r>
        <w:r w:rsidR="00C577DD">
          <w:rPr>
            <w:noProof/>
            <w:webHidden/>
          </w:rPr>
        </w:r>
        <w:r w:rsidR="00C577DD">
          <w:rPr>
            <w:noProof/>
            <w:webHidden/>
          </w:rPr>
          <w:fldChar w:fldCharType="separate"/>
        </w:r>
        <w:r w:rsidR="00C577DD">
          <w:rPr>
            <w:noProof/>
            <w:webHidden/>
          </w:rPr>
          <w:t>100</w:t>
        </w:r>
        <w:r w:rsidR="00C577DD">
          <w:rPr>
            <w:noProof/>
            <w:webHidden/>
          </w:rPr>
          <w:fldChar w:fldCharType="end"/>
        </w:r>
      </w:hyperlink>
    </w:p>
    <w:p w14:paraId="50BC3002" w14:textId="00A03C10" w:rsidR="00B20782" w:rsidRPr="00997EEC" w:rsidRDefault="00426456" w:rsidP="00A150E7">
      <w:pPr>
        <w:pStyle w:val="TOC1"/>
        <w:tabs>
          <w:tab w:val="right" w:leader="dot" w:pos="9350"/>
        </w:tabs>
        <w:rPr>
          <w:noProof/>
        </w:rPr>
      </w:pPr>
      <w:r w:rsidRPr="00997EEC">
        <w:rPr>
          <w:noProof/>
        </w:rPr>
        <w:fldChar w:fldCharType="end"/>
      </w:r>
      <w:bookmarkStart w:id="3" w:name="_Toc484732853"/>
    </w:p>
    <w:p w14:paraId="5E8A8B1A" w14:textId="6AE76299" w:rsidR="00826793" w:rsidRPr="00B64296" w:rsidRDefault="002105C5" w:rsidP="00B64296">
      <w:pPr>
        <w:spacing w:after="240"/>
        <w:rPr>
          <w:b/>
          <w:color w:val="0070C0"/>
        </w:rPr>
      </w:pPr>
      <w:r w:rsidRPr="00B64296">
        <w:rPr>
          <w:b/>
          <w:color w:val="0070C0"/>
        </w:rPr>
        <w:t>List of T</w:t>
      </w:r>
      <w:r w:rsidR="00E42BB9" w:rsidRPr="00B64296">
        <w:rPr>
          <w:b/>
          <w:color w:val="0070C0"/>
        </w:rPr>
        <w:t>ables</w:t>
      </w:r>
      <w:bookmarkEnd w:id="3"/>
    </w:p>
    <w:p w14:paraId="67C82429" w14:textId="16184579" w:rsidR="00F677C9" w:rsidRDefault="00426456">
      <w:pPr>
        <w:pStyle w:val="TableofFigures"/>
        <w:tabs>
          <w:tab w:val="right" w:leader="dot" w:pos="9350"/>
        </w:tabs>
        <w:rPr>
          <w:rFonts w:asciiTheme="minorHAnsi" w:eastAsiaTheme="minorEastAsia" w:hAnsiTheme="minorHAnsi" w:cstheme="minorBidi"/>
          <w:noProof/>
          <w:lang w:val="en-US" w:eastAsia="en-US"/>
        </w:rPr>
      </w:pPr>
      <w:r w:rsidRPr="00997EEC">
        <w:rPr>
          <w:color w:val="000000"/>
          <w:lang w:eastAsia="en-US"/>
        </w:rPr>
        <w:fldChar w:fldCharType="begin"/>
      </w:r>
      <w:r w:rsidR="00826793" w:rsidRPr="00997EEC">
        <w:rPr>
          <w:color w:val="000000"/>
          <w:lang w:eastAsia="en-US"/>
        </w:rPr>
        <w:instrText xml:space="preserve"> TOC \h \z \c "Table 2." </w:instrText>
      </w:r>
      <w:r w:rsidRPr="00997EEC">
        <w:rPr>
          <w:color w:val="000000"/>
          <w:lang w:eastAsia="en-US"/>
        </w:rPr>
        <w:fldChar w:fldCharType="separate"/>
      </w:r>
      <w:hyperlink w:anchor="_Toc532418099" w:history="1">
        <w:r w:rsidR="00F677C9" w:rsidRPr="00AD60D5">
          <w:rPr>
            <w:rStyle w:val="Hyperlink"/>
            <w:rFonts w:eastAsia="Arial"/>
            <w:noProof/>
          </w:rPr>
          <w:t>Table 2.1: Basic economic data and indicators for Kajiado County</w:t>
        </w:r>
        <w:r w:rsidR="00F677C9">
          <w:rPr>
            <w:noProof/>
            <w:webHidden/>
          </w:rPr>
          <w:tab/>
        </w:r>
        <w:r w:rsidR="00F677C9">
          <w:rPr>
            <w:noProof/>
            <w:webHidden/>
          </w:rPr>
          <w:fldChar w:fldCharType="begin"/>
        </w:r>
        <w:r w:rsidR="00F677C9">
          <w:rPr>
            <w:noProof/>
            <w:webHidden/>
          </w:rPr>
          <w:instrText xml:space="preserve"> PAGEREF _Toc532418099 \h </w:instrText>
        </w:r>
        <w:r w:rsidR="00F677C9">
          <w:rPr>
            <w:noProof/>
            <w:webHidden/>
          </w:rPr>
        </w:r>
        <w:r w:rsidR="00F677C9">
          <w:rPr>
            <w:noProof/>
            <w:webHidden/>
          </w:rPr>
          <w:fldChar w:fldCharType="separate"/>
        </w:r>
        <w:r w:rsidR="00C577DD">
          <w:rPr>
            <w:noProof/>
            <w:webHidden/>
          </w:rPr>
          <w:t>9</w:t>
        </w:r>
        <w:r w:rsidR="00F677C9">
          <w:rPr>
            <w:noProof/>
            <w:webHidden/>
          </w:rPr>
          <w:fldChar w:fldCharType="end"/>
        </w:r>
      </w:hyperlink>
    </w:p>
    <w:p w14:paraId="04202CBD" w14:textId="49D98BE2" w:rsidR="00F677C9" w:rsidRDefault="008B59A7">
      <w:pPr>
        <w:pStyle w:val="TableofFigures"/>
        <w:tabs>
          <w:tab w:val="right" w:leader="dot" w:pos="9350"/>
        </w:tabs>
        <w:rPr>
          <w:rFonts w:asciiTheme="minorHAnsi" w:eastAsiaTheme="minorEastAsia" w:hAnsiTheme="minorHAnsi" w:cstheme="minorBidi"/>
          <w:noProof/>
          <w:lang w:val="en-US" w:eastAsia="en-US"/>
        </w:rPr>
      </w:pPr>
      <w:hyperlink w:anchor="_Toc532418100" w:history="1">
        <w:r w:rsidR="00F677C9" w:rsidRPr="00AD60D5">
          <w:rPr>
            <w:rStyle w:val="Hyperlink"/>
            <w:rFonts w:eastAsia="Arial"/>
            <w:noProof/>
          </w:rPr>
          <w:t>Table 2.2: Aggregate fiscal performance data for the last three FYs (in percentage of total revenues)</w:t>
        </w:r>
        <w:r w:rsidR="00F677C9">
          <w:rPr>
            <w:noProof/>
            <w:webHidden/>
          </w:rPr>
          <w:tab/>
        </w:r>
        <w:r w:rsidR="00F677C9">
          <w:rPr>
            <w:noProof/>
            <w:webHidden/>
          </w:rPr>
          <w:fldChar w:fldCharType="begin"/>
        </w:r>
        <w:r w:rsidR="00F677C9">
          <w:rPr>
            <w:noProof/>
            <w:webHidden/>
          </w:rPr>
          <w:instrText xml:space="preserve"> PAGEREF _Toc532418100 \h </w:instrText>
        </w:r>
        <w:r w:rsidR="00F677C9">
          <w:rPr>
            <w:noProof/>
            <w:webHidden/>
          </w:rPr>
        </w:r>
        <w:r w:rsidR="00F677C9">
          <w:rPr>
            <w:noProof/>
            <w:webHidden/>
          </w:rPr>
          <w:fldChar w:fldCharType="separate"/>
        </w:r>
        <w:r w:rsidR="00C577DD">
          <w:rPr>
            <w:noProof/>
            <w:webHidden/>
          </w:rPr>
          <w:t>10</w:t>
        </w:r>
        <w:r w:rsidR="00F677C9">
          <w:rPr>
            <w:noProof/>
            <w:webHidden/>
          </w:rPr>
          <w:fldChar w:fldCharType="end"/>
        </w:r>
      </w:hyperlink>
    </w:p>
    <w:p w14:paraId="6160FB17" w14:textId="34900671" w:rsidR="00F677C9" w:rsidRDefault="008B59A7">
      <w:pPr>
        <w:pStyle w:val="TableofFigures"/>
        <w:tabs>
          <w:tab w:val="right" w:leader="dot" w:pos="9350"/>
        </w:tabs>
        <w:rPr>
          <w:rFonts w:asciiTheme="minorHAnsi" w:eastAsiaTheme="minorEastAsia" w:hAnsiTheme="minorHAnsi" w:cstheme="minorBidi"/>
          <w:noProof/>
          <w:lang w:val="en-US" w:eastAsia="en-US"/>
        </w:rPr>
      </w:pPr>
      <w:hyperlink w:anchor="_Toc532418101" w:history="1">
        <w:r w:rsidR="00F677C9" w:rsidRPr="00AD60D5">
          <w:rPr>
            <w:rStyle w:val="Hyperlink"/>
            <w:rFonts w:eastAsia="Arial"/>
            <w:noProof/>
          </w:rPr>
          <w:t>Table 2.3: Budget allocations by sectors (as a percentage of total expenditures)</w:t>
        </w:r>
        <w:r w:rsidR="00F677C9">
          <w:rPr>
            <w:noProof/>
            <w:webHidden/>
          </w:rPr>
          <w:tab/>
        </w:r>
        <w:r w:rsidR="00F677C9">
          <w:rPr>
            <w:noProof/>
            <w:webHidden/>
          </w:rPr>
          <w:fldChar w:fldCharType="begin"/>
        </w:r>
        <w:r w:rsidR="00F677C9">
          <w:rPr>
            <w:noProof/>
            <w:webHidden/>
          </w:rPr>
          <w:instrText xml:space="preserve"> PAGEREF _Toc532418101 \h </w:instrText>
        </w:r>
        <w:r w:rsidR="00F677C9">
          <w:rPr>
            <w:noProof/>
            <w:webHidden/>
          </w:rPr>
        </w:r>
        <w:r w:rsidR="00F677C9">
          <w:rPr>
            <w:noProof/>
            <w:webHidden/>
          </w:rPr>
          <w:fldChar w:fldCharType="separate"/>
        </w:r>
        <w:r w:rsidR="00C577DD">
          <w:rPr>
            <w:noProof/>
            <w:webHidden/>
          </w:rPr>
          <w:t>11</w:t>
        </w:r>
        <w:r w:rsidR="00F677C9">
          <w:rPr>
            <w:noProof/>
            <w:webHidden/>
          </w:rPr>
          <w:fldChar w:fldCharType="end"/>
        </w:r>
      </w:hyperlink>
    </w:p>
    <w:p w14:paraId="608D968B" w14:textId="73D47EC4" w:rsidR="00F677C9" w:rsidRDefault="008B59A7">
      <w:pPr>
        <w:pStyle w:val="TableofFigures"/>
        <w:tabs>
          <w:tab w:val="right" w:leader="dot" w:pos="9350"/>
        </w:tabs>
        <w:rPr>
          <w:rFonts w:asciiTheme="minorHAnsi" w:eastAsiaTheme="minorEastAsia" w:hAnsiTheme="minorHAnsi" w:cstheme="minorBidi"/>
          <w:noProof/>
          <w:lang w:val="en-US" w:eastAsia="en-US"/>
        </w:rPr>
      </w:pPr>
      <w:hyperlink w:anchor="_Toc532418102" w:history="1">
        <w:r w:rsidR="00F677C9" w:rsidRPr="00AD60D5">
          <w:rPr>
            <w:rStyle w:val="Hyperlink"/>
            <w:rFonts w:eastAsia="Arial"/>
            <w:noProof/>
          </w:rPr>
          <w:t>Table 2.4: Budget allocations by economic classification (as a percentage of total expenditures)</w:t>
        </w:r>
        <w:r w:rsidR="00F677C9">
          <w:rPr>
            <w:noProof/>
            <w:webHidden/>
          </w:rPr>
          <w:tab/>
        </w:r>
        <w:r w:rsidR="00F677C9">
          <w:rPr>
            <w:noProof/>
            <w:webHidden/>
          </w:rPr>
          <w:fldChar w:fldCharType="begin"/>
        </w:r>
        <w:r w:rsidR="00F677C9">
          <w:rPr>
            <w:noProof/>
            <w:webHidden/>
          </w:rPr>
          <w:instrText xml:space="preserve"> PAGEREF _Toc532418102 \h </w:instrText>
        </w:r>
        <w:r w:rsidR="00F677C9">
          <w:rPr>
            <w:noProof/>
            <w:webHidden/>
          </w:rPr>
        </w:r>
        <w:r w:rsidR="00F677C9">
          <w:rPr>
            <w:noProof/>
            <w:webHidden/>
          </w:rPr>
          <w:fldChar w:fldCharType="separate"/>
        </w:r>
        <w:r w:rsidR="00C577DD">
          <w:rPr>
            <w:noProof/>
            <w:webHidden/>
          </w:rPr>
          <w:t>11</w:t>
        </w:r>
        <w:r w:rsidR="00F677C9">
          <w:rPr>
            <w:noProof/>
            <w:webHidden/>
          </w:rPr>
          <w:fldChar w:fldCharType="end"/>
        </w:r>
      </w:hyperlink>
    </w:p>
    <w:p w14:paraId="32D52FA2" w14:textId="7E1F186B" w:rsidR="00F677C9" w:rsidRDefault="008B59A7">
      <w:pPr>
        <w:pStyle w:val="TableofFigures"/>
        <w:tabs>
          <w:tab w:val="right" w:leader="dot" w:pos="9350"/>
        </w:tabs>
        <w:rPr>
          <w:rFonts w:asciiTheme="minorHAnsi" w:eastAsiaTheme="minorEastAsia" w:hAnsiTheme="minorHAnsi" w:cstheme="minorBidi"/>
          <w:noProof/>
          <w:lang w:val="en-US" w:eastAsia="en-US"/>
        </w:rPr>
      </w:pPr>
      <w:hyperlink w:anchor="_Toc532418103" w:history="1">
        <w:r w:rsidR="00F677C9" w:rsidRPr="00AD60D5">
          <w:rPr>
            <w:rStyle w:val="Hyperlink"/>
            <w:rFonts w:eastAsia="Arial"/>
            <w:noProof/>
          </w:rPr>
          <w:t>Table 2.5: Structure of the public sector (</w:t>
        </w:r>
        <w:r w:rsidR="00E73ED7">
          <w:rPr>
            <w:rStyle w:val="Hyperlink"/>
            <w:rFonts w:eastAsia="Arial"/>
            <w:noProof/>
          </w:rPr>
          <w:t>Ksh</w:t>
        </w:r>
        <w:r w:rsidR="00F677C9" w:rsidRPr="00AD60D5">
          <w:rPr>
            <w:rStyle w:val="Hyperlink"/>
            <w:rFonts w:eastAsia="Arial"/>
            <w:noProof/>
          </w:rPr>
          <w:t>, millions) - FY2015/16</w:t>
        </w:r>
        <w:r w:rsidR="00F677C9">
          <w:rPr>
            <w:noProof/>
            <w:webHidden/>
          </w:rPr>
          <w:tab/>
        </w:r>
        <w:r w:rsidR="00F677C9">
          <w:rPr>
            <w:noProof/>
            <w:webHidden/>
          </w:rPr>
          <w:fldChar w:fldCharType="begin"/>
        </w:r>
        <w:r w:rsidR="00F677C9">
          <w:rPr>
            <w:noProof/>
            <w:webHidden/>
          </w:rPr>
          <w:instrText xml:space="preserve"> PAGEREF _Toc532418103 \h </w:instrText>
        </w:r>
        <w:r w:rsidR="00F677C9">
          <w:rPr>
            <w:noProof/>
            <w:webHidden/>
          </w:rPr>
        </w:r>
        <w:r w:rsidR="00F677C9">
          <w:rPr>
            <w:noProof/>
            <w:webHidden/>
          </w:rPr>
          <w:fldChar w:fldCharType="separate"/>
        </w:r>
        <w:r w:rsidR="00C577DD">
          <w:rPr>
            <w:noProof/>
            <w:webHidden/>
          </w:rPr>
          <w:t>14</w:t>
        </w:r>
        <w:r w:rsidR="00F677C9">
          <w:rPr>
            <w:noProof/>
            <w:webHidden/>
          </w:rPr>
          <w:fldChar w:fldCharType="end"/>
        </w:r>
      </w:hyperlink>
    </w:p>
    <w:p w14:paraId="383A6A93" w14:textId="2852D95F" w:rsidR="00C577DD" w:rsidRDefault="008B59A7">
      <w:pPr>
        <w:pStyle w:val="TableofFigures"/>
        <w:tabs>
          <w:tab w:val="right" w:leader="dot" w:pos="9350"/>
        </w:tabs>
        <w:rPr>
          <w:noProof/>
        </w:rPr>
      </w:pPr>
      <w:hyperlink w:anchor="_Toc532418104" w:history="1">
        <w:r w:rsidR="00F677C9" w:rsidRPr="00AD60D5">
          <w:rPr>
            <w:rStyle w:val="Hyperlink"/>
            <w:rFonts w:eastAsia="Arial"/>
            <w:noProof/>
          </w:rPr>
          <w:t>Table 2.6: Financial structure of the county government - budget estimates (</w:t>
        </w:r>
        <w:r w:rsidR="00E73ED7">
          <w:rPr>
            <w:rStyle w:val="Hyperlink"/>
            <w:rFonts w:eastAsia="Arial"/>
            <w:noProof/>
          </w:rPr>
          <w:t>Ksh</w:t>
        </w:r>
        <w:r w:rsidR="00F677C9" w:rsidRPr="00AD60D5">
          <w:rPr>
            <w:rStyle w:val="Hyperlink"/>
            <w:rFonts w:eastAsia="Arial"/>
            <w:noProof/>
          </w:rPr>
          <w:t>, millions) - FY2015/16</w:t>
        </w:r>
        <w:r w:rsidR="00F677C9">
          <w:rPr>
            <w:noProof/>
            <w:webHidden/>
          </w:rPr>
          <w:tab/>
        </w:r>
        <w:r w:rsidR="00F677C9">
          <w:rPr>
            <w:noProof/>
            <w:webHidden/>
          </w:rPr>
          <w:fldChar w:fldCharType="begin"/>
        </w:r>
        <w:r w:rsidR="00F677C9">
          <w:rPr>
            <w:noProof/>
            <w:webHidden/>
          </w:rPr>
          <w:instrText xml:space="preserve"> PAGEREF _Toc532418104 \h </w:instrText>
        </w:r>
        <w:r w:rsidR="00F677C9">
          <w:rPr>
            <w:noProof/>
            <w:webHidden/>
          </w:rPr>
        </w:r>
        <w:r w:rsidR="00F677C9">
          <w:rPr>
            <w:noProof/>
            <w:webHidden/>
          </w:rPr>
          <w:fldChar w:fldCharType="separate"/>
        </w:r>
        <w:r w:rsidR="00C577DD">
          <w:rPr>
            <w:noProof/>
            <w:webHidden/>
          </w:rPr>
          <w:t>14</w:t>
        </w:r>
        <w:r w:rsidR="00F677C9">
          <w:rPr>
            <w:noProof/>
            <w:webHidden/>
          </w:rPr>
          <w:fldChar w:fldCharType="end"/>
        </w:r>
      </w:hyperlink>
      <w:r w:rsidR="00426456" w:rsidRPr="00997EEC">
        <w:rPr>
          <w:color w:val="000000"/>
          <w:lang w:eastAsia="en-US"/>
        </w:rPr>
        <w:fldChar w:fldCharType="end"/>
      </w:r>
      <w:r w:rsidR="00426456" w:rsidRPr="00997EEC">
        <w:rPr>
          <w:color w:val="000000"/>
          <w:lang w:eastAsia="en-US"/>
        </w:rPr>
        <w:fldChar w:fldCharType="begin"/>
      </w:r>
      <w:r w:rsidR="00826793" w:rsidRPr="00997EEC">
        <w:rPr>
          <w:color w:val="000000"/>
          <w:lang w:eastAsia="en-US"/>
        </w:rPr>
        <w:instrText xml:space="preserve"> TOC \h \z \c "Table 3." </w:instrText>
      </w:r>
      <w:r w:rsidR="00426456" w:rsidRPr="00997EEC">
        <w:rPr>
          <w:color w:val="000000"/>
          <w:lang w:eastAsia="en-US"/>
        </w:rPr>
        <w:fldChar w:fldCharType="end"/>
      </w:r>
      <w:r w:rsidR="00F677C9">
        <w:fldChar w:fldCharType="begin"/>
      </w:r>
      <w:r w:rsidR="00F677C9">
        <w:instrText xml:space="preserve"> TOC \h \z \c "Table" </w:instrText>
      </w:r>
      <w:r w:rsidR="00F677C9">
        <w:fldChar w:fldCharType="separate"/>
      </w:r>
    </w:p>
    <w:p w14:paraId="3417565B" w14:textId="714A7F03"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88" w:history="1">
        <w:r w:rsidR="00C577DD" w:rsidRPr="00F74DA4">
          <w:rPr>
            <w:rStyle w:val="Hyperlink"/>
            <w:rFonts w:eastAsia="Arial"/>
            <w:noProof/>
          </w:rPr>
          <w:t>Table 3.1:</w:t>
        </w:r>
        <w:r w:rsidR="00C577DD">
          <w:rPr>
            <w:noProof/>
            <w:webHidden/>
          </w:rPr>
          <w:tab/>
        </w:r>
        <w:r w:rsidR="00C577DD">
          <w:rPr>
            <w:noProof/>
            <w:webHidden/>
          </w:rPr>
          <w:fldChar w:fldCharType="begin"/>
        </w:r>
        <w:r w:rsidR="00C577DD">
          <w:rPr>
            <w:noProof/>
            <w:webHidden/>
          </w:rPr>
          <w:instrText xml:space="preserve"> PAGEREF _Toc532426088 \h </w:instrText>
        </w:r>
        <w:r w:rsidR="00C577DD">
          <w:rPr>
            <w:noProof/>
            <w:webHidden/>
          </w:rPr>
        </w:r>
        <w:r w:rsidR="00C577DD">
          <w:rPr>
            <w:noProof/>
            <w:webHidden/>
          </w:rPr>
          <w:fldChar w:fldCharType="separate"/>
        </w:r>
        <w:r w:rsidR="00C577DD">
          <w:rPr>
            <w:noProof/>
            <w:webHidden/>
          </w:rPr>
          <w:t>16</w:t>
        </w:r>
        <w:r w:rsidR="00C577DD">
          <w:rPr>
            <w:noProof/>
            <w:webHidden/>
          </w:rPr>
          <w:fldChar w:fldCharType="end"/>
        </w:r>
      </w:hyperlink>
    </w:p>
    <w:p w14:paraId="7E58A970" w14:textId="302C7343"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89" w:history="1">
        <w:r w:rsidR="00C577DD" w:rsidRPr="00F74DA4">
          <w:rPr>
            <w:rStyle w:val="Hyperlink"/>
            <w:rFonts w:eastAsia="Arial"/>
            <w:noProof/>
          </w:rPr>
          <w:t>Table 3.2: Estimate and actual revenue for the last three FYs (</w:t>
        </w:r>
        <w:r w:rsidR="00E73ED7">
          <w:rPr>
            <w:rStyle w:val="Hyperlink"/>
            <w:rFonts w:eastAsia="Arial"/>
            <w:noProof/>
          </w:rPr>
          <w:t>Ksh</w:t>
        </w:r>
        <w:r w:rsidR="00C577DD" w:rsidRPr="00F74DA4">
          <w:rPr>
            <w:rStyle w:val="Hyperlink"/>
            <w:rFonts w:eastAsia="Arial"/>
            <w:noProof/>
          </w:rPr>
          <w:t>, millions and percentage)</w:t>
        </w:r>
        <w:r w:rsidR="00C577DD">
          <w:rPr>
            <w:noProof/>
            <w:webHidden/>
          </w:rPr>
          <w:tab/>
        </w:r>
        <w:r w:rsidR="00C577DD">
          <w:rPr>
            <w:noProof/>
            <w:webHidden/>
          </w:rPr>
          <w:fldChar w:fldCharType="begin"/>
        </w:r>
        <w:r w:rsidR="00C577DD">
          <w:rPr>
            <w:noProof/>
            <w:webHidden/>
          </w:rPr>
          <w:instrText xml:space="preserve"> PAGEREF _Toc532426089 \h </w:instrText>
        </w:r>
        <w:r w:rsidR="00C577DD">
          <w:rPr>
            <w:noProof/>
            <w:webHidden/>
          </w:rPr>
        </w:r>
        <w:r w:rsidR="00C577DD">
          <w:rPr>
            <w:noProof/>
            <w:webHidden/>
          </w:rPr>
          <w:fldChar w:fldCharType="separate"/>
        </w:r>
        <w:r w:rsidR="00C577DD">
          <w:rPr>
            <w:noProof/>
            <w:webHidden/>
          </w:rPr>
          <w:t>17</w:t>
        </w:r>
        <w:r w:rsidR="00C577DD">
          <w:rPr>
            <w:noProof/>
            <w:webHidden/>
          </w:rPr>
          <w:fldChar w:fldCharType="end"/>
        </w:r>
      </w:hyperlink>
    </w:p>
    <w:p w14:paraId="2A69195C" w14:textId="45F358F3"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0" w:history="1">
        <w:r w:rsidR="00C577DD" w:rsidRPr="00F74DA4">
          <w:rPr>
            <w:rStyle w:val="Hyperlink"/>
            <w:rFonts w:eastAsia="Arial"/>
            <w:noProof/>
          </w:rPr>
          <w:t>Table 3.3: Breakdown of estimate and actual revenue by economic classification (</w:t>
        </w:r>
        <w:r w:rsidR="00E73ED7">
          <w:rPr>
            <w:rStyle w:val="Hyperlink"/>
            <w:rFonts w:eastAsia="Arial"/>
            <w:noProof/>
          </w:rPr>
          <w:t>Ksh</w:t>
        </w:r>
        <w:r w:rsidR="00C577DD" w:rsidRPr="00F74DA4">
          <w:rPr>
            <w:rStyle w:val="Hyperlink"/>
            <w:rFonts w:eastAsia="Arial"/>
            <w:noProof/>
          </w:rPr>
          <w:t>, millions)</w:t>
        </w:r>
        <w:r w:rsidR="00C577DD">
          <w:rPr>
            <w:noProof/>
            <w:webHidden/>
          </w:rPr>
          <w:tab/>
        </w:r>
        <w:r w:rsidR="00C577DD">
          <w:rPr>
            <w:noProof/>
            <w:webHidden/>
          </w:rPr>
          <w:fldChar w:fldCharType="begin"/>
        </w:r>
        <w:r w:rsidR="00C577DD">
          <w:rPr>
            <w:noProof/>
            <w:webHidden/>
          </w:rPr>
          <w:instrText xml:space="preserve"> PAGEREF _Toc532426090 \h </w:instrText>
        </w:r>
        <w:r w:rsidR="00C577DD">
          <w:rPr>
            <w:noProof/>
            <w:webHidden/>
          </w:rPr>
        </w:r>
        <w:r w:rsidR="00C577DD">
          <w:rPr>
            <w:noProof/>
            <w:webHidden/>
          </w:rPr>
          <w:fldChar w:fldCharType="separate"/>
        </w:r>
        <w:r w:rsidR="00C577DD">
          <w:rPr>
            <w:noProof/>
            <w:webHidden/>
          </w:rPr>
          <w:t>17</w:t>
        </w:r>
        <w:r w:rsidR="00C577DD">
          <w:rPr>
            <w:noProof/>
            <w:webHidden/>
          </w:rPr>
          <w:fldChar w:fldCharType="end"/>
        </w:r>
      </w:hyperlink>
    </w:p>
    <w:p w14:paraId="1CFEB903" w14:textId="3BC71770"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1" w:history="1">
        <w:r w:rsidR="00C577DD" w:rsidRPr="00F74DA4">
          <w:rPr>
            <w:rStyle w:val="Hyperlink"/>
            <w:rFonts w:eastAsia="Arial"/>
            <w:noProof/>
          </w:rPr>
          <w:t>Table 3.4: Results Matrix of outturn of transfers (%)</w:t>
        </w:r>
        <w:r w:rsidR="00C577DD">
          <w:rPr>
            <w:noProof/>
            <w:webHidden/>
          </w:rPr>
          <w:tab/>
        </w:r>
        <w:r w:rsidR="00C577DD">
          <w:rPr>
            <w:noProof/>
            <w:webHidden/>
          </w:rPr>
          <w:fldChar w:fldCharType="begin"/>
        </w:r>
        <w:r w:rsidR="00C577DD">
          <w:rPr>
            <w:noProof/>
            <w:webHidden/>
          </w:rPr>
          <w:instrText xml:space="preserve"> PAGEREF _Toc532426091 \h </w:instrText>
        </w:r>
        <w:r w:rsidR="00C577DD">
          <w:rPr>
            <w:noProof/>
            <w:webHidden/>
          </w:rPr>
        </w:r>
        <w:r w:rsidR="00C577DD">
          <w:rPr>
            <w:noProof/>
            <w:webHidden/>
          </w:rPr>
          <w:fldChar w:fldCharType="separate"/>
        </w:r>
        <w:r w:rsidR="00C577DD">
          <w:rPr>
            <w:noProof/>
            <w:webHidden/>
          </w:rPr>
          <w:t>18</w:t>
        </w:r>
        <w:r w:rsidR="00C577DD">
          <w:rPr>
            <w:noProof/>
            <w:webHidden/>
          </w:rPr>
          <w:fldChar w:fldCharType="end"/>
        </w:r>
      </w:hyperlink>
    </w:p>
    <w:p w14:paraId="730C72B7" w14:textId="0B9DB397"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2" w:history="1">
        <w:r w:rsidR="00C577DD" w:rsidRPr="00F74DA4">
          <w:rPr>
            <w:rStyle w:val="Hyperlink"/>
            <w:rFonts w:eastAsia="Arial"/>
            <w:noProof/>
          </w:rPr>
          <w:t>Table 3.5: Aggregate expenditure outturn (%)</w:t>
        </w:r>
        <w:r w:rsidR="00C577DD">
          <w:rPr>
            <w:noProof/>
            <w:webHidden/>
          </w:rPr>
          <w:tab/>
        </w:r>
        <w:r w:rsidR="00C577DD">
          <w:rPr>
            <w:noProof/>
            <w:webHidden/>
          </w:rPr>
          <w:fldChar w:fldCharType="begin"/>
        </w:r>
        <w:r w:rsidR="00C577DD">
          <w:rPr>
            <w:noProof/>
            <w:webHidden/>
          </w:rPr>
          <w:instrText xml:space="preserve"> PAGEREF _Toc532426092 \h </w:instrText>
        </w:r>
        <w:r w:rsidR="00C577DD">
          <w:rPr>
            <w:noProof/>
            <w:webHidden/>
          </w:rPr>
        </w:r>
        <w:r w:rsidR="00C577DD">
          <w:rPr>
            <w:noProof/>
            <w:webHidden/>
          </w:rPr>
          <w:fldChar w:fldCharType="separate"/>
        </w:r>
        <w:r w:rsidR="00C577DD">
          <w:rPr>
            <w:noProof/>
            <w:webHidden/>
          </w:rPr>
          <w:t>19</w:t>
        </w:r>
        <w:r w:rsidR="00C577DD">
          <w:rPr>
            <w:noProof/>
            <w:webHidden/>
          </w:rPr>
          <w:fldChar w:fldCharType="end"/>
        </w:r>
      </w:hyperlink>
    </w:p>
    <w:p w14:paraId="3F99D363" w14:textId="05625BBE"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3" w:history="1">
        <w:r w:rsidR="00C577DD" w:rsidRPr="00F74DA4">
          <w:rPr>
            <w:rStyle w:val="Hyperlink"/>
            <w:rFonts w:eastAsia="Arial"/>
            <w:noProof/>
          </w:rPr>
          <w:t>Table 3.6: Expenditure composition outturn by function (</w:t>
        </w:r>
        <w:r w:rsidR="00E73ED7">
          <w:rPr>
            <w:rStyle w:val="Hyperlink"/>
            <w:rFonts w:eastAsia="Arial"/>
            <w:noProof/>
          </w:rPr>
          <w:t>Ksh</w:t>
        </w:r>
        <w:r w:rsidR="00C577DD" w:rsidRPr="00F74DA4">
          <w:rPr>
            <w:rStyle w:val="Hyperlink"/>
            <w:rFonts w:eastAsia="Arial"/>
            <w:noProof/>
          </w:rPr>
          <w:t>, millions)</w:t>
        </w:r>
        <w:r w:rsidR="00C577DD">
          <w:rPr>
            <w:noProof/>
            <w:webHidden/>
          </w:rPr>
          <w:tab/>
        </w:r>
        <w:r w:rsidR="00C577DD">
          <w:rPr>
            <w:noProof/>
            <w:webHidden/>
          </w:rPr>
          <w:fldChar w:fldCharType="begin"/>
        </w:r>
        <w:r w:rsidR="00C577DD">
          <w:rPr>
            <w:noProof/>
            <w:webHidden/>
          </w:rPr>
          <w:instrText xml:space="preserve"> PAGEREF _Toc532426093 \h </w:instrText>
        </w:r>
        <w:r w:rsidR="00C577DD">
          <w:rPr>
            <w:noProof/>
            <w:webHidden/>
          </w:rPr>
        </w:r>
        <w:r w:rsidR="00C577DD">
          <w:rPr>
            <w:noProof/>
            <w:webHidden/>
          </w:rPr>
          <w:fldChar w:fldCharType="separate"/>
        </w:r>
        <w:r w:rsidR="00C577DD">
          <w:rPr>
            <w:noProof/>
            <w:webHidden/>
          </w:rPr>
          <w:t>19</w:t>
        </w:r>
        <w:r w:rsidR="00C577DD">
          <w:rPr>
            <w:noProof/>
            <w:webHidden/>
          </w:rPr>
          <w:fldChar w:fldCharType="end"/>
        </w:r>
      </w:hyperlink>
    </w:p>
    <w:p w14:paraId="0B4F4F04" w14:textId="51505752"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4" w:history="1">
        <w:r w:rsidR="00C577DD" w:rsidRPr="00F74DA4">
          <w:rPr>
            <w:rStyle w:val="Hyperlink"/>
            <w:rFonts w:eastAsia="Arial"/>
            <w:noProof/>
          </w:rPr>
          <w:t>Table 3.7: Expenditure composition outturn by economic type (</w:t>
        </w:r>
        <w:r w:rsidR="00E73ED7">
          <w:rPr>
            <w:rStyle w:val="Hyperlink"/>
            <w:rFonts w:eastAsia="Arial"/>
            <w:noProof/>
          </w:rPr>
          <w:t>Ksh</w:t>
        </w:r>
        <w:r w:rsidR="00C577DD" w:rsidRPr="00F74DA4">
          <w:rPr>
            <w:rStyle w:val="Hyperlink"/>
            <w:rFonts w:eastAsia="Arial"/>
            <w:noProof/>
          </w:rPr>
          <w:t>, millions)</w:t>
        </w:r>
        <w:r w:rsidR="00C577DD">
          <w:rPr>
            <w:noProof/>
            <w:webHidden/>
          </w:rPr>
          <w:tab/>
        </w:r>
        <w:r w:rsidR="00C577DD">
          <w:rPr>
            <w:noProof/>
            <w:webHidden/>
          </w:rPr>
          <w:fldChar w:fldCharType="begin"/>
        </w:r>
        <w:r w:rsidR="00C577DD">
          <w:rPr>
            <w:noProof/>
            <w:webHidden/>
          </w:rPr>
          <w:instrText xml:space="preserve"> PAGEREF _Toc532426094 \h </w:instrText>
        </w:r>
        <w:r w:rsidR="00C577DD">
          <w:rPr>
            <w:noProof/>
            <w:webHidden/>
          </w:rPr>
        </w:r>
        <w:r w:rsidR="00C577DD">
          <w:rPr>
            <w:noProof/>
            <w:webHidden/>
          </w:rPr>
          <w:fldChar w:fldCharType="separate"/>
        </w:r>
        <w:r w:rsidR="00C577DD">
          <w:rPr>
            <w:noProof/>
            <w:webHidden/>
          </w:rPr>
          <w:t>20</w:t>
        </w:r>
        <w:r w:rsidR="00C577DD">
          <w:rPr>
            <w:noProof/>
            <w:webHidden/>
          </w:rPr>
          <w:fldChar w:fldCharType="end"/>
        </w:r>
      </w:hyperlink>
    </w:p>
    <w:p w14:paraId="7C96FBF4" w14:textId="3E60A854"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5" w:history="1">
        <w:r w:rsidR="00C577DD" w:rsidRPr="00F74DA4">
          <w:rPr>
            <w:rStyle w:val="Hyperlink"/>
            <w:rFonts w:eastAsia="Arial"/>
            <w:noProof/>
          </w:rPr>
          <w:t>Table 3.8: Aggregate revenue outturn (</w:t>
        </w:r>
        <w:r w:rsidR="00E73ED7">
          <w:rPr>
            <w:rStyle w:val="Hyperlink"/>
            <w:rFonts w:eastAsia="Arial"/>
            <w:noProof/>
          </w:rPr>
          <w:t>Ksh</w:t>
        </w:r>
        <w:r w:rsidR="00C577DD" w:rsidRPr="00F74DA4">
          <w:rPr>
            <w:rStyle w:val="Hyperlink"/>
            <w:rFonts w:eastAsia="Arial"/>
            <w:noProof/>
          </w:rPr>
          <w:t>, millions and percentage)</w:t>
        </w:r>
        <w:r w:rsidR="00C577DD">
          <w:rPr>
            <w:noProof/>
            <w:webHidden/>
          </w:rPr>
          <w:tab/>
        </w:r>
        <w:r w:rsidR="00C577DD">
          <w:rPr>
            <w:noProof/>
            <w:webHidden/>
          </w:rPr>
          <w:fldChar w:fldCharType="begin"/>
        </w:r>
        <w:r w:rsidR="00C577DD">
          <w:rPr>
            <w:noProof/>
            <w:webHidden/>
          </w:rPr>
          <w:instrText xml:space="preserve"> PAGEREF _Toc532426095 \h </w:instrText>
        </w:r>
        <w:r w:rsidR="00C577DD">
          <w:rPr>
            <w:noProof/>
            <w:webHidden/>
          </w:rPr>
        </w:r>
        <w:r w:rsidR="00C577DD">
          <w:rPr>
            <w:noProof/>
            <w:webHidden/>
          </w:rPr>
          <w:fldChar w:fldCharType="separate"/>
        </w:r>
        <w:r w:rsidR="00C577DD">
          <w:rPr>
            <w:noProof/>
            <w:webHidden/>
          </w:rPr>
          <w:t>22</w:t>
        </w:r>
        <w:r w:rsidR="00C577DD">
          <w:rPr>
            <w:noProof/>
            <w:webHidden/>
          </w:rPr>
          <w:fldChar w:fldCharType="end"/>
        </w:r>
      </w:hyperlink>
    </w:p>
    <w:p w14:paraId="474CC5FD" w14:textId="64889366"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6" w:history="1">
        <w:r w:rsidR="00C577DD" w:rsidRPr="00F74DA4">
          <w:rPr>
            <w:rStyle w:val="Hyperlink"/>
            <w:rFonts w:eastAsia="Arial"/>
            <w:noProof/>
          </w:rPr>
          <w:t>Table 3.9: Sources of revenue for the last three FYs (</w:t>
        </w:r>
        <w:r w:rsidR="00E73ED7">
          <w:rPr>
            <w:rStyle w:val="Hyperlink"/>
            <w:rFonts w:eastAsia="Arial"/>
            <w:noProof/>
          </w:rPr>
          <w:t>Ksh</w:t>
        </w:r>
        <w:r w:rsidR="00C577DD" w:rsidRPr="00F74DA4">
          <w:rPr>
            <w:rStyle w:val="Hyperlink"/>
            <w:rFonts w:eastAsia="Arial"/>
            <w:noProof/>
          </w:rPr>
          <w:t>, millions)</w:t>
        </w:r>
        <w:r w:rsidR="00C577DD">
          <w:rPr>
            <w:noProof/>
            <w:webHidden/>
          </w:rPr>
          <w:tab/>
        </w:r>
        <w:r w:rsidR="00C577DD">
          <w:rPr>
            <w:noProof/>
            <w:webHidden/>
          </w:rPr>
          <w:fldChar w:fldCharType="begin"/>
        </w:r>
        <w:r w:rsidR="00C577DD">
          <w:rPr>
            <w:noProof/>
            <w:webHidden/>
          </w:rPr>
          <w:instrText xml:space="preserve"> PAGEREF _Toc532426096 \h </w:instrText>
        </w:r>
        <w:r w:rsidR="00C577DD">
          <w:rPr>
            <w:noProof/>
            <w:webHidden/>
          </w:rPr>
        </w:r>
        <w:r w:rsidR="00C577DD">
          <w:rPr>
            <w:noProof/>
            <w:webHidden/>
          </w:rPr>
          <w:fldChar w:fldCharType="separate"/>
        </w:r>
        <w:r w:rsidR="00C577DD">
          <w:rPr>
            <w:noProof/>
            <w:webHidden/>
          </w:rPr>
          <w:t>22</w:t>
        </w:r>
        <w:r w:rsidR="00C577DD">
          <w:rPr>
            <w:noProof/>
            <w:webHidden/>
          </w:rPr>
          <w:fldChar w:fldCharType="end"/>
        </w:r>
      </w:hyperlink>
    </w:p>
    <w:p w14:paraId="6754489C" w14:textId="7FB9BB8A"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7" w:history="1">
        <w:r w:rsidR="00C577DD" w:rsidRPr="00F74DA4">
          <w:rPr>
            <w:rStyle w:val="Hyperlink"/>
            <w:rFonts w:eastAsia="Arial"/>
            <w:noProof/>
          </w:rPr>
          <w:t>Table 3.10:</w:t>
        </w:r>
        <w:r w:rsidR="00C577DD">
          <w:rPr>
            <w:noProof/>
            <w:webHidden/>
          </w:rPr>
          <w:tab/>
        </w:r>
        <w:r w:rsidR="00C577DD">
          <w:rPr>
            <w:noProof/>
            <w:webHidden/>
          </w:rPr>
          <w:fldChar w:fldCharType="begin"/>
        </w:r>
        <w:r w:rsidR="00C577DD">
          <w:rPr>
            <w:noProof/>
            <w:webHidden/>
          </w:rPr>
          <w:instrText xml:space="preserve"> PAGEREF _Toc532426097 \h </w:instrText>
        </w:r>
        <w:r w:rsidR="00C577DD">
          <w:rPr>
            <w:noProof/>
            <w:webHidden/>
          </w:rPr>
        </w:r>
        <w:r w:rsidR="00C577DD">
          <w:rPr>
            <w:noProof/>
            <w:webHidden/>
          </w:rPr>
          <w:fldChar w:fldCharType="separate"/>
        </w:r>
        <w:r w:rsidR="00C577DD">
          <w:rPr>
            <w:noProof/>
            <w:webHidden/>
          </w:rPr>
          <w:t>24</w:t>
        </w:r>
        <w:r w:rsidR="00C577DD">
          <w:rPr>
            <w:noProof/>
            <w:webHidden/>
          </w:rPr>
          <w:fldChar w:fldCharType="end"/>
        </w:r>
      </w:hyperlink>
    </w:p>
    <w:p w14:paraId="27727060" w14:textId="781EBA7B"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8" w:history="1">
        <w:r w:rsidR="00C577DD" w:rsidRPr="00F74DA4">
          <w:rPr>
            <w:rStyle w:val="Hyperlink"/>
            <w:rFonts w:eastAsia="Arial"/>
            <w:noProof/>
          </w:rPr>
          <w:t>Table 3.11:</w:t>
        </w:r>
        <w:r w:rsidR="00C577DD">
          <w:rPr>
            <w:noProof/>
            <w:webHidden/>
          </w:rPr>
          <w:tab/>
        </w:r>
        <w:r w:rsidR="00C577DD">
          <w:rPr>
            <w:noProof/>
            <w:webHidden/>
          </w:rPr>
          <w:fldChar w:fldCharType="begin"/>
        </w:r>
        <w:r w:rsidR="00C577DD">
          <w:rPr>
            <w:noProof/>
            <w:webHidden/>
          </w:rPr>
          <w:instrText xml:space="preserve"> PAGEREF _Toc532426098 \h </w:instrText>
        </w:r>
        <w:r w:rsidR="00C577DD">
          <w:rPr>
            <w:noProof/>
            <w:webHidden/>
          </w:rPr>
        </w:r>
        <w:r w:rsidR="00C577DD">
          <w:rPr>
            <w:noProof/>
            <w:webHidden/>
          </w:rPr>
          <w:fldChar w:fldCharType="separate"/>
        </w:r>
        <w:r w:rsidR="00C577DD">
          <w:rPr>
            <w:noProof/>
            <w:webHidden/>
          </w:rPr>
          <w:t>24</w:t>
        </w:r>
        <w:r w:rsidR="00C577DD">
          <w:rPr>
            <w:noProof/>
            <w:webHidden/>
          </w:rPr>
          <w:fldChar w:fldCharType="end"/>
        </w:r>
      </w:hyperlink>
    </w:p>
    <w:p w14:paraId="6C4DD556" w14:textId="6FE47F32"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099" w:history="1">
        <w:r w:rsidR="00C577DD" w:rsidRPr="00F74DA4">
          <w:rPr>
            <w:rStyle w:val="Hyperlink"/>
            <w:rFonts w:eastAsia="Arial"/>
            <w:noProof/>
          </w:rPr>
          <w:t>Table 3.12:</w:t>
        </w:r>
        <w:r w:rsidR="00C577DD">
          <w:rPr>
            <w:noProof/>
            <w:webHidden/>
          </w:rPr>
          <w:tab/>
        </w:r>
        <w:r w:rsidR="00C577DD">
          <w:rPr>
            <w:noProof/>
            <w:webHidden/>
          </w:rPr>
          <w:fldChar w:fldCharType="begin"/>
        </w:r>
        <w:r w:rsidR="00C577DD">
          <w:rPr>
            <w:noProof/>
            <w:webHidden/>
          </w:rPr>
          <w:instrText xml:space="preserve"> PAGEREF _Toc532426099 \h </w:instrText>
        </w:r>
        <w:r w:rsidR="00C577DD">
          <w:rPr>
            <w:noProof/>
            <w:webHidden/>
          </w:rPr>
        </w:r>
        <w:r w:rsidR="00C577DD">
          <w:rPr>
            <w:noProof/>
            <w:webHidden/>
          </w:rPr>
          <w:fldChar w:fldCharType="separate"/>
        </w:r>
        <w:r w:rsidR="00C577DD">
          <w:rPr>
            <w:noProof/>
            <w:webHidden/>
          </w:rPr>
          <w:t>28</w:t>
        </w:r>
        <w:r w:rsidR="00C577DD">
          <w:rPr>
            <w:noProof/>
            <w:webHidden/>
          </w:rPr>
          <w:fldChar w:fldCharType="end"/>
        </w:r>
      </w:hyperlink>
    </w:p>
    <w:p w14:paraId="00FE2282" w14:textId="12D400C1"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0" w:history="1">
        <w:r w:rsidR="00C577DD" w:rsidRPr="00F74DA4">
          <w:rPr>
            <w:rStyle w:val="Hyperlink"/>
            <w:rFonts w:eastAsia="Arial"/>
            <w:noProof/>
          </w:rPr>
          <w:t>Table 3.13: Categories of nonfinancial assets - FY2015/16 (</w:t>
        </w:r>
        <w:r w:rsidR="00E73ED7">
          <w:rPr>
            <w:rStyle w:val="Hyperlink"/>
            <w:rFonts w:eastAsia="Arial"/>
            <w:noProof/>
          </w:rPr>
          <w:t>Ksh</w:t>
        </w:r>
        <w:r w:rsidR="00C577DD" w:rsidRPr="00F74DA4">
          <w:rPr>
            <w:rStyle w:val="Hyperlink"/>
            <w:rFonts w:eastAsia="Arial"/>
            <w:noProof/>
          </w:rPr>
          <w:t>, millions)</w:t>
        </w:r>
        <w:r w:rsidR="00C577DD">
          <w:rPr>
            <w:noProof/>
            <w:webHidden/>
          </w:rPr>
          <w:tab/>
        </w:r>
        <w:r w:rsidR="00C577DD">
          <w:rPr>
            <w:noProof/>
            <w:webHidden/>
          </w:rPr>
          <w:fldChar w:fldCharType="begin"/>
        </w:r>
        <w:r w:rsidR="00C577DD">
          <w:rPr>
            <w:noProof/>
            <w:webHidden/>
          </w:rPr>
          <w:instrText xml:space="preserve"> PAGEREF _Toc532426100 \h </w:instrText>
        </w:r>
        <w:r w:rsidR="00C577DD">
          <w:rPr>
            <w:noProof/>
            <w:webHidden/>
          </w:rPr>
        </w:r>
        <w:r w:rsidR="00C577DD">
          <w:rPr>
            <w:noProof/>
            <w:webHidden/>
          </w:rPr>
          <w:fldChar w:fldCharType="separate"/>
        </w:r>
        <w:r w:rsidR="00C577DD">
          <w:rPr>
            <w:noProof/>
            <w:webHidden/>
          </w:rPr>
          <w:t>32</w:t>
        </w:r>
        <w:r w:rsidR="00C577DD">
          <w:rPr>
            <w:noProof/>
            <w:webHidden/>
          </w:rPr>
          <w:fldChar w:fldCharType="end"/>
        </w:r>
      </w:hyperlink>
    </w:p>
    <w:p w14:paraId="307E75D2" w14:textId="1D32392E"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1" w:history="1">
        <w:r w:rsidR="00C577DD" w:rsidRPr="00F74DA4">
          <w:rPr>
            <w:rStyle w:val="Hyperlink"/>
            <w:rFonts w:eastAsia="Arial"/>
            <w:noProof/>
          </w:rPr>
          <w:t>Table 3.14: Budget calendar for FY2015/16</w:t>
        </w:r>
        <w:r w:rsidR="00C577DD">
          <w:rPr>
            <w:noProof/>
            <w:webHidden/>
          </w:rPr>
          <w:tab/>
        </w:r>
        <w:r w:rsidR="00C577DD">
          <w:rPr>
            <w:noProof/>
            <w:webHidden/>
          </w:rPr>
          <w:fldChar w:fldCharType="begin"/>
        </w:r>
        <w:r w:rsidR="00C577DD">
          <w:rPr>
            <w:noProof/>
            <w:webHidden/>
          </w:rPr>
          <w:instrText xml:space="preserve"> PAGEREF _Toc532426101 \h </w:instrText>
        </w:r>
        <w:r w:rsidR="00C577DD">
          <w:rPr>
            <w:noProof/>
            <w:webHidden/>
          </w:rPr>
        </w:r>
        <w:r w:rsidR="00C577DD">
          <w:rPr>
            <w:noProof/>
            <w:webHidden/>
          </w:rPr>
          <w:fldChar w:fldCharType="separate"/>
        </w:r>
        <w:r w:rsidR="00C577DD">
          <w:rPr>
            <w:noProof/>
            <w:webHidden/>
          </w:rPr>
          <w:t>38</w:t>
        </w:r>
        <w:r w:rsidR="00C577DD">
          <w:rPr>
            <w:noProof/>
            <w:webHidden/>
          </w:rPr>
          <w:fldChar w:fldCharType="end"/>
        </w:r>
      </w:hyperlink>
    </w:p>
    <w:p w14:paraId="7E7AD3A6" w14:textId="73C61039"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2" w:history="1">
        <w:r w:rsidR="00C577DD" w:rsidRPr="00F74DA4">
          <w:rPr>
            <w:rStyle w:val="Hyperlink"/>
            <w:rFonts w:eastAsia="Arial"/>
            <w:noProof/>
          </w:rPr>
          <w:t>Table 3.15: Annual revenue collection streams for FY2014/15 and 2015/16 (</w:t>
        </w:r>
        <w:r w:rsidR="00E73ED7">
          <w:rPr>
            <w:rStyle w:val="Hyperlink"/>
            <w:rFonts w:eastAsia="Arial"/>
            <w:noProof/>
          </w:rPr>
          <w:t>Ksh</w:t>
        </w:r>
        <w:r w:rsidR="00C577DD" w:rsidRPr="00F74DA4">
          <w:rPr>
            <w:rStyle w:val="Hyperlink"/>
            <w:rFonts w:eastAsia="Arial"/>
            <w:noProof/>
          </w:rPr>
          <w:t>)</w:t>
        </w:r>
        <w:r w:rsidR="00C577DD">
          <w:rPr>
            <w:noProof/>
            <w:webHidden/>
          </w:rPr>
          <w:tab/>
        </w:r>
        <w:r w:rsidR="00C577DD">
          <w:rPr>
            <w:noProof/>
            <w:webHidden/>
          </w:rPr>
          <w:fldChar w:fldCharType="begin"/>
        </w:r>
        <w:r w:rsidR="00C577DD">
          <w:rPr>
            <w:noProof/>
            <w:webHidden/>
          </w:rPr>
          <w:instrText xml:space="preserve"> PAGEREF _Toc532426102 \h </w:instrText>
        </w:r>
        <w:r w:rsidR="00C577DD">
          <w:rPr>
            <w:noProof/>
            <w:webHidden/>
          </w:rPr>
        </w:r>
        <w:r w:rsidR="00C577DD">
          <w:rPr>
            <w:noProof/>
            <w:webHidden/>
          </w:rPr>
          <w:fldChar w:fldCharType="separate"/>
        </w:r>
        <w:r w:rsidR="00C577DD">
          <w:rPr>
            <w:noProof/>
            <w:webHidden/>
          </w:rPr>
          <w:t>44</w:t>
        </w:r>
        <w:r w:rsidR="00C577DD">
          <w:rPr>
            <w:noProof/>
            <w:webHidden/>
          </w:rPr>
          <w:fldChar w:fldCharType="end"/>
        </w:r>
      </w:hyperlink>
    </w:p>
    <w:p w14:paraId="49169542" w14:textId="68DFFE03"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3" w:history="1">
        <w:r w:rsidR="00C577DD" w:rsidRPr="00F74DA4">
          <w:rPr>
            <w:rStyle w:val="Hyperlink"/>
            <w:rFonts w:eastAsia="Arial"/>
            <w:noProof/>
          </w:rPr>
          <w:t>Table 3.16: Type of procurement methods, 2015/16</w:t>
        </w:r>
        <w:r w:rsidR="00C577DD">
          <w:rPr>
            <w:noProof/>
            <w:webHidden/>
          </w:rPr>
          <w:tab/>
        </w:r>
        <w:r w:rsidR="00C577DD">
          <w:rPr>
            <w:noProof/>
            <w:webHidden/>
          </w:rPr>
          <w:fldChar w:fldCharType="begin"/>
        </w:r>
        <w:r w:rsidR="00C577DD">
          <w:rPr>
            <w:noProof/>
            <w:webHidden/>
          </w:rPr>
          <w:instrText xml:space="preserve"> PAGEREF _Toc532426103 \h </w:instrText>
        </w:r>
        <w:r w:rsidR="00C577DD">
          <w:rPr>
            <w:noProof/>
            <w:webHidden/>
          </w:rPr>
        </w:r>
        <w:r w:rsidR="00C577DD">
          <w:rPr>
            <w:noProof/>
            <w:webHidden/>
          </w:rPr>
          <w:fldChar w:fldCharType="separate"/>
        </w:r>
        <w:r w:rsidR="00C577DD">
          <w:rPr>
            <w:noProof/>
            <w:webHidden/>
          </w:rPr>
          <w:t>49</w:t>
        </w:r>
        <w:r w:rsidR="00C577DD">
          <w:rPr>
            <w:noProof/>
            <w:webHidden/>
          </w:rPr>
          <w:fldChar w:fldCharType="end"/>
        </w:r>
      </w:hyperlink>
    </w:p>
    <w:p w14:paraId="0268D049" w14:textId="690F3FE9"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4" w:history="1">
        <w:r w:rsidR="00C577DD" w:rsidRPr="00F74DA4">
          <w:rPr>
            <w:rStyle w:val="Hyperlink"/>
            <w:rFonts w:eastAsia="Arial"/>
            <w:noProof/>
          </w:rPr>
          <w:t>Table 3.17: Public access to procurement information</w:t>
        </w:r>
        <w:r w:rsidR="00C577DD">
          <w:rPr>
            <w:noProof/>
            <w:webHidden/>
          </w:rPr>
          <w:tab/>
        </w:r>
        <w:r w:rsidR="00C577DD">
          <w:rPr>
            <w:noProof/>
            <w:webHidden/>
          </w:rPr>
          <w:fldChar w:fldCharType="begin"/>
        </w:r>
        <w:r w:rsidR="00C577DD">
          <w:rPr>
            <w:noProof/>
            <w:webHidden/>
          </w:rPr>
          <w:instrText xml:space="preserve"> PAGEREF _Toc532426104 \h </w:instrText>
        </w:r>
        <w:r w:rsidR="00C577DD">
          <w:rPr>
            <w:noProof/>
            <w:webHidden/>
          </w:rPr>
        </w:r>
        <w:r w:rsidR="00C577DD">
          <w:rPr>
            <w:noProof/>
            <w:webHidden/>
          </w:rPr>
          <w:fldChar w:fldCharType="separate"/>
        </w:r>
        <w:r w:rsidR="00C577DD">
          <w:rPr>
            <w:noProof/>
            <w:webHidden/>
          </w:rPr>
          <w:t>50</w:t>
        </w:r>
        <w:r w:rsidR="00C577DD">
          <w:rPr>
            <w:noProof/>
            <w:webHidden/>
          </w:rPr>
          <w:fldChar w:fldCharType="end"/>
        </w:r>
      </w:hyperlink>
    </w:p>
    <w:p w14:paraId="0A0B22B1" w14:textId="7EE1A7DE"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5" w:history="1">
        <w:r w:rsidR="00C577DD" w:rsidRPr="00F74DA4">
          <w:rPr>
            <w:rStyle w:val="Hyperlink"/>
            <w:rFonts w:eastAsia="Arial"/>
            <w:noProof/>
          </w:rPr>
          <w:t>Table 3.18: Procurement complaints management</w:t>
        </w:r>
        <w:r w:rsidR="00C577DD">
          <w:rPr>
            <w:noProof/>
            <w:webHidden/>
          </w:rPr>
          <w:tab/>
        </w:r>
        <w:r w:rsidR="00C577DD">
          <w:rPr>
            <w:noProof/>
            <w:webHidden/>
          </w:rPr>
          <w:fldChar w:fldCharType="begin"/>
        </w:r>
        <w:r w:rsidR="00C577DD">
          <w:rPr>
            <w:noProof/>
            <w:webHidden/>
          </w:rPr>
          <w:instrText xml:space="preserve"> PAGEREF _Toc532426105 \h </w:instrText>
        </w:r>
        <w:r w:rsidR="00C577DD">
          <w:rPr>
            <w:noProof/>
            <w:webHidden/>
          </w:rPr>
        </w:r>
        <w:r w:rsidR="00C577DD">
          <w:rPr>
            <w:noProof/>
            <w:webHidden/>
          </w:rPr>
          <w:fldChar w:fldCharType="separate"/>
        </w:r>
        <w:r w:rsidR="00C577DD">
          <w:rPr>
            <w:noProof/>
            <w:webHidden/>
          </w:rPr>
          <w:t>51</w:t>
        </w:r>
        <w:r w:rsidR="00C577DD">
          <w:rPr>
            <w:noProof/>
            <w:webHidden/>
          </w:rPr>
          <w:fldChar w:fldCharType="end"/>
        </w:r>
      </w:hyperlink>
    </w:p>
    <w:p w14:paraId="683E8D2F" w14:textId="17B22CF2"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6" w:history="1">
        <w:r w:rsidR="00C577DD" w:rsidRPr="00F74DA4">
          <w:rPr>
            <w:rStyle w:val="Hyperlink"/>
            <w:rFonts w:eastAsia="Arial"/>
            <w:noProof/>
          </w:rPr>
          <w:t>Table 3.19: Different stages of control of budget execution</w:t>
        </w:r>
        <w:r w:rsidR="00C577DD">
          <w:rPr>
            <w:noProof/>
            <w:webHidden/>
          </w:rPr>
          <w:tab/>
        </w:r>
        <w:r w:rsidR="00C577DD">
          <w:rPr>
            <w:noProof/>
            <w:webHidden/>
          </w:rPr>
          <w:fldChar w:fldCharType="begin"/>
        </w:r>
        <w:r w:rsidR="00C577DD">
          <w:rPr>
            <w:noProof/>
            <w:webHidden/>
          </w:rPr>
          <w:instrText xml:space="preserve"> PAGEREF _Toc532426106 \h </w:instrText>
        </w:r>
        <w:r w:rsidR="00C577DD">
          <w:rPr>
            <w:noProof/>
            <w:webHidden/>
          </w:rPr>
        </w:r>
        <w:r w:rsidR="00C577DD">
          <w:rPr>
            <w:noProof/>
            <w:webHidden/>
          </w:rPr>
          <w:fldChar w:fldCharType="separate"/>
        </w:r>
        <w:r w:rsidR="00C577DD">
          <w:rPr>
            <w:noProof/>
            <w:webHidden/>
          </w:rPr>
          <w:t>52</w:t>
        </w:r>
        <w:r w:rsidR="00C577DD">
          <w:rPr>
            <w:noProof/>
            <w:webHidden/>
          </w:rPr>
          <w:fldChar w:fldCharType="end"/>
        </w:r>
      </w:hyperlink>
    </w:p>
    <w:p w14:paraId="42BB2D57" w14:textId="3BEE4053"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7" w:history="1">
        <w:r w:rsidR="00C577DD" w:rsidRPr="00F74DA4">
          <w:rPr>
            <w:rStyle w:val="Hyperlink"/>
            <w:rFonts w:eastAsia="Arial"/>
            <w:noProof/>
          </w:rPr>
          <w:t xml:space="preserve">Table 3.20: </w:t>
        </w:r>
        <w:r w:rsidR="00C577DD" w:rsidRPr="00F74DA4">
          <w:rPr>
            <w:rStyle w:val="Hyperlink"/>
            <w:rFonts w:eastAsia="Arial" w:cs="Times New Roman"/>
            <w:noProof/>
          </w:rPr>
          <w:t>County government entities audited for the last three years</w:t>
        </w:r>
        <w:r w:rsidR="00C577DD">
          <w:rPr>
            <w:noProof/>
            <w:webHidden/>
          </w:rPr>
          <w:tab/>
        </w:r>
        <w:r w:rsidR="00C577DD">
          <w:rPr>
            <w:noProof/>
            <w:webHidden/>
          </w:rPr>
          <w:fldChar w:fldCharType="begin"/>
        </w:r>
        <w:r w:rsidR="00C577DD">
          <w:rPr>
            <w:noProof/>
            <w:webHidden/>
          </w:rPr>
          <w:instrText xml:space="preserve"> PAGEREF _Toc532426107 \h </w:instrText>
        </w:r>
        <w:r w:rsidR="00C577DD">
          <w:rPr>
            <w:noProof/>
            <w:webHidden/>
          </w:rPr>
        </w:r>
        <w:r w:rsidR="00C577DD">
          <w:rPr>
            <w:noProof/>
            <w:webHidden/>
          </w:rPr>
          <w:fldChar w:fldCharType="separate"/>
        </w:r>
        <w:r w:rsidR="00C577DD">
          <w:rPr>
            <w:noProof/>
            <w:webHidden/>
          </w:rPr>
          <w:t>55</w:t>
        </w:r>
        <w:r w:rsidR="00C577DD">
          <w:rPr>
            <w:noProof/>
            <w:webHidden/>
          </w:rPr>
          <w:fldChar w:fldCharType="end"/>
        </w:r>
      </w:hyperlink>
    </w:p>
    <w:p w14:paraId="21C73507" w14:textId="430CABAD"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8" w:history="1">
        <w:r w:rsidR="00C577DD" w:rsidRPr="00F74DA4">
          <w:rPr>
            <w:rStyle w:val="Hyperlink"/>
            <w:rFonts w:eastAsia="Arial"/>
            <w:noProof/>
          </w:rPr>
          <w:t>Table 3.21: Entities to be covered by annual audit activities for the next three years</w:t>
        </w:r>
        <w:r w:rsidR="00C577DD">
          <w:rPr>
            <w:noProof/>
            <w:webHidden/>
          </w:rPr>
          <w:tab/>
        </w:r>
        <w:r w:rsidR="00C577DD">
          <w:rPr>
            <w:noProof/>
            <w:webHidden/>
          </w:rPr>
          <w:fldChar w:fldCharType="begin"/>
        </w:r>
        <w:r w:rsidR="00C577DD">
          <w:rPr>
            <w:noProof/>
            <w:webHidden/>
          </w:rPr>
          <w:instrText xml:space="preserve"> PAGEREF _Toc532426108 \h </w:instrText>
        </w:r>
        <w:r w:rsidR="00C577DD">
          <w:rPr>
            <w:noProof/>
            <w:webHidden/>
          </w:rPr>
        </w:r>
        <w:r w:rsidR="00C577DD">
          <w:rPr>
            <w:noProof/>
            <w:webHidden/>
          </w:rPr>
          <w:fldChar w:fldCharType="separate"/>
        </w:r>
        <w:r w:rsidR="00C577DD">
          <w:rPr>
            <w:noProof/>
            <w:webHidden/>
          </w:rPr>
          <w:t>55</w:t>
        </w:r>
        <w:r w:rsidR="00C577DD">
          <w:rPr>
            <w:noProof/>
            <w:webHidden/>
          </w:rPr>
          <w:fldChar w:fldCharType="end"/>
        </w:r>
      </w:hyperlink>
    </w:p>
    <w:p w14:paraId="724A1FE3" w14:textId="1E5ABC10"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09" w:history="1">
        <w:r w:rsidR="00C577DD" w:rsidRPr="00F74DA4">
          <w:rPr>
            <w:rStyle w:val="Hyperlink"/>
            <w:rFonts w:eastAsia="Arial"/>
            <w:noProof/>
          </w:rPr>
          <w:t>Table 3.22: Table of risk index</w:t>
        </w:r>
        <w:r w:rsidR="00C577DD">
          <w:rPr>
            <w:noProof/>
            <w:webHidden/>
          </w:rPr>
          <w:tab/>
        </w:r>
        <w:r w:rsidR="00C577DD">
          <w:rPr>
            <w:noProof/>
            <w:webHidden/>
          </w:rPr>
          <w:fldChar w:fldCharType="begin"/>
        </w:r>
        <w:r w:rsidR="00C577DD">
          <w:rPr>
            <w:noProof/>
            <w:webHidden/>
          </w:rPr>
          <w:instrText xml:space="preserve"> PAGEREF _Toc532426109 \h </w:instrText>
        </w:r>
        <w:r w:rsidR="00C577DD">
          <w:rPr>
            <w:noProof/>
            <w:webHidden/>
          </w:rPr>
        </w:r>
        <w:r w:rsidR="00C577DD">
          <w:rPr>
            <w:noProof/>
            <w:webHidden/>
          </w:rPr>
          <w:fldChar w:fldCharType="separate"/>
        </w:r>
        <w:r w:rsidR="00C577DD">
          <w:rPr>
            <w:noProof/>
            <w:webHidden/>
          </w:rPr>
          <w:t>56</w:t>
        </w:r>
        <w:r w:rsidR="00C577DD">
          <w:rPr>
            <w:noProof/>
            <w:webHidden/>
          </w:rPr>
          <w:fldChar w:fldCharType="end"/>
        </w:r>
      </w:hyperlink>
    </w:p>
    <w:p w14:paraId="20B63935" w14:textId="437DE345"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10" w:history="1">
        <w:r w:rsidR="00C577DD" w:rsidRPr="00F74DA4">
          <w:rPr>
            <w:rStyle w:val="Hyperlink"/>
            <w:rFonts w:eastAsia="Arial"/>
            <w:noProof/>
          </w:rPr>
          <w:t>Table 3.23: Planed and realized audits of the County Executive in 2015/16</w:t>
        </w:r>
        <w:r w:rsidR="00C577DD">
          <w:rPr>
            <w:noProof/>
            <w:webHidden/>
          </w:rPr>
          <w:tab/>
        </w:r>
        <w:r w:rsidR="00C577DD">
          <w:rPr>
            <w:noProof/>
            <w:webHidden/>
          </w:rPr>
          <w:fldChar w:fldCharType="begin"/>
        </w:r>
        <w:r w:rsidR="00C577DD">
          <w:rPr>
            <w:noProof/>
            <w:webHidden/>
          </w:rPr>
          <w:instrText xml:space="preserve"> PAGEREF _Toc532426110 \h </w:instrText>
        </w:r>
        <w:r w:rsidR="00C577DD">
          <w:rPr>
            <w:noProof/>
            <w:webHidden/>
          </w:rPr>
        </w:r>
        <w:r w:rsidR="00C577DD">
          <w:rPr>
            <w:noProof/>
            <w:webHidden/>
          </w:rPr>
          <w:fldChar w:fldCharType="separate"/>
        </w:r>
        <w:r w:rsidR="00C577DD">
          <w:rPr>
            <w:noProof/>
            <w:webHidden/>
          </w:rPr>
          <w:t>56</w:t>
        </w:r>
        <w:r w:rsidR="00C577DD">
          <w:rPr>
            <w:noProof/>
            <w:webHidden/>
          </w:rPr>
          <w:fldChar w:fldCharType="end"/>
        </w:r>
      </w:hyperlink>
    </w:p>
    <w:p w14:paraId="09BD75E8" w14:textId="151E1856"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11" w:history="1">
        <w:r w:rsidR="00C577DD" w:rsidRPr="00F74DA4">
          <w:rPr>
            <w:rStyle w:val="Hyperlink"/>
            <w:rFonts w:eastAsia="Arial"/>
            <w:noProof/>
          </w:rPr>
          <w:t>Table 3.24: Timeliness of the responses to internal audit by audited public entities</w:t>
        </w:r>
        <w:r w:rsidR="00C577DD">
          <w:rPr>
            <w:noProof/>
            <w:webHidden/>
          </w:rPr>
          <w:tab/>
        </w:r>
        <w:r w:rsidR="00C577DD">
          <w:rPr>
            <w:noProof/>
            <w:webHidden/>
          </w:rPr>
          <w:fldChar w:fldCharType="begin"/>
        </w:r>
        <w:r w:rsidR="00C577DD">
          <w:rPr>
            <w:noProof/>
            <w:webHidden/>
          </w:rPr>
          <w:instrText xml:space="preserve"> PAGEREF _Toc532426111 \h </w:instrText>
        </w:r>
        <w:r w:rsidR="00C577DD">
          <w:rPr>
            <w:noProof/>
            <w:webHidden/>
          </w:rPr>
        </w:r>
        <w:r w:rsidR="00C577DD">
          <w:rPr>
            <w:noProof/>
            <w:webHidden/>
          </w:rPr>
          <w:fldChar w:fldCharType="separate"/>
        </w:r>
        <w:r w:rsidR="00C577DD">
          <w:rPr>
            <w:noProof/>
            <w:webHidden/>
          </w:rPr>
          <w:t>57</w:t>
        </w:r>
        <w:r w:rsidR="00C577DD">
          <w:rPr>
            <w:noProof/>
            <w:webHidden/>
          </w:rPr>
          <w:fldChar w:fldCharType="end"/>
        </w:r>
      </w:hyperlink>
    </w:p>
    <w:p w14:paraId="4460FBFB" w14:textId="4EE8D0C7"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12" w:history="1">
        <w:r w:rsidR="00C577DD" w:rsidRPr="00F74DA4">
          <w:rPr>
            <w:rStyle w:val="Hyperlink"/>
            <w:rFonts w:eastAsia="Arial"/>
            <w:noProof/>
          </w:rPr>
          <w:t>Table 3.25: Timing of in-year budget reports FY2014/15</w:t>
        </w:r>
        <w:r w:rsidR="00C577DD">
          <w:rPr>
            <w:noProof/>
            <w:webHidden/>
          </w:rPr>
          <w:tab/>
        </w:r>
        <w:r w:rsidR="00C577DD">
          <w:rPr>
            <w:noProof/>
            <w:webHidden/>
          </w:rPr>
          <w:fldChar w:fldCharType="begin"/>
        </w:r>
        <w:r w:rsidR="00C577DD">
          <w:rPr>
            <w:noProof/>
            <w:webHidden/>
          </w:rPr>
          <w:instrText xml:space="preserve"> PAGEREF _Toc532426112 \h </w:instrText>
        </w:r>
        <w:r w:rsidR="00C577DD">
          <w:rPr>
            <w:noProof/>
            <w:webHidden/>
          </w:rPr>
        </w:r>
        <w:r w:rsidR="00C577DD">
          <w:rPr>
            <w:noProof/>
            <w:webHidden/>
          </w:rPr>
          <w:fldChar w:fldCharType="separate"/>
        </w:r>
        <w:r w:rsidR="00C577DD">
          <w:rPr>
            <w:noProof/>
            <w:webHidden/>
          </w:rPr>
          <w:t>60</w:t>
        </w:r>
        <w:r w:rsidR="00C577DD">
          <w:rPr>
            <w:noProof/>
            <w:webHidden/>
          </w:rPr>
          <w:fldChar w:fldCharType="end"/>
        </w:r>
      </w:hyperlink>
    </w:p>
    <w:p w14:paraId="57AF9696" w14:textId="1474F48C"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13" w:history="1">
        <w:r w:rsidR="00C577DD" w:rsidRPr="00F74DA4">
          <w:rPr>
            <w:rStyle w:val="Hyperlink"/>
            <w:rFonts w:eastAsia="Arial"/>
            <w:noProof/>
          </w:rPr>
          <w:t>Table 3.26: Submission of audit reports to the legislature for the last three FYs</w:t>
        </w:r>
        <w:r w:rsidR="00C577DD">
          <w:rPr>
            <w:noProof/>
            <w:webHidden/>
          </w:rPr>
          <w:tab/>
        </w:r>
        <w:r w:rsidR="00C577DD">
          <w:rPr>
            <w:noProof/>
            <w:webHidden/>
          </w:rPr>
          <w:fldChar w:fldCharType="begin"/>
        </w:r>
        <w:r w:rsidR="00C577DD">
          <w:rPr>
            <w:noProof/>
            <w:webHidden/>
          </w:rPr>
          <w:instrText xml:space="preserve"> PAGEREF _Toc532426113 \h </w:instrText>
        </w:r>
        <w:r w:rsidR="00C577DD">
          <w:rPr>
            <w:noProof/>
            <w:webHidden/>
          </w:rPr>
        </w:r>
        <w:r w:rsidR="00C577DD">
          <w:rPr>
            <w:noProof/>
            <w:webHidden/>
          </w:rPr>
          <w:fldChar w:fldCharType="separate"/>
        </w:r>
        <w:r w:rsidR="00C577DD">
          <w:rPr>
            <w:noProof/>
            <w:webHidden/>
          </w:rPr>
          <w:t>64</w:t>
        </w:r>
        <w:r w:rsidR="00C577DD">
          <w:rPr>
            <w:noProof/>
            <w:webHidden/>
          </w:rPr>
          <w:fldChar w:fldCharType="end"/>
        </w:r>
      </w:hyperlink>
    </w:p>
    <w:p w14:paraId="0630E07F" w14:textId="7E8D4989" w:rsidR="00C577DD" w:rsidRDefault="008B59A7">
      <w:pPr>
        <w:pStyle w:val="TableofFigures"/>
        <w:tabs>
          <w:tab w:val="right" w:leader="dot" w:pos="9350"/>
        </w:tabs>
        <w:rPr>
          <w:rFonts w:asciiTheme="minorHAnsi" w:eastAsiaTheme="minorEastAsia" w:hAnsiTheme="minorHAnsi" w:cstheme="minorBidi"/>
          <w:noProof/>
          <w:lang w:val="en-US" w:eastAsia="en-US"/>
        </w:rPr>
      </w:pPr>
      <w:hyperlink w:anchor="_Toc532426114" w:history="1">
        <w:r w:rsidR="00C577DD" w:rsidRPr="00F74DA4">
          <w:rPr>
            <w:rStyle w:val="Hyperlink"/>
            <w:rFonts w:eastAsia="Arial"/>
            <w:noProof/>
          </w:rPr>
          <w:t>Table 3.27: Timing of audit reports</w:t>
        </w:r>
        <w:r w:rsidR="00C577DD">
          <w:rPr>
            <w:noProof/>
            <w:webHidden/>
          </w:rPr>
          <w:tab/>
        </w:r>
        <w:r w:rsidR="00C577DD">
          <w:rPr>
            <w:noProof/>
            <w:webHidden/>
          </w:rPr>
          <w:fldChar w:fldCharType="begin"/>
        </w:r>
        <w:r w:rsidR="00C577DD">
          <w:rPr>
            <w:noProof/>
            <w:webHidden/>
          </w:rPr>
          <w:instrText xml:space="preserve"> PAGEREF _Toc532426114 \h </w:instrText>
        </w:r>
        <w:r w:rsidR="00C577DD">
          <w:rPr>
            <w:noProof/>
            <w:webHidden/>
          </w:rPr>
        </w:r>
        <w:r w:rsidR="00C577DD">
          <w:rPr>
            <w:noProof/>
            <w:webHidden/>
          </w:rPr>
          <w:fldChar w:fldCharType="separate"/>
        </w:r>
        <w:r w:rsidR="00C577DD">
          <w:rPr>
            <w:noProof/>
            <w:webHidden/>
          </w:rPr>
          <w:t>65</w:t>
        </w:r>
        <w:r w:rsidR="00C577DD">
          <w:rPr>
            <w:noProof/>
            <w:webHidden/>
          </w:rPr>
          <w:fldChar w:fldCharType="end"/>
        </w:r>
      </w:hyperlink>
    </w:p>
    <w:p w14:paraId="693B034E" w14:textId="6CDDB386" w:rsidR="00B64296" w:rsidRDefault="00F677C9" w:rsidP="00D52523">
      <w:pPr>
        <w:sectPr w:rsidR="00B64296" w:rsidSect="00227897">
          <w:footerReference w:type="default" r:id="rId20"/>
          <w:pgSz w:w="12240" w:h="15840"/>
          <w:pgMar w:top="1440" w:right="1440" w:bottom="1440" w:left="1440" w:header="760" w:footer="723" w:gutter="0"/>
          <w:cols w:space="720"/>
          <w:docGrid w:linePitch="326"/>
        </w:sectPr>
      </w:pPr>
      <w:r>
        <w:fldChar w:fldCharType="end"/>
      </w:r>
    </w:p>
    <w:p w14:paraId="50FDA379" w14:textId="7E685129" w:rsidR="00E42BB9" w:rsidRPr="00196FAE" w:rsidRDefault="00E42BB9" w:rsidP="00671E8A">
      <w:pPr>
        <w:pStyle w:val="Heading1"/>
        <w:numPr>
          <w:ilvl w:val="0"/>
          <w:numId w:val="0"/>
        </w:numPr>
        <w:rPr>
          <w:smallCaps w:val="0"/>
          <w:lang w:eastAsia="en-US"/>
        </w:rPr>
      </w:pPr>
      <w:bookmarkStart w:id="4" w:name="_Toc484732854"/>
      <w:bookmarkStart w:id="5" w:name="_Toc532426015"/>
      <w:r w:rsidRPr="00196FAE">
        <w:rPr>
          <w:smallCaps w:val="0"/>
          <w:lang w:eastAsia="en-US"/>
        </w:rPr>
        <w:t>Acronyms</w:t>
      </w:r>
      <w:bookmarkEnd w:id="4"/>
      <w:bookmarkEnd w:id="5"/>
    </w:p>
    <w:tbl>
      <w:tblPr>
        <w:tblW w:w="5000" w:type="pct"/>
        <w:tblLook w:val="04A0" w:firstRow="1" w:lastRow="0" w:firstColumn="1" w:lastColumn="0" w:noHBand="0" w:noVBand="1"/>
      </w:tblPr>
      <w:tblGrid>
        <w:gridCol w:w="1479"/>
        <w:gridCol w:w="7881"/>
      </w:tblGrid>
      <w:tr w:rsidR="008B6A0A" w:rsidRPr="009D494D" w14:paraId="69798382" w14:textId="77777777" w:rsidTr="00043BB3">
        <w:trPr>
          <w:trHeight w:val="300"/>
        </w:trPr>
        <w:tc>
          <w:tcPr>
            <w:tcW w:w="790" w:type="pct"/>
            <w:tcBorders>
              <w:top w:val="nil"/>
              <w:left w:val="nil"/>
              <w:bottom w:val="nil"/>
              <w:right w:val="nil"/>
            </w:tcBorders>
            <w:shd w:val="clear" w:color="auto" w:fill="auto"/>
            <w:noWrap/>
            <w:vAlign w:val="center"/>
          </w:tcPr>
          <w:p w14:paraId="282CAABC" w14:textId="3C536EB0" w:rsidR="008B6A0A" w:rsidRDefault="008B6A0A" w:rsidP="00D52523">
            <w:pPr>
              <w:rPr>
                <w:sz w:val="22"/>
              </w:rPr>
            </w:pPr>
            <w:r>
              <w:rPr>
                <w:sz w:val="22"/>
              </w:rPr>
              <w:t>ADP</w:t>
            </w:r>
          </w:p>
        </w:tc>
        <w:tc>
          <w:tcPr>
            <w:tcW w:w="4210" w:type="pct"/>
            <w:tcBorders>
              <w:top w:val="nil"/>
              <w:left w:val="nil"/>
              <w:bottom w:val="nil"/>
              <w:right w:val="nil"/>
            </w:tcBorders>
            <w:shd w:val="clear" w:color="auto" w:fill="auto"/>
            <w:noWrap/>
            <w:vAlign w:val="center"/>
          </w:tcPr>
          <w:p w14:paraId="549EC1B1" w14:textId="65B63733" w:rsidR="008B6A0A" w:rsidRPr="005849E4" w:rsidRDefault="008B6A0A" w:rsidP="006D24AF">
            <w:pPr>
              <w:rPr>
                <w:sz w:val="22"/>
              </w:rPr>
            </w:pPr>
            <w:r>
              <w:rPr>
                <w:sz w:val="22"/>
              </w:rPr>
              <w:t>Annual Development Plan</w:t>
            </w:r>
          </w:p>
        </w:tc>
      </w:tr>
      <w:tr w:rsidR="001E7F1A" w:rsidRPr="009D494D" w14:paraId="0CCED5DB" w14:textId="77777777" w:rsidTr="00043BB3">
        <w:trPr>
          <w:trHeight w:val="300"/>
        </w:trPr>
        <w:tc>
          <w:tcPr>
            <w:tcW w:w="790" w:type="pct"/>
            <w:tcBorders>
              <w:top w:val="nil"/>
              <w:left w:val="nil"/>
              <w:bottom w:val="nil"/>
              <w:right w:val="nil"/>
            </w:tcBorders>
            <w:shd w:val="clear" w:color="auto" w:fill="auto"/>
            <w:noWrap/>
            <w:vAlign w:val="center"/>
          </w:tcPr>
          <w:p w14:paraId="6B84E793" w14:textId="7E7ED36D" w:rsidR="001E7F1A" w:rsidRDefault="001E7F1A" w:rsidP="00D52523">
            <w:pPr>
              <w:rPr>
                <w:sz w:val="22"/>
              </w:rPr>
            </w:pPr>
            <w:r>
              <w:rPr>
                <w:sz w:val="22"/>
              </w:rPr>
              <w:t>ADS</w:t>
            </w:r>
          </w:p>
        </w:tc>
        <w:tc>
          <w:tcPr>
            <w:tcW w:w="4210" w:type="pct"/>
            <w:tcBorders>
              <w:top w:val="nil"/>
              <w:left w:val="nil"/>
              <w:bottom w:val="nil"/>
              <w:right w:val="nil"/>
            </w:tcBorders>
            <w:shd w:val="clear" w:color="auto" w:fill="auto"/>
            <w:noWrap/>
            <w:vAlign w:val="center"/>
          </w:tcPr>
          <w:p w14:paraId="64B4F2AD" w14:textId="6281E63F" w:rsidR="001E7F1A" w:rsidRDefault="001E7F1A" w:rsidP="006D24AF">
            <w:pPr>
              <w:rPr>
                <w:sz w:val="22"/>
              </w:rPr>
            </w:pPr>
            <w:r w:rsidRPr="001E7F1A">
              <w:rPr>
                <w:sz w:val="22"/>
              </w:rPr>
              <w:t>Authorized Data Sheet</w:t>
            </w:r>
          </w:p>
        </w:tc>
      </w:tr>
      <w:tr w:rsidR="00913048" w:rsidRPr="009D494D" w14:paraId="4F99AB57" w14:textId="77777777" w:rsidTr="00043BB3">
        <w:trPr>
          <w:trHeight w:val="300"/>
        </w:trPr>
        <w:tc>
          <w:tcPr>
            <w:tcW w:w="790" w:type="pct"/>
            <w:tcBorders>
              <w:top w:val="nil"/>
              <w:left w:val="nil"/>
              <w:bottom w:val="nil"/>
              <w:right w:val="nil"/>
            </w:tcBorders>
            <w:shd w:val="clear" w:color="auto" w:fill="auto"/>
            <w:noWrap/>
            <w:vAlign w:val="center"/>
          </w:tcPr>
          <w:p w14:paraId="502B44C1" w14:textId="3830145C" w:rsidR="00913048" w:rsidRDefault="00913048" w:rsidP="00D52523">
            <w:pPr>
              <w:rPr>
                <w:sz w:val="22"/>
              </w:rPr>
            </w:pPr>
            <w:r>
              <w:rPr>
                <w:sz w:val="22"/>
              </w:rPr>
              <w:t>AFS</w:t>
            </w:r>
          </w:p>
        </w:tc>
        <w:tc>
          <w:tcPr>
            <w:tcW w:w="4210" w:type="pct"/>
            <w:tcBorders>
              <w:top w:val="nil"/>
              <w:left w:val="nil"/>
              <w:bottom w:val="nil"/>
              <w:right w:val="nil"/>
            </w:tcBorders>
            <w:shd w:val="clear" w:color="auto" w:fill="auto"/>
            <w:noWrap/>
            <w:vAlign w:val="center"/>
          </w:tcPr>
          <w:p w14:paraId="26F9936E" w14:textId="22CFB498" w:rsidR="00913048" w:rsidRDefault="00913048" w:rsidP="006D24AF">
            <w:pPr>
              <w:rPr>
                <w:sz w:val="22"/>
              </w:rPr>
            </w:pPr>
            <w:r w:rsidRPr="00913048">
              <w:rPr>
                <w:sz w:val="22"/>
                <w:lang w:val="en-US"/>
              </w:rPr>
              <w:t>Annual Financial Statement(s)</w:t>
            </w:r>
          </w:p>
        </w:tc>
      </w:tr>
      <w:tr w:rsidR="004340C8" w:rsidRPr="009D494D" w14:paraId="19F14DF3" w14:textId="77777777" w:rsidTr="00043BB3">
        <w:trPr>
          <w:trHeight w:val="300"/>
        </w:trPr>
        <w:tc>
          <w:tcPr>
            <w:tcW w:w="790" w:type="pct"/>
            <w:tcBorders>
              <w:top w:val="nil"/>
              <w:left w:val="nil"/>
              <w:bottom w:val="nil"/>
              <w:right w:val="nil"/>
            </w:tcBorders>
            <w:shd w:val="clear" w:color="auto" w:fill="auto"/>
            <w:noWrap/>
            <w:vAlign w:val="center"/>
          </w:tcPr>
          <w:p w14:paraId="2B917DDA" w14:textId="3F7C7EA3" w:rsidR="004340C8" w:rsidRDefault="004340C8" w:rsidP="00D52523">
            <w:pPr>
              <w:rPr>
                <w:sz w:val="22"/>
              </w:rPr>
            </w:pPr>
            <w:r>
              <w:rPr>
                <w:sz w:val="22"/>
              </w:rPr>
              <w:t>AIE</w:t>
            </w:r>
          </w:p>
        </w:tc>
        <w:tc>
          <w:tcPr>
            <w:tcW w:w="4210" w:type="pct"/>
            <w:tcBorders>
              <w:top w:val="nil"/>
              <w:left w:val="nil"/>
              <w:bottom w:val="nil"/>
              <w:right w:val="nil"/>
            </w:tcBorders>
            <w:shd w:val="clear" w:color="auto" w:fill="auto"/>
            <w:noWrap/>
            <w:vAlign w:val="center"/>
          </w:tcPr>
          <w:p w14:paraId="0795D3F7" w14:textId="5E8509C3" w:rsidR="004340C8" w:rsidRPr="00913048" w:rsidRDefault="004340C8" w:rsidP="006D24AF">
            <w:pPr>
              <w:rPr>
                <w:sz w:val="22"/>
                <w:lang w:val="en-US"/>
              </w:rPr>
            </w:pPr>
            <w:r>
              <w:rPr>
                <w:sz w:val="22"/>
                <w:lang w:val="en-US"/>
              </w:rPr>
              <w:t>Authority to Incur Expenditure</w:t>
            </w:r>
          </w:p>
        </w:tc>
      </w:tr>
      <w:tr w:rsidR="001D510A" w:rsidRPr="009D494D" w14:paraId="7D557069" w14:textId="77777777" w:rsidTr="00043BB3">
        <w:trPr>
          <w:trHeight w:val="300"/>
        </w:trPr>
        <w:tc>
          <w:tcPr>
            <w:tcW w:w="790" w:type="pct"/>
            <w:tcBorders>
              <w:top w:val="nil"/>
              <w:left w:val="nil"/>
              <w:bottom w:val="nil"/>
              <w:right w:val="nil"/>
            </w:tcBorders>
            <w:shd w:val="clear" w:color="auto" w:fill="auto"/>
            <w:noWrap/>
            <w:vAlign w:val="center"/>
          </w:tcPr>
          <w:p w14:paraId="618769EA" w14:textId="55FC1AA3" w:rsidR="001D510A" w:rsidRDefault="001D510A" w:rsidP="00D52523">
            <w:pPr>
              <w:rPr>
                <w:sz w:val="22"/>
              </w:rPr>
            </w:pPr>
            <w:r>
              <w:rPr>
                <w:sz w:val="22"/>
              </w:rPr>
              <w:t>BIRR</w:t>
            </w:r>
          </w:p>
        </w:tc>
        <w:tc>
          <w:tcPr>
            <w:tcW w:w="4210" w:type="pct"/>
            <w:tcBorders>
              <w:top w:val="nil"/>
              <w:left w:val="nil"/>
              <w:bottom w:val="nil"/>
              <w:right w:val="nil"/>
            </w:tcBorders>
            <w:shd w:val="clear" w:color="auto" w:fill="auto"/>
            <w:noWrap/>
            <w:vAlign w:val="center"/>
          </w:tcPr>
          <w:p w14:paraId="22F71E63" w14:textId="69083B94" w:rsidR="001D510A" w:rsidRPr="00913048" w:rsidRDefault="001D510A" w:rsidP="006D24AF">
            <w:pPr>
              <w:rPr>
                <w:sz w:val="22"/>
                <w:lang w:val="en-US"/>
              </w:rPr>
            </w:pPr>
            <w:r w:rsidRPr="006E7B98">
              <w:rPr>
                <w:sz w:val="22"/>
              </w:rPr>
              <w:t>Budget Implementation Review Report</w:t>
            </w:r>
          </w:p>
        </w:tc>
      </w:tr>
      <w:tr w:rsidR="0013758F" w:rsidRPr="009D494D" w14:paraId="33DCB07E" w14:textId="77777777" w:rsidTr="00043BB3">
        <w:trPr>
          <w:trHeight w:val="300"/>
        </w:trPr>
        <w:tc>
          <w:tcPr>
            <w:tcW w:w="790" w:type="pct"/>
            <w:tcBorders>
              <w:top w:val="nil"/>
              <w:left w:val="nil"/>
              <w:bottom w:val="nil"/>
              <w:right w:val="nil"/>
            </w:tcBorders>
            <w:shd w:val="clear" w:color="auto" w:fill="auto"/>
            <w:noWrap/>
            <w:vAlign w:val="center"/>
          </w:tcPr>
          <w:p w14:paraId="518F67CD" w14:textId="1A94DAD5" w:rsidR="0013758F" w:rsidRDefault="0013758F" w:rsidP="00D52523">
            <w:pPr>
              <w:rPr>
                <w:sz w:val="22"/>
              </w:rPr>
            </w:pPr>
            <w:r>
              <w:rPr>
                <w:sz w:val="22"/>
              </w:rPr>
              <w:t>CBEF</w:t>
            </w:r>
          </w:p>
        </w:tc>
        <w:tc>
          <w:tcPr>
            <w:tcW w:w="4210" w:type="pct"/>
            <w:tcBorders>
              <w:top w:val="nil"/>
              <w:left w:val="nil"/>
              <w:bottom w:val="nil"/>
              <w:right w:val="nil"/>
            </w:tcBorders>
            <w:shd w:val="clear" w:color="auto" w:fill="auto"/>
            <w:noWrap/>
            <w:vAlign w:val="center"/>
          </w:tcPr>
          <w:p w14:paraId="058E0183" w14:textId="4C82A1FA" w:rsidR="0013758F" w:rsidRPr="006E7B98" w:rsidRDefault="0013758F" w:rsidP="006D24AF">
            <w:pPr>
              <w:rPr>
                <w:sz w:val="22"/>
              </w:rPr>
            </w:pPr>
            <w:r w:rsidRPr="0013758F">
              <w:rPr>
                <w:sz w:val="22"/>
              </w:rPr>
              <w:t>County Budget and Economic Forum</w:t>
            </w:r>
          </w:p>
        </w:tc>
      </w:tr>
      <w:tr w:rsidR="009D494D" w:rsidRPr="009D494D" w14:paraId="4B69AC65" w14:textId="77777777" w:rsidTr="00043BB3">
        <w:trPr>
          <w:trHeight w:val="300"/>
        </w:trPr>
        <w:tc>
          <w:tcPr>
            <w:tcW w:w="790" w:type="pct"/>
            <w:tcBorders>
              <w:top w:val="nil"/>
              <w:left w:val="nil"/>
              <w:bottom w:val="nil"/>
              <w:right w:val="nil"/>
            </w:tcBorders>
            <w:shd w:val="clear" w:color="auto" w:fill="auto"/>
            <w:noWrap/>
            <w:vAlign w:val="center"/>
          </w:tcPr>
          <w:p w14:paraId="18EF48DF" w14:textId="32267236" w:rsidR="009D494D" w:rsidRDefault="009D494D" w:rsidP="00D52523">
            <w:pPr>
              <w:rPr>
                <w:sz w:val="22"/>
              </w:rPr>
            </w:pPr>
            <w:r>
              <w:rPr>
                <w:sz w:val="22"/>
              </w:rPr>
              <w:t>CBROP</w:t>
            </w:r>
          </w:p>
        </w:tc>
        <w:tc>
          <w:tcPr>
            <w:tcW w:w="4210" w:type="pct"/>
            <w:tcBorders>
              <w:top w:val="nil"/>
              <w:left w:val="nil"/>
              <w:bottom w:val="nil"/>
              <w:right w:val="nil"/>
            </w:tcBorders>
            <w:shd w:val="clear" w:color="auto" w:fill="auto"/>
            <w:noWrap/>
            <w:vAlign w:val="center"/>
          </w:tcPr>
          <w:p w14:paraId="2ECB618A" w14:textId="07F861E7" w:rsidR="009D494D" w:rsidRPr="005849E4" w:rsidRDefault="009D494D" w:rsidP="006D24AF">
            <w:pPr>
              <w:rPr>
                <w:sz w:val="22"/>
              </w:rPr>
            </w:pPr>
            <w:r w:rsidRPr="005849E4">
              <w:rPr>
                <w:sz w:val="22"/>
              </w:rPr>
              <w:t>County Budget and Review Outlook Paper</w:t>
            </w:r>
          </w:p>
        </w:tc>
      </w:tr>
      <w:tr w:rsidR="002E643A" w:rsidRPr="009D494D" w14:paraId="71A832AB" w14:textId="77777777" w:rsidTr="00043BB3">
        <w:trPr>
          <w:trHeight w:val="300"/>
        </w:trPr>
        <w:tc>
          <w:tcPr>
            <w:tcW w:w="790" w:type="pct"/>
            <w:tcBorders>
              <w:top w:val="nil"/>
              <w:left w:val="nil"/>
              <w:bottom w:val="nil"/>
              <w:right w:val="nil"/>
            </w:tcBorders>
            <w:shd w:val="clear" w:color="auto" w:fill="auto"/>
            <w:noWrap/>
            <w:vAlign w:val="center"/>
          </w:tcPr>
          <w:p w14:paraId="419928FD" w14:textId="3DF08BE4" w:rsidR="002E643A" w:rsidRDefault="002E643A" w:rsidP="00D52523">
            <w:pPr>
              <w:rPr>
                <w:sz w:val="22"/>
              </w:rPr>
            </w:pPr>
            <w:r>
              <w:rPr>
                <w:sz w:val="22"/>
              </w:rPr>
              <w:t>CEC</w:t>
            </w:r>
          </w:p>
        </w:tc>
        <w:tc>
          <w:tcPr>
            <w:tcW w:w="4210" w:type="pct"/>
            <w:tcBorders>
              <w:top w:val="nil"/>
              <w:left w:val="nil"/>
              <w:bottom w:val="nil"/>
              <w:right w:val="nil"/>
            </w:tcBorders>
            <w:shd w:val="clear" w:color="auto" w:fill="auto"/>
            <w:noWrap/>
            <w:vAlign w:val="center"/>
          </w:tcPr>
          <w:p w14:paraId="2BC64DEC" w14:textId="5C9C916C" w:rsidR="002E643A" w:rsidRPr="005849E4" w:rsidRDefault="002E643A" w:rsidP="006D24AF">
            <w:pPr>
              <w:rPr>
                <w:sz w:val="22"/>
              </w:rPr>
            </w:pPr>
            <w:r w:rsidRPr="002E643A">
              <w:rPr>
                <w:sz w:val="22"/>
              </w:rPr>
              <w:t>County Executive Committee</w:t>
            </w:r>
          </w:p>
        </w:tc>
      </w:tr>
      <w:tr w:rsidR="009D494D" w:rsidRPr="009D494D" w14:paraId="374EB9A8" w14:textId="77777777" w:rsidTr="00043BB3">
        <w:trPr>
          <w:trHeight w:val="300"/>
        </w:trPr>
        <w:tc>
          <w:tcPr>
            <w:tcW w:w="790" w:type="pct"/>
            <w:tcBorders>
              <w:top w:val="nil"/>
              <w:left w:val="nil"/>
              <w:bottom w:val="nil"/>
              <w:right w:val="nil"/>
            </w:tcBorders>
            <w:shd w:val="clear" w:color="auto" w:fill="auto"/>
            <w:noWrap/>
            <w:vAlign w:val="center"/>
          </w:tcPr>
          <w:p w14:paraId="631068C3" w14:textId="3CAC40F2" w:rsidR="009D494D" w:rsidRPr="009D494D" w:rsidRDefault="009D494D" w:rsidP="00D52523">
            <w:pPr>
              <w:rPr>
                <w:sz w:val="22"/>
              </w:rPr>
            </w:pPr>
            <w:r>
              <w:rPr>
                <w:sz w:val="22"/>
              </w:rPr>
              <w:t>CFSP</w:t>
            </w:r>
          </w:p>
        </w:tc>
        <w:tc>
          <w:tcPr>
            <w:tcW w:w="4210" w:type="pct"/>
            <w:tcBorders>
              <w:top w:val="nil"/>
              <w:left w:val="nil"/>
              <w:bottom w:val="nil"/>
              <w:right w:val="nil"/>
            </w:tcBorders>
            <w:shd w:val="clear" w:color="auto" w:fill="auto"/>
            <w:noWrap/>
            <w:vAlign w:val="center"/>
          </w:tcPr>
          <w:p w14:paraId="078FEB9E" w14:textId="37446625" w:rsidR="009D494D" w:rsidRPr="009D494D" w:rsidRDefault="009D494D" w:rsidP="006D24AF">
            <w:pPr>
              <w:rPr>
                <w:sz w:val="22"/>
              </w:rPr>
            </w:pPr>
            <w:r w:rsidRPr="005849E4">
              <w:rPr>
                <w:sz w:val="22"/>
              </w:rPr>
              <w:t>County Fiscal Strategy Paper</w:t>
            </w:r>
          </w:p>
        </w:tc>
      </w:tr>
      <w:tr w:rsidR="00604DBF" w:rsidRPr="009D494D" w14:paraId="7437F484" w14:textId="77777777" w:rsidTr="00043BB3">
        <w:trPr>
          <w:trHeight w:val="300"/>
        </w:trPr>
        <w:tc>
          <w:tcPr>
            <w:tcW w:w="790" w:type="pct"/>
            <w:tcBorders>
              <w:top w:val="nil"/>
              <w:left w:val="nil"/>
              <w:bottom w:val="nil"/>
              <w:right w:val="nil"/>
            </w:tcBorders>
            <w:shd w:val="clear" w:color="auto" w:fill="auto"/>
            <w:noWrap/>
            <w:vAlign w:val="center"/>
          </w:tcPr>
          <w:p w14:paraId="1958635E" w14:textId="3B811365" w:rsidR="00604DBF" w:rsidRDefault="00604DBF" w:rsidP="00D52523">
            <w:pPr>
              <w:rPr>
                <w:sz w:val="22"/>
              </w:rPr>
            </w:pPr>
            <w:r>
              <w:rPr>
                <w:sz w:val="22"/>
              </w:rPr>
              <w:t>COB</w:t>
            </w:r>
          </w:p>
        </w:tc>
        <w:tc>
          <w:tcPr>
            <w:tcW w:w="4210" w:type="pct"/>
            <w:tcBorders>
              <w:top w:val="nil"/>
              <w:left w:val="nil"/>
              <w:bottom w:val="nil"/>
              <w:right w:val="nil"/>
            </w:tcBorders>
            <w:shd w:val="clear" w:color="auto" w:fill="auto"/>
            <w:noWrap/>
            <w:vAlign w:val="center"/>
          </w:tcPr>
          <w:p w14:paraId="6EE8CE1C" w14:textId="52AB67BA" w:rsidR="00604DBF" w:rsidRPr="005849E4" w:rsidRDefault="00604DBF" w:rsidP="006D24AF">
            <w:pPr>
              <w:rPr>
                <w:sz w:val="22"/>
              </w:rPr>
            </w:pPr>
            <w:r w:rsidRPr="005849E4">
              <w:rPr>
                <w:sz w:val="22"/>
              </w:rPr>
              <w:t>Controller of Budget</w:t>
            </w:r>
          </w:p>
        </w:tc>
      </w:tr>
      <w:tr w:rsidR="00D35AFD" w:rsidRPr="009D494D" w14:paraId="741F86D7" w14:textId="77777777" w:rsidTr="00043BB3">
        <w:trPr>
          <w:trHeight w:val="300"/>
        </w:trPr>
        <w:tc>
          <w:tcPr>
            <w:tcW w:w="790" w:type="pct"/>
            <w:tcBorders>
              <w:top w:val="nil"/>
              <w:left w:val="nil"/>
              <w:bottom w:val="nil"/>
              <w:right w:val="nil"/>
            </w:tcBorders>
            <w:shd w:val="clear" w:color="auto" w:fill="auto"/>
            <w:noWrap/>
            <w:vAlign w:val="center"/>
          </w:tcPr>
          <w:p w14:paraId="712CED7A" w14:textId="51ED3475" w:rsidR="00D35AFD" w:rsidRDefault="00D35AFD" w:rsidP="00D52523">
            <w:pPr>
              <w:rPr>
                <w:sz w:val="22"/>
              </w:rPr>
            </w:pPr>
            <w:r>
              <w:rPr>
                <w:sz w:val="22"/>
              </w:rPr>
              <w:t>COFOG</w:t>
            </w:r>
          </w:p>
        </w:tc>
        <w:tc>
          <w:tcPr>
            <w:tcW w:w="4210" w:type="pct"/>
            <w:tcBorders>
              <w:top w:val="nil"/>
              <w:left w:val="nil"/>
              <w:bottom w:val="nil"/>
              <w:right w:val="nil"/>
            </w:tcBorders>
            <w:shd w:val="clear" w:color="auto" w:fill="auto"/>
            <w:noWrap/>
            <w:vAlign w:val="center"/>
          </w:tcPr>
          <w:p w14:paraId="639F5F7F" w14:textId="4180F198" w:rsidR="00D35AFD" w:rsidRPr="005849E4" w:rsidRDefault="00D35AFD" w:rsidP="006D24AF">
            <w:pPr>
              <w:rPr>
                <w:sz w:val="22"/>
              </w:rPr>
            </w:pPr>
            <w:r w:rsidRPr="00D35AFD">
              <w:rPr>
                <w:sz w:val="22"/>
              </w:rPr>
              <w:t>Classification of the Functions of Government</w:t>
            </w:r>
          </w:p>
        </w:tc>
      </w:tr>
      <w:tr w:rsidR="00E42BB9" w:rsidRPr="009D494D" w14:paraId="36554661" w14:textId="77777777" w:rsidTr="00043BB3">
        <w:trPr>
          <w:trHeight w:val="300"/>
        </w:trPr>
        <w:tc>
          <w:tcPr>
            <w:tcW w:w="790" w:type="pct"/>
            <w:tcBorders>
              <w:top w:val="nil"/>
              <w:left w:val="nil"/>
              <w:bottom w:val="nil"/>
              <w:right w:val="nil"/>
            </w:tcBorders>
            <w:shd w:val="clear" w:color="auto" w:fill="auto"/>
            <w:noWrap/>
            <w:vAlign w:val="center"/>
            <w:hideMark/>
          </w:tcPr>
          <w:p w14:paraId="2D75375E" w14:textId="12605816" w:rsidR="00E42BB9" w:rsidRPr="009D494D" w:rsidRDefault="00043BB3" w:rsidP="00D52523">
            <w:pPr>
              <w:rPr>
                <w:sz w:val="22"/>
              </w:rPr>
            </w:pPr>
            <w:r w:rsidRPr="009D494D">
              <w:rPr>
                <w:sz w:val="22"/>
              </w:rPr>
              <w:t>CRA</w:t>
            </w:r>
          </w:p>
        </w:tc>
        <w:tc>
          <w:tcPr>
            <w:tcW w:w="4210" w:type="pct"/>
            <w:tcBorders>
              <w:top w:val="nil"/>
              <w:left w:val="nil"/>
              <w:bottom w:val="nil"/>
              <w:right w:val="nil"/>
            </w:tcBorders>
            <w:shd w:val="clear" w:color="auto" w:fill="auto"/>
            <w:noWrap/>
            <w:vAlign w:val="center"/>
            <w:hideMark/>
          </w:tcPr>
          <w:p w14:paraId="04D9E5E5" w14:textId="77777777" w:rsidR="00E42BB9" w:rsidRPr="009D494D" w:rsidRDefault="00E42BB9" w:rsidP="006D24AF">
            <w:pPr>
              <w:rPr>
                <w:sz w:val="22"/>
              </w:rPr>
            </w:pPr>
            <w:r w:rsidRPr="009D494D">
              <w:rPr>
                <w:sz w:val="22"/>
              </w:rPr>
              <w:t xml:space="preserve">Commission on Revenue Allocation </w:t>
            </w:r>
          </w:p>
        </w:tc>
      </w:tr>
      <w:tr w:rsidR="005D4B8A" w:rsidRPr="009D494D" w14:paraId="172FBD29" w14:textId="77777777" w:rsidTr="00043BB3">
        <w:trPr>
          <w:trHeight w:val="300"/>
        </w:trPr>
        <w:tc>
          <w:tcPr>
            <w:tcW w:w="790" w:type="pct"/>
            <w:tcBorders>
              <w:top w:val="nil"/>
              <w:left w:val="nil"/>
              <w:bottom w:val="nil"/>
              <w:right w:val="nil"/>
            </w:tcBorders>
            <w:shd w:val="clear" w:color="auto" w:fill="auto"/>
            <w:noWrap/>
            <w:vAlign w:val="center"/>
            <w:hideMark/>
          </w:tcPr>
          <w:p w14:paraId="0079B5F5" w14:textId="77777777" w:rsidR="005D4B8A" w:rsidRPr="009D494D" w:rsidRDefault="005D4B8A" w:rsidP="00D52523">
            <w:pPr>
              <w:rPr>
                <w:sz w:val="22"/>
              </w:rPr>
            </w:pPr>
            <w:r w:rsidRPr="009D494D">
              <w:rPr>
                <w:sz w:val="22"/>
              </w:rPr>
              <w:t>CRF</w:t>
            </w:r>
          </w:p>
        </w:tc>
        <w:tc>
          <w:tcPr>
            <w:tcW w:w="4210" w:type="pct"/>
            <w:tcBorders>
              <w:top w:val="nil"/>
              <w:left w:val="nil"/>
              <w:bottom w:val="nil"/>
              <w:right w:val="nil"/>
            </w:tcBorders>
            <w:shd w:val="clear" w:color="auto" w:fill="auto"/>
            <w:noWrap/>
            <w:vAlign w:val="center"/>
            <w:hideMark/>
          </w:tcPr>
          <w:p w14:paraId="58462CC1" w14:textId="77777777" w:rsidR="005D4B8A" w:rsidRPr="009D494D" w:rsidRDefault="005D4B8A" w:rsidP="006D24AF">
            <w:pPr>
              <w:rPr>
                <w:sz w:val="22"/>
              </w:rPr>
            </w:pPr>
            <w:r w:rsidRPr="009D494D">
              <w:rPr>
                <w:sz w:val="22"/>
              </w:rPr>
              <w:t xml:space="preserve">County Revenue Fund </w:t>
            </w:r>
          </w:p>
        </w:tc>
      </w:tr>
      <w:tr w:rsidR="00E42BB9" w:rsidRPr="009D494D" w14:paraId="14AA0155" w14:textId="77777777" w:rsidTr="00043BB3">
        <w:trPr>
          <w:trHeight w:val="300"/>
        </w:trPr>
        <w:tc>
          <w:tcPr>
            <w:tcW w:w="790" w:type="pct"/>
            <w:tcBorders>
              <w:top w:val="nil"/>
              <w:left w:val="nil"/>
              <w:bottom w:val="nil"/>
              <w:right w:val="nil"/>
            </w:tcBorders>
            <w:shd w:val="clear" w:color="auto" w:fill="auto"/>
            <w:noWrap/>
            <w:vAlign w:val="center"/>
            <w:hideMark/>
          </w:tcPr>
          <w:p w14:paraId="5730FEF9" w14:textId="6C984F0A" w:rsidR="00E42BB9" w:rsidRPr="009D494D" w:rsidRDefault="00E42BB9" w:rsidP="00D52523">
            <w:pPr>
              <w:rPr>
                <w:sz w:val="22"/>
              </w:rPr>
            </w:pPr>
            <w:r w:rsidRPr="009D494D">
              <w:rPr>
                <w:sz w:val="22"/>
              </w:rPr>
              <w:t>CIDP</w:t>
            </w:r>
          </w:p>
        </w:tc>
        <w:tc>
          <w:tcPr>
            <w:tcW w:w="4210" w:type="pct"/>
            <w:tcBorders>
              <w:top w:val="nil"/>
              <w:left w:val="nil"/>
              <w:bottom w:val="nil"/>
              <w:right w:val="nil"/>
            </w:tcBorders>
            <w:shd w:val="clear" w:color="auto" w:fill="auto"/>
            <w:noWrap/>
            <w:vAlign w:val="center"/>
            <w:hideMark/>
          </w:tcPr>
          <w:p w14:paraId="0DB28521" w14:textId="2A1D2101" w:rsidR="00E42BB9" w:rsidRPr="009D494D" w:rsidRDefault="00E42BB9" w:rsidP="006D24AF">
            <w:pPr>
              <w:rPr>
                <w:sz w:val="22"/>
              </w:rPr>
            </w:pPr>
            <w:r w:rsidRPr="009D494D">
              <w:rPr>
                <w:sz w:val="22"/>
              </w:rPr>
              <w:t>County Integrated Development Plan</w:t>
            </w:r>
          </w:p>
        </w:tc>
      </w:tr>
      <w:tr w:rsidR="0092104F" w:rsidRPr="009D494D" w14:paraId="3059961A" w14:textId="77777777" w:rsidTr="00043BB3">
        <w:trPr>
          <w:trHeight w:val="300"/>
        </w:trPr>
        <w:tc>
          <w:tcPr>
            <w:tcW w:w="790" w:type="pct"/>
            <w:tcBorders>
              <w:top w:val="nil"/>
              <w:left w:val="nil"/>
              <w:bottom w:val="nil"/>
              <w:right w:val="nil"/>
            </w:tcBorders>
            <w:shd w:val="clear" w:color="auto" w:fill="auto"/>
            <w:noWrap/>
            <w:vAlign w:val="center"/>
          </w:tcPr>
          <w:p w14:paraId="547FD4DD" w14:textId="120E96BD" w:rsidR="0092104F" w:rsidRPr="009D494D" w:rsidRDefault="0092104F" w:rsidP="00D52523">
            <w:pPr>
              <w:rPr>
                <w:sz w:val="22"/>
              </w:rPr>
            </w:pPr>
            <w:r>
              <w:rPr>
                <w:sz w:val="22"/>
              </w:rPr>
              <w:t>DANIDA</w:t>
            </w:r>
          </w:p>
        </w:tc>
        <w:tc>
          <w:tcPr>
            <w:tcW w:w="4210" w:type="pct"/>
            <w:tcBorders>
              <w:top w:val="nil"/>
              <w:left w:val="nil"/>
              <w:bottom w:val="nil"/>
              <w:right w:val="nil"/>
            </w:tcBorders>
            <w:shd w:val="clear" w:color="auto" w:fill="auto"/>
            <w:noWrap/>
            <w:vAlign w:val="center"/>
          </w:tcPr>
          <w:p w14:paraId="4715F4B5" w14:textId="2E638F4D" w:rsidR="0092104F" w:rsidRPr="009D494D" w:rsidRDefault="0092104F" w:rsidP="006D24AF">
            <w:pPr>
              <w:rPr>
                <w:sz w:val="22"/>
              </w:rPr>
            </w:pPr>
            <w:r w:rsidRPr="0092104F">
              <w:rPr>
                <w:sz w:val="22"/>
                <w:lang w:val="en-US"/>
              </w:rPr>
              <w:t>Danish International Development Agency</w:t>
            </w:r>
          </w:p>
        </w:tc>
      </w:tr>
      <w:tr w:rsidR="004B6441" w:rsidRPr="009D494D" w14:paraId="431BAF32" w14:textId="77777777" w:rsidTr="00043BB3">
        <w:trPr>
          <w:trHeight w:val="300"/>
        </w:trPr>
        <w:tc>
          <w:tcPr>
            <w:tcW w:w="790" w:type="pct"/>
            <w:tcBorders>
              <w:top w:val="nil"/>
              <w:left w:val="nil"/>
              <w:bottom w:val="nil"/>
              <w:right w:val="nil"/>
            </w:tcBorders>
            <w:shd w:val="clear" w:color="auto" w:fill="auto"/>
            <w:noWrap/>
            <w:vAlign w:val="center"/>
          </w:tcPr>
          <w:p w14:paraId="25B32115" w14:textId="0B602F8F" w:rsidR="004B6441" w:rsidRDefault="004B6441" w:rsidP="00D52523">
            <w:pPr>
              <w:rPr>
                <w:sz w:val="22"/>
              </w:rPr>
            </w:pPr>
            <w:r>
              <w:rPr>
                <w:sz w:val="22"/>
              </w:rPr>
              <w:t>DMS</w:t>
            </w:r>
          </w:p>
        </w:tc>
        <w:tc>
          <w:tcPr>
            <w:tcW w:w="4210" w:type="pct"/>
            <w:tcBorders>
              <w:top w:val="nil"/>
              <w:left w:val="nil"/>
              <w:bottom w:val="nil"/>
              <w:right w:val="nil"/>
            </w:tcBorders>
            <w:shd w:val="clear" w:color="auto" w:fill="auto"/>
            <w:noWrap/>
            <w:vAlign w:val="center"/>
          </w:tcPr>
          <w:p w14:paraId="6408DD39" w14:textId="040D3E52" w:rsidR="004B6441" w:rsidRPr="0092104F" w:rsidRDefault="004B6441" w:rsidP="006D24AF">
            <w:pPr>
              <w:rPr>
                <w:sz w:val="22"/>
                <w:lang w:val="en-US"/>
              </w:rPr>
            </w:pPr>
            <w:r w:rsidRPr="00BA08FC">
              <w:rPr>
                <w:sz w:val="22"/>
              </w:rPr>
              <w:t>Debt Management Strategy</w:t>
            </w:r>
          </w:p>
        </w:tc>
      </w:tr>
      <w:tr w:rsidR="00200115" w:rsidRPr="009D494D" w14:paraId="357C055D" w14:textId="77777777" w:rsidTr="00043BB3">
        <w:trPr>
          <w:trHeight w:val="300"/>
        </w:trPr>
        <w:tc>
          <w:tcPr>
            <w:tcW w:w="790" w:type="pct"/>
            <w:tcBorders>
              <w:top w:val="nil"/>
              <w:left w:val="nil"/>
              <w:bottom w:val="nil"/>
              <w:right w:val="nil"/>
            </w:tcBorders>
            <w:shd w:val="clear" w:color="auto" w:fill="auto"/>
            <w:noWrap/>
            <w:vAlign w:val="center"/>
          </w:tcPr>
          <w:p w14:paraId="49835A2E" w14:textId="33402668" w:rsidR="00200115" w:rsidRPr="009D494D" w:rsidRDefault="00200115" w:rsidP="00D52523">
            <w:pPr>
              <w:rPr>
                <w:sz w:val="22"/>
              </w:rPr>
            </w:pPr>
            <w:r>
              <w:rPr>
                <w:sz w:val="22"/>
              </w:rPr>
              <w:t>FY</w:t>
            </w:r>
          </w:p>
        </w:tc>
        <w:tc>
          <w:tcPr>
            <w:tcW w:w="4210" w:type="pct"/>
            <w:tcBorders>
              <w:top w:val="nil"/>
              <w:left w:val="nil"/>
              <w:bottom w:val="nil"/>
              <w:right w:val="nil"/>
            </w:tcBorders>
            <w:shd w:val="clear" w:color="auto" w:fill="auto"/>
            <w:noWrap/>
            <w:vAlign w:val="center"/>
          </w:tcPr>
          <w:p w14:paraId="4F2765DF" w14:textId="2E3464CA" w:rsidR="00200115" w:rsidRPr="009D494D" w:rsidRDefault="00200115" w:rsidP="006D24AF">
            <w:pPr>
              <w:rPr>
                <w:sz w:val="22"/>
              </w:rPr>
            </w:pPr>
            <w:r>
              <w:rPr>
                <w:sz w:val="22"/>
              </w:rPr>
              <w:t>Fiscal Year</w:t>
            </w:r>
          </w:p>
        </w:tc>
      </w:tr>
      <w:tr w:rsidR="00791495" w:rsidRPr="009D494D" w14:paraId="09A2B712" w14:textId="77777777" w:rsidTr="00043BB3">
        <w:trPr>
          <w:trHeight w:val="300"/>
        </w:trPr>
        <w:tc>
          <w:tcPr>
            <w:tcW w:w="790" w:type="pct"/>
            <w:tcBorders>
              <w:top w:val="nil"/>
              <w:left w:val="nil"/>
              <w:bottom w:val="nil"/>
              <w:right w:val="nil"/>
            </w:tcBorders>
            <w:shd w:val="clear" w:color="auto" w:fill="auto"/>
            <w:noWrap/>
            <w:vAlign w:val="center"/>
          </w:tcPr>
          <w:p w14:paraId="222674C7" w14:textId="38E8D24A" w:rsidR="00791495" w:rsidRDefault="00791495" w:rsidP="00D52523">
            <w:pPr>
              <w:rPr>
                <w:sz w:val="22"/>
              </w:rPr>
            </w:pPr>
            <w:r>
              <w:rPr>
                <w:sz w:val="22"/>
              </w:rPr>
              <w:t>GDP</w:t>
            </w:r>
          </w:p>
        </w:tc>
        <w:tc>
          <w:tcPr>
            <w:tcW w:w="4210" w:type="pct"/>
            <w:tcBorders>
              <w:top w:val="nil"/>
              <w:left w:val="nil"/>
              <w:bottom w:val="nil"/>
              <w:right w:val="nil"/>
            </w:tcBorders>
            <w:shd w:val="clear" w:color="auto" w:fill="auto"/>
            <w:noWrap/>
            <w:vAlign w:val="center"/>
          </w:tcPr>
          <w:p w14:paraId="385AACC4" w14:textId="1C4DF4BC" w:rsidR="00791495" w:rsidRDefault="00791495" w:rsidP="006D24AF">
            <w:pPr>
              <w:rPr>
                <w:sz w:val="22"/>
              </w:rPr>
            </w:pPr>
            <w:r>
              <w:rPr>
                <w:sz w:val="22"/>
              </w:rPr>
              <w:t>Gross Domestic Product</w:t>
            </w:r>
          </w:p>
        </w:tc>
      </w:tr>
      <w:tr w:rsidR="00D35AFD" w:rsidRPr="009D494D" w14:paraId="6F06C605" w14:textId="77777777" w:rsidTr="00043BB3">
        <w:trPr>
          <w:trHeight w:val="300"/>
        </w:trPr>
        <w:tc>
          <w:tcPr>
            <w:tcW w:w="790" w:type="pct"/>
            <w:tcBorders>
              <w:top w:val="nil"/>
              <w:left w:val="nil"/>
              <w:bottom w:val="nil"/>
              <w:right w:val="nil"/>
            </w:tcBorders>
            <w:shd w:val="clear" w:color="auto" w:fill="auto"/>
            <w:noWrap/>
            <w:vAlign w:val="center"/>
          </w:tcPr>
          <w:p w14:paraId="0D9D405D" w14:textId="11E1E1F9" w:rsidR="00D35AFD" w:rsidRDefault="00D35AFD" w:rsidP="00D52523">
            <w:pPr>
              <w:rPr>
                <w:sz w:val="22"/>
              </w:rPr>
            </w:pPr>
            <w:r>
              <w:rPr>
                <w:sz w:val="22"/>
              </w:rPr>
              <w:t>GFS</w:t>
            </w:r>
          </w:p>
        </w:tc>
        <w:tc>
          <w:tcPr>
            <w:tcW w:w="4210" w:type="pct"/>
            <w:tcBorders>
              <w:top w:val="nil"/>
              <w:left w:val="nil"/>
              <w:bottom w:val="nil"/>
              <w:right w:val="nil"/>
            </w:tcBorders>
            <w:shd w:val="clear" w:color="auto" w:fill="auto"/>
            <w:noWrap/>
            <w:vAlign w:val="center"/>
          </w:tcPr>
          <w:p w14:paraId="64BAD83F" w14:textId="6FE98B5F" w:rsidR="00D35AFD" w:rsidRDefault="00D35AFD" w:rsidP="006D24AF">
            <w:pPr>
              <w:rPr>
                <w:sz w:val="22"/>
              </w:rPr>
            </w:pPr>
            <w:r w:rsidRPr="00D35AFD">
              <w:rPr>
                <w:sz w:val="22"/>
              </w:rPr>
              <w:t>Government Financial Statistics</w:t>
            </w:r>
          </w:p>
        </w:tc>
      </w:tr>
      <w:tr w:rsidR="00791495" w:rsidRPr="009D494D" w14:paraId="70C7B53C" w14:textId="77777777" w:rsidTr="00043BB3">
        <w:trPr>
          <w:trHeight w:val="300"/>
        </w:trPr>
        <w:tc>
          <w:tcPr>
            <w:tcW w:w="790" w:type="pct"/>
            <w:tcBorders>
              <w:top w:val="nil"/>
              <w:left w:val="nil"/>
              <w:bottom w:val="nil"/>
              <w:right w:val="nil"/>
            </w:tcBorders>
            <w:shd w:val="clear" w:color="auto" w:fill="auto"/>
            <w:noWrap/>
            <w:vAlign w:val="center"/>
          </w:tcPr>
          <w:p w14:paraId="3CA4B0E3" w14:textId="4984DCDB" w:rsidR="00791495" w:rsidRDefault="00791495" w:rsidP="00D52523">
            <w:pPr>
              <w:rPr>
                <w:sz w:val="22"/>
              </w:rPr>
            </w:pPr>
            <w:r>
              <w:rPr>
                <w:sz w:val="22"/>
              </w:rPr>
              <w:t>ICT</w:t>
            </w:r>
          </w:p>
        </w:tc>
        <w:tc>
          <w:tcPr>
            <w:tcW w:w="4210" w:type="pct"/>
            <w:tcBorders>
              <w:top w:val="nil"/>
              <w:left w:val="nil"/>
              <w:bottom w:val="nil"/>
              <w:right w:val="nil"/>
            </w:tcBorders>
            <w:shd w:val="clear" w:color="auto" w:fill="auto"/>
            <w:noWrap/>
            <w:vAlign w:val="center"/>
          </w:tcPr>
          <w:p w14:paraId="1522BD5F" w14:textId="7BCDDC23" w:rsidR="00791495" w:rsidRDefault="00791495" w:rsidP="006D24AF">
            <w:pPr>
              <w:rPr>
                <w:sz w:val="22"/>
              </w:rPr>
            </w:pPr>
            <w:r w:rsidRPr="00791495">
              <w:rPr>
                <w:sz w:val="22"/>
                <w:lang w:val="en-US"/>
              </w:rPr>
              <w:t xml:space="preserve">Information and Communication </w:t>
            </w:r>
            <w:r>
              <w:rPr>
                <w:sz w:val="22"/>
                <w:lang w:val="en-US"/>
              </w:rPr>
              <w:t>T</w:t>
            </w:r>
            <w:r w:rsidRPr="00791495">
              <w:rPr>
                <w:sz w:val="22"/>
                <w:lang w:val="en-US"/>
              </w:rPr>
              <w:t>echnology</w:t>
            </w:r>
          </w:p>
        </w:tc>
      </w:tr>
      <w:tr w:rsidR="00E42BB9" w:rsidRPr="009D494D" w14:paraId="1C5A7154" w14:textId="77777777" w:rsidTr="00043BB3">
        <w:trPr>
          <w:trHeight w:val="300"/>
        </w:trPr>
        <w:tc>
          <w:tcPr>
            <w:tcW w:w="790" w:type="pct"/>
            <w:tcBorders>
              <w:top w:val="nil"/>
              <w:left w:val="nil"/>
              <w:bottom w:val="nil"/>
              <w:right w:val="nil"/>
            </w:tcBorders>
            <w:shd w:val="clear" w:color="auto" w:fill="auto"/>
            <w:noWrap/>
            <w:vAlign w:val="center"/>
            <w:hideMark/>
          </w:tcPr>
          <w:p w14:paraId="5901D226" w14:textId="77777777" w:rsidR="00E42BB9" w:rsidRPr="009D494D" w:rsidRDefault="00E42BB9" w:rsidP="00D52523">
            <w:pPr>
              <w:rPr>
                <w:sz w:val="22"/>
              </w:rPr>
            </w:pPr>
            <w:r w:rsidRPr="009D494D">
              <w:rPr>
                <w:sz w:val="22"/>
              </w:rPr>
              <w:t xml:space="preserve">IFMIS </w:t>
            </w:r>
          </w:p>
        </w:tc>
        <w:tc>
          <w:tcPr>
            <w:tcW w:w="4210" w:type="pct"/>
            <w:tcBorders>
              <w:top w:val="nil"/>
              <w:left w:val="nil"/>
              <w:bottom w:val="nil"/>
              <w:right w:val="nil"/>
            </w:tcBorders>
            <w:shd w:val="clear" w:color="auto" w:fill="auto"/>
            <w:noWrap/>
            <w:vAlign w:val="center"/>
            <w:hideMark/>
          </w:tcPr>
          <w:p w14:paraId="35E7E574" w14:textId="77777777" w:rsidR="00E42BB9" w:rsidRPr="009D494D" w:rsidRDefault="00E42BB9" w:rsidP="006D24AF">
            <w:pPr>
              <w:rPr>
                <w:sz w:val="22"/>
              </w:rPr>
            </w:pPr>
            <w:r w:rsidRPr="009D494D">
              <w:rPr>
                <w:sz w:val="22"/>
              </w:rPr>
              <w:t>Integrated Financial Management Information System</w:t>
            </w:r>
          </w:p>
        </w:tc>
      </w:tr>
      <w:tr w:rsidR="00E42BB9" w:rsidRPr="009D494D" w14:paraId="5F40A043" w14:textId="77777777" w:rsidTr="00043BB3">
        <w:trPr>
          <w:trHeight w:val="300"/>
        </w:trPr>
        <w:tc>
          <w:tcPr>
            <w:tcW w:w="790" w:type="pct"/>
            <w:tcBorders>
              <w:top w:val="nil"/>
              <w:left w:val="nil"/>
              <w:bottom w:val="nil"/>
              <w:right w:val="nil"/>
            </w:tcBorders>
            <w:shd w:val="clear" w:color="auto" w:fill="auto"/>
            <w:noWrap/>
            <w:vAlign w:val="center"/>
            <w:hideMark/>
          </w:tcPr>
          <w:p w14:paraId="54BA635B" w14:textId="77777777" w:rsidR="00E42BB9" w:rsidRPr="009D494D" w:rsidRDefault="00E42BB9" w:rsidP="00D52523">
            <w:pPr>
              <w:rPr>
                <w:sz w:val="22"/>
              </w:rPr>
            </w:pPr>
            <w:r w:rsidRPr="009D494D">
              <w:rPr>
                <w:sz w:val="22"/>
              </w:rPr>
              <w:t>IPPD</w:t>
            </w:r>
          </w:p>
        </w:tc>
        <w:tc>
          <w:tcPr>
            <w:tcW w:w="4210" w:type="pct"/>
            <w:tcBorders>
              <w:top w:val="nil"/>
              <w:left w:val="nil"/>
              <w:bottom w:val="nil"/>
              <w:right w:val="nil"/>
            </w:tcBorders>
            <w:shd w:val="clear" w:color="auto" w:fill="auto"/>
            <w:noWrap/>
            <w:vAlign w:val="center"/>
            <w:hideMark/>
          </w:tcPr>
          <w:p w14:paraId="0D826A9C" w14:textId="7DB4F80E" w:rsidR="00E42BB9" w:rsidRPr="009D494D" w:rsidRDefault="00E42BB9" w:rsidP="006D24AF">
            <w:pPr>
              <w:rPr>
                <w:sz w:val="22"/>
              </w:rPr>
            </w:pPr>
            <w:r w:rsidRPr="009D494D">
              <w:rPr>
                <w:sz w:val="22"/>
              </w:rPr>
              <w:t>Integrated Payroll Personnel Data</w:t>
            </w:r>
            <w:r w:rsidR="009D494D">
              <w:rPr>
                <w:sz w:val="22"/>
              </w:rPr>
              <w:t>base</w:t>
            </w:r>
            <w:r w:rsidRPr="009D494D">
              <w:rPr>
                <w:sz w:val="22"/>
              </w:rPr>
              <w:t xml:space="preserve"> </w:t>
            </w:r>
          </w:p>
        </w:tc>
      </w:tr>
      <w:tr w:rsidR="00E42BB9" w:rsidRPr="009D494D" w14:paraId="24D5A68D" w14:textId="77777777" w:rsidTr="00043BB3">
        <w:trPr>
          <w:trHeight w:val="300"/>
        </w:trPr>
        <w:tc>
          <w:tcPr>
            <w:tcW w:w="790" w:type="pct"/>
            <w:tcBorders>
              <w:top w:val="nil"/>
              <w:left w:val="nil"/>
              <w:bottom w:val="nil"/>
              <w:right w:val="nil"/>
            </w:tcBorders>
            <w:shd w:val="clear" w:color="auto" w:fill="auto"/>
            <w:noWrap/>
            <w:vAlign w:val="center"/>
            <w:hideMark/>
          </w:tcPr>
          <w:p w14:paraId="4709C089" w14:textId="77777777" w:rsidR="00E42BB9" w:rsidRPr="00796F6B" w:rsidRDefault="00E42BB9" w:rsidP="00D52523">
            <w:pPr>
              <w:rPr>
                <w:sz w:val="22"/>
              </w:rPr>
            </w:pPr>
            <w:r w:rsidRPr="00796F6B">
              <w:rPr>
                <w:sz w:val="22"/>
              </w:rPr>
              <w:t>IDA</w:t>
            </w:r>
          </w:p>
        </w:tc>
        <w:tc>
          <w:tcPr>
            <w:tcW w:w="4210" w:type="pct"/>
            <w:tcBorders>
              <w:top w:val="nil"/>
              <w:left w:val="nil"/>
              <w:bottom w:val="nil"/>
              <w:right w:val="nil"/>
            </w:tcBorders>
            <w:shd w:val="clear" w:color="auto" w:fill="auto"/>
            <w:noWrap/>
            <w:vAlign w:val="center"/>
            <w:hideMark/>
          </w:tcPr>
          <w:p w14:paraId="5C2C26B4" w14:textId="77777777" w:rsidR="00E42BB9" w:rsidRPr="009D494D" w:rsidRDefault="00E42BB9" w:rsidP="006D24AF">
            <w:pPr>
              <w:rPr>
                <w:sz w:val="22"/>
              </w:rPr>
            </w:pPr>
            <w:r w:rsidRPr="00796F6B">
              <w:rPr>
                <w:sz w:val="22"/>
              </w:rPr>
              <w:t>International Development Association</w:t>
            </w:r>
            <w:r w:rsidRPr="009D494D">
              <w:rPr>
                <w:sz w:val="22"/>
              </w:rPr>
              <w:t xml:space="preserve"> </w:t>
            </w:r>
          </w:p>
        </w:tc>
      </w:tr>
      <w:tr w:rsidR="00E42BB9" w:rsidRPr="009D494D" w14:paraId="061AB827" w14:textId="77777777" w:rsidTr="00043BB3">
        <w:trPr>
          <w:trHeight w:val="300"/>
        </w:trPr>
        <w:tc>
          <w:tcPr>
            <w:tcW w:w="790" w:type="pct"/>
            <w:tcBorders>
              <w:top w:val="nil"/>
              <w:left w:val="nil"/>
              <w:bottom w:val="nil"/>
              <w:right w:val="nil"/>
            </w:tcBorders>
            <w:shd w:val="clear" w:color="auto" w:fill="auto"/>
            <w:noWrap/>
            <w:vAlign w:val="center"/>
            <w:hideMark/>
          </w:tcPr>
          <w:p w14:paraId="33633CED" w14:textId="77777777" w:rsidR="00E42BB9" w:rsidRPr="009D494D" w:rsidRDefault="00E42BB9" w:rsidP="00D52523">
            <w:pPr>
              <w:rPr>
                <w:sz w:val="22"/>
              </w:rPr>
            </w:pPr>
            <w:r w:rsidRPr="009D494D">
              <w:rPr>
                <w:sz w:val="22"/>
              </w:rPr>
              <w:t>IDRC</w:t>
            </w:r>
          </w:p>
        </w:tc>
        <w:tc>
          <w:tcPr>
            <w:tcW w:w="4210" w:type="pct"/>
            <w:tcBorders>
              <w:top w:val="nil"/>
              <w:left w:val="nil"/>
              <w:bottom w:val="nil"/>
              <w:right w:val="nil"/>
            </w:tcBorders>
            <w:shd w:val="clear" w:color="auto" w:fill="auto"/>
            <w:noWrap/>
            <w:vAlign w:val="center"/>
            <w:hideMark/>
          </w:tcPr>
          <w:p w14:paraId="01251170" w14:textId="77777777" w:rsidR="00E42BB9" w:rsidRPr="009D494D" w:rsidRDefault="00E42BB9" w:rsidP="006D24AF">
            <w:pPr>
              <w:rPr>
                <w:sz w:val="22"/>
              </w:rPr>
            </w:pPr>
            <w:r w:rsidRPr="009D494D">
              <w:rPr>
                <w:sz w:val="22"/>
              </w:rPr>
              <w:t xml:space="preserve">International Development Research Centre </w:t>
            </w:r>
          </w:p>
        </w:tc>
      </w:tr>
      <w:tr w:rsidR="00E42BB9" w:rsidRPr="009D494D" w14:paraId="43D11027" w14:textId="77777777" w:rsidTr="00043BB3">
        <w:trPr>
          <w:trHeight w:val="300"/>
        </w:trPr>
        <w:tc>
          <w:tcPr>
            <w:tcW w:w="790" w:type="pct"/>
            <w:tcBorders>
              <w:top w:val="nil"/>
              <w:left w:val="nil"/>
              <w:bottom w:val="nil"/>
              <w:right w:val="nil"/>
            </w:tcBorders>
            <w:shd w:val="clear" w:color="auto" w:fill="auto"/>
            <w:noWrap/>
            <w:vAlign w:val="center"/>
            <w:hideMark/>
          </w:tcPr>
          <w:p w14:paraId="4A176811" w14:textId="77777777" w:rsidR="00E42BB9" w:rsidRPr="009D494D" w:rsidRDefault="00E42BB9" w:rsidP="00D52523">
            <w:pPr>
              <w:rPr>
                <w:sz w:val="22"/>
              </w:rPr>
            </w:pPr>
            <w:r w:rsidRPr="009D494D">
              <w:rPr>
                <w:sz w:val="22"/>
              </w:rPr>
              <w:t>IPSAS</w:t>
            </w:r>
          </w:p>
        </w:tc>
        <w:tc>
          <w:tcPr>
            <w:tcW w:w="4210" w:type="pct"/>
            <w:tcBorders>
              <w:top w:val="nil"/>
              <w:left w:val="nil"/>
              <w:bottom w:val="nil"/>
              <w:right w:val="nil"/>
            </w:tcBorders>
            <w:shd w:val="clear" w:color="auto" w:fill="auto"/>
            <w:noWrap/>
            <w:vAlign w:val="center"/>
            <w:hideMark/>
          </w:tcPr>
          <w:p w14:paraId="7F00267A" w14:textId="3A87EC45" w:rsidR="00E42BB9" w:rsidRPr="009D494D" w:rsidRDefault="00E42BB9" w:rsidP="006D24AF">
            <w:pPr>
              <w:rPr>
                <w:sz w:val="22"/>
              </w:rPr>
            </w:pPr>
            <w:r w:rsidRPr="009D494D">
              <w:rPr>
                <w:sz w:val="22"/>
              </w:rPr>
              <w:t xml:space="preserve">International </w:t>
            </w:r>
            <w:r w:rsidR="00582ACA" w:rsidRPr="009D494D">
              <w:rPr>
                <w:sz w:val="22"/>
              </w:rPr>
              <w:t>Public</w:t>
            </w:r>
            <w:r w:rsidR="008B6A0A">
              <w:rPr>
                <w:sz w:val="22"/>
              </w:rPr>
              <w:t xml:space="preserve"> </w:t>
            </w:r>
            <w:r w:rsidR="00582ACA" w:rsidRPr="009D494D">
              <w:rPr>
                <w:sz w:val="22"/>
              </w:rPr>
              <w:t>Sector</w:t>
            </w:r>
            <w:r w:rsidRPr="009D494D">
              <w:rPr>
                <w:sz w:val="22"/>
              </w:rPr>
              <w:t xml:space="preserve"> Accounting Standards </w:t>
            </w:r>
          </w:p>
        </w:tc>
      </w:tr>
      <w:tr w:rsidR="008B6A0A" w:rsidRPr="009D494D" w14:paraId="2BC792CC" w14:textId="77777777" w:rsidTr="00043BB3">
        <w:trPr>
          <w:trHeight w:val="300"/>
        </w:trPr>
        <w:tc>
          <w:tcPr>
            <w:tcW w:w="790" w:type="pct"/>
            <w:tcBorders>
              <w:top w:val="nil"/>
              <w:left w:val="nil"/>
              <w:bottom w:val="nil"/>
              <w:right w:val="nil"/>
            </w:tcBorders>
            <w:shd w:val="clear" w:color="auto" w:fill="auto"/>
            <w:noWrap/>
            <w:vAlign w:val="center"/>
          </w:tcPr>
          <w:p w14:paraId="6E7729E0" w14:textId="4A9AB756" w:rsidR="008B6A0A" w:rsidRPr="009D494D" w:rsidRDefault="008B6A0A" w:rsidP="00D52523">
            <w:pPr>
              <w:rPr>
                <w:sz w:val="22"/>
              </w:rPr>
            </w:pPr>
            <w:r>
              <w:rPr>
                <w:sz w:val="22"/>
              </w:rPr>
              <w:t>ISSAI</w:t>
            </w:r>
          </w:p>
        </w:tc>
        <w:tc>
          <w:tcPr>
            <w:tcW w:w="4210" w:type="pct"/>
            <w:tcBorders>
              <w:top w:val="nil"/>
              <w:left w:val="nil"/>
              <w:bottom w:val="nil"/>
              <w:right w:val="nil"/>
            </w:tcBorders>
            <w:shd w:val="clear" w:color="auto" w:fill="auto"/>
            <w:noWrap/>
            <w:vAlign w:val="center"/>
          </w:tcPr>
          <w:p w14:paraId="6C8E57B4" w14:textId="6F2199CA" w:rsidR="008B6A0A" w:rsidRPr="009D494D" w:rsidRDefault="008B6A0A" w:rsidP="006D24AF">
            <w:pPr>
              <w:rPr>
                <w:sz w:val="22"/>
              </w:rPr>
            </w:pPr>
            <w:r w:rsidRPr="00B5380E">
              <w:rPr>
                <w:sz w:val="22"/>
              </w:rPr>
              <w:t>International Standar</w:t>
            </w:r>
            <w:r>
              <w:rPr>
                <w:sz w:val="22"/>
              </w:rPr>
              <w:t>ds on Supreme Audit Institution</w:t>
            </w:r>
          </w:p>
        </w:tc>
      </w:tr>
      <w:tr w:rsidR="00E42BB9" w:rsidRPr="009D494D" w14:paraId="1F838EC4" w14:textId="77777777" w:rsidTr="00043BB3">
        <w:trPr>
          <w:trHeight w:val="300"/>
        </w:trPr>
        <w:tc>
          <w:tcPr>
            <w:tcW w:w="790" w:type="pct"/>
            <w:tcBorders>
              <w:top w:val="nil"/>
              <w:left w:val="nil"/>
              <w:bottom w:val="nil"/>
              <w:right w:val="nil"/>
            </w:tcBorders>
            <w:shd w:val="clear" w:color="auto" w:fill="auto"/>
            <w:noWrap/>
            <w:vAlign w:val="center"/>
            <w:hideMark/>
          </w:tcPr>
          <w:p w14:paraId="46658F7E" w14:textId="77777777" w:rsidR="00E42BB9" w:rsidRPr="009D494D" w:rsidRDefault="00E42BB9" w:rsidP="00D52523">
            <w:pPr>
              <w:rPr>
                <w:sz w:val="22"/>
              </w:rPr>
            </w:pPr>
            <w:r w:rsidRPr="009D494D">
              <w:rPr>
                <w:sz w:val="22"/>
              </w:rPr>
              <w:t>KADP</w:t>
            </w:r>
          </w:p>
        </w:tc>
        <w:tc>
          <w:tcPr>
            <w:tcW w:w="4210" w:type="pct"/>
            <w:tcBorders>
              <w:top w:val="nil"/>
              <w:left w:val="nil"/>
              <w:bottom w:val="nil"/>
              <w:right w:val="nil"/>
            </w:tcBorders>
            <w:shd w:val="clear" w:color="auto" w:fill="auto"/>
            <w:noWrap/>
            <w:vAlign w:val="center"/>
            <w:hideMark/>
          </w:tcPr>
          <w:p w14:paraId="413EC11F" w14:textId="77777777" w:rsidR="00E42BB9" w:rsidRPr="009D494D" w:rsidRDefault="00E42BB9" w:rsidP="006D24AF">
            <w:pPr>
              <w:rPr>
                <w:sz w:val="22"/>
              </w:rPr>
            </w:pPr>
            <w:r w:rsidRPr="009D494D">
              <w:rPr>
                <w:sz w:val="22"/>
              </w:rPr>
              <w:t>Kenya Accountable Devolution Program</w:t>
            </w:r>
          </w:p>
        </w:tc>
      </w:tr>
      <w:tr w:rsidR="005578EE" w:rsidRPr="009D494D" w14:paraId="1416AA5D" w14:textId="77777777" w:rsidTr="00043BB3">
        <w:trPr>
          <w:trHeight w:val="300"/>
        </w:trPr>
        <w:tc>
          <w:tcPr>
            <w:tcW w:w="790" w:type="pct"/>
            <w:tcBorders>
              <w:top w:val="nil"/>
              <w:left w:val="nil"/>
              <w:bottom w:val="nil"/>
              <w:right w:val="nil"/>
            </w:tcBorders>
            <w:shd w:val="clear" w:color="auto" w:fill="auto"/>
            <w:noWrap/>
            <w:vAlign w:val="center"/>
          </w:tcPr>
          <w:p w14:paraId="472F5B16" w14:textId="5BD764CE" w:rsidR="005578EE" w:rsidRPr="009D494D" w:rsidRDefault="005578EE" w:rsidP="00D52523">
            <w:pPr>
              <w:rPr>
                <w:sz w:val="22"/>
              </w:rPr>
            </w:pPr>
            <w:r>
              <w:rPr>
                <w:sz w:val="22"/>
              </w:rPr>
              <w:t>KCB</w:t>
            </w:r>
          </w:p>
        </w:tc>
        <w:tc>
          <w:tcPr>
            <w:tcW w:w="4210" w:type="pct"/>
            <w:tcBorders>
              <w:top w:val="nil"/>
              <w:left w:val="nil"/>
              <w:bottom w:val="nil"/>
              <w:right w:val="nil"/>
            </w:tcBorders>
            <w:shd w:val="clear" w:color="auto" w:fill="auto"/>
            <w:noWrap/>
            <w:vAlign w:val="center"/>
          </w:tcPr>
          <w:p w14:paraId="7EC62F6F" w14:textId="2A5E751E" w:rsidR="005578EE" w:rsidRPr="009D494D" w:rsidRDefault="005578EE" w:rsidP="006D24AF">
            <w:pPr>
              <w:rPr>
                <w:sz w:val="22"/>
              </w:rPr>
            </w:pPr>
            <w:r w:rsidRPr="005578EE">
              <w:rPr>
                <w:sz w:val="22"/>
              </w:rPr>
              <w:t>Kenya Commercial Bank</w:t>
            </w:r>
          </w:p>
        </w:tc>
      </w:tr>
      <w:tr w:rsidR="00E42BB9" w:rsidRPr="009D494D" w14:paraId="0D680BBB" w14:textId="77777777" w:rsidTr="00043BB3">
        <w:trPr>
          <w:trHeight w:val="300"/>
        </w:trPr>
        <w:tc>
          <w:tcPr>
            <w:tcW w:w="790" w:type="pct"/>
            <w:tcBorders>
              <w:top w:val="nil"/>
              <w:left w:val="nil"/>
              <w:bottom w:val="nil"/>
              <w:right w:val="nil"/>
            </w:tcBorders>
            <w:shd w:val="clear" w:color="auto" w:fill="auto"/>
            <w:noWrap/>
            <w:vAlign w:val="center"/>
            <w:hideMark/>
          </w:tcPr>
          <w:p w14:paraId="0AD9AEC1" w14:textId="2D57EEA4" w:rsidR="00362C7F" w:rsidRPr="009D494D" w:rsidRDefault="00E42BB9" w:rsidP="00043BB3">
            <w:pPr>
              <w:rPr>
                <w:sz w:val="22"/>
              </w:rPr>
            </w:pPr>
            <w:r w:rsidRPr="009D494D">
              <w:rPr>
                <w:sz w:val="22"/>
              </w:rPr>
              <w:t>KDSP</w:t>
            </w:r>
          </w:p>
        </w:tc>
        <w:tc>
          <w:tcPr>
            <w:tcW w:w="4210" w:type="pct"/>
            <w:tcBorders>
              <w:top w:val="nil"/>
              <w:left w:val="nil"/>
              <w:bottom w:val="nil"/>
              <w:right w:val="nil"/>
            </w:tcBorders>
            <w:shd w:val="clear" w:color="auto" w:fill="auto"/>
            <w:noWrap/>
            <w:vAlign w:val="center"/>
            <w:hideMark/>
          </w:tcPr>
          <w:p w14:paraId="32FF763F" w14:textId="1B7B3EDE" w:rsidR="00362C7F" w:rsidRPr="009D494D" w:rsidRDefault="00E42BB9" w:rsidP="00043BB3">
            <w:pPr>
              <w:rPr>
                <w:sz w:val="22"/>
              </w:rPr>
            </w:pPr>
            <w:r w:rsidRPr="009D494D">
              <w:rPr>
                <w:sz w:val="22"/>
              </w:rPr>
              <w:t>Kenya Devolution Support Programme</w:t>
            </w:r>
          </w:p>
        </w:tc>
      </w:tr>
      <w:tr w:rsidR="00BA77EE" w:rsidRPr="009D494D" w14:paraId="3A67E64F" w14:textId="77777777" w:rsidTr="00043BB3">
        <w:trPr>
          <w:trHeight w:val="300"/>
        </w:trPr>
        <w:tc>
          <w:tcPr>
            <w:tcW w:w="790" w:type="pct"/>
            <w:tcBorders>
              <w:top w:val="nil"/>
              <w:left w:val="nil"/>
              <w:bottom w:val="nil"/>
              <w:right w:val="nil"/>
            </w:tcBorders>
            <w:shd w:val="clear" w:color="auto" w:fill="auto"/>
            <w:noWrap/>
            <w:vAlign w:val="center"/>
          </w:tcPr>
          <w:p w14:paraId="004FCA45" w14:textId="62F0F1EE" w:rsidR="00BA77EE" w:rsidRPr="009D494D" w:rsidRDefault="00BA77EE" w:rsidP="00043BB3">
            <w:pPr>
              <w:rPr>
                <w:sz w:val="22"/>
              </w:rPr>
            </w:pPr>
            <w:r>
              <w:rPr>
                <w:sz w:val="22"/>
              </w:rPr>
              <w:t>KENAO</w:t>
            </w:r>
          </w:p>
        </w:tc>
        <w:tc>
          <w:tcPr>
            <w:tcW w:w="4210" w:type="pct"/>
            <w:tcBorders>
              <w:top w:val="nil"/>
              <w:left w:val="nil"/>
              <w:bottom w:val="nil"/>
              <w:right w:val="nil"/>
            </w:tcBorders>
            <w:shd w:val="clear" w:color="auto" w:fill="auto"/>
            <w:noWrap/>
            <w:vAlign w:val="center"/>
          </w:tcPr>
          <w:p w14:paraId="100F6A26" w14:textId="507E2F6C" w:rsidR="00BA77EE" w:rsidRPr="009D494D" w:rsidRDefault="00BA77EE" w:rsidP="00043BB3">
            <w:pPr>
              <w:rPr>
                <w:sz w:val="22"/>
              </w:rPr>
            </w:pPr>
            <w:r w:rsidRPr="005849E4">
              <w:rPr>
                <w:sz w:val="22"/>
              </w:rPr>
              <w:t>Kenya National Audit Office</w:t>
            </w:r>
          </w:p>
        </w:tc>
      </w:tr>
      <w:tr w:rsidR="00043BB3" w:rsidRPr="009D494D" w14:paraId="390A5494" w14:textId="77777777" w:rsidTr="00043BB3">
        <w:trPr>
          <w:trHeight w:val="300"/>
        </w:trPr>
        <w:tc>
          <w:tcPr>
            <w:tcW w:w="790" w:type="pct"/>
            <w:tcBorders>
              <w:top w:val="nil"/>
              <w:left w:val="nil"/>
              <w:bottom w:val="nil"/>
              <w:right w:val="nil"/>
            </w:tcBorders>
            <w:shd w:val="clear" w:color="auto" w:fill="auto"/>
            <w:noWrap/>
            <w:vAlign w:val="center"/>
          </w:tcPr>
          <w:p w14:paraId="077847BE" w14:textId="04BDC4FB" w:rsidR="00043BB3" w:rsidRPr="009D494D" w:rsidRDefault="00043BB3" w:rsidP="00D52523">
            <w:pPr>
              <w:rPr>
                <w:sz w:val="22"/>
              </w:rPr>
            </w:pPr>
            <w:r w:rsidRPr="009D494D">
              <w:rPr>
                <w:sz w:val="22"/>
              </w:rPr>
              <w:t>KIPPRA</w:t>
            </w:r>
          </w:p>
        </w:tc>
        <w:tc>
          <w:tcPr>
            <w:tcW w:w="4210" w:type="pct"/>
            <w:tcBorders>
              <w:top w:val="nil"/>
              <w:left w:val="nil"/>
              <w:bottom w:val="nil"/>
              <w:right w:val="nil"/>
            </w:tcBorders>
            <w:shd w:val="clear" w:color="auto" w:fill="auto"/>
            <w:noWrap/>
            <w:vAlign w:val="center"/>
          </w:tcPr>
          <w:p w14:paraId="2C64FB52" w14:textId="64F886CA" w:rsidR="00043BB3" w:rsidRPr="009D494D" w:rsidRDefault="00043BB3" w:rsidP="006D24AF">
            <w:pPr>
              <w:rPr>
                <w:sz w:val="22"/>
              </w:rPr>
            </w:pPr>
            <w:r w:rsidRPr="009D494D">
              <w:rPr>
                <w:sz w:val="22"/>
              </w:rPr>
              <w:t>Kenya Institute for Public Policy Research and Analysis</w:t>
            </w:r>
          </w:p>
        </w:tc>
      </w:tr>
      <w:tr w:rsidR="00E42BB9" w:rsidRPr="009D494D" w14:paraId="45F818EA" w14:textId="77777777" w:rsidTr="00043BB3">
        <w:trPr>
          <w:trHeight w:val="300"/>
        </w:trPr>
        <w:tc>
          <w:tcPr>
            <w:tcW w:w="790" w:type="pct"/>
            <w:tcBorders>
              <w:top w:val="nil"/>
              <w:left w:val="nil"/>
              <w:bottom w:val="nil"/>
              <w:right w:val="nil"/>
            </w:tcBorders>
            <w:shd w:val="clear" w:color="auto" w:fill="auto"/>
            <w:noWrap/>
            <w:vAlign w:val="center"/>
            <w:hideMark/>
          </w:tcPr>
          <w:p w14:paraId="6B96CB4A" w14:textId="77777777" w:rsidR="00E42BB9" w:rsidRPr="009D494D" w:rsidRDefault="00E42BB9" w:rsidP="00D52523">
            <w:pPr>
              <w:rPr>
                <w:sz w:val="22"/>
              </w:rPr>
            </w:pPr>
            <w:r w:rsidRPr="009D494D">
              <w:rPr>
                <w:sz w:val="22"/>
              </w:rPr>
              <w:t>KSG</w:t>
            </w:r>
          </w:p>
        </w:tc>
        <w:tc>
          <w:tcPr>
            <w:tcW w:w="4210" w:type="pct"/>
            <w:tcBorders>
              <w:top w:val="nil"/>
              <w:left w:val="nil"/>
              <w:bottom w:val="nil"/>
              <w:right w:val="nil"/>
            </w:tcBorders>
            <w:shd w:val="clear" w:color="auto" w:fill="auto"/>
            <w:noWrap/>
            <w:vAlign w:val="center"/>
            <w:hideMark/>
          </w:tcPr>
          <w:p w14:paraId="1301C53B" w14:textId="77777777" w:rsidR="00E42BB9" w:rsidRPr="009D494D" w:rsidRDefault="00E42BB9" w:rsidP="006D24AF">
            <w:pPr>
              <w:rPr>
                <w:sz w:val="22"/>
              </w:rPr>
            </w:pPr>
            <w:r w:rsidRPr="009D494D">
              <w:rPr>
                <w:sz w:val="22"/>
              </w:rPr>
              <w:t xml:space="preserve">Kenya School of Government </w:t>
            </w:r>
          </w:p>
        </w:tc>
      </w:tr>
      <w:tr w:rsidR="00D00E7B" w:rsidRPr="009D494D" w14:paraId="000CF95D" w14:textId="77777777" w:rsidTr="00043BB3">
        <w:trPr>
          <w:trHeight w:val="300"/>
        </w:trPr>
        <w:tc>
          <w:tcPr>
            <w:tcW w:w="790" w:type="pct"/>
            <w:tcBorders>
              <w:top w:val="nil"/>
              <w:left w:val="nil"/>
              <w:bottom w:val="nil"/>
              <w:right w:val="nil"/>
            </w:tcBorders>
            <w:shd w:val="clear" w:color="auto" w:fill="auto"/>
            <w:noWrap/>
            <w:vAlign w:val="center"/>
          </w:tcPr>
          <w:p w14:paraId="611AFBE8" w14:textId="54FA7B72" w:rsidR="00D00E7B" w:rsidRPr="009D494D" w:rsidRDefault="00D00E7B" w:rsidP="00D52523">
            <w:pPr>
              <w:rPr>
                <w:sz w:val="22"/>
              </w:rPr>
            </w:pPr>
            <w:r>
              <w:rPr>
                <w:sz w:val="22"/>
              </w:rPr>
              <w:t>LPO</w:t>
            </w:r>
          </w:p>
        </w:tc>
        <w:tc>
          <w:tcPr>
            <w:tcW w:w="4210" w:type="pct"/>
            <w:tcBorders>
              <w:top w:val="nil"/>
              <w:left w:val="nil"/>
              <w:bottom w:val="nil"/>
              <w:right w:val="nil"/>
            </w:tcBorders>
            <w:shd w:val="clear" w:color="auto" w:fill="auto"/>
            <w:noWrap/>
            <w:vAlign w:val="center"/>
          </w:tcPr>
          <w:p w14:paraId="633EECBD" w14:textId="6D5C51DA" w:rsidR="00D00E7B" w:rsidRPr="009D494D" w:rsidRDefault="00D00E7B" w:rsidP="006D24AF">
            <w:pPr>
              <w:rPr>
                <w:sz w:val="22"/>
              </w:rPr>
            </w:pPr>
            <w:r w:rsidRPr="005849E4">
              <w:rPr>
                <w:iCs/>
                <w:sz w:val="22"/>
              </w:rPr>
              <w:t>Local Purchase Order</w:t>
            </w:r>
          </w:p>
        </w:tc>
      </w:tr>
      <w:tr w:rsidR="00E42BB9" w:rsidRPr="009D494D" w14:paraId="72F2470A" w14:textId="77777777" w:rsidTr="00043BB3">
        <w:trPr>
          <w:trHeight w:val="300"/>
        </w:trPr>
        <w:tc>
          <w:tcPr>
            <w:tcW w:w="790" w:type="pct"/>
            <w:tcBorders>
              <w:top w:val="nil"/>
              <w:left w:val="nil"/>
              <w:bottom w:val="nil"/>
              <w:right w:val="nil"/>
            </w:tcBorders>
            <w:shd w:val="clear" w:color="auto" w:fill="auto"/>
            <w:noWrap/>
            <w:vAlign w:val="center"/>
            <w:hideMark/>
          </w:tcPr>
          <w:p w14:paraId="59E0907D" w14:textId="77777777" w:rsidR="00E42BB9" w:rsidRPr="009D494D" w:rsidRDefault="00E42BB9" w:rsidP="00D52523">
            <w:pPr>
              <w:rPr>
                <w:sz w:val="22"/>
              </w:rPr>
            </w:pPr>
            <w:r w:rsidRPr="009D494D">
              <w:rPr>
                <w:sz w:val="22"/>
              </w:rPr>
              <w:t>MTEF</w:t>
            </w:r>
          </w:p>
        </w:tc>
        <w:tc>
          <w:tcPr>
            <w:tcW w:w="4210" w:type="pct"/>
            <w:tcBorders>
              <w:top w:val="nil"/>
              <w:left w:val="nil"/>
              <w:bottom w:val="nil"/>
              <w:right w:val="nil"/>
            </w:tcBorders>
            <w:shd w:val="clear" w:color="auto" w:fill="auto"/>
            <w:noWrap/>
            <w:vAlign w:val="center"/>
            <w:hideMark/>
          </w:tcPr>
          <w:p w14:paraId="1713F031" w14:textId="77777777" w:rsidR="00E42BB9" w:rsidRPr="009D494D" w:rsidRDefault="00E42BB9" w:rsidP="006D24AF">
            <w:pPr>
              <w:rPr>
                <w:sz w:val="22"/>
              </w:rPr>
            </w:pPr>
            <w:r w:rsidRPr="009D494D">
              <w:rPr>
                <w:sz w:val="22"/>
              </w:rPr>
              <w:t xml:space="preserve">Medium Term Expenditure Framework </w:t>
            </w:r>
          </w:p>
        </w:tc>
      </w:tr>
      <w:tr w:rsidR="00E42BB9" w:rsidRPr="009D494D" w14:paraId="088CEBB2" w14:textId="77777777" w:rsidTr="00043BB3">
        <w:trPr>
          <w:trHeight w:val="300"/>
        </w:trPr>
        <w:tc>
          <w:tcPr>
            <w:tcW w:w="790" w:type="pct"/>
            <w:tcBorders>
              <w:top w:val="nil"/>
              <w:left w:val="nil"/>
              <w:bottom w:val="nil"/>
              <w:right w:val="nil"/>
            </w:tcBorders>
            <w:shd w:val="clear" w:color="auto" w:fill="auto"/>
            <w:noWrap/>
            <w:vAlign w:val="center"/>
            <w:hideMark/>
          </w:tcPr>
          <w:p w14:paraId="539C3029" w14:textId="77777777" w:rsidR="00E42BB9" w:rsidRPr="009D494D" w:rsidRDefault="00E42BB9" w:rsidP="00D52523">
            <w:pPr>
              <w:rPr>
                <w:sz w:val="22"/>
              </w:rPr>
            </w:pPr>
            <w:r w:rsidRPr="009D494D">
              <w:rPr>
                <w:sz w:val="22"/>
              </w:rPr>
              <w:t>MCAs</w:t>
            </w:r>
          </w:p>
        </w:tc>
        <w:tc>
          <w:tcPr>
            <w:tcW w:w="4210" w:type="pct"/>
            <w:tcBorders>
              <w:top w:val="nil"/>
              <w:left w:val="nil"/>
              <w:bottom w:val="nil"/>
              <w:right w:val="nil"/>
            </w:tcBorders>
            <w:shd w:val="clear" w:color="auto" w:fill="auto"/>
            <w:noWrap/>
            <w:vAlign w:val="center"/>
            <w:hideMark/>
          </w:tcPr>
          <w:p w14:paraId="29F07388" w14:textId="1C5E0C52" w:rsidR="00E42BB9" w:rsidRPr="009D494D" w:rsidRDefault="00E42BB9" w:rsidP="006D24AF">
            <w:pPr>
              <w:rPr>
                <w:sz w:val="22"/>
              </w:rPr>
            </w:pPr>
            <w:r w:rsidRPr="009D494D">
              <w:rPr>
                <w:sz w:val="22"/>
              </w:rPr>
              <w:t xml:space="preserve">Members of the County Assembly </w:t>
            </w:r>
          </w:p>
        </w:tc>
      </w:tr>
      <w:tr w:rsidR="00573922" w:rsidRPr="009D494D" w14:paraId="56DE9F64" w14:textId="77777777" w:rsidTr="00043BB3">
        <w:trPr>
          <w:trHeight w:val="300"/>
        </w:trPr>
        <w:tc>
          <w:tcPr>
            <w:tcW w:w="790" w:type="pct"/>
            <w:tcBorders>
              <w:top w:val="nil"/>
              <w:left w:val="nil"/>
              <w:bottom w:val="nil"/>
              <w:right w:val="nil"/>
            </w:tcBorders>
            <w:shd w:val="clear" w:color="auto" w:fill="auto"/>
            <w:noWrap/>
            <w:vAlign w:val="center"/>
          </w:tcPr>
          <w:p w14:paraId="7EBC53B3" w14:textId="2D6216C0" w:rsidR="00573922" w:rsidRPr="009D494D" w:rsidRDefault="00573922" w:rsidP="00D52523">
            <w:pPr>
              <w:rPr>
                <w:sz w:val="22"/>
              </w:rPr>
            </w:pPr>
            <w:r>
              <w:rPr>
                <w:sz w:val="22"/>
              </w:rPr>
              <w:t>NGO</w:t>
            </w:r>
          </w:p>
        </w:tc>
        <w:tc>
          <w:tcPr>
            <w:tcW w:w="4210" w:type="pct"/>
            <w:tcBorders>
              <w:top w:val="nil"/>
              <w:left w:val="nil"/>
              <w:bottom w:val="nil"/>
              <w:right w:val="nil"/>
            </w:tcBorders>
            <w:shd w:val="clear" w:color="auto" w:fill="auto"/>
            <w:noWrap/>
            <w:vAlign w:val="center"/>
          </w:tcPr>
          <w:p w14:paraId="19E3E541" w14:textId="56BAA1D8" w:rsidR="00573922" w:rsidRPr="009471DC" w:rsidRDefault="00573922" w:rsidP="006D24AF">
            <w:pPr>
              <w:rPr>
                <w:sz w:val="22"/>
              </w:rPr>
            </w:pPr>
            <w:r w:rsidRPr="009471DC">
              <w:rPr>
                <w:sz w:val="22"/>
              </w:rPr>
              <w:t>Nongovernmental Organization</w:t>
            </w:r>
          </w:p>
        </w:tc>
      </w:tr>
      <w:tr w:rsidR="00043BB3" w:rsidRPr="009D494D" w14:paraId="79D87B22" w14:textId="77777777" w:rsidTr="00043BB3">
        <w:trPr>
          <w:trHeight w:val="300"/>
        </w:trPr>
        <w:tc>
          <w:tcPr>
            <w:tcW w:w="790" w:type="pct"/>
            <w:tcBorders>
              <w:top w:val="nil"/>
              <w:left w:val="nil"/>
              <w:bottom w:val="nil"/>
              <w:right w:val="nil"/>
            </w:tcBorders>
            <w:shd w:val="clear" w:color="auto" w:fill="auto"/>
            <w:noWrap/>
            <w:vAlign w:val="center"/>
          </w:tcPr>
          <w:p w14:paraId="31C0A2F5" w14:textId="5C3DD842" w:rsidR="00043BB3" w:rsidRPr="009D494D" w:rsidRDefault="00043BB3" w:rsidP="00D52523">
            <w:pPr>
              <w:rPr>
                <w:sz w:val="22"/>
              </w:rPr>
            </w:pPr>
            <w:r w:rsidRPr="009D494D">
              <w:rPr>
                <w:sz w:val="22"/>
              </w:rPr>
              <w:t>OAG</w:t>
            </w:r>
          </w:p>
        </w:tc>
        <w:tc>
          <w:tcPr>
            <w:tcW w:w="4210" w:type="pct"/>
            <w:tcBorders>
              <w:top w:val="nil"/>
              <w:left w:val="nil"/>
              <w:bottom w:val="nil"/>
              <w:right w:val="nil"/>
            </w:tcBorders>
            <w:shd w:val="clear" w:color="auto" w:fill="auto"/>
            <w:noWrap/>
            <w:vAlign w:val="center"/>
          </w:tcPr>
          <w:p w14:paraId="46385317" w14:textId="582D985D" w:rsidR="00043BB3" w:rsidRPr="009D494D" w:rsidRDefault="00043BB3" w:rsidP="00043BB3">
            <w:pPr>
              <w:rPr>
                <w:sz w:val="22"/>
              </w:rPr>
            </w:pPr>
            <w:r w:rsidRPr="009D494D">
              <w:rPr>
                <w:sz w:val="22"/>
              </w:rPr>
              <w:t>Office of the Auditor General</w:t>
            </w:r>
          </w:p>
        </w:tc>
      </w:tr>
      <w:tr w:rsidR="00043BB3" w:rsidRPr="009D494D" w14:paraId="2D47DDCA" w14:textId="77777777" w:rsidTr="00043BB3">
        <w:trPr>
          <w:trHeight w:val="300"/>
        </w:trPr>
        <w:tc>
          <w:tcPr>
            <w:tcW w:w="790" w:type="pct"/>
            <w:tcBorders>
              <w:top w:val="nil"/>
              <w:left w:val="nil"/>
              <w:bottom w:val="nil"/>
              <w:right w:val="nil"/>
            </w:tcBorders>
            <w:shd w:val="clear" w:color="auto" w:fill="auto"/>
            <w:noWrap/>
            <w:vAlign w:val="center"/>
          </w:tcPr>
          <w:p w14:paraId="6A415F0B" w14:textId="0B7FE2CB" w:rsidR="00043BB3" w:rsidRPr="009D494D" w:rsidRDefault="00043BB3" w:rsidP="00D52523">
            <w:pPr>
              <w:rPr>
                <w:sz w:val="22"/>
              </w:rPr>
            </w:pPr>
            <w:r w:rsidRPr="009D494D">
              <w:rPr>
                <w:sz w:val="22"/>
              </w:rPr>
              <w:t>OC</w:t>
            </w:r>
            <w:r w:rsidR="00BA77EE">
              <w:rPr>
                <w:sz w:val="22"/>
              </w:rPr>
              <w:t>O</w:t>
            </w:r>
            <w:r w:rsidRPr="009D494D">
              <w:rPr>
                <w:sz w:val="22"/>
              </w:rPr>
              <w:t>B</w:t>
            </w:r>
          </w:p>
        </w:tc>
        <w:tc>
          <w:tcPr>
            <w:tcW w:w="4210" w:type="pct"/>
            <w:tcBorders>
              <w:top w:val="nil"/>
              <w:left w:val="nil"/>
              <w:bottom w:val="nil"/>
              <w:right w:val="nil"/>
            </w:tcBorders>
            <w:shd w:val="clear" w:color="auto" w:fill="auto"/>
            <w:noWrap/>
            <w:vAlign w:val="center"/>
          </w:tcPr>
          <w:p w14:paraId="68E827B3" w14:textId="6CD65EC7" w:rsidR="00043BB3" w:rsidRPr="009D494D" w:rsidRDefault="00043BB3" w:rsidP="006D24AF">
            <w:pPr>
              <w:rPr>
                <w:sz w:val="22"/>
              </w:rPr>
            </w:pPr>
            <w:r w:rsidRPr="009D494D">
              <w:rPr>
                <w:sz w:val="22"/>
              </w:rPr>
              <w:t>Office of the Controller of Budget</w:t>
            </w:r>
          </w:p>
        </w:tc>
      </w:tr>
      <w:tr w:rsidR="00CB08E3" w:rsidRPr="009D494D" w14:paraId="1184EAAE" w14:textId="77777777" w:rsidTr="00043BB3">
        <w:trPr>
          <w:trHeight w:val="300"/>
        </w:trPr>
        <w:tc>
          <w:tcPr>
            <w:tcW w:w="790" w:type="pct"/>
            <w:tcBorders>
              <w:top w:val="nil"/>
              <w:left w:val="nil"/>
              <w:bottom w:val="nil"/>
              <w:right w:val="nil"/>
            </w:tcBorders>
            <w:shd w:val="clear" w:color="auto" w:fill="auto"/>
            <w:noWrap/>
            <w:vAlign w:val="center"/>
          </w:tcPr>
          <w:p w14:paraId="350AC3FC" w14:textId="09C713BF" w:rsidR="00CB08E3" w:rsidRPr="009D494D" w:rsidRDefault="00CB08E3" w:rsidP="00D52523">
            <w:pPr>
              <w:rPr>
                <w:sz w:val="22"/>
              </w:rPr>
            </w:pPr>
            <w:r>
              <w:rPr>
                <w:sz w:val="22"/>
              </w:rPr>
              <w:t>PAC</w:t>
            </w:r>
          </w:p>
        </w:tc>
        <w:tc>
          <w:tcPr>
            <w:tcW w:w="4210" w:type="pct"/>
            <w:tcBorders>
              <w:top w:val="nil"/>
              <w:left w:val="nil"/>
              <w:bottom w:val="nil"/>
              <w:right w:val="nil"/>
            </w:tcBorders>
            <w:shd w:val="clear" w:color="auto" w:fill="auto"/>
            <w:noWrap/>
            <w:vAlign w:val="center"/>
          </w:tcPr>
          <w:p w14:paraId="790D6266" w14:textId="0821D8FC" w:rsidR="00CB08E3" w:rsidRPr="009D494D" w:rsidRDefault="00CB08E3" w:rsidP="006D24AF">
            <w:pPr>
              <w:rPr>
                <w:sz w:val="22"/>
              </w:rPr>
            </w:pPr>
            <w:r w:rsidRPr="00CB08E3">
              <w:rPr>
                <w:sz w:val="22"/>
              </w:rPr>
              <w:t>Public Accounts Committee</w:t>
            </w:r>
          </w:p>
        </w:tc>
      </w:tr>
      <w:tr w:rsidR="00D00E7B" w:rsidRPr="009D494D" w14:paraId="7ABFFCC9" w14:textId="77777777" w:rsidTr="00043BB3">
        <w:trPr>
          <w:trHeight w:val="300"/>
        </w:trPr>
        <w:tc>
          <w:tcPr>
            <w:tcW w:w="790" w:type="pct"/>
            <w:tcBorders>
              <w:top w:val="nil"/>
              <w:left w:val="nil"/>
              <w:bottom w:val="nil"/>
              <w:right w:val="nil"/>
            </w:tcBorders>
            <w:shd w:val="clear" w:color="auto" w:fill="auto"/>
            <w:noWrap/>
            <w:vAlign w:val="center"/>
          </w:tcPr>
          <w:p w14:paraId="17A95A12" w14:textId="633126B4" w:rsidR="00D00E7B" w:rsidRPr="009D494D" w:rsidRDefault="00D00E7B" w:rsidP="00D52523">
            <w:pPr>
              <w:rPr>
                <w:sz w:val="22"/>
              </w:rPr>
            </w:pPr>
            <w:r>
              <w:rPr>
                <w:sz w:val="22"/>
              </w:rPr>
              <w:t>P to P</w:t>
            </w:r>
          </w:p>
        </w:tc>
        <w:tc>
          <w:tcPr>
            <w:tcW w:w="4210" w:type="pct"/>
            <w:tcBorders>
              <w:top w:val="nil"/>
              <w:left w:val="nil"/>
              <w:bottom w:val="nil"/>
              <w:right w:val="nil"/>
            </w:tcBorders>
            <w:shd w:val="clear" w:color="auto" w:fill="auto"/>
            <w:noWrap/>
            <w:vAlign w:val="center"/>
          </w:tcPr>
          <w:p w14:paraId="56F11BAF" w14:textId="6FA6C3B2" w:rsidR="00D00E7B" w:rsidRPr="009D494D" w:rsidRDefault="00D00E7B" w:rsidP="006D24AF">
            <w:pPr>
              <w:rPr>
                <w:sz w:val="22"/>
              </w:rPr>
            </w:pPr>
            <w:r w:rsidRPr="005849E4">
              <w:rPr>
                <w:sz w:val="22"/>
              </w:rPr>
              <w:t xml:space="preserve">Procurement to </w:t>
            </w:r>
            <w:r>
              <w:rPr>
                <w:sz w:val="22"/>
              </w:rPr>
              <w:t>P</w:t>
            </w:r>
            <w:r w:rsidRPr="005849E4">
              <w:rPr>
                <w:sz w:val="22"/>
              </w:rPr>
              <w:t>ay</w:t>
            </w:r>
          </w:p>
        </w:tc>
      </w:tr>
      <w:tr w:rsidR="001D510A" w:rsidRPr="009D494D" w14:paraId="4C153959" w14:textId="77777777" w:rsidTr="00043BB3">
        <w:trPr>
          <w:trHeight w:val="300"/>
        </w:trPr>
        <w:tc>
          <w:tcPr>
            <w:tcW w:w="790" w:type="pct"/>
            <w:tcBorders>
              <w:top w:val="nil"/>
              <w:left w:val="nil"/>
              <w:bottom w:val="nil"/>
              <w:right w:val="nil"/>
            </w:tcBorders>
            <w:shd w:val="clear" w:color="auto" w:fill="auto"/>
            <w:noWrap/>
            <w:vAlign w:val="center"/>
          </w:tcPr>
          <w:p w14:paraId="71F7DA0F" w14:textId="21F78E7A" w:rsidR="001D510A" w:rsidRDefault="001D510A" w:rsidP="00D52523">
            <w:pPr>
              <w:rPr>
                <w:sz w:val="22"/>
              </w:rPr>
            </w:pPr>
            <w:r>
              <w:rPr>
                <w:sz w:val="22"/>
              </w:rPr>
              <w:t>PBB</w:t>
            </w:r>
          </w:p>
        </w:tc>
        <w:tc>
          <w:tcPr>
            <w:tcW w:w="4210" w:type="pct"/>
            <w:tcBorders>
              <w:top w:val="nil"/>
              <w:left w:val="nil"/>
              <w:bottom w:val="nil"/>
              <w:right w:val="nil"/>
            </w:tcBorders>
            <w:shd w:val="clear" w:color="auto" w:fill="auto"/>
            <w:noWrap/>
            <w:vAlign w:val="center"/>
          </w:tcPr>
          <w:p w14:paraId="4C75539B" w14:textId="12D05C0C" w:rsidR="001D510A" w:rsidRPr="005849E4" w:rsidRDefault="001D510A" w:rsidP="006D24AF">
            <w:pPr>
              <w:rPr>
                <w:sz w:val="22"/>
              </w:rPr>
            </w:pPr>
            <w:r w:rsidRPr="006E7B98">
              <w:rPr>
                <w:sz w:val="22"/>
              </w:rPr>
              <w:t>Programme</w:t>
            </w:r>
            <w:r>
              <w:rPr>
                <w:sz w:val="22"/>
              </w:rPr>
              <w:t>-</w:t>
            </w:r>
            <w:r w:rsidRPr="006E7B98">
              <w:rPr>
                <w:sz w:val="22"/>
              </w:rPr>
              <w:t>Based Budget</w:t>
            </w:r>
          </w:p>
        </w:tc>
      </w:tr>
      <w:tr w:rsidR="00E42BB9" w:rsidRPr="009D494D" w14:paraId="4670CC08" w14:textId="77777777" w:rsidTr="00043BB3">
        <w:trPr>
          <w:trHeight w:val="300"/>
        </w:trPr>
        <w:tc>
          <w:tcPr>
            <w:tcW w:w="790" w:type="pct"/>
            <w:tcBorders>
              <w:top w:val="nil"/>
              <w:left w:val="nil"/>
              <w:bottom w:val="nil"/>
              <w:right w:val="nil"/>
            </w:tcBorders>
            <w:shd w:val="clear" w:color="auto" w:fill="auto"/>
            <w:noWrap/>
            <w:vAlign w:val="center"/>
            <w:hideMark/>
          </w:tcPr>
          <w:p w14:paraId="7EA35CD3" w14:textId="77777777" w:rsidR="00E42BB9" w:rsidRPr="009D494D" w:rsidRDefault="00E42BB9" w:rsidP="00D52523">
            <w:pPr>
              <w:rPr>
                <w:sz w:val="22"/>
              </w:rPr>
            </w:pPr>
            <w:r w:rsidRPr="009D494D">
              <w:rPr>
                <w:sz w:val="22"/>
              </w:rPr>
              <w:t>PEFA</w:t>
            </w:r>
          </w:p>
        </w:tc>
        <w:tc>
          <w:tcPr>
            <w:tcW w:w="4210" w:type="pct"/>
            <w:tcBorders>
              <w:top w:val="nil"/>
              <w:left w:val="nil"/>
              <w:bottom w:val="nil"/>
              <w:right w:val="nil"/>
            </w:tcBorders>
            <w:shd w:val="clear" w:color="auto" w:fill="auto"/>
            <w:noWrap/>
            <w:vAlign w:val="center"/>
            <w:hideMark/>
          </w:tcPr>
          <w:p w14:paraId="5C2D06F5" w14:textId="77777777" w:rsidR="00E42BB9" w:rsidRPr="009D494D" w:rsidRDefault="00E42BB9" w:rsidP="006D24AF">
            <w:pPr>
              <w:rPr>
                <w:sz w:val="22"/>
              </w:rPr>
            </w:pPr>
            <w:r w:rsidRPr="009D494D">
              <w:rPr>
                <w:sz w:val="22"/>
              </w:rPr>
              <w:t xml:space="preserve">Public Expenditure and Financial Accountability </w:t>
            </w:r>
          </w:p>
        </w:tc>
      </w:tr>
      <w:tr w:rsidR="00E42BB9" w:rsidRPr="009D494D" w14:paraId="7BF8D994" w14:textId="77777777" w:rsidTr="00043BB3">
        <w:trPr>
          <w:trHeight w:val="300"/>
        </w:trPr>
        <w:tc>
          <w:tcPr>
            <w:tcW w:w="790" w:type="pct"/>
            <w:tcBorders>
              <w:top w:val="nil"/>
              <w:left w:val="nil"/>
              <w:bottom w:val="nil"/>
              <w:right w:val="nil"/>
            </w:tcBorders>
            <w:shd w:val="clear" w:color="auto" w:fill="auto"/>
            <w:noWrap/>
            <w:vAlign w:val="center"/>
            <w:hideMark/>
          </w:tcPr>
          <w:p w14:paraId="70501F60" w14:textId="77777777" w:rsidR="00E42BB9" w:rsidRPr="009D494D" w:rsidRDefault="00E42BB9" w:rsidP="00D52523">
            <w:pPr>
              <w:rPr>
                <w:sz w:val="22"/>
              </w:rPr>
            </w:pPr>
            <w:r w:rsidRPr="009D494D">
              <w:rPr>
                <w:sz w:val="22"/>
              </w:rPr>
              <w:t>PFM</w:t>
            </w:r>
          </w:p>
        </w:tc>
        <w:tc>
          <w:tcPr>
            <w:tcW w:w="4210" w:type="pct"/>
            <w:tcBorders>
              <w:top w:val="nil"/>
              <w:left w:val="nil"/>
              <w:bottom w:val="nil"/>
              <w:right w:val="nil"/>
            </w:tcBorders>
            <w:shd w:val="clear" w:color="auto" w:fill="auto"/>
            <w:noWrap/>
            <w:vAlign w:val="center"/>
            <w:hideMark/>
          </w:tcPr>
          <w:p w14:paraId="4CD0A939" w14:textId="77777777" w:rsidR="00E42BB9" w:rsidRPr="009D494D" w:rsidRDefault="00E42BB9" w:rsidP="006D24AF">
            <w:pPr>
              <w:rPr>
                <w:sz w:val="22"/>
              </w:rPr>
            </w:pPr>
            <w:r w:rsidRPr="009D494D">
              <w:rPr>
                <w:sz w:val="22"/>
              </w:rPr>
              <w:t xml:space="preserve">Public Financial Management </w:t>
            </w:r>
          </w:p>
        </w:tc>
      </w:tr>
      <w:tr w:rsidR="00E42BB9" w:rsidRPr="009D494D" w14:paraId="0FAD96BB" w14:textId="77777777" w:rsidTr="00043BB3">
        <w:trPr>
          <w:trHeight w:val="300"/>
        </w:trPr>
        <w:tc>
          <w:tcPr>
            <w:tcW w:w="790" w:type="pct"/>
            <w:tcBorders>
              <w:top w:val="nil"/>
              <w:left w:val="nil"/>
              <w:bottom w:val="nil"/>
              <w:right w:val="nil"/>
            </w:tcBorders>
            <w:shd w:val="clear" w:color="auto" w:fill="auto"/>
            <w:noWrap/>
            <w:vAlign w:val="center"/>
            <w:hideMark/>
          </w:tcPr>
          <w:p w14:paraId="14BFF5DC" w14:textId="36F35EF0" w:rsidR="009001A2" w:rsidRPr="009D494D" w:rsidRDefault="00E42BB9" w:rsidP="00043BB3">
            <w:pPr>
              <w:rPr>
                <w:sz w:val="22"/>
              </w:rPr>
            </w:pPr>
            <w:r w:rsidRPr="009D494D">
              <w:rPr>
                <w:sz w:val="22"/>
              </w:rPr>
              <w:t>PFMR</w:t>
            </w:r>
          </w:p>
        </w:tc>
        <w:tc>
          <w:tcPr>
            <w:tcW w:w="4210" w:type="pct"/>
            <w:tcBorders>
              <w:top w:val="nil"/>
              <w:left w:val="nil"/>
              <w:bottom w:val="nil"/>
              <w:right w:val="nil"/>
            </w:tcBorders>
            <w:shd w:val="clear" w:color="auto" w:fill="auto"/>
            <w:noWrap/>
            <w:vAlign w:val="center"/>
            <w:hideMark/>
          </w:tcPr>
          <w:p w14:paraId="2347AC66" w14:textId="62A033E2" w:rsidR="009001A2" w:rsidRPr="009D494D" w:rsidRDefault="00E42BB9" w:rsidP="00043BB3">
            <w:pPr>
              <w:rPr>
                <w:sz w:val="22"/>
              </w:rPr>
            </w:pPr>
            <w:r w:rsidRPr="009D494D">
              <w:rPr>
                <w:sz w:val="22"/>
              </w:rPr>
              <w:t>Public Financial Management Reforms</w:t>
            </w:r>
          </w:p>
        </w:tc>
      </w:tr>
      <w:tr w:rsidR="00043BB3" w:rsidRPr="009D494D" w14:paraId="48085832" w14:textId="77777777" w:rsidTr="00043BB3">
        <w:trPr>
          <w:trHeight w:val="300"/>
        </w:trPr>
        <w:tc>
          <w:tcPr>
            <w:tcW w:w="790" w:type="pct"/>
            <w:tcBorders>
              <w:top w:val="nil"/>
              <w:left w:val="nil"/>
              <w:bottom w:val="nil"/>
              <w:right w:val="nil"/>
            </w:tcBorders>
            <w:shd w:val="clear" w:color="auto" w:fill="auto"/>
            <w:noWrap/>
            <w:vAlign w:val="center"/>
          </w:tcPr>
          <w:p w14:paraId="5B4CE0C3" w14:textId="3D798509" w:rsidR="00043BB3" w:rsidRPr="009D494D" w:rsidRDefault="00043BB3" w:rsidP="00043BB3">
            <w:pPr>
              <w:rPr>
                <w:sz w:val="22"/>
              </w:rPr>
            </w:pPr>
            <w:r w:rsidRPr="009D494D">
              <w:rPr>
                <w:sz w:val="22"/>
              </w:rPr>
              <w:t>PPARB</w:t>
            </w:r>
          </w:p>
        </w:tc>
        <w:tc>
          <w:tcPr>
            <w:tcW w:w="4210" w:type="pct"/>
            <w:tcBorders>
              <w:top w:val="nil"/>
              <w:left w:val="nil"/>
              <w:bottom w:val="nil"/>
              <w:right w:val="nil"/>
            </w:tcBorders>
            <w:shd w:val="clear" w:color="auto" w:fill="auto"/>
            <w:noWrap/>
            <w:vAlign w:val="center"/>
          </w:tcPr>
          <w:p w14:paraId="2F576D49" w14:textId="7A6B80E1" w:rsidR="00043BB3" w:rsidRPr="009D494D" w:rsidRDefault="00043BB3" w:rsidP="00043BB3">
            <w:pPr>
              <w:rPr>
                <w:sz w:val="22"/>
              </w:rPr>
            </w:pPr>
            <w:r w:rsidRPr="009D494D">
              <w:rPr>
                <w:sz w:val="22"/>
              </w:rPr>
              <w:t>Public Procurement and Administrative Review Board</w:t>
            </w:r>
          </w:p>
        </w:tc>
      </w:tr>
      <w:tr w:rsidR="00043BB3" w:rsidRPr="009D494D" w14:paraId="101A8C6C" w14:textId="77777777" w:rsidTr="00043BB3">
        <w:trPr>
          <w:trHeight w:val="300"/>
        </w:trPr>
        <w:tc>
          <w:tcPr>
            <w:tcW w:w="790" w:type="pct"/>
            <w:tcBorders>
              <w:top w:val="nil"/>
              <w:left w:val="nil"/>
              <w:bottom w:val="nil"/>
              <w:right w:val="nil"/>
            </w:tcBorders>
            <w:shd w:val="clear" w:color="auto" w:fill="auto"/>
            <w:noWrap/>
            <w:vAlign w:val="center"/>
          </w:tcPr>
          <w:p w14:paraId="2E555540" w14:textId="7D6BA25B" w:rsidR="00043BB3" w:rsidRPr="009D494D" w:rsidRDefault="00043BB3" w:rsidP="00D52523">
            <w:pPr>
              <w:rPr>
                <w:sz w:val="22"/>
              </w:rPr>
            </w:pPr>
            <w:r w:rsidRPr="009D494D">
              <w:rPr>
                <w:sz w:val="22"/>
              </w:rPr>
              <w:t>PPRA</w:t>
            </w:r>
          </w:p>
        </w:tc>
        <w:tc>
          <w:tcPr>
            <w:tcW w:w="4210" w:type="pct"/>
            <w:tcBorders>
              <w:top w:val="nil"/>
              <w:left w:val="nil"/>
              <w:bottom w:val="nil"/>
              <w:right w:val="nil"/>
            </w:tcBorders>
            <w:shd w:val="clear" w:color="auto" w:fill="auto"/>
            <w:noWrap/>
            <w:vAlign w:val="center"/>
          </w:tcPr>
          <w:p w14:paraId="1AB4407C" w14:textId="0E26D874" w:rsidR="00043BB3" w:rsidRPr="009D494D" w:rsidRDefault="00043BB3" w:rsidP="006D24AF">
            <w:pPr>
              <w:rPr>
                <w:sz w:val="22"/>
              </w:rPr>
            </w:pPr>
            <w:r w:rsidRPr="009D494D">
              <w:rPr>
                <w:sz w:val="22"/>
              </w:rPr>
              <w:t>Public Procurement and Regulatory Authority</w:t>
            </w:r>
          </w:p>
        </w:tc>
      </w:tr>
      <w:tr w:rsidR="00E42BB9" w:rsidRPr="009D494D" w14:paraId="13F517F9" w14:textId="77777777" w:rsidTr="00043BB3">
        <w:trPr>
          <w:trHeight w:val="300"/>
        </w:trPr>
        <w:tc>
          <w:tcPr>
            <w:tcW w:w="790" w:type="pct"/>
            <w:tcBorders>
              <w:top w:val="nil"/>
              <w:left w:val="nil"/>
              <w:bottom w:val="nil"/>
              <w:right w:val="nil"/>
            </w:tcBorders>
            <w:shd w:val="clear" w:color="auto" w:fill="auto"/>
            <w:noWrap/>
            <w:vAlign w:val="center"/>
            <w:hideMark/>
          </w:tcPr>
          <w:p w14:paraId="117C36F7" w14:textId="77777777" w:rsidR="00E42BB9" w:rsidRPr="009D494D" w:rsidRDefault="00E42BB9" w:rsidP="00D52523">
            <w:pPr>
              <w:rPr>
                <w:sz w:val="22"/>
              </w:rPr>
            </w:pPr>
            <w:r w:rsidRPr="009D494D">
              <w:rPr>
                <w:sz w:val="22"/>
              </w:rPr>
              <w:t>PSASB</w:t>
            </w:r>
          </w:p>
        </w:tc>
        <w:tc>
          <w:tcPr>
            <w:tcW w:w="4210" w:type="pct"/>
            <w:tcBorders>
              <w:top w:val="nil"/>
              <w:left w:val="nil"/>
              <w:bottom w:val="nil"/>
              <w:right w:val="nil"/>
            </w:tcBorders>
            <w:shd w:val="clear" w:color="auto" w:fill="auto"/>
            <w:noWrap/>
            <w:vAlign w:val="center"/>
            <w:hideMark/>
          </w:tcPr>
          <w:p w14:paraId="65554997" w14:textId="77777777" w:rsidR="00E42BB9" w:rsidRPr="009D494D" w:rsidRDefault="00E42BB9" w:rsidP="006D24AF">
            <w:pPr>
              <w:rPr>
                <w:sz w:val="22"/>
              </w:rPr>
            </w:pPr>
            <w:r w:rsidRPr="009D494D">
              <w:rPr>
                <w:sz w:val="22"/>
              </w:rPr>
              <w:t xml:space="preserve">Public Sector Accounting Standards Board </w:t>
            </w:r>
          </w:p>
        </w:tc>
      </w:tr>
      <w:tr w:rsidR="00747EB2" w:rsidRPr="009D494D" w14:paraId="0A2F8DCC" w14:textId="77777777" w:rsidTr="00043BB3">
        <w:trPr>
          <w:trHeight w:val="300"/>
        </w:trPr>
        <w:tc>
          <w:tcPr>
            <w:tcW w:w="790" w:type="pct"/>
            <w:tcBorders>
              <w:top w:val="nil"/>
              <w:left w:val="nil"/>
              <w:bottom w:val="nil"/>
              <w:right w:val="nil"/>
            </w:tcBorders>
            <w:shd w:val="clear" w:color="auto" w:fill="auto"/>
            <w:noWrap/>
            <w:vAlign w:val="center"/>
          </w:tcPr>
          <w:p w14:paraId="5C48644B" w14:textId="78BE5517" w:rsidR="00747EB2" w:rsidRPr="009D494D" w:rsidRDefault="00747EB2" w:rsidP="00D52523">
            <w:pPr>
              <w:rPr>
                <w:sz w:val="22"/>
              </w:rPr>
            </w:pPr>
            <w:r>
              <w:rPr>
                <w:sz w:val="22"/>
              </w:rPr>
              <w:t>PwC</w:t>
            </w:r>
          </w:p>
        </w:tc>
        <w:tc>
          <w:tcPr>
            <w:tcW w:w="4210" w:type="pct"/>
            <w:tcBorders>
              <w:top w:val="nil"/>
              <w:left w:val="nil"/>
              <w:bottom w:val="nil"/>
              <w:right w:val="nil"/>
            </w:tcBorders>
            <w:shd w:val="clear" w:color="auto" w:fill="auto"/>
            <w:noWrap/>
            <w:vAlign w:val="center"/>
          </w:tcPr>
          <w:p w14:paraId="603C73B3" w14:textId="56B219FF" w:rsidR="00747EB2" w:rsidRPr="009D494D" w:rsidRDefault="00747EB2" w:rsidP="006D24AF">
            <w:pPr>
              <w:rPr>
                <w:sz w:val="22"/>
              </w:rPr>
            </w:pPr>
            <w:r w:rsidRPr="00747EB2">
              <w:rPr>
                <w:sz w:val="22"/>
              </w:rPr>
              <w:t>Price</w:t>
            </w:r>
            <w:r>
              <w:rPr>
                <w:sz w:val="22"/>
              </w:rPr>
              <w:t>w</w:t>
            </w:r>
            <w:r w:rsidRPr="00747EB2">
              <w:rPr>
                <w:sz w:val="22"/>
              </w:rPr>
              <w:t>aterhouseCoopers</w:t>
            </w:r>
          </w:p>
        </w:tc>
      </w:tr>
      <w:tr w:rsidR="008F1990" w:rsidRPr="009D494D" w14:paraId="7825ED28" w14:textId="77777777" w:rsidTr="00043BB3">
        <w:trPr>
          <w:trHeight w:val="300"/>
        </w:trPr>
        <w:tc>
          <w:tcPr>
            <w:tcW w:w="790" w:type="pct"/>
            <w:tcBorders>
              <w:top w:val="nil"/>
              <w:left w:val="nil"/>
              <w:bottom w:val="nil"/>
              <w:right w:val="nil"/>
            </w:tcBorders>
            <w:shd w:val="clear" w:color="auto" w:fill="auto"/>
            <w:noWrap/>
            <w:vAlign w:val="center"/>
          </w:tcPr>
          <w:p w14:paraId="3CEB2704" w14:textId="4737AD50" w:rsidR="008F1990" w:rsidRDefault="008F1990" w:rsidP="00D52523">
            <w:pPr>
              <w:rPr>
                <w:sz w:val="22"/>
              </w:rPr>
            </w:pPr>
            <w:r>
              <w:rPr>
                <w:sz w:val="22"/>
              </w:rPr>
              <w:t>SAGA</w:t>
            </w:r>
          </w:p>
        </w:tc>
        <w:tc>
          <w:tcPr>
            <w:tcW w:w="4210" w:type="pct"/>
            <w:tcBorders>
              <w:top w:val="nil"/>
              <w:left w:val="nil"/>
              <w:bottom w:val="nil"/>
              <w:right w:val="nil"/>
            </w:tcBorders>
            <w:shd w:val="clear" w:color="auto" w:fill="auto"/>
            <w:noWrap/>
            <w:vAlign w:val="center"/>
          </w:tcPr>
          <w:p w14:paraId="2444A2CA" w14:textId="07556A1E" w:rsidR="008F1990" w:rsidRPr="00747EB2" w:rsidRDefault="008F1990" w:rsidP="006D24AF">
            <w:pPr>
              <w:rPr>
                <w:sz w:val="22"/>
              </w:rPr>
            </w:pPr>
            <w:r>
              <w:rPr>
                <w:sz w:val="22"/>
              </w:rPr>
              <w:t>Semi-autonomous Government Agency</w:t>
            </w:r>
          </w:p>
        </w:tc>
      </w:tr>
      <w:tr w:rsidR="00852716" w:rsidRPr="009D494D" w14:paraId="74013009" w14:textId="77777777" w:rsidTr="00043BB3">
        <w:trPr>
          <w:trHeight w:val="300"/>
        </w:trPr>
        <w:tc>
          <w:tcPr>
            <w:tcW w:w="790" w:type="pct"/>
            <w:tcBorders>
              <w:top w:val="nil"/>
              <w:left w:val="nil"/>
              <w:bottom w:val="nil"/>
              <w:right w:val="nil"/>
            </w:tcBorders>
            <w:shd w:val="clear" w:color="auto" w:fill="auto"/>
            <w:noWrap/>
            <w:vAlign w:val="center"/>
          </w:tcPr>
          <w:p w14:paraId="3A2B6450" w14:textId="359B3EAA" w:rsidR="00852716" w:rsidRDefault="00852716" w:rsidP="00D52523">
            <w:pPr>
              <w:rPr>
                <w:sz w:val="22"/>
              </w:rPr>
            </w:pPr>
            <w:r>
              <w:rPr>
                <w:sz w:val="22"/>
              </w:rPr>
              <w:t>SAI</w:t>
            </w:r>
          </w:p>
        </w:tc>
        <w:tc>
          <w:tcPr>
            <w:tcW w:w="4210" w:type="pct"/>
            <w:tcBorders>
              <w:top w:val="nil"/>
              <w:left w:val="nil"/>
              <w:bottom w:val="nil"/>
              <w:right w:val="nil"/>
            </w:tcBorders>
            <w:shd w:val="clear" w:color="auto" w:fill="auto"/>
            <w:noWrap/>
            <w:vAlign w:val="center"/>
          </w:tcPr>
          <w:p w14:paraId="2DB42BCD" w14:textId="56F6C1BC" w:rsidR="00852716" w:rsidRPr="00747EB2" w:rsidRDefault="00852716" w:rsidP="006D24AF">
            <w:pPr>
              <w:rPr>
                <w:sz w:val="22"/>
              </w:rPr>
            </w:pPr>
            <w:r w:rsidRPr="00852716">
              <w:rPr>
                <w:sz w:val="22"/>
              </w:rPr>
              <w:t>Supreme Audit Institution</w:t>
            </w:r>
          </w:p>
        </w:tc>
      </w:tr>
      <w:tr w:rsidR="00E42BB9" w:rsidRPr="009D494D" w14:paraId="6604CBC5" w14:textId="77777777" w:rsidTr="00043BB3">
        <w:trPr>
          <w:trHeight w:val="300"/>
        </w:trPr>
        <w:tc>
          <w:tcPr>
            <w:tcW w:w="790" w:type="pct"/>
            <w:tcBorders>
              <w:top w:val="nil"/>
              <w:left w:val="nil"/>
              <w:bottom w:val="nil"/>
              <w:right w:val="nil"/>
            </w:tcBorders>
            <w:shd w:val="clear" w:color="auto" w:fill="auto"/>
            <w:noWrap/>
            <w:vAlign w:val="center"/>
            <w:hideMark/>
          </w:tcPr>
          <w:p w14:paraId="3CA5776F" w14:textId="77777777" w:rsidR="00E42BB9" w:rsidRPr="009D494D" w:rsidRDefault="00E42BB9" w:rsidP="00D52523">
            <w:pPr>
              <w:rPr>
                <w:sz w:val="22"/>
              </w:rPr>
            </w:pPr>
            <w:r w:rsidRPr="009D494D">
              <w:rPr>
                <w:sz w:val="22"/>
              </w:rPr>
              <w:t xml:space="preserve">SRC </w:t>
            </w:r>
          </w:p>
        </w:tc>
        <w:tc>
          <w:tcPr>
            <w:tcW w:w="4210" w:type="pct"/>
            <w:tcBorders>
              <w:top w:val="nil"/>
              <w:left w:val="nil"/>
              <w:bottom w:val="nil"/>
              <w:right w:val="nil"/>
            </w:tcBorders>
            <w:shd w:val="clear" w:color="auto" w:fill="auto"/>
            <w:noWrap/>
            <w:vAlign w:val="center"/>
            <w:hideMark/>
          </w:tcPr>
          <w:p w14:paraId="32E3BE35" w14:textId="77777777" w:rsidR="00E42BB9" w:rsidRPr="009D494D" w:rsidRDefault="00E42BB9" w:rsidP="006D24AF">
            <w:pPr>
              <w:rPr>
                <w:sz w:val="22"/>
              </w:rPr>
            </w:pPr>
            <w:r w:rsidRPr="009D494D">
              <w:rPr>
                <w:sz w:val="22"/>
              </w:rPr>
              <w:t xml:space="preserve">Salaries and Remuneration Commission </w:t>
            </w:r>
          </w:p>
        </w:tc>
      </w:tr>
      <w:tr w:rsidR="00E42BB9" w:rsidRPr="009D494D" w14:paraId="7B5299DD" w14:textId="77777777" w:rsidTr="00043BB3">
        <w:trPr>
          <w:trHeight w:val="300"/>
        </w:trPr>
        <w:tc>
          <w:tcPr>
            <w:tcW w:w="790" w:type="pct"/>
            <w:tcBorders>
              <w:top w:val="nil"/>
              <w:left w:val="nil"/>
              <w:bottom w:val="nil"/>
              <w:right w:val="nil"/>
            </w:tcBorders>
            <w:shd w:val="clear" w:color="auto" w:fill="auto"/>
            <w:noWrap/>
            <w:vAlign w:val="center"/>
            <w:hideMark/>
          </w:tcPr>
          <w:p w14:paraId="615C127B" w14:textId="04D54A5D" w:rsidR="00E42BB9" w:rsidRPr="009D494D" w:rsidRDefault="00E42BB9" w:rsidP="00043BB3">
            <w:pPr>
              <w:rPr>
                <w:sz w:val="22"/>
              </w:rPr>
            </w:pPr>
            <w:r w:rsidRPr="009D494D">
              <w:rPr>
                <w:sz w:val="22"/>
              </w:rPr>
              <w:t>SCOA</w:t>
            </w:r>
          </w:p>
        </w:tc>
        <w:tc>
          <w:tcPr>
            <w:tcW w:w="4210" w:type="pct"/>
            <w:tcBorders>
              <w:top w:val="nil"/>
              <w:left w:val="nil"/>
              <w:bottom w:val="nil"/>
              <w:right w:val="nil"/>
            </w:tcBorders>
            <w:shd w:val="clear" w:color="auto" w:fill="auto"/>
            <w:noWrap/>
            <w:vAlign w:val="center"/>
            <w:hideMark/>
          </w:tcPr>
          <w:p w14:paraId="72C7F017" w14:textId="6365121C" w:rsidR="00E42BB9" w:rsidRPr="009D494D" w:rsidRDefault="00E42BB9" w:rsidP="00043BB3">
            <w:pPr>
              <w:rPr>
                <w:sz w:val="22"/>
              </w:rPr>
            </w:pPr>
            <w:r w:rsidRPr="009D494D">
              <w:rPr>
                <w:sz w:val="22"/>
              </w:rPr>
              <w:t>Standard Chart of Accounts</w:t>
            </w:r>
          </w:p>
        </w:tc>
      </w:tr>
      <w:tr w:rsidR="00E42BB9" w:rsidRPr="009D494D" w14:paraId="6D5C12A2" w14:textId="77777777" w:rsidTr="00043BB3">
        <w:trPr>
          <w:trHeight w:val="300"/>
        </w:trPr>
        <w:tc>
          <w:tcPr>
            <w:tcW w:w="790" w:type="pct"/>
            <w:tcBorders>
              <w:top w:val="nil"/>
              <w:left w:val="nil"/>
              <w:bottom w:val="nil"/>
              <w:right w:val="nil"/>
            </w:tcBorders>
            <w:shd w:val="clear" w:color="auto" w:fill="auto"/>
            <w:noWrap/>
            <w:vAlign w:val="center"/>
            <w:hideMark/>
          </w:tcPr>
          <w:p w14:paraId="2AE5A8B3" w14:textId="77777777" w:rsidR="00E42BB9" w:rsidRPr="009D494D" w:rsidRDefault="00E42BB9" w:rsidP="00D52523">
            <w:pPr>
              <w:rPr>
                <w:sz w:val="22"/>
              </w:rPr>
            </w:pPr>
            <w:r w:rsidRPr="009D494D">
              <w:rPr>
                <w:sz w:val="22"/>
              </w:rPr>
              <w:t>TSA</w:t>
            </w:r>
          </w:p>
        </w:tc>
        <w:tc>
          <w:tcPr>
            <w:tcW w:w="4210" w:type="pct"/>
            <w:tcBorders>
              <w:top w:val="nil"/>
              <w:left w:val="nil"/>
              <w:bottom w:val="nil"/>
              <w:right w:val="nil"/>
            </w:tcBorders>
            <w:shd w:val="clear" w:color="auto" w:fill="auto"/>
            <w:noWrap/>
            <w:vAlign w:val="center"/>
            <w:hideMark/>
          </w:tcPr>
          <w:p w14:paraId="4785A6C8" w14:textId="77777777" w:rsidR="00E42BB9" w:rsidRPr="009D494D" w:rsidRDefault="00E42BB9" w:rsidP="006D24AF">
            <w:pPr>
              <w:rPr>
                <w:sz w:val="22"/>
              </w:rPr>
            </w:pPr>
            <w:r w:rsidRPr="009D494D">
              <w:rPr>
                <w:sz w:val="22"/>
              </w:rPr>
              <w:t xml:space="preserve">Treasury Single Account </w:t>
            </w:r>
          </w:p>
        </w:tc>
      </w:tr>
    </w:tbl>
    <w:p w14:paraId="0043B1BD" w14:textId="77777777" w:rsidR="00E42BB9" w:rsidRPr="00890A84" w:rsidRDefault="00E42BB9" w:rsidP="00D52523"/>
    <w:p w14:paraId="08B202BC" w14:textId="77777777" w:rsidR="00B64296" w:rsidRDefault="00B64296" w:rsidP="006D24AF">
      <w:pPr>
        <w:rPr>
          <w:rFonts w:eastAsia="Calibri"/>
        </w:rPr>
        <w:sectPr w:rsidR="00B64296" w:rsidSect="00B64296">
          <w:footerReference w:type="default" r:id="rId21"/>
          <w:pgSz w:w="12240" w:h="15840"/>
          <w:pgMar w:top="1440" w:right="1440" w:bottom="1440" w:left="1440" w:header="760" w:footer="723" w:gutter="0"/>
          <w:pgNumType w:fmt="lowerRoman" w:start="1"/>
          <w:cols w:space="720"/>
          <w:docGrid w:linePitch="326"/>
        </w:sectPr>
      </w:pPr>
    </w:p>
    <w:p w14:paraId="4CE70071" w14:textId="77777777" w:rsidR="00076ADC" w:rsidRPr="00196FAE" w:rsidRDefault="00CA52CE" w:rsidP="0045183B">
      <w:pPr>
        <w:pStyle w:val="Heading1"/>
        <w:numPr>
          <w:ilvl w:val="0"/>
          <w:numId w:val="0"/>
        </w:numPr>
        <w:rPr>
          <w:smallCaps w:val="0"/>
          <w:lang w:eastAsia="en-US"/>
        </w:rPr>
      </w:pPr>
      <w:bookmarkStart w:id="6" w:name="_Toc532426016"/>
      <w:r w:rsidRPr="00196FAE">
        <w:rPr>
          <w:smallCaps w:val="0"/>
          <w:lang w:eastAsia="en-US"/>
        </w:rPr>
        <w:t>Executive</w:t>
      </w:r>
      <w:r w:rsidR="00B20782" w:rsidRPr="00196FAE">
        <w:rPr>
          <w:smallCaps w:val="0"/>
          <w:lang w:eastAsia="en-US"/>
        </w:rPr>
        <w:t xml:space="preserve"> </w:t>
      </w:r>
      <w:r w:rsidR="00B548DD" w:rsidRPr="00196FAE">
        <w:rPr>
          <w:smallCaps w:val="0"/>
          <w:lang w:eastAsia="en-US"/>
        </w:rPr>
        <w:t>S</w:t>
      </w:r>
      <w:r w:rsidRPr="00196FAE">
        <w:rPr>
          <w:smallCaps w:val="0"/>
          <w:lang w:eastAsia="en-US"/>
        </w:rPr>
        <w:t>ummary</w:t>
      </w:r>
      <w:bookmarkEnd w:id="0"/>
      <w:bookmarkEnd w:id="6"/>
    </w:p>
    <w:p w14:paraId="4C632C42" w14:textId="77777777" w:rsidR="00973C4D" w:rsidRPr="00796F6B" w:rsidRDefault="00973C4D" w:rsidP="00B82B65">
      <w:pPr>
        <w:rPr>
          <w:b/>
          <w:color w:val="0070C0"/>
        </w:rPr>
      </w:pPr>
      <w:r w:rsidRPr="00796F6B">
        <w:rPr>
          <w:b/>
          <w:color w:val="0070C0"/>
        </w:rPr>
        <w:t>Background</w:t>
      </w:r>
    </w:p>
    <w:p w14:paraId="39C45DF0" w14:textId="77777777" w:rsidR="00B82B65" w:rsidRDefault="00B82B65" w:rsidP="00D52523">
      <w:pPr>
        <w:rPr>
          <w:lang w:eastAsia="en-GB"/>
        </w:rPr>
      </w:pPr>
    </w:p>
    <w:p w14:paraId="13A5CA74" w14:textId="52BC7E51" w:rsidR="007856DD" w:rsidRPr="006E7B98" w:rsidRDefault="007856DD" w:rsidP="00EF7789">
      <w:pPr>
        <w:spacing w:after="240"/>
        <w:rPr>
          <w:sz w:val="22"/>
          <w:lang w:eastAsia="en-GB"/>
        </w:rPr>
      </w:pPr>
      <w:r w:rsidRPr="006E7B98">
        <w:rPr>
          <w:sz w:val="22"/>
          <w:lang w:eastAsia="en-GB"/>
        </w:rPr>
        <w:t xml:space="preserve">The rationale of this assessment is to give a better understanding of how the </w:t>
      </w:r>
      <w:r w:rsidRPr="00567A2F">
        <w:rPr>
          <w:sz w:val="22"/>
          <w:lang w:eastAsia="en-GB"/>
        </w:rPr>
        <w:t>public financ</w:t>
      </w:r>
      <w:r w:rsidR="00567A2F">
        <w:rPr>
          <w:sz w:val="22"/>
          <w:lang w:eastAsia="en-GB"/>
        </w:rPr>
        <w:t>ial</w:t>
      </w:r>
      <w:r w:rsidRPr="00567A2F">
        <w:rPr>
          <w:sz w:val="22"/>
          <w:lang w:eastAsia="en-GB"/>
        </w:rPr>
        <w:t xml:space="preserve"> management</w:t>
      </w:r>
      <w:r w:rsidRPr="006E7B98">
        <w:rPr>
          <w:sz w:val="22"/>
          <w:lang w:eastAsia="en-GB"/>
        </w:rPr>
        <w:t xml:space="preserve"> </w:t>
      </w:r>
      <w:r w:rsidR="00567A2F">
        <w:rPr>
          <w:sz w:val="22"/>
          <w:lang w:eastAsia="en-GB"/>
        </w:rPr>
        <w:t xml:space="preserve">(PFM) </w:t>
      </w:r>
      <w:r w:rsidRPr="006E7B98">
        <w:rPr>
          <w:sz w:val="22"/>
          <w:lang w:eastAsia="en-GB"/>
        </w:rPr>
        <w:t>systems work, how the processes and the institutions are organi</w:t>
      </w:r>
      <w:r w:rsidR="00691256">
        <w:rPr>
          <w:sz w:val="22"/>
          <w:lang w:eastAsia="en-GB"/>
        </w:rPr>
        <w:t>z</w:t>
      </w:r>
      <w:r w:rsidRPr="006E7B98">
        <w:rPr>
          <w:sz w:val="22"/>
          <w:lang w:eastAsia="en-GB"/>
        </w:rPr>
        <w:t>ed</w:t>
      </w:r>
      <w:r w:rsidR="00691256">
        <w:rPr>
          <w:sz w:val="22"/>
          <w:lang w:eastAsia="en-GB"/>
        </w:rPr>
        <w:t>,</w:t>
      </w:r>
      <w:r w:rsidRPr="006E7B98">
        <w:rPr>
          <w:sz w:val="22"/>
          <w:lang w:eastAsia="en-GB"/>
        </w:rPr>
        <w:t xml:space="preserve"> and to what extent they provide an entry point for PFM </w:t>
      </w:r>
      <w:r w:rsidRPr="00EB09D7">
        <w:rPr>
          <w:sz w:val="22"/>
          <w:lang w:eastAsia="en-GB"/>
        </w:rPr>
        <w:t>reform</w:t>
      </w:r>
      <w:r w:rsidRPr="006E7B98">
        <w:rPr>
          <w:sz w:val="22"/>
          <w:lang w:eastAsia="en-GB"/>
        </w:rPr>
        <w:t xml:space="preserve"> efforts at the level of </w:t>
      </w:r>
      <w:r w:rsidR="007841E7" w:rsidRPr="006E7B98">
        <w:rPr>
          <w:sz w:val="22"/>
          <w:lang w:eastAsia="en-GB"/>
        </w:rPr>
        <w:t xml:space="preserve">Kajiado </w:t>
      </w:r>
      <w:r w:rsidRPr="006E7B98">
        <w:rPr>
          <w:sz w:val="22"/>
          <w:lang w:eastAsia="en-GB"/>
        </w:rPr>
        <w:t xml:space="preserve">County. This </w:t>
      </w:r>
      <w:r w:rsidR="00FB6314" w:rsidRPr="009D494D">
        <w:rPr>
          <w:sz w:val="22"/>
        </w:rPr>
        <w:t xml:space="preserve">Public Expenditure and Financial Accountability </w:t>
      </w:r>
      <w:r w:rsidR="00FB6314">
        <w:rPr>
          <w:sz w:val="22"/>
        </w:rPr>
        <w:t>(</w:t>
      </w:r>
      <w:r w:rsidRPr="006E7B98">
        <w:rPr>
          <w:sz w:val="22"/>
          <w:lang w:eastAsia="en-GB"/>
        </w:rPr>
        <w:t>PEFA</w:t>
      </w:r>
      <w:r w:rsidR="00FB6314">
        <w:rPr>
          <w:sz w:val="22"/>
          <w:lang w:eastAsia="en-GB"/>
        </w:rPr>
        <w:t>)</w:t>
      </w:r>
      <w:r w:rsidRPr="006E7B98">
        <w:rPr>
          <w:sz w:val="22"/>
          <w:lang w:eastAsia="en-GB"/>
        </w:rPr>
        <w:t xml:space="preserve"> assessment will become a benchmark for the upgrade of the PFM system in the counties of Kenya which are still in early stage of development. </w:t>
      </w:r>
    </w:p>
    <w:p w14:paraId="5A547BE3" w14:textId="7790F317" w:rsidR="007856DD" w:rsidRPr="006E7B98" w:rsidRDefault="007856DD" w:rsidP="00EF7789">
      <w:pPr>
        <w:spacing w:after="240"/>
        <w:rPr>
          <w:sz w:val="22"/>
          <w:lang w:eastAsia="en-GB"/>
        </w:rPr>
      </w:pPr>
      <w:r w:rsidRPr="006E7B98">
        <w:rPr>
          <w:sz w:val="22"/>
          <w:lang w:eastAsia="en-GB"/>
        </w:rPr>
        <w:t>This PEFA assessment was organi</w:t>
      </w:r>
      <w:r w:rsidR="00691256">
        <w:rPr>
          <w:sz w:val="22"/>
          <w:lang w:eastAsia="en-GB"/>
        </w:rPr>
        <w:t>z</w:t>
      </w:r>
      <w:r w:rsidRPr="006E7B98">
        <w:rPr>
          <w:sz w:val="22"/>
          <w:lang w:eastAsia="en-GB"/>
        </w:rPr>
        <w:t xml:space="preserve">ed and commissioned by multiple local and international institutions in time when the process of </w:t>
      </w:r>
      <w:r w:rsidR="00691256">
        <w:rPr>
          <w:sz w:val="22"/>
          <w:lang w:eastAsia="en-GB"/>
        </w:rPr>
        <w:t>d</w:t>
      </w:r>
      <w:r w:rsidRPr="006E7B98">
        <w:rPr>
          <w:sz w:val="22"/>
          <w:lang w:eastAsia="en-GB"/>
        </w:rPr>
        <w:t xml:space="preserve">evolution in Kenya was considered completed for all </w:t>
      </w:r>
      <w:r w:rsidR="00691256">
        <w:rPr>
          <w:sz w:val="22"/>
          <w:lang w:eastAsia="en-GB"/>
        </w:rPr>
        <w:t>47</w:t>
      </w:r>
      <w:r w:rsidRPr="006E7B98">
        <w:rPr>
          <w:sz w:val="22"/>
          <w:lang w:eastAsia="en-GB"/>
        </w:rPr>
        <w:t xml:space="preserve"> counties. This PEFA </w:t>
      </w:r>
      <w:r w:rsidR="00691256">
        <w:rPr>
          <w:sz w:val="22"/>
          <w:lang w:eastAsia="en-GB"/>
        </w:rPr>
        <w:t>r</w:t>
      </w:r>
      <w:r w:rsidRPr="006E7B98">
        <w:rPr>
          <w:sz w:val="22"/>
          <w:lang w:eastAsia="en-GB"/>
        </w:rPr>
        <w:t>eport has been prepared as a joint work of all organi</w:t>
      </w:r>
      <w:r w:rsidR="00691256">
        <w:rPr>
          <w:sz w:val="22"/>
          <w:lang w:eastAsia="en-GB"/>
        </w:rPr>
        <w:t>z</w:t>
      </w:r>
      <w:r w:rsidRPr="006E7B98">
        <w:rPr>
          <w:sz w:val="22"/>
          <w:lang w:eastAsia="en-GB"/>
        </w:rPr>
        <w:t>ations involved in the assessment</w:t>
      </w:r>
      <w:r w:rsidR="00691256">
        <w:rPr>
          <w:sz w:val="22"/>
          <w:lang w:eastAsia="en-GB"/>
        </w:rPr>
        <w:t>,</w:t>
      </w:r>
      <w:r w:rsidRPr="006E7B98">
        <w:rPr>
          <w:sz w:val="22"/>
          <w:lang w:eastAsia="en-GB"/>
        </w:rPr>
        <w:t xml:space="preserve"> as outlined in the narrative below. The key contribution of the local organi</w:t>
      </w:r>
      <w:r w:rsidR="008B6A0A">
        <w:rPr>
          <w:sz w:val="22"/>
          <w:lang w:eastAsia="en-GB"/>
        </w:rPr>
        <w:t>z</w:t>
      </w:r>
      <w:r w:rsidRPr="006E7B98">
        <w:rPr>
          <w:sz w:val="22"/>
          <w:lang w:eastAsia="en-GB"/>
        </w:rPr>
        <w:t xml:space="preserve">ations managed and monitored by </w:t>
      </w:r>
      <w:r w:rsidR="00691256">
        <w:rPr>
          <w:sz w:val="22"/>
          <w:lang w:eastAsia="en-GB"/>
        </w:rPr>
        <w:t xml:space="preserve">the </w:t>
      </w:r>
      <w:r w:rsidR="008B6A0A" w:rsidRPr="009D494D">
        <w:rPr>
          <w:sz w:val="22"/>
        </w:rPr>
        <w:t>Kenya Institute for Public Policy Research and Analysis</w:t>
      </w:r>
      <w:r w:rsidR="008B6A0A" w:rsidRPr="006E7B98">
        <w:rPr>
          <w:sz w:val="22"/>
          <w:lang w:eastAsia="en-GB"/>
        </w:rPr>
        <w:t xml:space="preserve"> </w:t>
      </w:r>
      <w:r w:rsidR="008B6A0A">
        <w:rPr>
          <w:sz w:val="22"/>
          <w:lang w:eastAsia="en-GB"/>
        </w:rPr>
        <w:t>(</w:t>
      </w:r>
      <w:r w:rsidRPr="006E7B98">
        <w:rPr>
          <w:sz w:val="22"/>
          <w:lang w:eastAsia="en-GB"/>
        </w:rPr>
        <w:t>KIPPRA</w:t>
      </w:r>
      <w:r w:rsidR="008B6A0A">
        <w:rPr>
          <w:sz w:val="22"/>
          <w:lang w:eastAsia="en-GB"/>
        </w:rPr>
        <w:t>)</w:t>
      </w:r>
      <w:r w:rsidRPr="006E7B98">
        <w:rPr>
          <w:sz w:val="22"/>
          <w:lang w:eastAsia="en-GB"/>
        </w:rPr>
        <w:t xml:space="preserve"> has been to collect the relevant data and to obtain evidence for the complete and appropriate assessment of all 31 indicators. </w:t>
      </w:r>
    </w:p>
    <w:p w14:paraId="762192B2" w14:textId="12A7CFD7" w:rsidR="007856DD" w:rsidRPr="006E7B98" w:rsidRDefault="00ED7CD2" w:rsidP="00EF7789">
      <w:pPr>
        <w:spacing w:after="240"/>
        <w:rPr>
          <w:sz w:val="22"/>
          <w:lang w:eastAsia="en-GB"/>
        </w:rPr>
      </w:pPr>
      <w:r w:rsidRPr="006E7B98">
        <w:rPr>
          <w:sz w:val="22"/>
          <w:lang w:eastAsia="en-GB"/>
        </w:rPr>
        <w:t>T</w:t>
      </w:r>
      <w:r w:rsidR="007856DD" w:rsidRPr="006E7B98">
        <w:rPr>
          <w:sz w:val="22"/>
          <w:lang w:eastAsia="en-GB"/>
        </w:rPr>
        <w:t xml:space="preserve">he assessment </w:t>
      </w:r>
      <w:r w:rsidR="006A298A" w:rsidRPr="006E7B98">
        <w:rPr>
          <w:sz w:val="22"/>
          <w:lang w:eastAsia="en-GB"/>
        </w:rPr>
        <w:t xml:space="preserve">period </w:t>
      </w:r>
      <w:r w:rsidR="007856DD" w:rsidRPr="006E7B98">
        <w:rPr>
          <w:sz w:val="22"/>
          <w:lang w:eastAsia="en-GB"/>
        </w:rPr>
        <w:t>covers the last three complete fiscal years (FY</w:t>
      </w:r>
      <w:r w:rsidR="00691256">
        <w:rPr>
          <w:sz w:val="22"/>
          <w:lang w:eastAsia="en-GB"/>
        </w:rPr>
        <w:t>s</w:t>
      </w:r>
      <w:r w:rsidR="007856DD" w:rsidRPr="006E7B98">
        <w:rPr>
          <w:sz w:val="22"/>
          <w:lang w:eastAsia="en-GB"/>
        </w:rPr>
        <w:t xml:space="preserve">) after the introduction of </w:t>
      </w:r>
      <w:r w:rsidR="00691256">
        <w:rPr>
          <w:sz w:val="22"/>
          <w:lang w:eastAsia="en-GB"/>
        </w:rPr>
        <w:t xml:space="preserve">the </w:t>
      </w:r>
      <w:r w:rsidR="007856DD" w:rsidRPr="006E7B98">
        <w:rPr>
          <w:sz w:val="22"/>
          <w:lang w:eastAsia="en-GB"/>
        </w:rPr>
        <w:t xml:space="preserve">devolved system of government. That is, </w:t>
      </w:r>
      <w:r w:rsidR="00691256">
        <w:rPr>
          <w:sz w:val="22"/>
          <w:lang w:eastAsia="en-GB"/>
        </w:rPr>
        <w:t>FY</w:t>
      </w:r>
      <w:r w:rsidR="007856DD" w:rsidRPr="006E7B98">
        <w:rPr>
          <w:sz w:val="22"/>
          <w:lang w:eastAsia="en-GB"/>
        </w:rPr>
        <w:t>2013/14, 2014/15</w:t>
      </w:r>
      <w:r w:rsidR="00691256">
        <w:rPr>
          <w:sz w:val="22"/>
          <w:lang w:eastAsia="en-GB"/>
        </w:rPr>
        <w:t>,</w:t>
      </w:r>
      <w:r w:rsidR="007856DD" w:rsidRPr="006E7B98">
        <w:rPr>
          <w:sz w:val="22"/>
          <w:lang w:eastAsia="en-GB"/>
        </w:rPr>
        <w:t xml:space="preserve"> and 2015/16 depending on the indicators and dimensions of the assessment. </w:t>
      </w:r>
    </w:p>
    <w:p w14:paraId="6948EAC4" w14:textId="05A8BD3D" w:rsidR="00A105CA" w:rsidRPr="00174483" w:rsidRDefault="00A105CA" w:rsidP="0050548F">
      <w:pPr>
        <w:rPr>
          <w:b/>
          <w:color w:val="0070C0"/>
        </w:rPr>
      </w:pPr>
      <w:r w:rsidRPr="00174483">
        <w:rPr>
          <w:b/>
          <w:color w:val="0070C0"/>
        </w:rPr>
        <w:t xml:space="preserve">Main </w:t>
      </w:r>
      <w:r w:rsidRPr="00796F6B">
        <w:rPr>
          <w:b/>
          <w:color w:val="0070C0"/>
        </w:rPr>
        <w:t>Outputs of the Assessment</w:t>
      </w:r>
    </w:p>
    <w:p w14:paraId="35706EE1" w14:textId="77777777" w:rsidR="00A105CA" w:rsidRDefault="00A105CA" w:rsidP="0050548F">
      <w:pPr>
        <w:rPr>
          <w:b/>
          <w:i/>
          <w:color w:val="0070C0"/>
        </w:rPr>
      </w:pPr>
    </w:p>
    <w:p w14:paraId="527EDD65" w14:textId="47001596" w:rsidR="0050548F" w:rsidRPr="0050548F" w:rsidRDefault="0050548F" w:rsidP="0050548F">
      <w:pPr>
        <w:rPr>
          <w:b/>
          <w:i/>
          <w:color w:val="0070C0"/>
        </w:rPr>
      </w:pPr>
      <w:r w:rsidRPr="00796F6B">
        <w:rPr>
          <w:b/>
          <w:i/>
          <w:color w:val="0070C0"/>
        </w:rPr>
        <w:t>Fiscal discipline</w:t>
      </w:r>
    </w:p>
    <w:p w14:paraId="68003C77" w14:textId="77777777" w:rsidR="007856DD" w:rsidRPr="006E7B98" w:rsidRDefault="007856DD" w:rsidP="006D24AF">
      <w:pPr>
        <w:rPr>
          <w:sz w:val="22"/>
          <w:lang w:eastAsia="en-GB"/>
        </w:rPr>
      </w:pPr>
    </w:p>
    <w:p w14:paraId="6C1C7F30" w14:textId="54486DEE" w:rsidR="007856DD" w:rsidRPr="006E7B98" w:rsidRDefault="00582ACA" w:rsidP="00EF7789">
      <w:pPr>
        <w:spacing w:after="240"/>
        <w:rPr>
          <w:sz w:val="22"/>
          <w:lang w:eastAsia="en-GB"/>
        </w:rPr>
      </w:pPr>
      <w:r w:rsidRPr="006E7B98">
        <w:rPr>
          <w:sz w:val="22"/>
          <w:lang w:eastAsia="en-GB"/>
        </w:rPr>
        <w:t>Actual</w:t>
      </w:r>
      <w:r w:rsidR="007856DD" w:rsidRPr="006E7B98">
        <w:rPr>
          <w:sz w:val="22"/>
          <w:lang w:eastAsia="en-GB"/>
        </w:rPr>
        <w:t xml:space="preserve"> revenues were short of budgeted amounts in all 3 years</w:t>
      </w:r>
      <w:r w:rsidR="00E66E9D" w:rsidRPr="006E7B98">
        <w:rPr>
          <w:sz w:val="22"/>
          <w:lang w:eastAsia="en-GB"/>
        </w:rPr>
        <w:t xml:space="preserve"> because local revenues and grants f</w:t>
      </w:r>
      <w:r w:rsidR="00200115">
        <w:rPr>
          <w:sz w:val="22"/>
          <w:lang w:eastAsia="en-GB"/>
        </w:rPr>
        <w:t>r</w:t>
      </w:r>
      <w:r w:rsidR="00E66E9D" w:rsidRPr="006E7B98">
        <w:rPr>
          <w:sz w:val="22"/>
          <w:lang w:eastAsia="en-GB"/>
        </w:rPr>
        <w:t>om international organi</w:t>
      </w:r>
      <w:r w:rsidR="00200115">
        <w:rPr>
          <w:sz w:val="22"/>
          <w:lang w:eastAsia="en-GB"/>
        </w:rPr>
        <w:t>z</w:t>
      </w:r>
      <w:r w:rsidR="00E66E9D" w:rsidRPr="006E7B98">
        <w:rPr>
          <w:sz w:val="22"/>
          <w:lang w:eastAsia="en-GB"/>
        </w:rPr>
        <w:t>ations were overestimated</w:t>
      </w:r>
      <w:r w:rsidR="007856DD" w:rsidRPr="006E7B98">
        <w:rPr>
          <w:sz w:val="22"/>
          <w:lang w:eastAsia="en-GB"/>
        </w:rPr>
        <w:t>. On the expenditure side, aggregate expenditure outturn was</w:t>
      </w:r>
      <w:r w:rsidR="00E66E9D" w:rsidRPr="006E7B98">
        <w:rPr>
          <w:sz w:val="22"/>
          <w:lang w:eastAsia="en-GB"/>
        </w:rPr>
        <w:t xml:space="preserve"> </w:t>
      </w:r>
      <w:r w:rsidR="00200115">
        <w:rPr>
          <w:sz w:val="22"/>
          <w:lang w:eastAsia="en-GB"/>
        </w:rPr>
        <w:t>o</w:t>
      </w:r>
      <w:r w:rsidR="00E66E9D" w:rsidRPr="006E7B98">
        <w:rPr>
          <w:sz w:val="22"/>
          <w:lang w:eastAsia="en-GB"/>
        </w:rPr>
        <w:t>n average</w:t>
      </w:r>
      <w:r w:rsidR="007856DD" w:rsidRPr="006E7B98">
        <w:rPr>
          <w:sz w:val="22"/>
          <w:lang w:eastAsia="en-GB"/>
        </w:rPr>
        <w:t xml:space="preserve"> below 85</w:t>
      </w:r>
      <w:r w:rsidR="00200115">
        <w:rPr>
          <w:sz w:val="22"/>
          <w:lang w:eastAsia="en-GB"/>
        </w:rPr>
        <w:t xml:space="preserve"> percent</w:t>
      </w:r>
      <w:r w:rsidR="007856DD" w:rsidRPr="006E7B98">
        <w:rPr>
          <w:sz w:val="22"/>
          <w:lang w:eastAsia="en-GB"/>
        </w:rPr>
        <w:t xml:space="preserve"> of the approved budget expenditure </w:t>
      </w:r>
      <w:r w:rsidR="00E66E9D" w:rsidRPr="006E7B98">
        <w:rPr>
          <w:sz w:val="22"/>
          <w:lang w:eastAsia="en-GB"/>
        </w:rPr>
        <w:t>and e</w:t>
      </w:r>
      <w:r w:rsidR="007856DD" w:rsidRPr="006E7B98">
        <w:rPr>
          <w:sz w:val="22"/>
          <w:lang w:eastAsia="en-GB"/>
        </w:rPr>
        <w:t xml:space="preserve">xtensive administrative reallocations have been used. </w:t>
      </w:r>
    </w:p>
    <w:p w14:paraId="1C9C3812" w14:textId="711727DB" w:rsidR="00DC31B9" w:rsidRPr="006E7B98" w:rsidRDefault="00390AE0" w:rsidP="00EF7789">
      <w:pPr>
        <w:spacing w:after="240"/>
        <w:rPr>
          <w:sz w:val="22"/>
        </w:rPr>
      </w:pPr>
      <w:r w:rsidRPr="006E7B98">
        <w:rPr>
          <w:sz w:val="22"/>
          <w:lang w:eastAsia="en-GB"/>
        </w:rPr>
        <w:t xml:space="preserve">Due to the adoption of a </w:t>
      </w:r>
      <w:r w:rsidR="00862F8C">
        <w:rPr>
          <w:sz w:val="22"/>
          <w:lang w:eastAsia="en-GB"/>
        </w:rPr>
        <w:t>S</w:t>
      </w:r>
      <w:r w:rsidRPr="006E7B98">
        <w:rPr>
          <w:sz w:val="22"/>
          <w:lang w:eastAsia="en-GB"/>
        </w:rPr>
        <w:t>tandard Chart of Accounts (SCOA) in FY2012/13 at the national</w:t>
      </w:r>
      <w:r w:rsidRPr="006E7B98">
        <w:rPr>
          <w:sz w:val="22"/>
        </w:rPr>
        <w:t xml:space="preserve"> </w:t>
      </w:r>
      <w:r w:rsidR="000A4C5E" w:rsidRPr="006E7B98">
        <w:rPr>
          <w:sz w:val="22"/>
        </w:rPr>
        <w:t xml:space="preserve">and subnational </w:t>
      </w:r>
      <w:r w:rsidRPr="006E7B98">
        <w:rPr>
          <w:sz w:val="22"/>
        </w:rPr>
        <w:t>level</w:t>
      </w:r>
      <w:r w:rsidR="000A4C5E" w:rsidRPr="006E7B98">
        <w:rPr>
          <w:sz w:val="22"/>
        </w:rPr>
        <w:t>s</w:t>
      </w:r>
      <w:r w:rsidRPr="006E7B98">
        <w:rPr>
          <w:sz w:val="22"/>
        </w:rPr>
        <w:t xml:space="preserve"> and the use of </w:t>
      </w:r>
      <w:r w:rsidR="00200115">
        <w:rPr>
          <w:sz w:val="22"/>
        </w:rPr>
        <w:t xml:space="preserve">an </w:t>
      </w:r>
      <w:r w:rsidR="009D494D" w:rsidRPr="009D494D">
        <w:rPr>
          <w:sz w:val="22"/>
        </w:rPr>
        <w:t>Integrated Financial Management Information System</w:t>
      </w:r>
      <w:r w:rsidR="009D494D" w:rsidRPr="006E7B98">
        <w:rPr>
          <w:sz w:val="22"/>
        </w:rPr>
        <w:t xml:space="preserve"> </w:t>
      </w:r>
      <w:r w:rsidR="009D494D">
        <w:rPr>
          <w:sz w:val="22"/>
        </w:rPr>
        <w:t>(</w:t>
      </w:r>
      <w:r w:rsidRPr="006E7B98">
        <w:rPr>
          <w:sz w:val="22"/>
        </w:rPr>
        <w:t>IFMIS</w:t>
      </w:r>
      <w:r w:rsidR="009D494D">
        <w:rPr>
          <w:sz w:val="22"/>
        </w:rPr>
        <w:t>)</w:t>
      </w:r>
      <w:r w:rsidRPr="006E7B98">
        <w:rPr>
          <w:sz w:val="22"/>
        </w:rPr>
        <w:t>, codes for budget</w:t>
      </w:r>
      <w:r w:rsidR="000A4C5E" w:rsidRPr="006E7B98">
        <w:rPr>
          <w:sz w:val="22"/>
        </w:rPr>
        <w:t xml:space="preserve"> formulation</w:t>
      </w:r>
      <w:r w:rsidRPr="006E7B98">
        <w:rPr>
          <w:sz w:val="22"/>
        </w:rPr>
        <w:t>, execution, reports</w:t>
      </w:r>
      <w:r w:rsidR="00200115">
        <w:rPr>
          <w:sz w:val="22"/>
        </w:rPr>
        <w:t>,</w:t>
      </w:r>
      <w:r w:rsidRPr="006E7B98">
        <w:rPr>
          <w:sz w:val="22"/>
        </w:rPr>
        <w:t xml:space="preserve"> and accounts are </w:t>
      </w:r>
      <w:r w:rsidR="000A4C5E" w:rsidRPr="006E7B98">
        <w:rPr>
          <w:sz w:val="22"/>
        </w:rPr>
        <w:t>based on administrative and economic classification</w:t>
      </w:r>
      <w:r w:rsidR="00582ACA" w:rsidRPr="006E7B98">
        <w:rPr>
          <w:sz w:val="22"/>
        </w:rPr>
        <w:t>. Information</w:t>
      </w:r>
      <w:r w:rsidRPr="006E7B98">
        <w:rPr>
          <w:sz w:val="22"/>
        </w:rPr>
        <w:t xml:space="preserve"> on the activities performed for </w:t>
      </w:r>
      <w:r w:rsidR="00671E8A" w:rsidRPr="006E7B98">
        <w:rPr>
          <w:sz w:val="22"/>
        </w:rPr>
        <w:t>most</w:t>
      </w:r>
      <w:r w:rsidRPr="006E7B98">
        <w:rPr>
          <w:sz w:val="22"/>
        </w:rPr>
        <w:t xml:space="preserve"> budget users is published annually in the budget implementation review reports (</w:t>
      </w:r>
      <w:r w:rsidR="009D494D" w:rsidRPr="005849E4">
        <w:rPr>
          <w:sz w:val="22"/>
        </w:rPr>
        <w:t xml:space="preserve">County Budget and Review Outlook Paper </w:t>
      </w:r>
      <w:r w:rsidR="009D494D">
        <w:rPr>
          <w:sz w:val="22"/>
        </w:rPr>
        <w:t>[</w:t>
      </w:r>
      <w:r w:rsidRPr="006E7B98">
        <w:rPr>
          <w:sz w:val="22"/>
        </w:rPr>
        <w:t>CBROP</w:t>
      </w:r>
      <w:r w:rsidR="009D494D">
        <w:rPr>
          <w:sz w:val="22"/>
        </w:rPr>
        <w:t>]</w:t>
      </w:r>
      <w:r w:rsidRPr="006E7B98">
        <w:rPr>
          <w:sz w:val="22"/>
        </w:rPr>
        <w:t xml:space="preserve"> and </w:t>
      </w:r>
      <w:r w:rsidR="00862F8C" w:rsidRPr="005849E4">
        <w:rPr>
          <w:sz w:val="22"/>
        </w:rPr>
        <w:t>County Fiscal Strategy Paper</w:t>
      </w:r>
      <w:r w:rsidR="00862F8C" w:rsidRPr="006E7B98">
        <w:rPr>
          <w:sz w:val="22"/>
        </w:rPr>
        <w:t xml:space="preserve"> </w:t>
      </w:r>
      <w:r w:rsidR="00862F8C">
        <w:rPr>
          <w:sz w:val="22"/>
        </w:rPr>
        <w:t>[</w:t>
      </w:r>
      <w:r w:rsidRPr="006E7B98">
        <w:rPr>
          <w:sz w:val="22"/>
        </w:rPr>
        <w:t>CFS</w:t>
      </w:r>
      <w:r w:rsidR="00862F8C">
        <w:rPr>
          <w:sz w:val="22"/>
        </w:rPr>
        <w:t>P]</w:t>
      </w:r>
      <w:r w:rsidR="00236D25" w:rsidRPr="006E7B98">
        <w:rPr>
          <w:sz w:val="22"/>
        </w:rPr>
        <w:t>). Annual</w:t>
      </w:r>
      <w:r w:rsidRPr="006E7B98">
        <w:rPr>
          <w:sz w:val="22"/>
        </w:rPr>
        <w:t xml:space="preserve"> executive budget proposal documentation, enacted budget, in-year budget execution reports, </w:t>
      </w:r>
      <w:r w:rsidR="00200115">
        <w:rPr>
          <w:sz w:val="22"/>
        </w:rPr>
        <w:t xml:space="preserve">and </w:t>
      </w:r>
      <w:r w:rsidRPr="006E7B98">
        <w:rPr>
          <w:sz w:val="22"/>
        </w:rPr>
        <w:t xml:space="preserve">annual budget execution report have been produced by the </w:t>
      </w:r>
      <w:r w:rsidR="00200115">
        <w:rPr>
          <w:sz w:val="22"/>
        </w:rPr>
        <w:t>c</w:t>
      </w:r>
      <w:r w:rsidRPr="006E7B98">
        <w:rPr>
          <w:sz w:val="22"/>
        </w:rPr>
        <w:t xml:space="preserve">ounty government, but they are not put at the disposal of the public </w:t>
      </w:r>
      <w:r w:rsidR="00200115">
        <w:rPr>
          <w:sz w:val="22"/>
        </w:rPr>
        <w:t>o</w:t>
      </w:r>
      <w:r w:rsidRPr="006E7B98">
        <w:rPr>
          <w:sz w:val="22"/>
        </w:rPr>
        <w:t>n time</w:t>
      </w:r>
      <w:r w:rsidR="00DC31B9" w:rsidRPr="006E7B98">
        <w:rPr>
          <w:sz w:val="22"/>
        </w:rPr>
        <w:t xml:space="preserve">. In addition, the </w:t>
      </w:r>
      <w:r w:rsidR="00200115">
        <w:rPr>
          <w:sz w:val="22"/>
        </w:rPr>
        <w:t>‘</w:t>
      </w:r>
      <w:r w:rsidR="00DC31B9" w:rsidRPr="006E7B98">
        <w:rPr>
          <w:sz w:val="22"/>
        </w:rPr>
        <w:t>citizens’ budget</w:t>
      </w:r>
      <w:r w:rsidR="00200115">
        <w:rPr>
          <w:sz w:val="22"/>
        </w:rPr>
        <w:t>’</w:t>
      </w:r>
      <w:r w:rsidR="00DC31B9" w:rsidRPr="006E7B98">
        <w:rPr>
          <w:sz w:val="22"/>
        </w:rPr>
        <w:t xml:space="preserve">, translated into </w:t>
      </w:r>
      <w:r w:rsidR="00DC31B9" w:rsidRPr="008F1990">
        <w:rPr>
          <w:sz w:val="22"/>
        </w:rPr>
        <w:t>spoken local language</w:t>
      </w:r>
      <w:r w:rsidR="00DC31B9" w:rsidRPr="006E7B98">
        <w:rPr>
          <w:sz w:val="22"/>
        </w:rPr>
        <w:t xml:space="preserve">, is not produced and </w:t>
      </w:r>
      <w:r w:rsidRPr="006E7B98">
        <w:rPr>
          <w:sz w:val="22"/>
        </w:rPr>
        <w:t>financial reports of the extra-budgetary units are not avail</w:t>
      </w:r>
      <w:r w:rsidR="005B0A9A">
        <w:rPr>
          <w:sz w:val="22"/>
        </w:rPr>
        <w:t>able</w:t>
      </w:r>
      <w:r w:rsidR="00200115">
        <w:rPr>
          <w:sz w:val="22"/>
        </w:rPr>
        <w:t>.</w:t>
      </w:r>
      <w:r w:rsidRPr="006E7B98">
        <w:rPr>
          <w:sz w:val="22"/>
        </w:rPr>
        <w:t xml:space="preserve"> </w:t>
      </w:r>
    </w:p>
    <w:p w14:paraId="4F2DB594" w14:textId="120524C2" w:rsidR="0050548F" w:rsidRPr="006E7B98" w:rsidRDefault="00390AE0" w:rsidP="00EF7789">
      <w:pPr>
        <w:spacing w:after="240"/>
        <w:rPr>
          <w:rFonts w:eastAsia="Calibri"/>
          <w:color w:val="000000"/>
          <w:sz w:val="22"/>
          <w:lang w:eastAsia="en-US"/>
        </w:rPr>
      </w:pPr>
      <w:r w:rsidRPr="006E7B98">
        <w:rPr>
          <w:sz w:val="22"/>
        </w:rPr>
        <w:t>The government maintains a record of its holdings in major categories of financial assets, which are mainly composed of cash at hand</w:t>
      </w:r>
      <w:r w:rsidR="00DC31B9" w:rsidRPr="006E7B98">
        <w:rPr>
          <w:sz w:val="22"/>
        </w:rPr>
        <w:t xml:space="preserve"> as the county is yet to constitute any public corporations</w:t>
      </w:r>
      <w:r w:rsidRPr="006E7B98">
        <w:rPr>
          <w:sz w:val="22"/>
        </w:rPr>
        <w:t xml:space="preserve">. </w:t>
      </w:r>
      <w:r w:rsidR="007856DD" w:rsidRPr="006E7B98">
        <w:rPr>
          <w:sz w:val="22"/>
        </w:rPr>
        <w:t xml:space="preserve">It also </w:t>
      </w:r>
      <w:r w:rsidRPr="006E7B98">
        <w:rPr>
          <w:sz w:val="22"/>
        </w:rPr>
        <w:t>maintains a register of its holdings of fixed assets, which is not complete</w:t>
      </w:r>
      <w:r w:rsidR="00200115">
        <w:rPr>
          <w:sz w:val="22"/>
        </w:rPr>
        <w:t>,</w:t>
      </w:r>
      <w:r w:rsidRPr="006E7B98">
        <w:rPr>
          <w:sz w:val="22"/>
        </w:rPr>
        <w:t xml:space="preserve"> and collects partial information on their usage and </w:t>
      </w:r>
      <w:r w:rsidR="00ED7CD2" w:rsidRPr="006E7B98">
        <w:rPr>
          <w:sz w:val="22"/>
        </w:rPr>
        <w:t>age.</w:t>
      </w:r>
      <w:r w:rsidR="00A61A7D" w:rsidRPr="006E7B98">
        <w:rPr>
          <w:sz w:val="22"/>
        </w:rPr>
        <w:t xml:space="preserve"> Though</w:t>
      </w:r>
      <w:r w:rsidR="007856DD" w:rsidRPr="006E7B98">
        <w:rPr>
          <w:sz w:val="22"/>
        </w:rPr>
        <w:t xml:space="preserve"> the </w:t>
      </w:r>
      <w:r w:rsidR="00200115">
        <w:rPr>
          <w:sz w:val="22"/>
        </w:rPr>
        <w:t>c</w:t>
      </w:r>
      <w:r w:rsidR="007856DD" w:rsidRPr="006E7B98">
        <w:rPr>
          <w:sz w:val="22"/>
        </w:rPr>
        <w:t>ounties are not authori</w:t>
      </w:r>
      <w:r w:rsidR="00200115">
        <w:rPr>
          <w:sz w:val="22"/>
        </w:rPr>
        <w:t>z</w:t>
      </w:r>
      <w:r w:rsidR="007856DD" w:rsidRPr="006E7B98">
        <w:rPr>
          <w:sz w:val="22"/>
        </w:rPr>
        <w:t xml:space="preserve">ed to incur debt, there was a </w:t>
      </w:r>
      <w:r w:rsidR="00FC0ED2" w:rsidRPr="006E7B98">
        <w:rPr>
          <w:sz w:val="22"/>
        </w:rPr>
        <w:t>pre-existing</w:t>
      </w:r>
      <w:r w:rsidR="007856DD" w:rsidRPr="006E7B98">
        <w:rPr>
          <w:sz w:val="22"/>
        </w:rPr>
        <w:t xml:space="preserve"> debt inherited from </w:t>
      </w:r>
      <w:r w:rsidR="00200115">
        <w:rPr>
          <w:sz w:val="22"/>
        </w:rPr>
        <w:t xml:space="preserve">the </w:t>
      </w:r>
      <w:r w:rsidR="007856DD" w:rsidRPr="006E7B98">
        <w:rPr>
          <w:sz w:val="22"/>
        </w:rPr>
        <w:t>OlK</w:t>
      </w:r>
      <w:r w:rsidR="009B66EE" w:rsidRPr="006E7B98">
        <w:rPr>
          <w:sz w:val="22"/>
        </w:rPr>
        <w:t>eju</w:t>
      </w:r>
      <w:r w:rsidR="007856DD" w:rsidRPr="006E7B98">
        <w:rPr>
          <w:sz w:val="22"/>
        </w:rPr>
        <w:t>ado County Council. This debt has been serviced and records are maintained annually. </w:t>
      </w:r>
      <w:r w:rsidR="00B270B6" w:rsidRPr="006E7B98">
        <w:rPr>
          <w:sz w:val="22"/>
        </w:rPr>
        <w:t>In addition, a</w:t>
      </w:r>
      <w:r w:rsidR="007856DD" w:rsidRPr="006E7B98">
        <w:rPr>
          <w:sz w:val="22"/>
        </w:rPr>
        <w:t xml:space="preserve"> debt strategy has been put in </w:t>
      </w:r>
      <w:r w:rsidR="00A61A7D" w:rsidRPr="006E7B98">
        <w:rPr>
          <w:sz w:val="22"/>
        </w:rPr>
        <w:t>place</w:t>
      </w:r>
      <w:r w:rsidR="00B270B6" w:rsidRPr="006E7B98">
        <w:rPr>
          <w:sz w:val="22"/>
        </w:rPr>
        <w:t xml:space="preserve"> and c</w:t>
      </w:r>
      <w:r w:rsidR="00A61A7D" w:rsidRPr="006E7B98">
        <w:rPr>
          <w:sz w:val="22"/>
        </w:rPr>
        <w:t>ontingent</w:t>
      </w:r>
      <w:r w:rsidR="007856DD" w:rsidRPr="006E7B98">
        <w:rPr>
          <w:sz w:val="22"/>
        </w:rPr>
        <w:t xml:space="preserve"> liabilities and other fiscal risks have been outlined qualitatively in the CBROP and the </w:t>
      </w:r>
      <w:r w:rsidR="00ED7CD2" w:rsidRPr="006E7B98">
        <w:rPr>
          <w:sz w:val="22"/>
        </w:rPr>
        <w:t>CFSP but</w:t>
      </w:r>
      <w:r w:rsidR="007856DD" w:rsidRPr="006E7B98">
        <w:rPr>
          <w:sz w:val="22"/>
        </w:rPr>
        <w:t xml:space="preserve"> have not been specified in the budget in a quantitative manner. </w:t>
      </w:r>
    </w:p>
    <w:p w14:paraId="1F09CCDF" w14:textId="77777777" w:rsidR="0050548F" w:rsidRPr="0050548F" w:rsidRDefault="0050548F" w:rsidP="0050548F">
      <w:pPr>
        <w:rPr>
          <w:b/>
          <w:i/>
          <w:color w:val="0070C0"/>
        </w:rPr>
      </w:pPr>
      <w:r w:rsidRPr="00796F6B">
        <w:rPr>
          <w:b/>
          <w:i/>
          <w:color w:val="0070C0"/>
        </w:rPr>
        <w:t>Strategic resource allocation</w:t>
      </w:r>
    </w:p>
    <w:p w14:paraId="56053D8F" w14:textId="77777777" w:rsidR="0050548F" w:rsidRPr="00890A84" w:rsidRDefault="0050548F" w:rsidP="00D52523">
      <w:pPr>
        <w:rPr>
          <w:rFonts w:eastAsia="Calibri"/>
          <w:color w:val="000000"/>
          <w:lang w:eastAsia="en-US"/>
        </w:rPr>
      </w:pPr>
    </w:p>
    <w:p w14:paraId="221779C8" w14:textId="6615CEBA" w:rsidR="00B270B6" w:rsidRPr="006E7B98" w:rsidRDefault="00582ACA" w:rsidP="00EF7789">
      <w:pPr>
        <w:spacing w:after="240"/>
        <w:rPr>
          <w:sz w:val="22"/>
        </w:rPr>
      </w:pPr>
      <w:r w:rsidRPr="006E7B98">
        <w:rPr>
          <w:sz w:val="22"/>
        </w:rPr>
        <w:t>The</w:t>
      </w:r>
      <w:r w:rsidR="00390AE0" w:rsidRPr="006E7B98">
        <w:rPr>
          <w:sz w:val="22"/>
        </w:rPr>
        <w:t xml:space="preserve"> county government prepares medium</w:t>
      </w:r>
      <w:r w:rsidR="00200115">
        <w:rPr>
          <w:sz w:val="22"/>
        </w:rPr>
        <w:t>-</w:t>
      </w:r>
      <w:r w:rsidR="00390AE0" w:rsidRPr="006E7B98">
        <w:rPr>
          <w:sz w:val="22"/>
        </w:rPr>
        <w:t>term expenditure estimates by administrative, economic</w:t>
      </w:r>
      <w:r w:rsidR="00200115">
        <w:rPr>
          <w:sz w:val="22"/>
        </w:rPr>
        <w:t>,</w:t>
      </w:r>
      <w:r w:rsidR="00390AE0" w:rsidRPr="006E7B98">
        <w:rPr>
          <w:sz w:val="22"/>
        </w:rPr>
        <w:t xml:space="preserve"> and functional classification, which are presented in both budget estimates and the </w:t>
      </w:r>
      <w:r w:rsidR="00671E8A" w:rsidRPr="006E7B98">
        <w:rPr>
          <w:sz w:val="22"/>
        </w:rPr>
        <w:t>CFSP but</w:t>
      </w:r>
      <w:r w:rsidR="00390AE0" w:rsidRPr="006E7B98">
        <w:rPr>
          <w:sz w:val="22"/>
        </w:rPr>
        <w:t xml:space="preserve"> </w:t>
      </w:r>
      <w:r w:rsidR="00DC31B9" w:rsidRPr="006E7B98">
        <w:rPr>
          <w:sz w:val="22"/>
        </w:rPr>
        <w:t>neither establish</w:t>
      </w:r>
      <w:r w:rsidR="00200115">
        <w:rPr>
          <w:sz w:val="22"/>
        </w:rPr>
        <w:t>es</w:t>
      </w:r>
      <w:r w:rsidR="00DC31B9" w:rsidRPr="006E7B98">
        <w:rPr>
          <w:sz w:val="22"/>
        </w:rPr>
        <w:t xml:space="preserve"> macroeconomic forecasts at the </w:t>
      </w:r>
      <w:r w:rsidR="00200115">
        <w:rPr>
          <w:sz w:val="22"/>
        </w:rPr>
        <w:t>c</w:t>
      </w:r>
      <w:r w:rsidR="00DC31B9" w:rsidRPr="006E7B98">
        <w:rPr>
          <w:sz w:val="22"/>
        </w:rPr>
        <w:t>ounty level (national economic forecasts are used instead)</w:t>
      </w:r>
      <w:r w:rsidR="00390AE0" w:rsidRPr="006E7B98">
        <w:rPr>
          <w:sz w:val="22"/>
        </w:rPr>
        <w:t xml:space="preserve"> no</w:t>
      </w:r>
      <w:r w:rsidR="00DC31B9" w:rsidRPr="006E7B98">
        <w:rPr>
          <w:sz w:val="22"/>
        </w:rPr>
        <w:t>r</w:t>
      </w:r>
      <w:r w:rsidR="00390AE0" w:rsidRPr="006E7B98">
        <w:rPr>
          <w:sz w:val="22"/>
        </w:rPr>
        <w:t xml:space="preserve"> scenario building and sensitivity </w:t>
      </w:r>
      <w:r w:rsidRPr="006E7B98">
        <w:rPr>
          <w:sz w:val="22"/>
        </w:rPr>
        <w:t xml:space="preserve">analysis. </w:t>
      </w:r>
    </w:p>
    <w:p w14:paraId="3238E05B" w14:textId="7B668934" w:rsidR="00B270B6" w:rsidRPr="006E7B98" w:rsidRDefault="00B270B6" w:rsidP="00EF7789">
      <w:pPr>
        <w:spacing w:after="240"/>
        <w:rPr>
          <w:sz w:val="22"/>
        </w:rPr>
      </w:pPr>
      <w:r w:rsidRPr="006E7B98">
        <w:rPr>
          <w:sz w:val="22"/>
        </w:rPr>
        <w:t>The cost</w:t>
      </w:r>
      <w:r w:rsidR="00200115">
        <w:rPr>
          <w:sz w:val="22"/>
        </w:rPr>
        <w:t>s</w:t>
      </w:r>
      <w:r w:rsidRPr="006E7B98">
        <w:rPr>
          <w:sz w:val="22"/>
        </w:rPr>
        <w:t xml:space="preserve"> of major investment projects are included in the budget documents, such as</w:t>
      </w:r>
      <w:r w:rsidR="00200115">
        <w:rPr>
          <w:sz w:val="22"/>
        </w:rPr>
        <w:t xml:space="preserve"> the</w:t>
      </w:r>
      <w:r w:rsidRPr="006E7B98">
        <w:rPr>
          <w:sz w:val="22"/>
        </w:rPr>
        <w:t xml:space="preserve"> CBROP and CFSP, but no rigorous economic analys</w:t>
      </w:r>
      <w:r w:rsidR="00CC5BC5" w:rsidRPr="006E7B98">
        <w:rPr>
          <w:sz w:val="22"/>
        </w:rPr>
        <w:t>i</w:t>
      </w:r>
      <w:r w:rsidRPr="006E7B98">
        <w:rPr>
          <w:sz w:val="22"/>
        </w:rPr>
        <w:t xml:space="preserve">s techniques </w:t>
      </w:r>
      <w:r w:rsidR="00200115">
        <w:rPr>
          <w:sz w:val="22"/>
        </w:rPr>
        <w:t>are</w:t>
      </w:r>
      <w:r w:rsidR="00200115" w:rsidRPr="006E7B98">
        <w:rPr>
          <w:sz w:val="22"/>
        </w:rPr>
        <w:t xml:space="preserve"> </w:t>
      </w:r>
      <w:r w:rsidRPr="006E7B98">
        <w:rPr>
          <w:sz w:val="22"/>
        </w:rPr>
        <w:t xml:space="preserve">being employed for major investment projects beyond public participation. </w:t>
      </w:r>
    </w:p>
    <w:p w14:paraId="6D807DC2" w14:textId="43826C1E" w:rsidR="00076ADC" w:rsidRPr="006E7B98" w:rsidRDefault="00390AE0" w:rsidP="00EF7789">
      <w:pPr>
        <w:spacing w:after="240"/>
        <w:rPr>
          <w:sz w:val="22"/>
        </w:rPr>
      </w:pPr>
      <w:r w:rsidRPr="006E7B98">
        <w:rPr>
          <w:sz w:val="22"/>
        </w:rPr>
        <w:t xml:space="preserve">Budget estimates are supposed to be built </w:t>
      </w:r>
      <w:r w:rsidR="00ED7CD2" w:rsidRPr="006E7B98">
        <w:rPr>
          <w:sz w:val="22"/>
        </w:rPr>
        <w:t>based on</w:t>
      </w:r>
      <w:r w:rsidRPr="006E7B98">
        <w:rPr>
          <w:sz w:val="22"/>
        </w:rPr>
        <w:t xml:space="preserve"> Annual Development Plan (ADP</w:t>
      </w:r>
      <w:r w:rsidR="008B6A0A">
        <w:rPr>
          <w:sz w:val="22"/>
        </w:rPr>
        <w:t>s</w:t>
      </w:r>
      <w:r w:rsidR="00671E8A" w:rsidRPr="006E7B98">
        <w:rPr>
          <w:sz w:val="22"/>
        </w:rPr>
        <w:t xml:space="preserve">) </w:t>
      </w:r>
      <w:r w:rsidR="00ED7CD2" w:rsidRPr="006E7B98">
        <w:rPr>
          <w:sz w:val="22"/>
        </w:rPr>
        <w:t>and</w:t>
      </w:r>
      <w:r w:rsidRPr="006E7B98">
        <w:rPr>
          <w:sz w:val="22"/>
        </w:rPr>
        <w:t xml:space="preserve"> the </w:t>
      </w:r>
      <w:r w:rsidR="009D494D" w:rsidRPr="009D494D">
        <w:rPr>
          <w:sz w:val="22"/>
        </w:rPr>
        <w:t>County Integrated Development Plan</w:t>
      </w:r>
      <w:r w:rsidR="009D494D">
        <w:rPr>
          <w:sz w:val="22"/>
        </w:rPr>
        <w:t>s (</w:t>
      </w:r>
      <w:r w:rsidRPr="006E7B98">
        <w:rPr>
          <w:sz w:val="22"/>
        </w:rPr>
        <w:t>CIDP</w:t>
      </w:r>
      <w:r w:rsidR="009D494D">
        <w:rPr>
          <w:sz w:val="22"/>
        </w:rPr>
        <w:t>s)</w:t>
      </w:r>
      <w:r w:rsidRPr="006E7B98">
        <w:rPr>
          <w:sz w:val="22"/>
        </w:rPr>
        <w:t>, but those are prepared only for the main departments, such as education, health</w:t>
      </w:r>
      <w:r w:rsidR="00200115">
        <w:rPr>
          <w:sz w:val="22"/>
        </w:rPr>
        <w:t>,</w:t>
      </w:r>
      <w:r w:rsidRPr="006E7B98">
        <w:rPr>
          <w:sz w:val="22"/>
        </w:rPr>
        <w:t xml:space="preserve"> and agriculture. The fiscal strategy is not very robust, as the county only provides a situational analysis of key macroeconomic indicators (growth, inflation, exchange rate, interest rates)</w:t>
      </w:r>
      <w:r w:rsidR="000B28CB" w:rsidRPr="000B28CB">
        <w:rPr>
          <w:sz w:val="22"/>
        </w:rPr>
        <w:t xml:space="preserve"> </w:t>
      </w:r>
      <w:r w:rsidR="000B28CB" w:rsidRPr="006E7B98">
        <w:rPr>
          <w:sz w:val="22"/>
        </w:rPr>
        <w:t>in the CFSP</w:t>
      </w:r>
      <w:r w:rsidRPr="006E7B98">
        <w:rPr>
          <w:sz w:val="22"/>
        </w:rPr>
        <w:t xml:space="preserve">, but </w:t>
      </w:r>
      <w:r w:rsidR="00B270B6" w:rsidRPr="006E7B98">
        <w:rPr>
          <w:sz w:val="22"/>
        </w:rPr>
        <w:t xml:space="preserve">these </w:t>
      </w:r>
      <w:r w:rsidRPr="006E7B98">
        <w:rPr>
          <w:sz w:val="22"/>
        </w:rPr>
        <w:t>data concern</w:t>
      </w:r>
      <w:r w:rsidR="00CC5BC5" w:rsidRPr="006E7B98">
        <w:rPr>
          <w:sz w:val="22"/>
        </w:rPr>
        <w:t xml:space="preserve"> </w:t>
      </w:r>
      <w:r w:rsidRPr="006E7B98">
        <w:rPr>
          <w:sz w:val="22"/>
        </w:rPr>
        <w:t xml:space="preserve">the national level and not the </w:t>
      </w:r>
      <w:r w:rsidR="00200115">
        <w:rPr>
          <w:sz w:val="22"/>
        </w:rPr>
        <w:t>c</w:t>
      </w:r>
      <w:r w:rsidRPr="006E7B98">
        <w:rPr>
          <w:sz w:val="22"/>
        </w:rPr>
        <w:t>ounty level.</w:t>
      </w:r>
      <w:r w:rsidR="003D11A0" w:rsidRPr="006E7B98">
        <w:rPr>
          <w:sz w:val="22"/>
        </w:rPr>
        <w:t xml:space="preserve"> </w:t>
      </w:r>
    </w:p>
    <w:p w14:paraId="51B98EC9" w14:textId="64FECD6E" w:rsidR="00076ADC" w:rsidRPr="006E7B98" w:rsidRDefault="007856DD" w:rsidP="00EF7789">
      <w:pPr>
        <w:spacing w:after="240"/>
        <w:rPr>
          <w:sz w:val="22"/>
        </w:rPr>
      </w:pPr>
      <w:r w:rsidRPr="006E7B98">
        <w:rPr>
          <w:sz w:val="22"/>
        </w:rPr>
        <w:t xml:space="preserve">The government has adopted, submitted to the legislature, and published </w:t>
      </w:r>
      <w:r w:rsidR="00B270B6" w:rsidRPr="006E7B98">
        <w:rPr>
          <w:sz w:val="22"/>
        </w:rPr>
        <w:t xml:space="preserve">fiscal policies, medium-term fiscal forecasts, and medium-term priorities, plus </w:t>
      </w:r>
      <w:r w:rsidRPr="006E7B98">
        <w:rPr>
          <w:sz w:val="22"/>
        </w:rPr>
        <w:t>a fiscal strategy</w:t>
      </w:r>
      <w:r w:rsidR="000B28CB">
        <w:rPr>
          <w:sz w:val="22"/>
        </w:rPr>
        <w:t>. However</w:t>
      </w:r>
      <w:r w:rsidRPr="006E7B98">
        <w:rPr>
          <w:sz w:val="22"/>
        </w:rPr>
        <w:t xml:space="preserve">, this strategy does not include </w:t>
      </w:r>
      <w:r w:rsidR="00CC5BC5" w:rsidRPr="006E7B98">
        <w:rPr>
          <w:sz w:val="22"/>
        </w:rPr>
        <w:t>e</w:t>
      </w:r>
      <w:r w:rsidRPr="006E7B98">
        <w:rPr>
          <w:sz w:val="22"/>
        </w:rPr>
        <w:t xml:space="preserve">xplicit time-based quantitative fiscal goals and targets together with qualitative objectives for at least the budget year. </w:t>
      </w:r>
    </w:p>
    <w:p w14:paraId="746867DE" w14:textId="77777777" w:rsidR="0050548F" w:rsidRPr="0050548F" w:rsidRDefault="0050548F" w:rsidP="0050548F">
      <w:bookmarkStart w:id="7" w:name="_Hlk512178435"/>
      <w:r w:rsidRPr="00796F6B">
        <w:rPr>
          <w:b/>
          <w:i/>
          <w:color w:val="0070C0"/>
        </w:rPr>
        <w:t>Efficient service delivery</w:t>
      </w:r>
    </w:p>
    <w:bookmarkEnd w:id="7"/>
    <w:p w14:paraId="6465AA9B" w14:textId="77777777" w:rsidR="0050548F" w:rsidRPr="00890A84" w:rsidRDefault="0050548F" w:rsidP="001E3161"/>
    <w:p w14:paraId="2B4ED8FF" w14:textId="1E1BE7AE" w:rsidR="00995CC8" w:rsidRPr="006E7B98" w:rsidRDefault="00995CC8" w:rsidP="00EF7789">
      <w:pPr>
        <w:spacing w:after="240"/>
        <w:rPr>
          <w:sz w:val="22"/>
        </w:rPr>
      </w:pPr>
      <w:r w:rsidRPr="006E7B98">
        <w:rPr>
          <w:sz w:val="22"/>
          <w:lang w:eastAsia="en-GB"/>
        </w:rPr>
        <w:t xml:space="preserve">On the revenue side, </w:t>
      </w:r>
      <w:r w:rsidRPr="006E7B98">
        <w:rPr>
          <w:sz w:val="22"/>
        </w:rPr>
        <w:t>t</w:t>
      </w:r>
      <w:r w:rsidR="00390AE0" w:rsidRPr="006E7B98">
        <w:rPr>
          <w:sz w:val="22"/>
        </w:rPr>
        <w:t xml:space="preserve">he County </w:t>
      </w:r>
      <w:r w:rsidR="00200115">
        <w:rPr>
          <w:sz w:val="22"/>
        </w:rPr>
        <w:t>E</w:t>
      </w:r>
      <w:r w:rsidR="00390AE0" w:rsidRPr="006E7B98">
        <w:rPr>
          <w:sz w:val="22"/>
        </w:rPr>
        <w:t xml:space="preserve">xecutive provides payers with access to information on the main revenue obligation areas but not on redress processes and procedures. </w:t>
      </w:r>
    </w:p>
    <w:p w14:paraId="6DA2768D" w14:textId="29EDB9CE" w:rsidR="00DE59BB" w:rsidRPr="006E7B98" w:rsidRDefault="00995CC8" w:rsidP="00EF7789">
      <w:pPr>
        <w:spacing w:after="240"/>
        <w:rPr>
          <w:sz w:val="22"/>
        </w:rPr>
      </w:pPr>
      <w:r w:rsidRPr="006E7B98">
        <w:rPr>
          <w:sz w:val="22"/>
        </w:rPr>
        <w:t>On the expenditure side, b</w:t>
      </w:r>
      <w:r w:rsidR="00B270B6" w:rsidRPr="006E7B98">
        <w:rPr>
          <w:sz w:val="22"/>
        </w:rPr>
        <w:t xml:space="preserve">udgetary units are provided reliable information on commitment ceilings at least </w:t>
      </w:r>
      <w:r w:rsidR="000B28CB">
        <w:rPr>
          <w:sz w:val="22"/>
        </w:rPr>
        <w:t xml:space="preserve">a </w:t>
      </w:r>
      <w:r w:rsidR="00B270B6" w:rsidRPr="006E7B98">
        <w:rPr>
          <w:sz w:val="22"/>
        </w:rPr>
        <w:t xml:space="preserve">quarter in advance when they use </w:t>
      </w:r>
      <w:r w:rsidR="00200115">
        <w:rPr>
          <w:sz w:val="22"/>
        </w:rPr>
        <w:t xml:space="preserve">the </w:t>
      </w:r>
      <w:r w:rsidR="00B270B6" w:rsidRPr="006E7B98">
        <w:rPr>
          <w:sz w:val="22"/>
        </w:rPr>
        <w:t>IFMIS</w:t>
      </w:r>
      <w:r w:rsidRPr="006E7B98">
        <w:rPr>
          <w:sz w:val="22"/>
        </w:rPr>
        <w:t xml:space="preserve">, which gives them </w:t>
      </w:r>
      <w:r w:rsidR="009242A1" w:rsidRPr="006E7B98">
        <w:rPr>
          <w:sz w:val="22"/>
        </w:rPr>
        <w:t>enough visibility to provide services efficient</w:t>
      </w:r>
      <w:r w:rsidR="00200115">
        <w:rPr>
          <w:sz w:val="22"/>
        </w:rPr>
        <w:t>ly</w:t>
      </w:r>
      <w:r w:rsidR="00B270B6" w:rsidRPr="006E7B98">
        <w:rPr>
          <w:sz w:val="22"/>
        </w:rPr>
        <w:t xml:space="preserve">. </w:t>
      </w:r>
    </w:p>
    <w:p w14:paraId="177A65E5" w14:textId="6926F374" w:rsidR="009242A1" w:rsidRPr="006E7B98" w:rsidRDefault="009242A1" w:rsidP="00EF7789">
      <w:pPr>
        <w:spacing w:after="240"/>
        <w:rPr>
          <w:sz w:val="22"/>
        </w:rPr>
      </w:pPr>
      <w:r w:rsidRPr="006E7B98">
        <w:rPr>
          <w:sz w:val="22"/>
        </w:rPr>
        <w:t xml:space="preserve">Reconciliation of the payroll with personnel records takes place only annually but sufficient controls exist to ensure integrity of the payroll data of greatest importance. Staff </w:t>
      </w:r>
      <w:r w:rsidR="00671E8A" w:rsidRPr="006E7B98">
        <w:rPr>
          <w:sz w:val="22"/>
        </w:rPr>
        <w:t>hiring</w:t>
      </w:r>
      <w:r w:rsidRPr="006E7B98">
        <w:rPr>
          <w:sz w:val="22"/>
        </w:rPr>
        <w:t xml:space="preserve"> and promotion is checked against the approved budget </w:t>
      </w:r>
      <w:r w:rsidR="00200115">
        <w:rPr>
          <w:sz w:val="22"/>
        </w:rPr>
        <w:t>before</w:t>
      </w:r>
      <w:r w:rsidRPr="006E7B98">
        <w:rPr>
          <w:sz w:val="22"/>
        </w:rPr>
        <w:t xml:space="preserve"> authorization, which limits </w:t>
      </w:r>
      <w:r w:rsidR="004455D8" w:rsidRPr="006E7B98">
        <w:rPr>
          <w:sz w:val="22"/>
        </w:rPr>
        <w:t xml:space="preserve">the </w:t>
      </w:r>
      <w:r w:rsidR="00E73ED7">
        <w:rPr>
          <w:sz w:val="22"/>
        </w:rPr>
        <w:t>requirement of recommendations.</w:t>
      </w:r>
    </w:p>
    <w:p w14:paraId="4DA3CC5F" w14:textId="11055C2F" w:rsidR="00DE59BB" w:rsidRPr="006E7B98" w:rsidRDefault="00DE59BB" w:rsidP="00EF7789">
      <w:pPr>
        <w:spacing w:after="240"/>
        <w:rPr>
          <w:sz w:val="22"/>
        </w:rPr>
      </w:pPr>
      <w:r w:rsidRPr="006E7B98">
        <w:rPr>
          <w:sz w:val="22"/>
        </w:rPr>
        <w:t>Procurement databases are maintained for contracts</w:t>
      </w:r>
      <w:r w:rsidR="00200115">
        <w:rPr>
          <w:sz w:val="22"/>
        </w:rPr>
        <w:t>,</w:t>
      </w:r>
      <w:r w:rsidRPr="006E7B98">
        <w:rPr>
          <w:sz w:val="22"/>
        </w:rPr>
        <w:t xml:space="preserve"> including data on what has been procured, value of </w:t>
      </w:r>
      <w:r w:rsidR="00200115">
        <w:rPr>
          <w:sz w:val="22"/>
        </w:rPr>
        <w:t xml:space="preserve">the </w:t>
      </w:r>
      <w:r w:rsidRPr="006E7B98">
        <w:rPr>
          <w:sz w:val="22"/>
        </w:rPr>
        <w:t>procurement</w:t>
      </w:r>
      <w:r w:rsidR="00200115">
        <w:rPr>
          <w:sz w:val="22"/>
        </w:rPr>
        <w:t>,</w:t>
      </w:r>
      <w:r w:rsidRPr="006E7B98">
        <w:rPr>
          <w:sz w:val="22"/>
        </w:rPr>
        <w:t xml:space="preserve"> and who has been awarded contracts</w:t>
      </w:r>
      <w:r w:rsidR="009242A1" w:rsidRPr="006E7B98">
        <w:rPr>
          <w:sz w:val="22"/>
        </w:rPr>
        <w:t>, but t</w:t>
      </w:r>
      <w:r w:rsidRPr="006E7B98">
        <w:rPr>
          <w:sz w:val="22"/>
        </w:rPr>
        <w:t>he total value of contracts awarded through competitive methods in FY2015/16 represents less than 60</w:t>
      </w:r>
      <w:r w:rsidR="00200115">
        <w:rPr>
          <w:sz w:val="22"/>
        </w:rPr>
        <w:t xml:space="preserve"> percent</w:t>
      </w:r>
      <w:r w:rsidRPr="006E7B98">
        <w:rPr>
          <w:sz w:val="22"/>
        </w:rPr>
        <w:t xml:space="preserve"> of </w:t>
      </w:r>
      <w:r w:rsidR="00200115">
        <w:rPr>
          <w:sz w:val="22"/>
        </w:rPr>
        <w:t xml:space="preserve">the </w:t>
      </w:r>
      <w:r w:rsidRPr="006E7B98">
        <w:rPr>
          <w:sz w:val="22"/>
        </w:rPr>
        <w:t xml:space="preserve">total value of </w:t>
      </w:r>
      <w:r w:rsidR="00A61A7D" w:rsidRPr="006E7B98">
        <w:rPr>
          <w:sz w:val="22"/>
        </w:rPr>
        <w:t xml:space="preserve">contracts. </w:t>
      </w:r>
    </w:p>
    <w:p w14:paraId="0F69C403" w14:textId="5849965F" w:rsidR="0095510C" w:rsidRPr="006E7B98" w:rsidRDefault="004455D8" w:rsidP="00EF7789">
      <w:pPr>
        <w:spacing w:after="240"/>
        <w:rPr>
          <w:sz w:val="22"/>
        </w:rPr>
      </w:pPr>
      <w:r w:rsidRPr="006E7B98">
        <w:rPr>
          <w:sz w:val="22"/>
          <w:lang w:eastAsia="en-GB"/>
        </w:rPr>
        <w:t>Internal audit is operational in the county government as well as in the County Assembly and</w:t>
      </w:r>
      <w:r w:rsidRPr="006E7B98">
        <w:rPr>
          <w:sz w:val="22"/>
        </w:rPr>
        <w:t xml:space="preserve"> </w:t>
      </w:r>
      <w:r w:rsidR="00DE59BB" w:rsidRPr="006E7B98">
        <w:rPr>
          <w:sz w:val="22"/>
        </w:rPr>
        <w:t xml:space="preserve">most of </w:t>
      </w:r>
      <w:r w:rsidR="00200115">
        <w:rPr>
          <w:sz w:val="22"/>
        </w:rPr>
        <w:t xml:space="preserve">the </w:t>
      </w:r>
      <w:r w:rsidRPr="006E7B98">
        <w:rPr>
          <w:sz w:val="22"/>
        </w:rPr>
        <w:t xml:space="preserve">annual programmed audits </w:t>
      </w:r>
      <w:r w:rsidR="00DE59BB" w:rsidRPr="006E7B98">
        <w:rPr>
          <w:sz w:val="22"/>
        </w:rPr>
        <w:t>are completed</w:t>
      </w:r>
      <w:r w:rsidR="00200115">
        <w:rPr>
          <w:sz w:val="22"/>
        </w:rPr>
        <w:t>. However</w:t>
      </w:r>
      <w:r w:rsidR="0095510C" w:rsidRPr="006E7B98">
        <w:rPr>
          <w:sz w:val="22"/>
        </w:rPr>
        <w:t>,</w:t>
      </w:r>
      <w:r w:rsidR="00DE59BB" w:rsidRPr="006E7B98">
        <w:rPr>
          <w:sz w:val="22"/>
        </w:rPr>
        <w:t xml:space="preserve"> a quality assurance process showing that internal audit activities are focused on evaluations of the adequacy and effectiveness of internal controls is not in place yet. </w:t>
      </w:r>
      <w:r w:rsidR="0095510C" w:rsidRPr="006E7B98">
        <w:rPr>
          <w:sz w:val="22"/>
        </w:rPr>
        <w:t>N</w:t>
      </w:r>
      <w:r w:rsidR="00DE59BB" w:rsidRPr="006E7B98">
        <w:rPr>
          <w:sz w:val="22"/>
        </w:rPr>
        <w:t xml:space="preserve">o risk analysis methodology and no compliance improvement plan </w:t>
      </w:r>
      <w:r w:rsidR="00E605AB">
        <w:rPr>
          <w:sz w:val="22"/>
        </w:rPr>
        <w:t>are</w:t>
      </w:r>
      <w:r w:rsidR="00E605AB" w:rsidRPr="006E7B98">
        <w:rPr>
          <w:sz w:val="22"/>
        </w:rPr>
        <w:t xml:space="preserve"> </w:t>
      </w:r>
      <w:r w:rsidR="0095510C" w:rsidRPr="006E7B98">
        <w:rPr>
          <w:sz w:val="22"/>
        </w:rPr>
        <w:t xml:space="preserve">being </w:t>
      </w:r>
      <w:r w:rsidR="00DE59BB" w:rsidRPr="006E7B98">
        <w:rPr>
          <w:sz w:val="22"/>
        </w:rPr>
        <w:t xml:space="preserve">used. </w:t>
      </w:r>
      <w:r w:rsidR="00597F9B" w:rsidRPr="006E7B98">
        <w:rPr>
          <w:sz w:val="22"/>
        </w:rPr>
        <w:t>The</w:t>
      </w:r>
      <w:r w:rsidR="00DE59BB" w:rsidRPr="006E7B98">
        <w:rPr>
          <w:sz w:val="22"/>
        </w:rPr>
        <w:t xml:space="preserve"> audits </w:t>
      </w:r>
      <w:r w:rsidR="0095510C" w:rsidRPr="006E7B98">
        <w:rPr>
          <w:sz w:val="22"/>
        </w:rPr>
        <w:t xml:space="preserve">nevertheless </w:t>
      </w:r>
      <w:r w:rsidR="00DE59BB" w:rsidRPr="006E7B98">
        <w:rPr>
          <w:sz w:val="22"/>
        </w:rPr>
        <w:t>reveal</w:t>
      </w:r>
      <w:r w:rsidR="0095510C" w:rsidRPr="006E7B98">
        <w:rPr>
          <w:sz w:val="22"/>
        </w:rPr>
        <w:t>ed</w:t>
      </w:r>
      <w:r w:rsidR="00DE59BB" w:rsidRPr="006E7B98">
        <w:rPr>
          <w:sz w:val="22"/>
        </w:rPr>
        <w:t xml:space="preserve"> that </w:t>
      </w:r>
      <w:r w:rsidR="0095510C" w:rsidRPr="006E7B98">
        <w:rPr>
          <w:sz w:val="22"/>
        </w:rPr>
        <w:t xml:space="preserve">the county did not adhere to budgetary allocations in personnel emoluments and that </w:t>
      </w:r>
      <w:r w:rsidR="00DE59BB" w:rsidRPr="006E7B98">
        <w:rPr>
          <w:sz w:val="22"/>
        </w:rPr>
        <w:t xml:space="preserve">less than the majority of payments </w:t>
      </w:r>
      <w:r w:rsidR="0095510C" w:rsidRPr="006E7B98">
        <w:rPr>
          <w:sz w:val="22"/>
        </w:rPr>
        <w:t xml:space="preserve">were </w:t>
      </w:r>
      <w:r w:rsidR="00DE59BB" w:rsidRPr="006E7B98">
        <w:rPr>
          <w:sz w:val="22"/>
        </w:rPr>
        <w:t xml:space="preserve">compliant with regular payment procedures. </w:t>
      </w:r>
    </w:p>
    <w:p w14:paraId="4C52551C" w14:textId="58235763" w:rsidR="00597F9B" w:rsidRPr="006E7B98" w:rsidRDefault="00200115" w:rsidP="00EF7789">
      <w:pPr>
        <w:spacing w:after="240"/>
        <w:rPr>
          <w:sz w:val="22"/>
        </w:rPr>
      </w:pPr>
      <w:r>
        <w:rPr>
          <w:sz w:val="22"/>
          <w:lang w:eastAsia="en-GB"/>
        </w:rPr>
        <w:t>B</w:t>
      </w:r>
      <w:r w:rsidR="00390AE0" w:rsidRPr="006E7B98">
        <w:rPr>
          <w:sz w:val="22"/>
        </w:rPr>
        <w:t xml:space="preserve">udget reports are prepared quarterly, but </w:t>
      </w:r>
      <w:r w:rsidR="0095510C" w:rsidRPr="006E7B98">
        <w:rPr>
          <w:sz w:val="22"/>
        </w:rPr>
        <w:t xml:space="preserve">the </w:t>
      </w:r>
      <w:r w:rsidR="00390AE0" w:rsidRPr="006E7B98">
        <w:rPr>
          <w:sz w:val="22"/>
        </w:rPr>
        <w:t>items are not easily comparable to the initial budget</w:t>
      </w:r>
      <w:r w:rsidR="004455D8" w:rsidRPr="006E7B98">
        <w:rPr>
          <w:sz w:val="22"/>
        </w:rPr>
        <w:t xml:space="preserve">, which does not </w:t>
      </w:r>
      <w:r w:rsidR="0095510C" w:rsidRPr="006E7B98">
        <w:rPr>
          <w:sz w:val="22"/>
        </w:rPr>
        <w:t>enable an easy</w:t>
      </w:r>
      <w:r w:rsidR="004455D8" w:rsidRPr="006E7B98">
        <w:rPr>
          <w:sz w:val="22"/>
        </w:rPr>
        <w:t xml:space="preserve"> follow-up of services delivery.</w:t>
      </w:r>
      <w:r w:rsidR="0095510C" w:rsidRPr="006E7B98">
        <w:rPr>
          <w:sz w:val="22"/>
        </w:rPr>
        <w:t xml:space="preserve"> </w:t>
      </w:r>
      <w:r w:rsidR="00597F9B" w:rsidRPr="006E7B98">
        <w:rPr>
          <w:sz w:val="22"/>
        </w:rPr>
        <w:t>Financial reports are prepared annually</w:t>
      </w:r>
      <w:r>
        <w:rPr>
          <w:sz w:val="22"/>
        </w:rPr>
        <w:t>,</w:t>
      </w:r>
      <w:r w:rsidR="00597F9B" w:rsidRPr="006E7B98">
        <w:rPr>
          <w:sz w:val="22"/>
        </w:rPr>
        <w:t xml:space="preserve"> and </w:t>
      </w:r>
      <w:r w:rsidR="0095510C" w:rsidRPr="006E7B98">
        <w:rPr>
          <w:sz w:val="22"/>
        </w:rPr>
        <w:t xml:space="preserve">budget execution data </w:t>
      </w:r>
      <w:r w:rsidR="00597F9B" w:rsidRPr="006E7B98">
        <w:rPr>
          <w:sz w:val="22"/>
        </w:rPr>
        <w:t>are comparable with the approved budget. They include information on revenue, expenditure, and cash balances</w:t>
      </w:r>
      <w:r w:rsidR="0095510C" w:rsidRPr="006E7B98">
        <w:rPr>
          <w:sz w:val="22"/>
        </w:rPr>
        <w:t>, but</w:t>
      </w:r>
      <w:r w:rsidR="003D11A0" w:rsidRPr="006E7B98">
        <w:rPr>
          <w:sz w:val="22"/>
        </w:rPr>
        <w:t xml:space="preserve"> </w:t>
      </w:r>
      <w:r w:rsidR="00597F9B" w:rsidRPr="008F1990">
        <w:rPr>
          <w:sz w:val="22"/>
        </w:rPr>
        <w:t>weaknesses</w:t>
      </w:r>
      <w:r w:rsidR="00597F9B" w:rsidRPr="006E7B98">
        <w:rPr>
          <w:sz w:val="22"/>
        </w:rPr>
        <w:t xml:space="preserve"> regarding data accuracy are raised by the report of the </w:t>
      </w:r>
      <w:r w:rsidR="008F1990">
        <w:rPr>
          <w:sz w:val="22"/>
        </w:rPr>
        <w:t>A</w:t>
      </w:r>
      <w:r w:rsidR="00597F9B" w:rsidRPr="006E7B98">
        <w:rPr>
          <w:sz w:val="22"/>
        </w:rPr>
        <w:t xml:space="preserve">uditor </w:t>
      </w:r>
      <w:r w:rsidR="008F1990">
        <w:rPr>
          <w:sz w:val="22"/>
        </w:rPr>
        <w:t>G</w:t>
      </w:r>
      <w:r w:rsidR="00597F9B" w:rsidRPr="006E7B98">
        <w:rPr>
          <w:sz w:val="22"/>
        </w:rPr>
        <w:t>eneral.</w:t>
      </w:r>
      <w:r w:rsidR="003D11A0" w:rsidRPr="006E7B98">
        <w:rPr>
          <w:sz w:val="22"/>
        </w:rPr>
        <w:t xml:space="preserve"> </w:t>
      </w:r>
      <w:r w:rsidR="00597F9B" w:rsidRPr="006E7B98">
        <w:rPr>
          <w:sz w:val="22"/>
        </w:rPr>
        <w:t>Data is nevertheless consistent and useful for analysis of budget execution</w:t>
      </w:r>
      <w:r w:rsidR="009D21FC">
        <w:rPr>
          <w:sz w:val="22"/>
        </w:rPr>
        <w:t>.</w:t>
      </w:r>
      <w:r w:rsidR="00597F9B" w:rsidRPr="006E7B98">
        <w:rPr>
          <w:sz w:val="22"/>
        </w:rPr>
        <w:t xml:space="preserve"> </w:t>
      </w:r>
    </w:p>
    <w:p w14:paraId="17D124C0" w14:textId="458782FD" w:rsidR="0095510C" w:rsidRPr="006E7B98" w:rsidRDefault="00A61A7D" w:rsidP="00EF7789">
      <w:pPr>
        <w:spacing w:after="240"/>
        <w:rPr>
          <w:sz w:val="22"/>
        </w:rPr>
      </w:pPr>
      <w:r w:rsidRPr="006E7B98">
        <w:rPr>
          <w:sz w:val="22"/>
        </w:rPr>
        <w:t>External</w:t>
      </w:r>
      <w:r w:rsidR="00390AE0" w:rsidRPr="006E7B98">
        <w:rPr>
          <w:sz w:val="22"/>
        </w:rPr>
        <w:t xml:space="preserve"> scrutiny and audit </w:t>
      </w:r>
      <w:r w:rsidR="00B34B44" w:rsidRPr="006E7B98">
        <w:rPr>
          <w:sz w:val="22"/>
        </w:rPr>
        <w:t>are</w:t>
      </w:r>
      <w:r w:rsidR="00390AE0" w:rsidRPr="006E7B98">
        <w:rPr>
          <w:sz w:val="22"/>
        </w:rPr>
        <w:t xml:space="preserve"> done by the Office of the Auditor </w:t>
      </w:r>
      <w:r w:rsidR="00BA77EE">
        <w:rPr>
          <w:sz w:val="22"/>
        </w:rPr>
        <w:t>G</w:t>
      </w:r>
      <w:r w:rsidR="00390AE0" w:rsidRPr="006E7B98">
        <w:rPr>
          <w:sz w:val="22"/>
        </w:rPr>
        <w:t>eneral</w:t>
      </w:r>
      <w:r w:rsidR="00BA77EE">
        <w:rPr>
          <w:sz w:val="22"/>
        </w:rPr>
        <w:t xml:space="preserve"> (OAG)</w:t>
      </w:r>
      <w:r w:rsidR="00390AE0" w:rsidRPr="006E7B98">
        <w:rPr>
          <w:sz w:val="22"/>
        </w:rPr>
        <w:t>, which operates at the national level</w:t>
      </w:r>
      <w:r w:rsidR="009D21FC">
        <w:rPr>
          <w:sz w:val="22"/>
        </w:rPr>
        <w:t>,</w:t>
      </w:r>
      <w:r w:rsidR="0095510C" w:rsidRPr="006E7B98">
        <w:rPr>
          <w:sz w:val="22"/>
        </w:rPr>
        <w:t xml:space="preserve"> and the </w:t>
      </w:r>
      <w:r w:rsidR="009D21FC">
        <w:rPr>
          <w:sz w:val="22"/>
        </w:rPr>
        <w:t>County A</w:t>
      </w:r>
      <w:r w:rsidR="0095510C" w:rsidRPr="006E7B98">
        <w:rPr>
          <w:sz w:val="22"/>
        </w:rPr>
        <w:t xml:space="preserve">ssembly has a process for monitoring implementation of audit recommendations. </w:t>
      </w:r>
    </w:p>
    <w:p w14:paraId="16AF49B6" w14:textId="267B39F5" w:rsidR="0095510C" w:rsidRPr="006E7B98" w:rsidRDefault="00390AE0" w:rsidP="00EF7789">
      <w:pPr>
        <w:spacing w:after="240"/>
        <w:rPr>
          <w:sz w:val="22"/>
        </w:rPr>
      </w:pPr>
      <w:r w:rsidRPr="006E7B98">
        <w:rPr>
          <w:sz w:val="22"/>
          <w:lang w:eastAsia="en-GB"/>
        </w:rPr>
        <w:t>Hearings</w:t>
      </w:r>
      <w:r w:rsidRPr="006E7B98">
        <w:rPr>
          <w:sz w:val="22"/>
        </w:rPr>
        <w:t xml:space="preserve"> on key findings of audit </w:t>
      </w:r>
      <w:r w:rsidR="00582ACA" w:rsidRPr="006E7B98">
        <w:rPr>
          <w:sz w:val="22"/>
        </w:rPr>
        <w:t>reports were</w:t>
      </w:r>
      <w:r w:rsidRPr="006E7B98">
        <w:rPr>
          <w:sz w:val="22"/>
        </w:rPr>
        <w:t xml:space="preserve"> fully completed and discussed only for </w:t>
      </w:r>
      <w:r w:rsidR="009D21FC">
        <w:rPr>
          <w:sz w:val="22"/>
        </w:rPr>
        <w:t>FY</w:t>
      </w:r>
      <w:r w:rsidRPr="006E7B98">
        <w:rPr>
          <w:sz w:val="22"/>
          <w:lang w:eastAsia="en-GB"/>
        </w:rPr>
        <w:t>2013</w:t>
      </w:r>
      <w:r w:rsidRPr="006E7B98">
        <w:rPr>
          <w:sz w:val="22"/>
        </w:rPr>
        <w:t xml:space="preserve">/14. They covered a few audited entities. </w:t>
      </w:r>
      <w:r w:rsidR="0095510C" w:rsidRPr="006E7B98">
        <w:rPr>
          <w:sz w:val="22"/>
        </w:rPr>
        <w:t xml:space="preserve">No </w:t>
      </w:r>
      <w:r w:rsidR="00671E8A" w:rsidRPr="006E7B98">
        <w:rPr>
          <w:sz w:val="22"/>
        </w:rPr>
        <w:t>comment</w:t>
      </w:r>
      <w:r w:rsidR="0095510C" w:rsidRPr="006E7B98">
        <w:rPr>
          <w:sz w:val="22"/>
        </w:rPr>
        <w:t xml:space="preserve"> </w:t>
      </w:r>
      <w:r w:rsidR="007D2861" w:rsidRPr="006E7B98">
        <w:rPr>
          <w:sz w:val="22"/>
        </w:rPr>
        <w:t xml:space="preserve">was provided </w:t>
      </w:r>
      <w:r w:rsidR="0095510C" w:rsidRPr="006E7B98">
        <w:rPr>
          <w:sz w:val="22"/>
        </w:rPr>
        <w:t xml:space="preserve">on the performance of services </w:t>
      </w:r>
      <w:r w:rsidR="007D2861" w:rsidRPr="006E7B98">
        <w:rPr>
          <w:sz w:val="22"/>
        </w:rPr>
        <w:t>delivery.</w:t>
      </w:r>
    </w:p>
    <w:p w14:paraId="006A1534" w14:textId="22DDC8E6" w:rsidR="0050548F" w:rsidRPr="006E7B98" w:rsidRDefault="00B837DA" w:rsidP="00EF7789">
      <w:pPr>
        <w:spacing w:after="240"/>
        <w:rPr>
          <w:sz w:val="22"/>
          <w:lang w:eastAsia="en-GB"/>
        </w:rPr>
      </w:pPr>
      <w:r w:rsidRPr="006E7B98">
        <w:rPr>
          <w:sz w:val="22"/>
          <w:lang w:eastAsia="en-GB"/>
        </w:rPr>
        <w:t>T</w:t>
      </w:r>
      <w:r w:rsidR="00555134" w:rsidRPr="006E7B98">
        <w:rPr>
          <w:sz w:val="22"/>
          <w:lang w:eastAsia="en-GB"/>
        </w:rPr>
        <w:t>h</w:t>
      </w:r>
      <w:r w:rsidR="008F1990">
        <w:rPr>
          <w:sz w:val="22"/>
          <w:lang w:eastAsia="en-GB"/>
        </w:rPr>
        <w:t>is</w:t>
      </w:r>
      <w:r w:rsidR="00555134" w:rsidRPr="006E7B98">
        <w:rPr>
          <w:sz w:val="22"/>
          <w:lang w:eastAsia="en-GB"/>
        </w:rPr>
        <w:t xml:space="preserve"> </w:t>
      </w:r>
      <w:r w:rsidR="00555134" w:rsidRPr="008F1990">
        <w:rPr>
          <w:sz w:val="22"/>
          <w:lang w:eastAsia="en-GB"/>
        </w:rPr>
        <w:t>t</w:t>
      </w:r>
      <w:r w:rsidRPr="008F1990">
        <w:rPr>
          <w:sz w:val="22"/>
          <w:lang w:eastAsia="en-GB"/>
        </w:rPr>
        <w:t>able</w:t>
      </w:r>
      <w:r w:rsidR="00555134" w:rsidRPr="006E7B98">
        <w:rPr>
          <w:sz w:val="22"/>
          <w:lang w:eastAsia="en-GB"/>
        </w:rPr>
        <w:t xml:space="preserve"> </w:t>
      </w:r>
      <w:r w:rsidRPr="006E7B98">
        <w:rPr>
          <w:sz w:val="22"/>
          <w:lang w:eastAsia="en-GB"/>
        </w:rPr>
        <w:t>gives an overview of the scores for each of the PEFA indicators.</w:t>
      </w:r>
    </w:p>
    <w:p w14:paraId="4A03E23B" w14:textId="3170F114" w:rsidR="006B1B7A" w:rsidRDefault="00A97A29" w:rsidP="0045183B">
      <w:pPr>
        <w:pStyle w:val="TableStyle"/>
        <w:rPr>
          <w:lang w:eastAsia="en-GB"/>
        </w:rPr>
      </w:pPr>
      <w:r>
        <w:rPr>
          <w:lang w:eastAsia="en-GB"/>
        </w:rPr>
        <w:t>S</w:t>
      </w:r>
      <w:r w:rsidR="00EE1783">
        <w:rPr>
          <w:lang w:eastAsia="en-GB"/>
        </w:rPr>
        <w:t xml:space="preserve">coring </w:t>
      </w:r>
      <w:r>
        <w:rPr>
          <w:lang w:eastAsia="en-GB"/>
        </w:rPr>
        <w:t xml:space="preserve">Summary </w:t>
      </w:r>
      <w:r w:rsidR="009D21FC">
        <w:rPr>
          <w:lang w:eastAsia="en-GB"/>
        </w:rPr>
        <w:t>T</w:t>
      </w:r>
      <w:r w:rsidR="0050548F">
        <w:rPr>
          <w:lang w:eastAsia="en-GB"/>
        </w:rPr>
        <w:t>able</w:t>
      </w:r>
    </w:p>
    <w:tbl>
      <w:tblPr>
        <w:tblStyle w:val="table-style-blauw-070-none"/>
        <w:tblW w:w="9499" w:type="dxa"/>
        <w:tblInd w:w="16" w:type="dxa"/>
        <w:tblBorders>
          <w:insideH w:val="single" w:sz="6" w:space="0" w:color="006DB6"/>
        </w:tblBorders>
        <w:tblLayout w:type="fixed"/>
        <w:tblCellMar>
          <w:left w:w="115" w:type="dxa"/>
          <w:right w:w="115" w:type="dxa"/>
        </w:tblCellMar>
        <w:tblLook w:val="04A0" w:firstRow="1" w:lastRow="0" w:firstColumn="1" w:lastColumn="0" w:noHBand="0" w:noVBand="1"/>
      </w:tblPr>
      <w:tblGrid>
        <w:gridCol w:w="8"/>
        <w:gridCol w:w="5355"/>
        <w:gridCol w:w="994"/>
        <w:gridCol w:w="570"/>
        <w:gridCol w:w="570"/>
        <w:gridCol w:w="561"/>
        <w:gridCol w:w="492"/>
        <w:gridCol w:w="933"/>
        <w:gridCol w:w="8"/>
        <w:gridCol w:w="8"/>
      </w:tblGrid>
      <w:tr w:rsidR="00583CF6" w:rsidRPr="00EF7789" w14:paraId="79CD6A8A" w14:textId="77777777" w:rsidTr="00EB621E">
        <w:trPr>
          <w:gridAfter w:val="2"/>
          <w:cnfStyle w:val="100000000000" w:firstRow="1" w:lastRow="0" w:firstColumn="0" w:lastColumn="0" w:oddVBand="0" w:evenVBand="0" w:oddHBand="0" w:evenHBand="0" w:firstRowFirstColumn="0" w:firstRowLastColumn="0" w:lastRowFirstColumn="0" w:lastRowLastColumn="0"/>
          <w:wAfter w:w="16" w:type="dxa"/>
          <w:trHeight w:val="300"/>
          <w:tblHeader/>
        </w:trPr>
        <w:tc>
          <w:tcPr>
            <w:tcW w:w="536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D99253F" w14:textId="77777777" w:rsidR="00583CF6" w:rsidRPr="00EF7789" w:rsidRDefault="00583CF6" w:rsidP="009D21FC">
            <w:pPr>
              <w:jc w:val="center"/>
              <w:rPr>
                <w:rFonts w:asciiTheme="minorHAnsi" w:hAnsiTheme="minorHAnsi" w:cs="Times New Roman"/>
                <w:bCs/>
                <w:color w:val="FFFFFF" w:themeColor="background1"/>
                <w:sz w:val="20"/>
                <w:szCs w:val="20"/>
                <w:lang w:val="fr-FR"/>
              </w:rPr>
            </w:pPr>
            <w:bookmarkStart w:id="8" w:name="_Hlk527574899"/>
            <w:r w:rsidRPr="00EF7789">
              <w:rPr>
                <w:rFonts w:asciiTheme="minorHAnsi" w:hAnsiTheme="minorHAnsi" w:cs="Times New Roman"/>
                <w:bCs/>
                <w:color w:val="FFFFFF" w:themeColor="background1"/>
                <w:sz w:val="20"/>
                <w:szCs w:val="20"/>
                <w:lang w:val="fr-FR"/>
              </w:rPr>
              <w:t>Indicator</w:t>
            </w:r>
          </w:p>
        </w:tc>
        <w:tc>
          <w:tcPr>
            <w:tcW w:w="99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736937E" w14:textId="77777777" w:rsidR="00583CF6" w:rsidRPr="00EF7789" w:rsidRDefault="00583CF6" w:rsidP="009D21FC">
            <w:pPr>
              <w:jc w:val="center"/>
              <w:rPr>
                <w:rFonts w:asciiTheme="minorHAnsi" w:hAnsiTheme="minorHAnsi" w:cs="Times New Roman"/>
                <w:bCs/>
                <w:color w:val="FFFFFF" w:themeColor="background1"/>
                <w:sz w:val="20"/>
                <w:szCs w:val="20"/>
                <w:lang w:val="fr-FR"/>
              </w:rPr>
            </w:pPr>
            <w:r w:rsidRPr="00EF7789">
              <w:rPr>
                <w:rFonts w:asciiTheme="minorHAnsi" w:hAnsiTheme="minorHAnsi" w:cs="Times New Roman"/>
                <w:bCs/>
                <w:color w:val="FFFFFF" w:themeColor="background1"/>
                <w:sz w:val="20"/>
                <w:szCs w:val="20"/>
                <w:lang w:val="fr-FR"/>
              </w:rPr>
              <w:t>Method</w:t>
            </w:r>
          </w:p>
        </w:tc>
        <w:tc>
          <w:tcPr>
            <w:tcW w:w="57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23C505B1" w14:textId="77777777" w:rsidR="00583CF6" w:rsidRPr="00EF7789" w:rsidRDefault="00583CF6" w:rsidP="009D21FC">
            <w:pPr>
              <w:jc w:val="center"/>
              <w:rPr>
                <w:rFonts w:asciiTheme="minorHAnsi" w:hAnsiTheme="minorHAnsi" w:cs="Times New Roman"/>
                <w:bCs/>
                <w:color w:val="FFFFFF" w:themeColor="background1"/>
                <w:sz w:val="20"/>
                <w:szCs w:val="20"/>
                <w:lang w:val="fr-FR"/>
              </w:rPr>
            </w:pPr>
            <w:r w:rsidRPr="00EF7789">
              <w:rPr>
                <w:rFonts w:asciiTheme="minorHAnsi" w:hAnsiTheme="minorHAnsi" w:cs="Times New Roman"/>
                <w:bCs/>
                <w:color w:val="FFFFFF" w:themeColor="background1"/>
                <w:sz w:val="20"/>
                <w:szCs w:val="20"/>
                <w:lang w:val="fr-FR"/>
              </w:rPr>
              <w:t>1</w:t>
            </w:r>
          </w:p>
        </w:tc>
        <w:tc>
          <w:tcPr>
            <w:tcW w:w="57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87824A0" w14:textId="77777777" w:rsidR="00583CF6" w:rsidRPr="00EF7789" w:rsidRDefault="00583CF6" w:rsidP="009D21FC">
            <w:pPr>
              <w:jc w:val="center"/>
              <w:rPr>
                <w:rFonts w:asciiTheme="minorHAnsi" w:hAnsiTheme="minorHAnsi" w:cs="Times New Roman"/>
                <w:bCs/>
                <w:color w:val="FFFFFF" w:themeColor="background1"/>
                <w:sz w:val="20"/>
                <w:szCs w:val="20"/>
                <w:lang w:val="fr-FR"/>
              </w:rPr>
            </w:pPr>
            <w:r w:rsidRPr="00EF7789">
              <w:rPr>
                <w:rFonts w:asciiTheme="minorHAnsi" w:hAnsiTheme="minorHAnsi" w:cs="Times New Roman"/>
                <w:bCs/>
                <w:color w:val="FFFFFF" w:themeColor="background1"/>
                <w:sz w:val="20"/>
                <w:szCs w:val="20"/>
                <w:lang w:val="fr-FR"/>
              </w:rPr>
              <w:t>2</w:t>
            </w:r>
          </w:p>
        </w:tc>
        <w:tc>
          <w:tcPr>
            <w:tcW w:w="561"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421F95A" w14:textId="77777777" w:rsidR="00583CF6" w:rsidRPr="00EF7789" w:rsidRDefault="00583CF6" w:rsidP="009D21FC">
            <w:pPr>
              <w:jc w:val="center"/>
              <w:rPr>
                <w:rFonts w:asciiTheme="minorHAnsi" w:hAnsiTheme="minorHAnsi" w:cs="Times New Roman"/>
                <w:bCs/>
                <w:color w:val="FFFFFF" w:themeColor="background1"/>
                <w:sz w:val="20"/>
                <w:szCs w:val="20"/>
                <w:lang w:val="fr-FR"/>
              </w:rPr>
            </w:pPr>
            <w:r w:rsidRPr="00EF7789">
              <w:rPr>
                <w:rFonts w:asciiTheme="minorHAnsi" w:hAnsiTheme="minorHAnsi" w:cs="Times New Roman"/>
                <w:bCs/>
                <w:color w:val="FFFFFF" w:themeColor="background1"/>
                <w:sz w:val="20"/>
                <w:szCs w:val="20"/>
                <w:lang w:val="fr-FR"/>
              </w:rPr>
              <w:t>3</w:t>
            </w:r>
          </w:p>
        </w:tc>
        <w:tc>
          <w:tcPr>
            <w:tcW w:w="492"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667A265" w14:textId="77777777" w:rsidR="00583CF6" w:rsidRPr="00EF7789" w:rsidRDefault="00583CF6" w:rsidP="009D21FC">
            <w:pPr>
              <w:jc w:val="center"/>
              <w:rPr>
                <w:rFonts w:asciiTheme="minorHAnsi" w:hAnsiTheme="minorHAnsi" w:cs="Times New Roman"/>
                <w:bCs/>
                <w:color w:val="FFFFFF" w:themeColor="background1"/>
                <w:sz w:val="20"/>
                <w:szCs w:val="20"/>
                <w:lang w:val="fr-FR"/>
              </w:rPr>
            </w:pPr>
            <w:r w:rsidRPr="00EF7789">
              <w:rPr>
                <w:rFonts w:asciiTheme="minorHAnsi" w:hAnsiTheme="minorHAnsi" w:cs="Times New Roman"/>
                <w:bCs/>
                <w:color w:val="FFFFFF" w:themeColor="background1"/>
                <w:sz w:val="20"/>
                <w:szCs w:val="20"/>
                <w:lang w:val="fr-FR"/>
              </w:rPr>
              <w:t>4</w:t>
            </w:r>
          </w:p>
        </w:tc>
        <w:tc>
          <w:tcPr>
            <w:tcW w:w="933"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0CDFF72" w14:textId="5FB87E12" w:rsidR="00583CF6" w:rsidRPr="00EF7789" w:rsidRDefault="00C263D3" w:rsidP="009D21FC">
            <w:pPr>
              <w:jc w:val="center"/>
              <w:rPr>
                <w:rFonts w:asciiTheme="minorHAnsi" w:hAnsiTheme="minorHAnsi" w:cs="Times New Roman"/>
                <w:bCs/>
                <w:color w:val="FFFFFF" w:themeColor="background1"/>
                <w:sz w:val="20"/>
                <w:szCs w:val="20"/>
                <w:lang w:val="fr-FR"/>
              </w:rPr>
            </w:pPr>
            <w:r w:rsidRPr="00EF7789">
              <w:rPr>
                <w:rFonts w:asciiTheme="minorHAnsi" w:hAnsiTheme="minorHAnsi" w:cs="Times New Roman"/>
                <w:bCs/>
                <w:color w:val="FFFFFF" w:themeColor="background1"/>
                <w:sz w:val="20"/>
                <w:szCs w:val="20"/>
                <w:lang w:val="fr-FR"/>
              </w:rPr>
              <w:t>Global</w:t>
            </w:r>
          </w:p>
        </w:tc>
      </w:tr>
      <w:tr w:rsidR="00583CF6" w:rsidRPr="00EF7789" w14:paraId="4D7B6E3D" w14:textId="77777777" w:rsidTr="00071A61">
        <w:trPr>
          <w:gridAfter w:val="2"/>
          <w:cnfStyle w:val="000000100000" w:firstRow="0" w:lastRow="0" w:firstColumn="0" w:lastColumn="0" w:oddVBand="0" w:evenVBand="0" w:oddHBand="1" w:evenHBand="0" w:firstRowFirstColumn="0" w:firstRowLastColumn="0" w:lastRowFirstColumn="0" w:lastRowLastColumn="0"/>
          <w:wAfter w:w="16" w:type="dxa"/>
          <w:trHeight w:val="300"/>
        </w:trPr>
        <w:tc>
          <w:tcPr>
            <w:tcW w:w="5363" w:type="dxa"/>
            <w:gridSpan w:val="2"/>
            <w:tcBorders>
              <w:top w:val="none" w:sz="0" w:space="0" w:color="auto"/>
            </w:tcBorders>
            <w:noWrap/>
            <w:hideMark/>
          </w:tcPr>
          <w:p w14:paraId="587D1DD4" w14:textId="77777777"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HLG-1. Transfers from a higher level of government</w:t>
            </w:r>
          </w:p>
        </w:tc>
        <w:tc>
          <w:tcPr>
            <w:tcW w:w="994" w:type="dxa"/>
            <w:tcBorders>
              <w:top w:val="none" w:sz="0" w:space="0" w:color="auto"/>
            </w:tcBorders>
            <w:noWrap/>
            <w:hideMark/>
          </w:tcPr>
          <w:p w14:paraId="52EE3065"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16C37F7D"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570" w:type="dxa"/>
            <w:tcBorders>
              <w:top w:val="none" w:sz="0" w:space="0" w:color="auto"/>
            </w:tcBorders>
            <w:noWrap/>
            <w:hideMark/>
          </w:tcPr>
          <w:p w14:paraId="64FEAE5B"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61" w:type="dxa"/>
            <w:tcBorders>
              <w:top w:val="none" w:sz="0" w:space="0" w:color="auto"/>
            </w:tcBorders>
            <w:noWrap/>
            <w:hideMark/>
          </w:tcPr>
          <w:p w14:paraId="1973D1FF"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shd w:val="clear" w:color="auto" w:fill="F2F2F2" w:themeFill="background1" w:themeFillShade="F2"/>
            <w:noWrap/>
            <w:hideMark/>
          </w:tcPr>
          <w:p w14:paraId="0B4BDD8F" w14:textId="77777777" w:rsidR="00583CF6" w:rsidRPr="00EF7789" w:rsidRDefault="00583CF6" w:rsidP="00585338">
            <w:pPr>
              <w:jc w:val="center"/>
              <w:rPr>
                <w:rFonts w:asciiTheme="minorHAnsi" w:hAnsiTheme="minorHAnsi" w:cs="Times New Roman"/>
                <w:sz w:val="20"/>
                <w:szCs w:val="20"/>
                <w:lang w:val="fr-FR"/>
              </w:rPr>
            </w:pPr>
          </w:p>
        </w:tc>
        <w:tc>
          <w:tcPr>
            <w:tcW w:w="933" w:type="dxa"/>
            <w:tcBorders>
              <w:top w:val="none" w:sz="0" w:space="0" w:color="auto"/>
            </w:tcBorders>
            <w:noWrap/>
            <w:hideMark/>
          </w:tcPr>
          <w:p w14:paraId="787F7A15"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EB621E" w:rsidRPr="00EB621E" w14:paraId="7A1EED9E" w14:textId="77777777" w:rsidTr="00EB621E">
        <w:trPr>
          <w:gridAfter w:val="2"/>
          <w:cnfStyle w:val="000000010000" w:firstRow="0" w:lastRow="0" w:firstColumn="0" w:lastColumn="0" w:oddVBand="0" w:evenVBand="0" w:oddHBand="0" w:evenHBand="1" w:firstRowFirstColumn="0" w:firstRowLastColumn="0" w:lastRowFirstColumn="0" w:lastRowLastColumn="0"/>
          <w:wAfter w:w="16" w:type="dxa"/>
          <w:trHeight w:val="300"/>
        </w:trPr>
        <w:tc>
          <w:tcPr>
            <w:tcW w:w="9483" w:type="dxa"/>
            <w:gridSpan w:val="8"/>
            <w:tcBorders>
              <w:top w:val="none" w:sz="0" w:space="0" w:color="auto"/>
            </w:tcBorders>
            <w:shd w:val="clear" w:color="auto" w:fill="569AB3"/>
            <w:noWrap/>
          </w:tcPr>
          <w:p w14:paraId="65F4C463" w14:textId="4C2B2372" w:rsidR="00EB621E" w:rsidRPr="00EB621E" w:rsidRDefault="00EB621E" w:rsidP="00EB621E">
            <w:pPr>
              <w:spacing w:line="256" w:lineRule="auto"/>
              <w:jc w:val="left"/>
              <w:rPr>
                <w:rFonts w:ascii="Calibri" w:eastAsia="Calibri" w:hAnsi="Calibri"/>
                <w:b/>
                <w:bCs/>
                <w:sz w:val="20"/>
                <w:szCs w:val="20"/>
                <w:lang w:eastAsia="en-US"/>
              </w:rPr>
            </w:pPr>
            <w:r w:rsidRPr="00EB621E">
              <w:rPr>
                <w:rFonts w:ascii="Calibri" w:eastAsia="Calibri" w:hAnsi="Calibri"/>
                <w:b/>
                <w:bCs/>
                <w:sz w:val="20"/>
                <w:szCs w:val="20"/>
                <w:lang w:val="en-GB"/>
              </w:rPr>
              <w:t>Pillar I. Budget reliability</w:t>
            </w:r>
          </w:p>
        </w:tc>
      </w:tr>
      <w:tr w:rsidR="00583CF6" w:rsidRPr="00EF7789" w14:paraId="6676A02E" w14:textId="77777777" w:rsidTr="00071A61">
        <w:trPr>
          <w:gridBefore w:val="1"/>
          <w:gridAfter w:val="1"/>
          <w:cnfStyle w:val="000000100000" w:firstRow="0" w:lastRow="0" w:firstColumn="0" w:lastColumn="0" w:oddVBand="0" w:evenVBand="0" w:oddHBand="1" w:evenHBand="0" w:firstRowFirstColumn="0" w:firstRowLastColumn="0" w:lastRowFirstColumn="0" w:lastRowLastColumn="0"/>
          <w:wBefore w:w="8" w:type="dxa"/>
          <w:wAfter w:w="8" w:type="dxa"/>
          <w:trHeight w:val="300"/>
        </w:trPr>
        <w:tc>
          <w:tcPr>
            <w:tcW w:w="5355" w:type="dxa"/>
            <w:tcBorders>
              <w:top w:val="none" w:sz="0" w:space="0" w:color="auto"/>
            </w:tcBorders>
            <w:noWrap/>
            <w:hideMark/>
          </w:tcPr>
          <w:p w14:paraId="134108AF"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PI-1. Aggregate expenditure outturn </w:t>
            </w:r>
          </w:p>
        </w:tc>
        <w:tc>
          <w:tcPr>
            <w:tcW w:w="994" w:type="dxa"/>
            <w:tcBorders>
              <w:top w:val="none" w:sz="0" w:space="0" w:color="auto"/>
            </w:tcBorders>
            <w:noWrap/>
            <w:hideMark/>
          </w:tcPr>
          <w:p w14:paraId="40F6D1F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57E24AB2"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shd w:val="clear" w:color="auto" w:fill="F2F2F2" w:themeFill="background1" w:themeFillShade="F2"/>
            <w:noWrap/>
            <w:hideMark/>
          </w:tcPr>
          <w:p w14:paraId="1F587791" w14:textId="77777777" w:rsidR="00583CF6" w:rsidRPr="00EF7789" w:rsidRDefault="00583CF6" w:rsidP="00585338">
            <w:pPr>
              <w:jc w:val="center"/>
              <w:rPr>
                <w:rFonts w:asciiTheme="minorHAnsi" w:hAnsiTheme="minorHAnsi" w:cs="Times New Roman"/>
                <w:sz w:val="20"/>
                <w:szCs w:val="20"/>
                <w:lang w:val="fr-FR"/>
              </w:rPr>
            </w:pPr>
          </w:p>
        </w:tc>
        <w:tc>
          <w:tcPr>
            <w:tcW w:w="561" w:type="dxa"/>
            <w:tcBorders>
              <w:top w:val="none" w:sz="0" w:space="0" w:color="auto"/>
            </w:tcBorders>
            <w:shd w:val="clear" w:color="auto" w:fill="F2F2F2" w:themeFill="background1" w:themeFillShade="F2"/>
            <w:noWrap/>
            <w:hideMark/>
          </w:tcPr>
          <w:p w14:paraId="1FEFB48B" w14:textId="77777777" w:rsidR="00583CF6" w:rsidRPr="00EF7789" w:rsidRDefault="00583CF6" w:rsidP="00585338">
            <w:pPr>
              <w:jc w:val="center"/>
              <w:rPr>
                <w:rFonts w:asciiTheme="minorHAnsi" w:hAnsiTheme="minorHAnsi" w:cs="Times New Roman"/>
                <w:sz w:val="20"/>
                <w:szCs w:val="20"/>
                <w:lang w:val="fr-FR"/>
              </w:rPr>
            </w:pPr>
          </w:p>
        </w:tc>
        <w:tc>
          <w:tcPr>
            <w:tcW w:w="492" w:type="dxa"/>
            <w:tcBorders>
              <w:top w:val="none" w:sz="0" w:space="0" w:color="auto"/>
            </w:tcBorders>
            <w:shd w:val="clear" w:color="auto" w:fill="F2F2F2" w:themeFill="background1" w:themeFillShade="F2"/>
            <w:noWrap/>
            <w:hideMark/>
          </w:tcPr>
          <w:p w14:paraId="49EDFB2F" w14:textId="77777777" w:rsidR="00583CF6" w:rsidRPr="00EF7789" w:rsidRDefault="00583CF6" w:rsidP="00585338">
            <w:pPr>
              <w:jc w:val="center"/>
              <w:rPr>
                <w:rFonts w:asciiTheme="minorHAnsi" w:hAnsiTheme="minorHAnsi" w:cs="Times New Roman"/>
                <w:sz w:val="20"/>
                <w:szCs w:val="20"/>
                <w:lang w:val="fr-FR"/>
              </w:rPr>
            </w:pPr>
          </w:p>
        </w:tc>
        <w:tc>
          <w:tcPr>
            <w:tcW w:w="941" w:type="dxa"/>
            <w:gridSpan w:val="2"/>
            <w:tcBorders>
              <w:top w:val="none" w:sz="0" w:space="0" w:color="auto"/>
            </w:tcBorders>
            <w:noWrap/>
            <w:hideMark/>
          </w:tcPr>
          <w:p w14:paraId="49CA06E0"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47928906" w14:textId="77777777" w:rsidTr="00071A61">
        <w:trPr>
          <w:gridBefore w:val="1"/>
          <w:gridAfter w:val="1"/>
          <w:cnfStyle w:val="000000010000" w:firstRow="0" w:lastRow="0" w:firstColumn="0" w:lastColumn="0" w:oddVBand="0" w:evenVBand="0" w:oddHBand="0" w:evenHBand="1" w:firstRowFirstColumn="0" w:firstRowLastColumn="0" w:lastRowFirstColumn="0" w:lastRowLastColumn="0"/>
          <w:wBefore w:w="8" w:type="dxa"/>
          <w:wAfter w:w="8" w:type="dxa"/>
          <w:trHeight w:val="300"/>
        </w:trPr>
        <w:tc>
          <w:tcPr>
            <w:tcW w:w="5355" w:type="dxa"/>
            <w:tcBorders>
              <w:top w:val="none" w:sz="0" w:space="0" w:color="auto"/>
            </w:tcBorders>
            <w:noWrap/>
            <w:hideMark/>
          </w:tcPr>
          <w:p w14:paraId="6FEBF89F"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PI-2. Expenditure composition outturn </w:t>
            </w:r>
          </w:p>
        </w:tc>
        <w:tc>
          <w:tcPr>
            <w:tcW w:w="994" w:type="dxa"/>
            <w:tcBorders>
              <w:top w:val="none" w:sz="0" w:space="0" w:color="auto"/>
            </w:tcBorders>
            <w:noWrap/>
            <w:hideMark/>
          </w:tcPr>
          <w:p w14:paraId="4AADEBE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0D3F54AF"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51A082A8"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15C1530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492" w:type="dxa"/>
            <w:tcBorders>
              <w:top w:val="none" w:sz="0" w:space="0" w:color="auto"/>
            </w:tcBorders>
            <w:shd w:val="clear" w:color="auto" w:fill="F2F2F2" w:themeFill="background1" w:themeFillShade="F2"/>
            <w:noWrap/>
            <w:hideMark/>
          </w:tcPr>
          <w:p w14:paraId="349A1D63" w14:textId="77777777" w:rsidR="00583CF6" w:rsidRPr="00EF7789" w:rsidRDefault="00583CF6" w:rsidP="00585338">
            <w:pPr>
              <w:jc w:val="center"/>
              <w:rPr>
                <w:rFonts w:asciiTheme="minorHAnsi" w:hAnsiTheme="minorHAnsi" w:cs="Times New Roman"/>
                <w:sz w:val="20"/>
                <w:szCs w:val="20"/>
                <w:lang w:val="fr-FR"/>
              </w:rPr>
            </w:pPr>
          </w:p>
        </w:tc>
        <w:tc>
          <w:tcPr>
            <w:tcW w:w="941" w:type="dxa"/>
            <w:gridSpan w:val="2"/>
            <w:tcBorders>
              <w:top w:val="none" w:sz="0" w:space="0" w:color="auto"/>
            </w:tcBorders>
            <w:noWrap/>
            <w:hideMark/>
          </w:tcPr>
          <w:p w14:paraId="17663882"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26AD2F5D" w14:textId="77777777" w:rsidTr="00071A61">
        <w:trPr>
          <w:gridBefore w:val="1"/>
          <w:gridAfter w:val="1"/>
          <w:cnfStyle w:val="000000100000" w:firstRow="0" w:lastRow="0" w:firstColumn="0" w:lastColumn="0" w:oddVBand="0" w:evenVBand="0" w:oddHBand="1" w:evenHBand="0" w:firstRowFirstColumn="0" w:firstRowLastColumn="0" w:lastRowFirstColumn="0" w:lastRowLastColumn="0"/>
          <w:wBefore w:w="8" w:type="dxa"/>
          <w:wAfter w:w="8" w:type="dxa"/>
          <w:trHeight w:val="300"/>
        </w:trPr>
        <w:tc>
          <w:tcPr>
            <w:tcW w:w="5355" w:type="dxa"/>
            <w:tcBorders>
              <w:top w:val="none" w:sz="0" w:space="0" w:color="auto"/>
            </w:tcBorders>
            <w:noWrap/>
            <w:hideMark/>
          </w:tcPr>
          <w:p w14:paraId="5B9F950D"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PI-3. Revenue outturn </w:t>
            </w:r>
          </w:p>
        </w:tc>
        <w:tc>
          <w:tcPr>
            <w:tcW w:w="994" w:type="dxa"/>
            <w:tcBorders>
              <w:top w:val="none" w:sz="0" w:space="0" w:color="auto"/>
            </w:tcBorders>
            <w:noWrap/>
            <w:hideMark/>
          </w:tcPr>
          <w:p w14:paraId="142606D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11E03368"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6120C81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shd w:val="clear" w:color="auto" w:fill="F2F2F2" w:themeFill="background1" w:themeFillShade="F2"/>
            <w:noWrap/>
            <w:hideMark/>
          </w:tcPr>
          <w:p w14:paraId="41A8F3BF" w14:textId="77777777" w:rsidR="00583CF6" w:rsidRPr="00EF7789" w:rsidRDefault="00583CF6" w:rsidP="00585338">
            <w:pPr>
              <w:jc w:val="center"/>
              <w:rPr>
                <w:rFonts w:asciiTheme="minorHAnsi" w:hAnsiTheme="minorHAnsi" w:cs="Times New Roman"/>
                <w:sz w:val="20"/>
                <w:szCs w:val="20"/>
                <w:lang w:val="fr-FR"/>
              </w:rPr>
            </w:pPr>
          </w:p>
        </w:tc>
        <w:tc>
          <w:tcPr>
            <w:tcW w:w="492" w:type="dxa"/>
            <w:tcBorders>
              <w:top w:val="none" w:sz="0" w:space="0" w:color="auto"/>
            </w:tcBorders>
            <w:shd w:val="clear" w:color="auto" w:fill="F2F2F2" w:themeFill="background1" w:themeFillShade="F2"/>
            <w:noWrap/>
            <w:hideMark/>
          </w:tcPr>
          <w:p w14:paraId="099BB49E" w14:textId="77777777" w:rsidR="00583CF6" w:rsidRPr="00EF7789" w:rsidRDefault="00583CF6" w:rsidP="00585338">
            <w:pPr>
              <w:jc w:val="center"/>
              <w:rPr>
                <w:rFonts w:asciiTheme="minorHAnsi" w:hAnsiTheme="minorHAnsi" w:cs="Times New Roman"/>
                <w:sz w:val="20"/>
                <w:szCs w:val="20"/>
                <w:lang w:val="fr-FR"/>
              </w:rPr>
            </w:pPr>
          </w:p>
        </w:tc>
        <w:tc>
          <w:tcPr>
            <w:tcW w:w="941" w:type="dxa"/>
            <w:gridSpan w:val="2"/>
            <w:tcBorders>
              <w:top w:val="none" w:sz="0" w:space="0" w:color="auto"/>
            </w:tcBorders>
            <w:noWrap/>
            <w:hideMark/>
          </w:tcPr>
          <w:p w14:paraId="356CB6CA"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EB621E" w:rsidRPr="00EF7789" w14:paraId="74679949" w14:textId="77777777" w:rsidTr="00EB621E">
        <w:trPr>
          <w:gridBefore w:val="1"/>
          <w:gridAfter w:val="1"/>
          <w:cnfStyle w:val="000000010000" w:firstRow="0" w:lastRow="0" w:firstColumn="0" w:lastColumn="0" w:oddVBand="0" w:evenVBand="0" w:oddHBand="0" w:evenHBand="1" w:firstRowFirstColumn="0" w:firstRowLastColumn="0" w:lastRowFirstColumn="0" w:lastRowLastColumn="0"/>
          <w:wBefore w:w="8" w:type="dxa"/>
          <w:wAfter w:w="8" w:type="dxa"/>
          <w:trHeight w:val="300"/>
        </w:trPr>
        <w:tc>
          <w:tcPr>
            <w:tcW w:w="9483" w:type="dxa"/>
            <w:gridSpan w:val="8"/>
            <w:tcBorders>
              <w:top w:val="none" w:sz="0" w:space="0" w:color="auto"/>
            </w:tcBorders>
            <w:noWrap/>
          </w:tcPr>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EB621E" w:rsidRPr="00133D9A" w14:paraId="68925A59" w14:textId="77777777" w:rsidTr="00EB621E">
              <w:trPr>
                <w:trHeight w:val="291"/>
                <w:jc w:val="center"/>
              </w:trPr>
              <w:tc>
                <w:tcPr>
                  <w:tcW w:w="5000" w:type="pct"/>
                  <w:tcBorders>
                    <w:top w:val="single" w:sz="4" w:space="0" w:color="auto"/>
                    <w:left w:val="single" w:sz="6" w:space="0" w:color="006DB6"/>
                    <w:bottom w:val="single" w:sz="6" w:space="0" w:color="006DB6"/>
                    <w:right w:val="single" w:sz="4" w:space="0" w:color="auto"/>
                  </w:tcBorders>
                  <w:shd w:val="clear" w:color="auto" w:fill="28C0DA"/>
                  <w:vAlign w:val="bottom"/>
                  <w:hideMark/>
                </w:tcPr>
                <w:p w14:paraId="532C6102" w14:textId="77777777" w:rsidR="00EB621E" w:rsidRPr="00133D9A" w:rsidRDefault="00EB621E" w:rsidP="00EB621E">
                  <w:pPr>
                    <w:spacing w:line="256" w:lineRule="auto"/>
                    <w:jc w:val="left"/>
                    <w:rPr>
                      <w:rFonts w:eastAsia="Calibri" w:cstheme="minorHAnsi"/>
                      <w:b/>
                      <w:bCs/>
                      <w:sz w:val="20"/>
                      <w:szCs w:val="20"/>
                      <w:lang w:eastAsia="en-US"/>
                    </w:rPr>
                  </w:pPr>
                  <w:r w:rsidRPr="00133D9A">
                    <w:rPr>
                      <w:rFonts w:eastAsia="Calibri" w:cstheme="minorHAnsi"/>
                      <w:b/>
                      <w:bCs/>
                      <w:sz w:val="20"/>
                      <w:szCs w:val="20"/>
                    </w:rPr>
                    <w:t>II. Transparency of public finances</w:t>
                  </w:r>
                </w:p>
              </w:tc>
            </w:tr>
          </w:tbl>
          <w:p w14:paraId="13DBDADA" w14:textId="77777777" w:rsidR="00EB621E" w:rsidRPr="00EF7789" w:rsidRDefault="00EB621E" w:rsidP="00EB621E">
            <w:pPr>
              <w:jc w:val="center"/>
              <w:rPr>
                <w:rFonts w:asciiTheme="minorHAnsi" w:hAnsiTheme="minorHAnsi" w:cs="Times New Roman"/>
                <w:b/>
                <w:bCs/>
                <w:sz w:val="20"/>
                <w:szCs w:val="20"/>
                <w:lang w:val="fr-FR"/>
              </w:rPr>
            </w:pPr>
          </w:p>
        </w:tc>
      </w:tr>
      <w:tr w:rsidR="00583CF6" w:rsidRPr="00EF7789" w14:paraId="01554CC1" w14:textId="77777777" w:rsidTr="00071A61">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5CFEBD4D"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PI-4. Budget classification </w:t>
            </w:r>
          </w:p>
        </w:tc>
        <w:tc>
          <w:tcPr>
            <w:tcW w:w="994" w:type="dxa"/>
            <w:tcBorders>
              <w:top w:val="none" w:sz="0" w:space="0" w:color="auto"/>
            </w:tcBorders>
            <w:noWrap/>
            <w:hideMark/>
          </w:tcPr>
          <w:p w14:paraId="33B12DDB"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2F39003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570" w:type="dxa"/>
            <w:tcBorders>
              <w:top w:val="none" w:sz="0" w:space="0" w:color="auto"/>
            </w:tcBorders>
            <w:shd w:val="clear" w:color="auto" w:fill="F2F2F2" w:themeFill="background1" w:themeFillShade="F2"/>
            <w:noWrap/>
            <w:hideMark/>
          </w:tcPr>
          <w:p w14:paraId="38C995F8" w14:textId="77777777" w:rsidR="00583CF6" w:rsidRPr="00EF7789" w:rsidRDefault="00583CF6" w:rsidP="00585338">
            <w:pPr>
              <w:jc w:val="center"/>
              <w:rPr>
                <w:rFonts w:asciiTheme="minorHAnsi" w:hAnsiTheme="minorHAnsi" w:cs="Times New Roman"/>
                <w:sz w:val="20"/>
                <w:szCs w:val="20"/>
                <w:lang w:val="fr-FR"/>
              </w:rPr>
            </w:pPr>
          </w:p>
        </w:tc>
        <w:tc>
          <w:tcPr>
            <w:tcW w:w="561" w:type="dxa"/>
            <w:tcBorders>
              <w:top w:val="none" w:sz="0" w:space="0" w:color="auto"/>
            </w:tcBorders>
            <w:shd w:val="clear" w:color="auto" w:fill="F2F2F2" w:themeFill="background1" w:themeFillShade="F2"/>
            <w:noWrap/>
            <w:hideMark/>
          </w:tcPr>
          <w:p w14:paraId="288B2516" w14:textId="77777777" w:rsidR="00583CF6" w:rsidRPr="00EF7789" w:rsidRDefault="00583CF6" w:rsidP="00585338">
            <w:pPr>
              <w:jc w:val="center"/>
              <w:rPr>
                <w:rFonts w:asciiTheme="minorHAnsi" w:hAnsiTheme="minorHAnsi" w:cs="Times New Roman"/>
                <w:sz w:val="20"/>
                <w:szCs w:val="20"/>
                <w:lang w:val="fr-FR"/>
              </w:rPr>
            </w:pPr>
          </w:p>
        </w:tc>
        <w:tc>
          <w:tcPr>
            <w:tcW w:w="492" w:type="dxa"/>
            <w:tcBorders>
              <w:top w:val="none" w:sz="0" w:space="0" w:color="auto"/>
            </w:tcBorders>
            <w:shd w:val="clear" w:color="auto" w:fill="F2F2F2" w:themeFill="background1" w:themeFillShade="F2"/>
            <w:noWrap/>
            <w:hideMark/>
          </w:tcPr>
          <w:p w14:paraId="7D1A763C"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7B36D34E"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p>
        </w:tc>
      </w:tr>
      <w:tr w:rsidR="00583CF6" w:rsidRPr="00EF7789" w14:paraId="4779A8EF"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406E2D81"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PI-5. Budget documentation </w:t>
            </w:r>
          </w:p>
        </w:tc>
        <w:tc>
          <w:tcPr>
            <w:tcW w:w="994" w:type="dxa"/>
            <w:tcBorders>
              <w:top w:val="none" w:sz="0" w:space="0" w:color="auto"/>
            </w:tcBorders>
            <w:noWrap/>
            <w:hideMark/>
          </w:tcPr>
          <w:p w14:paraId="5DD479D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3B53197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shd w:val="clear" w:color="auto" w:fill="F2F2F2" w:themeFill="background1" w:themeFillShade="F2"/>
            <w:noWrap/>
            <w:hideMark/>
          </w:tcPr>
          <w:p w14:paraId="7E0443A4" w14:textId="77777777" w:rsidR="00583CF6" w:rsidRPr="00EF7789" w:rsidRDefault="00583CF6" w:rsidP="00585338">
            <w:pPr>
              <w:jc w:val="center"/>
              <w:rPr>
                <w:rFonts w:asciiTheme="minorHAnsi" w:hAnsiTheme="minorHAnsi" w:cs="Times New Roman"/>
                <w:sz w:val="20"/>
                <w:szCs w:val="20"/>
                <w:lang w:val="fr-FR"/>
              </w:rPr>
            </w:pPr>
          </w:p>
        </w:tc>
        <w:tc>
          <w:tcPr>
            <w:tcW w:w="561" w:type="dxa"/>
            <w:tcBorders>
              <w:top w:val="none" w:sz="0" w:space="0" w:color="auto"/>
            </w:tcBorders>
            <w:shd w:val="clear" w:color="auto" w:fill="F2F2F2" w:themeFill="background1" w:themeFillShade="F2"/>
            <w:noWrap/>
            <w:hideMark/>
          </w:tcPr>
          <w:p w14:paraId="04A3D5E1" w14:textId="77777777" w:rsidR="00583CF6" w:rsidRPr="00EF7789" w:rsidRDefault="00583CF6" w:rsidP="00585338">
            <w:pPr>
              <w:jc w:val="center"/>
              <w:rPr>
                <w:rFonts w:asciiTheme="minorHAnsi" w:hAnsiTheme="minorHAnsi" w:cs="Times New Roman"/>
                <w:sz w:val="20"/>
                <w:szCs w:val="20"/>
                <w:lang w:val="fr-FR"/>
              </w:rPr>
            </w:pPr>
          </w:p>
        </w:tc>
        <w:tc>
          <w:tcPr>
            <w:tcW w:w="492" w:type="dxa"/>
            <w:tcBorders>
              <w:top w:val="none" w:sz="0" w:space="0" w:color="auto"/>
            </w:tcBorders>
            <w:shd w:val="clear" w:color="auto" w:fill="F2F2F2" w:themeFill="background1" w:themeFillShade="F2"/>
            <w:noWrap/>
            <w:hideMark/>
          </w:tcPr>
          <w:p w14:paraId="1C50D06A"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63582469"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3A541D21" w14:textId="77777777" w:rsidTr="00071A61">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2152BC08" w14:textId="77777777"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 xml:space="preserve">PI-6. Central government operations outside financial reports </w:t>
            </w:r>
          </w:p>
        </w:tc>
        <w:tc>
          <w:tcPr>
            <w:tcW w:w="994" w:type="dxa"/>
            <w:tcBorders>
              <w:top w:val="none" w:sz="0" w:space="0" w:color="auto"/>
            </w:tcBorders>
            <w:noWrap/>
            <w:hideMark/>
          </w:tcPr>
          <w:p w14:paraId="7E044543"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04E20AB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6EC0B26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71897A5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shd w:val="clear" w:color="auto" w:fill="F2F2F2" w:themeFill="background1" w:themeFillShade="F2"/>
            <w:noWrap/>
            <w:hideMark/>
          </w:tcPr>
          <w:p w14:paraId="4227B3A0"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0822CE61"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785D57D1"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47EE562D" w14:textId="77777777"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 xml:space="preserve">PI-7. Transfers to subnational governments </w:t>
            </w:r>
          </w:p>
        </w:tc>
        <w:tc>
          <w:tcPr>
            <w:tcW w:w="994" w:type="dxa"/>
            <w:tcBorders>
              <w:top w:val="none" w:sz="0" w:space="0" w:color="auto"/>
            </w:tcBorders>
            <w:noWrap/>
            <w:hideMark/>
          </w:tcPr>
          <w:p w14:paraId="1D6CD85D"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73B51D5B" w14:textId="15FF90A7" w:rsidR="00583CF6" w:rsidRPr="00EF7789" w:rsidRDefault="00EB09D7" w:rsidP="00585338">
            <w:pPr>
              <w:jc w:val="center"/>
              <w:rPr>
                <w:rFonts w:asciiTheme="minorHAnsi" w:hAnsiTheme="minorHAnsi" w:cs="Times New Roman"/>
                <w:sz w:val="20"/>
                <w:szCs w:val="20"/>
                <w:lang w:val="fr-FR"/>
              </w:rPr>
            </w:pPr>
            <w:r>
              <w:rPr>
                <w:rFonts w:asciiTheme="minorHAnsi" w:hAnsiTheme="minorHAnsi" w:cs="Times New Roman"/>
                <w:sz w:val="20"/>
                <w:szCs w:val="20"/>
                <w:lang w:val="fr-FR"/>
              </w:rPr>
              <w:t>N/A</w:t>
            </w:r>
          </w:p>
        </w:tc>
        <w:tc>
          <w:tcPr>
            <w:tcW w:w="570" w:type="dxa"/>
            <w:tcBorders>
              <w:top w:val="none" w:sz="0" w:space="0" w:color="auto"/>
            </w:tcBorders>
            <w:noWrap/>
            <w:hideMark/>
          </w:tcPr>
          <w:p w14:paraId="06342765" w14:textId="57B5FAA6" w:rsidR="00583CF6" w:rsidRPr="00EF7789" w:rsidRDefault="00EB09D7" w:rsidP="00585338">
            <w:pPr>
              <w:jc w:val="center"/>
              <w:rPr>
                <w:rFonts w:asciiTheme="minorHAnsi" w:hAnsiTheme="minorHAnsi" w:cs="Times New Roman"/>
                <w:sz w:val="20"/>
                <w:szCs w:val="20"/>
                <w:lang w:val="fr-FR"/>
              </w:rPr>
            </w:pPr>
            <w:r>
              <w:rPr>
                <w:rFonts w:asciiTheme="minorHAnsi" w:hAnsiTheme="minorHAnsi" w:cs="Times New Roman"/>
                <w:sz w:val="20"/>
                <w:szCs w:val="20"/>
                <w:lang w:val="fr-FR"/>
              </w:rPr>
              <w:t>N/A</w:t>
            </w:r>
          </w:p>
        </w:tc>
        <w:tc>
          <w:tcPr>
            <w:tcW w:w="561" w:type="dxa"/>
            <w:tcBorders>
              <w:top w:val="none" w:sz="0" w:space="0" w:color="auto"/>
            </w:tcBorders>
            <w:shd w:val="clear" w:color="auto" w:fill="F2F2F2" w:themeFill="background1" w:themeFillShade="F2"/>
            <w:noWrap/>
            <w:hideMark/>
          </w:tcPr>
          <w:p w14:paraId="19D80092" w14:textId="77777777" w:rsidR="00583CF6" w:rsidRPr="00EF7789" w:rsidRDefault="00583CF6" w:rsidP="00585338">
            <w:pPr>
              <w:jc w:val="center"/>
              <w:rPr>
                <w:rFonts w:asciiTheme="minorHAnsi" w:hAnsiTheme="minorHAnsi" w:cs="Times New Roman"/>
                <w:sz w:val="20"/>
                <w:szCs w:val="20"/>
                <w:lang w:val="fr-FR"/>
              </w:rPr>
            </w:pPr>
          </w:p>
        </w:tc>
        <w:tc>
          <w:tcPr>
            <w:tcW w:w="492" w:type="dxa"/>
            <w:tcBorders>
              <w:top w:val="none" w:sz="0" w:space="0" w:color="auto"/>
            </w:tcBorders>
            <w:shd w:val="clear" w:color="auto" w:fill="F2F2F2" w:themeFill="background1" w:themeFillShade="F2"/>
            <w:noWrap/>
            <w:hideMark/>
          </w:tcPr>
          <w:p w14:paraId="0E9AA155"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5D2BE782" w14:textId="522BF2B4" w:rsidR="00583CF6" w:rsidRPr="009D21FC" w:rsidRDefault="00EB09D7" w:rsidP="00585338">
            <w:pPr>
              <w:jc w:val="center"/>
              <w:rPr>
                <w:rFonts w:asciiTheme="minorHAnsi" w:hAnsiTheme="minorHAnsi" w:cs="Times New Roman"/>
                <w:b/>
                <w:bCs/>
                <w:sz w:val="20"/>
                <w:szCs w:val="20"/>
                <w:lang w:val="fr-FR"/>
              </w:rPr>
            </w:pPr>
            <w:r>
              <w:rPr>
                <w:rFonts w:asciiTheme="minorHAnsi" w:hAnsiTheme="minorHAnsi" w:cs="Times New Roman"/>
                <w:b/>
                <w:sz w:val="20"/>
                <w:szCs w:val="20"/>
                <w:lang w:val="fr-FR"/>
              </w:rPr>
              <w:t>N/A</w:t>
            </w:r>
          </w:p>
        </w:tc>
      </w:tr>
      <w:tr w:rsidR="00583CF6" w:rsidRPr="00EF7789" w14:paraId="49C4B555"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2FFED4DA" w14:textId="77777777"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 xml:space="preserve">PI-8. Performance information for service delivery </w:t>
            </w:r>
          </w:p>
        </w:tc>
        <w:tc>
          <w:tcPr>
            <w:tcW w:w="994" w:type="dxa"/>
            <w:tcBorders>
              <w:top w:val="none" w:sz="0" w:space="0" w:color="auto"/>
            </w:tcBorders>
            <w:noWrap/>
            <w:hideMark/>
          </w:tcPr>
          <w:p w14:paraId="5E3886A3"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3991F415"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70" w:type="dxa"/>
            <w:tcBorders>
              <w:top w:val="none" w:sz="0" w:space="0" w:color="auto"/>
            </w:tcBorders>
            <w:noWrap/>
            <w:hideMark/>
          </w:tcPr>
          <w:p w14:paraId="2F4D8D7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4D37EA49"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noWrap/>
            <w:hideMark/>
          </w:tcPr>
          <w:p w14:paraId="7523E23C"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949" w:type="dxa"/>
            <w:gridSpan w:val="3"/>
            <w:tcBorders>
              <w:top w:val="none" w:sz="0" w:space="0" w:color="auto"/>
            </w:tcBorders>
            <w:noWrap/>
            <w:hideMark/>
          </w:tcPr>
          <w:p w14:paraId="7CAB1154"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36E94667"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1A6D546C" w14:textId="77777777"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 xml:space="preserve">PI-9. Public access to fiscal information </w:t>
            </w:r>
          </w:p>
        </w:tc>
        <w:tc>
          <w:tcPr>
            <w:tcW w:w="994" w:type="dxa"/>
            <w:tcBorders>
              <w:top w:val="none" w:sz="0" w:space="0" w:color="auto"/>
            </w:tcBorders>
            <w:noWrap/>
            <w:hideMark/>
          </w:tcPr>
          <w:p w14:paraId="6F4C853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659F112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shd w:val="clear" w:color="auto" w:fill="F2F2F2" w:themeFill="background1" w:themeFillShade="F2"/>
            <w:noWrap/>
            <w:hideMark/>
          </w:tcPr>
          <w:p w14:paraId="2261E959" w14:textId="77777777" w:rsidR="00583CF6" w:rsidRPr="00EF7789" w:rsidRDefault="00583CF6" w:rsidP="00585338">
            <w:pPr>
              <w:jc w:val="center"/>
              <w:rPr>
                <w:rFonts w:asciiTheme="minorHAnsi" w:hAnsiTheme="minorHAnsi" w:cs="Times New Roman"/>
                <w:sz w:val="20"/>
                <w:szCs w:val="20"/>
                <w:lang w:val="fr-FR"/>
              </w:rPr>
            </w:pPr>
          </w:p>
        </w:tc>
        <w:tc>
          <w:tcPr>
            <w:tcW w:w="561" w:type="dxa"/>
            <w:tcBorders>
              <w:top w:val="none" w:sz="0" w:space="0" w:color="auto"/>
            </w:tcBorders>
            <w:shd w:val="clear" w:color="auto" w:fill="F2F2F2" w:themeFill="background1" w:themeFillShade="F2"/>
            <w:noWrap/>
            <w:hideMark/>
          </w:tcPr>
          <w:p w14:paraId="2141CF8E" w14:textId="77777777" w:rsidR="00583CF6" w:rsidRPr="00EF7789" w:rsidRDefault="00583CF6" w:rsidP="00585338">
            <w:pPr>
              <w:jc w:val="center"/>
              <w:rPr>
                <w:rFonts w:asciiTheme="minorHAnsi" w:hAnsiTheme="minorHAnsi" w:cs="Times New Roman"/>
                <w:sz w:val="20"/>
                <w:szCs w:val="20"/>
                <w:lang w:val="fr-FR"/>
              </w:rPr>
            </w:pPr>
          </w:p>
        </w:tc>
        <w:tc>
          <w:tcPr>
            <w:tcW w:w="492" w:type="dxa"/>
            <w:tcBorders>
              <w:top w:val="none" w:sz="0" w:space="0" w:color="auto"/>
            </w:tcBorders>
            <w:shd w:val="clear" w:color="auto" w:fill="F2F2F2" w:themeFill="background1" w:themeFillShade="F2"/>
            <w:noWrap/>
            <w:hideMark/>
          </w:tcPr>
          <w:p w14:paraId="74C4345A"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2619629F"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EB621E" w:rsidRPr="00EF7789" w14:paraId="328C9143"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9491" w:type="dxa"/>
            <w:gridSpan w:val="9"/>
            <w:shd w:val="clear" w:color="auto" w:fill="FFC000"/>
            <w:noWrap/>
          </w:tcPr>
          <w:p w14:paraId="14CA5E33" w14:textId="26128498" w:rsidR="00EB621E" w:rsidRPr="00EB621E" w:rsidRDefault="00EB621E" w:rsidP="00EB621E">
            <w:pPr>
              <w:jc w:val="left"/>
              <w:rPr>
                <w:rFonts w:ascii="Calibri" w:hAnsi="Calibri"/>
                <w:b/>
                <w:bCs/>
                <w:sz w:val="20"/>
                <w:szCs w:val="20"/>
                <w:lang w:val="fr-FR"/>
              </w:rPr>
            </w:pPr>
            <w:r w:rsidRPr="00EB621E">
              <w:rPr>
                <w:rFonts w:ascii="Calibri" w:eastAsia="Calibri" w:hAnsi="Calibri"/>
                <w:b/>
                <w:bCs/>
                <w:sz w:val="20"/>
                <w:szCs w:val="20"/>
              </w:rPr>
              <w:t>III. Management of assets and liabilities</w:t>
            </w:r>
          </w:p>
        </w:tc>
      </w:tr>
      <w:tr w:rsidR="009D21FC" w:rsidRPr="00EF7789" w14:paraId="4FE65F83"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2E3EB2B0" w14:textId="77777777" w:rsidR="009D21FC" w:rsidRPr="00EF7789" w:rsidRDefault="009D21FC" w:rsidP="009D21FC">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PI-10. Fiscal risk reporting </w:t>
            </w:r>
          </w:p>
        </w:tc>
        <w:tc>
          <w:tcPr>
            <w:tcW w:w="994" w:type="dxa"/>
            <w:tcBorders>
              <w:top w:val="none" w:sz="0" w:space="0" w:color="auto"/>
            </w:tcBorders>
            <w:noWrap/>
            <w:hideMark/>
          </w:tcPr>
          <w:p w14:paraId="3659D88A" w14:textId="77777777" w:rsidR="009D21FC" w:rsidRPr="00EF7789" w:rsidRDefault="009D21FC" w:rsidP="009D21FC">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2FD4EE5D" w14:textId="6688CC6A" w:rsidR="009D21FC" w:rsidRPr="00EF7789" w:rsidRDefault="00EB09D7" w:rsidP="009D21FC">
            <w:pPr>
              <w:jc w:val="center"/>
              <w:rPr>
                <w:rFonts w:asciiTheme="minorHAnsi" w:hAnsiTheme="minorHAnsi" w:cs="Times New Roman"/>
                <w:sz w:val="20"/>
                <w:szCs w:val="20"/>
                <w:lang w:val="fr-FR"/>
              </w:rPr>
            </w:pPr>
            <w:r>
              <w:rPr>
                <w:rFonts w:asciiTheme="minorHAnsi" w:hAnsiTheme="minorHAnsi" w:cs="Times New Roman"/>
                <w:sz w:val="20"/>
                <w:szCs w:val="20"/>
                <w:lang w:val="fr-FR"/>
              </w:rPr>
              <w:t>N/A</w:t>
            </w:r>
          </w:p>
        </w:tc>
        <w:tc>
          <w:tcPr>
            <w:tcW w:w="570" w:type="dxa"/>
            <w:tcBorders>
              <w:top w:val="none" w:sz="0" w:space="0" w:color="auto"/>
            </w:tcBorders>
            <w:noWrap/>
            <w:hideMark/>
          </w:tcPr>
          <w:p w14:paraId="16C94386" w14:textId="6DFD8E6A" w:rsidR="009D21FC" w:rsidRPr="00EF7789" w:rsidRDefault="00EB09D7" w:rsidP="009D21FC">
            <w:pPr>
              <w:jc w:val="center"/>
              <w:rPr>
                <w:rFonts w:asciiTheme="minorHAnsi" w:hAnsiTheme="minorHAnsi" w:cs="Times New Roman"/>
                <w:sz w:val="20"/>
                <w:szCs w:val="20"/>
                <w:lang w:val="fr-FR"/>
              </w:rPr>
            </w:pPr>
            <w:r>
              <w:rPr>
                <w:rFonts w:asciiTheme="minorHAnsi" w:hAnsiTheme="minorHAnsi" w:cs="Times New Roman"/>
                <w:sz w:val="20"/>
                <w:szCs w:val="20"/>
                <w:lang w:val="fr-FR"/>
              </w:rPr>
              <w:t>N/A</w:t>
            </w:r>
          </w:p>
        </w:tc>
        <w:tc>
          <w:tcPr>
            <w:tcW w:w="561" w:type="dxa"/>
            <w:tcBorders>
              <w:top w:val="none" w:sz="0" w:space="0" w:color="auto"/>
            </w:tcBorders>
            <w:noWrap/>
            <w:hideMark/>
          </w:tcPr>
          <w:p w14:paraId="42302812" w14:textId="77777777" w:rsidR="009D21FC" w:rsidRPr="00EF7789" w:rsidRDefault="009D21FC" w:rsidP="009D21FC">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shd w:val="clear" w:color="auto" w:fill="F2F2F2" w:themeFill="background1" w:themeFillShade="F2"/>
            <w:noWrap/>
            <w:hideMark/>
          </w:tcPr>
          <w:p w14:paraId="4C7E23D0" w14:textId="77777777" w:rsidR="009D21FC" w:rsidRPr="00EF7789" w:rsidRDefault="009D21FC" w:rsidP="009D21FC">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1E30C445" w14:textId="77777777" w:rsidR="009D21FC" w:rsidRPr="00EF7789" w:rsidRDefault="009D21FC" w:rsidP="009D21FC">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1D2764BB"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53EAF343"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PI-11. Public investment management </w:t>
            </w:r>
          </w:p>
        </w:tc>
        <w:tc>
          <w:tcPr>
            <w:tcW w:w="994" w:type="dxa"/>
            <w:tcBorders>
              <w:top w:val="none" w:sz="0" w:space="0" w:color="auto"/>
            </w:tcBorders>
            <w:noWrap/>
            <w:hideMark/>
          </w:tcPr>
          <w:p w14:paraId="778346E6"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0243E589"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01C9758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28AEEE8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492" w:type="dxa"/>
            <w:tcBorders>
              <w:top w:val="none" w:sz="0" w:space="0" w:color="auto"/>
            </w:tcBorders>
            <w:noWrap/>
            <w:hideMark/>
          </w:tcPr>
          <w:p w14:paraId="5A016EC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949" w:type="dxa"/>
            <w:gridSpan w:val="3"/>
            <w:tcBorders>
              <w:top w:val="none" w:sz="0" w:space="0" w:color="auto"/>
            </w:tcBorders>
            <w:noWrap/>
            <w:hideMark/>
          </w:tcPr>
          <w:p w14:paraId="0403B445"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54E5FA53"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0B500D1D"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PI-12. Public asset management </w:t>
            </w:r>
          </w:p>
        </w:tc>
        <w:tc>
          <w:tcPr>
            <w:tcW w:w="994" w:type="dxa"/>
            <w:tcBorders>
              <w:top w:val="none" w:sz="0" w:space="0" w:color="auto"/>
            </w:tcBorders>
            <w:noWrap/>
            <w:hideMark/>
          </w:tcPr>
          <w:p w14:paraId="1913C756"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26D2F1C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059145D8"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313122F2"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shd w:val="clear" w:color="auto" w:fill="F2F2F2" w:themeFill="background1" w:themeFillShade="F2"/>
            <w:noWrap/>
            <w:hideMark/>
          </w:tcPr>
          <w:p w14:paraId="45166F96"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08C3A6E3"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6741B666" w14:textId="77777777" w:rsidTr="00071A61">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15C13445"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PI-13. Debt management </w:t>
            </w:r>
          </w:p>
        </w:tc>
        <w:tc>
          <w:tcPr>
            <w:tcW w:w="994" w:type="dxa"/>
            <w:tcBorders>
              <w:top w:val="none" w:sz="0" w:space="0" w:color="auto"/>
            </w:tcBorders>
            <w:noWrap/>
            <w:hideMark/>
          </w:tcPr>
          <w:p w14:paraId="2FFF070C"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65BE11E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47C0B942" w14:textId="3A8A98FE" w:rsidR="00583CF6" w:rsidRPr="00EF7789" w:rsidRDefault="00EB09D7" w:rsidP="00585338">
            <w:pPr>
              <w:jc w:val="center"/>
              <w:rPr>
                <w:rFonts w:asciiTheme="minorHAnsi" w:hAnsiTheme="minorHAnsi" w:cs="Times New Roman"/>
                <w:sz w:val="20"/>
                <w:szCs w:val="20"/>
                <w:lang w:val="fr-FR"/>
              </w:rPr>
            </w:pPr>
            <w:r>
              <w:rPr>
                <w:rFonts w:asciiTheme="minorHAnsi" w:hAnsiTheme="minorHAnsi" w:cs="Times New Roman"/>
                <w:sz w:val="20"/>
                <w:szCs w:val="20"/>
                <w:lang w:val="fr-FR"/>
              </w:rPr>
              <w:t>N/A</w:t>
            </w:r>
          </w:p>
        </w:tc>
        <w:tc>
          <w:tcPr>
            <w:tcW w:w="561" w:type="dxa"/>
            <w:tcBorders>
              <w:top w:val="none" w:sz="0" w:space="0" w:color="auto"/>
            </w:tcBorders>
            <w:noWrap/>
            <w:hideMark/>
          </w:tcPr>
          <w:p w14:paraId="478FEE9F"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shd w:val="clear" w:color="auto" w:fill="F2F2F2" w:themeFill="background1" w:themeFillShade="F2"/>
            <w:noWrap/>
            <w:hideMark/>
          </w:tcPr>
          <w:p w14:paraId="77C214D6"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6BA65618"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EB621E" w:rsidRPr="00EF7789" w14:paraId="338542A6" w14:textId="77777777" w:rsidTr="00EB621E">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9491" w:type="dxa"/>
            <w:gridSpan w:val="9"/>
            <w:shd w:val="clear" w:color="auto" w:fill="F16423"/>
            <w:noWrap/>
          </w:tcPr>
          <w:p w14:paraId="716B1158" w14:textId="27A1FE4E" w:rsidR="00EB621E" w:rsidRPr="00EB621E" w:rsidRDefault="00EB621E" w:rsidP="001539EB">
            <w:pPr>
              <w:jc w:val="left"/>
              <w:rPr>
                <w:rFonts w:ascii="Calibri" w:hAnsi="Calibri"/>
                <w:b/>
                <w:bCs/>
                <w:sz w:val="20"/>
                <w:szCs w:val="20"/>
                <w:lang w:val="fr-FR"/>
              </w:rPr>
            </w:pPr>
            <w:r w:rsidRPr="00EB621E">
              <w:rPr>
                <w:rFonts w:ascii="Calibri" w:eastAsia="Calibri" w:hAnsi="Calibri"/>
                <w:b/>
                <w:bCs/>
                <w:sz w:val="20"/>
                <w:szCs w:val="20"/>
              </w:rPr>
              <w:t>I</w:t>
            </w:r>
            <w:r>
              <w:rPr>
                <w:rFonts w:ascii="Calibri" w:eastAsia="Calibri" w:hAnsi="Calibri"/>
                <w:b/>
                <w:bCs/>
                <w:sz w:val="20"/>
                <w:szCs w:val="20"/>
              </w:rPr>
              <w:t xml:space="preserve">V. </w:t>
            </w:r>
            <w:r w:rsidRPr="00EB621E">
              <w:rPr>
                <w:rFonts w:ascii="Calibri" w:eastAsia="Calibri" w:hAnsi="Calibri"/>
                <w:b/>
                <w:bCs/>
                <w:sz w:val="20"/>
                <w:szCs w:val="20"/>
              </w:rPr>
              <w:t>Policy-based fiscal strategy and budgeting</w:t>
            </w:r>
          </w:p>
        </w:tc>
      </w:tr>
      <w:tr w:rsidR="00583CF6" w:rsidRPr="00EF7789" w14:paraId="35682783" w14:textId="77777777" w:rsidTr="00071A61">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5EFF659B" w14:textId="260F5D2B"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PI-14. Macroeconomic and fiscal forecasting</w:t>
            </w:r>
            <w:r w:rsidR="00350561">
              <w:rPr>
                <w:rFonts w:asciiTheme="minorHAnsi" w:hAnsiTheme="minorHAnsi" w:cs="Times New Roman"/>
                <w:sz w:val="20"/>
                <w:szCs w:val="20"/>
                <w:lang w:val="en-GB"/>
              </w:rPr>
              <w:t xml:space="preserve"> </w:t>
            </w:r>
          </w:p>
        </w:tc>
        <w:tc>
          <w:tcPr>
            <w:tcW w:w="994" w:type="dxa"/>
            <w:tcBorders>
              <w:top w:val="none" w:sz="0" w:space="0" w:color="auto"/>
            </w:tcBorders>
            <w:noWrap/>
            <w:hideMark/>
          </w:tcPr>
          <w:p w14:paraId="06E9E37F"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55C94019"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570" w:type="dxa"/>
            <w:tcBorders>
              <w:top w:val="none" w:sz="0" w:space="0" w:color="auto"/>
            </w:tcBorders>
            <w:noWrap/>
            <w:hideMark/>
          </w:tcPr>
          <w:p w14:paraId="24ACEB6E"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561" w:type="dxa"/>
            <w:tcBorders>
              <w:top w:val="none" w:sz="0" w:space="0" w:color="auto"/>
            </w:tcBorders>
            <w:noWrap/>
            <w:hideMark/>
          </w:tcPr>
          <w:p w14:paraId="18D0A77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shd w:val="clear" w:color="auto" w:fill="F2F2F2" w:themeFill="background1" w:themeFillShade="F2"/>
            <w:noWrap/>
            <w:hideMark/>
          </w:tcPr>
          <w:p w14:paraId="17B5452B"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202B3A4C"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5A3E5181"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77C0A560" w14:textId="690D5AC8"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PI-15. Fiscal strategy</w:t>
            </w:r>
            <w:r w:rsidR="00350561">
              <w:rPr>
                <w:rFonts w:asciiTheme="minorHAnsi" w:hAnsiTheme="minorHAnsi" w:cs="Times New Roman"/>
                <w:sz w:val="20"/>
                <w:szCs w:val="20"/>
                <w:lang w:val="fr-FR"/>
              </w:rPr>
              <w:t xml:space="preserve"> </w:t>
            </w:r>
          </w:p>
        </w:tc>
        <w:tc>
          <w:tcPr>
            <w:tcW w:w="994" w:type="dxa"/>
            <w:tcBorders>
              <w:top w:val="none" w:sz="0" w:space="0" w:color="auto"/>
            </w:tcBorders>
            <w:noWrap/>
            <w:hideMark/>
          </w:tcPr>
          <w:p w14:paraId="34955D72"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612EA4C5"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557408E9"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61" w:type="dxa"/>
            <w:tcBorders>
              <w:top w:val="none" w:sz="0" w:space="0" w:color="auto"/>
            </w:tcBorders>
            <w:noWrap/>
            <w:hideMark/>
          </w:tcPr>
          <w:p w14:paraId="5F86A956"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492" w:type="dxa"/>
            <w:tcBorders>
              <w:top w:val="none" w:sz="0" w:space="0" w:color="auto"/>
            </w:tcBorders>
            <w:shd w:val="clear" w:color="auto" w:fill="F2F2F2" w:themeFill="background1" w:themeFillShade="F2"/>
            <w:noWrap/>
            <w:hideMark/>
          </w:tcPr>
          <w:p w14:paraId="4C1B2826"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48E026D3"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p>
        </w:tc>
      </w:tr>
      <w:tr w:rsidR="00583CF6" w:rsidRPr="00EF7789" w14:paraId="7BD55DF2"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23C9AE70" w14:textId="54DD57B8"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 xml:space="preserve">PI-16. </w:t>
            </w:r>
            <w:r w:rsidRPr="009D21FC">
              <w:rPr>
                <w:rFonts w:asciiTheme="minorHAnsi" w:hAnsiTheme="minorHAnsi" w:cs="Times New Roman"/>
                <w:sz w:val="20"/>
                <w:szCs w:val="20"/>
                <w:lang w:val="en-GB"/>
              </w:rPr>
              <w:t>Medium</w:t>
            </w:r>
            <w:r w:rsidR="009D21FC">
              <w:rPr>
                <w:rFonts w:asciiTheme="minorHAnsi" w:hAnsiTheme="minorHAnsi" w:cs="Times New Roman"/>
                <w:sz w:val="20"/>
                <w:szCs w:val="20"/>
                <w:lang w:val="en-GB"/>
              </w:rPr>
              <w:t>-</w:t>
            </w:r>
            <w:r w:rsidRPr="009D21FC">
              <w:rPr>
                <w:rFonts w:asciiTheme="minorHAnsi" w:hAnsiTheme="minorHAnsi" w:cs="Times New Roman"/>
                <w:sz w:val="20"/>
                <w:szCs w:val="20"/>
                <w:lang w:val="en-GB"/>
              </w:rPr>
              <w:t>term</w:t>
            </w:r>
            <w:r w:rsidRPr="00EF7789">
              <w:rPr>
                <w:rFonts w:asciiTheme="minorHAnsi" w:hAnsiTheme="minorHAnsi" w:cs="Times New Roman"/>
                <w:sz w:val="20"/>
                <w:szCs w:val="20"/>
                <w:lang w:val="en-GB"/>
              </w:rPr>
              <w:t xml:space="preserve"> perspective in expenditure budgeting</w:t>
            </w:r>
            <w:r w:rsidR="00350561">
              <w:rPr>
                <w:rFonts w:asciiTheme="minorHAnsi" w:hAnsiTheme="minorHAnsi" w:cs="Times New Roman"/>
                <w:sz w:val="20"/>
                <w:szCs w:val="20"/>
                <w:lang w:val="en-GB"/>
              </w:rPr>
              <w:t xml:space="preserve"> </w:t>
            </w:r>
          </w:p>
        </w:tc>
        <w:tc>
          <w:tcPr>
            <w:tcW w:w="994" w:type="dxa"/>
            <w:tcBorders>
              <w:top w:val="none" w:sz="0" w:space="0" w:color="auto"/>
            </w:tcBorders>
            <w:noWrap/>
            <w:hideMark/>
          </w:tcPr>
          <w:p w14:paraId="0B35B9BC"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272319DF"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570" w:type="dxa"/>
            <w:tcBorders>
              <w:top w:val="none" w:sz="0" w:space="0" w:color="auto"/>
            </w:tcBorders>
            <w:noWrap/>
            <w:hideMark/>
          </w:tcPr>
          <w:p w14:paraId="08A438D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1F242AE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noWrap/>
            <w:hideMark/>
          </w:tcPr>
          <w:p w14:paraId="498EA14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949" w:type="dxa"/>
            <w:gridSpan w:val="3"/>
            <w:tcBorders>
              <w:top w:val="none" w:sz="0" w:space="0" w:color="auto"/>
            </w:tcBorders>
            <w:noWrap/>
            <w:hideMark/>
          </w:tcPr>
          <w:p w14:paraId="7FCD236F"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078FB924"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4381FA3C"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PI-17. Budget preparation process </w:t>
            </w:r>
          </w:p>
        </w:tc>
        <w:tc>
          <w:tcPr>
            <w:tcW w:w="994" w:type="dxa"/>
            <w:tcBorders>
              <w:top w:val="none" w:sz="0" w:space="0" w:color="auto"/>
            </w:tcBorders>
            <w:noWrap/>
            <w:hideMark/>
          </w:tcPr>
          <w:p w14:paraId="6C69AA3C"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2CB4A2DB"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70" w:type="dxa"/>
            <w:tcBorders>
              <w:top w:val="none" w:sz="0" w:space="0" w:color="auto"/>
            </w:tcBorders>
            <w:noWrap/>
            <w:hideMark/>
          </w:tcPr>
          <w:p w14:paraId="28D86422"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1086252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492" w:type="dxa"/>
            <w:tcBorders>
              <w:top w:val="none" w:sz="0" w:space="0" w:color="auto"/>
            </w:tcBorders>
            <w:shd w:val="clear" w:color="auto" w:fill="F2F2F2" w:themeFill="background1" w:themeFillShade="F2"/>
            <w:noWrap/>
            <w:hideMark/>
          </w:tcPr>
          <w:p w14:paraId="054BF082"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4D566C90"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B</w:t>
            </w:r>
          </w:p>
        </w:tc>
      </w:tr>
      <w:tr w:rsidR="00583CF6" w:rsidRPr="00EF7789" w14:paraId="501B1663"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2FBE51FA" w14:textId="77777777"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 xml:space="preserve">PI-18. Legislative scrutiny of budgets </w:t>
            </w:r>
          </w:p>
        </w:tc>
        <w:tc>
          <w:tcPr>
            <w:tcW w:w="994" w:type="dxa"/>
            <w:tcBorders>
              <w:top w:val="none" w:sz="0" w:space="0" w:color="auto"/>
            </w:tcBorders>
            <w:noWrap/>
            <w:hideMark/>
          </w:tcPr>
          <w:p w14:paraId="335BAAA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5EADAEE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570" w:type="dxa"/>
            <w:tcBorders>
              <w:top w:val="none" w:sz="0" w:space="0" w:color="auto"/>
            </w:tcBorders>
            <w:noWrap/>
            <w:hideMark/>
          </w:tcPr>
          <w:p w14:paraId="481C2B56"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561" w:type="dxa"/>
            <w:tcBorders>
              <w:top w:val="none" w:sz="0" w:space="0" w:color="auto"/>
            </w:tcBorders>
            <w:noWrap/>
            <w:hideMark/>
          </w:tcPr>
          <w:p w14:paraId="7BB76465"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492" w:type="dxa"/>
            <w:tcBorders>
              <w:top w:val="none" w:sz="0" w:space="0" w:color="auto"/>
            </w:tcBorders>
            <w:noWrap/>
            <w:hideMark/>
          </w:tcPr>
          <w:p w14:paraId="459374F2" w14:textId="2F6C52B3" w:rsidR="00583CF6" w:rsidRPr="00EF7789" w:rsidRDefault="00A9523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949" w:type="dxa"/>
            <w:gridSpan w:val="3"/>
            <w:tcBorders>
              <w:top w:val="none" w:sz="0" w:space="0" w:color="auto"/>
            </w:tcBorders>
            <w:noWrap/>
            <w:hideMark/>
          </w:tcPr>
          <w:p w14:paraId="44FA444D" w14:textId="42B2499A" w:rsidR="00583CF6" w:rsidRPr="00EF7789" w:rsidRDefault="00A9523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p>
        </w:tc>
      </w:tr>
      <w:tr w:rsidR="00EB621E" w:rsidRPr="00EF7789" w14:paraId="5E6E2EF9" w14:textId="77777777" w:rsidTr="00EB621E">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9491" w:type="dxa"/>
            <w:gridSpan w:val="9"/>
            <w:shd w:val="clear" w:color="auto" w:fill="84C346"/>
            <w:noWrap/>
          </w:tcPr>
          <w:p w14:paraId="177429A4" w14:textId="4B89F7D2" w:rsidR="00EB621E" w:rsidRPr="00EF7789" w:rsidRDefault="00EB621E" w:rsidP="00EB621E">
            <w:pPr>
              <w:jc w:val="left"/>
              <w:rPr>
                <w:rFonts w:asciiTheme="minorHAnsi" w:hAnsiTheme="minorHAnsi" w:cs="Times New Roman"/>
                <w:b/>
                <w:bCs/>
                <w:sz w:val="20"/>
                <w:szCs w:val="20"/>
                <w:lang w:val="fr-FR"/>
              </w:rPr>
            </w:pPr>
            <w:r w:rsidRPr="00EB621E">
              <w:rPr>
                <w:rFonts w:asciiTheme="minorHAnsi" w:hAnsiTheme="minorHAnsi" w:cs="Times New Roman"/>
                <w:b/>
                <w:bCs/>
                <w:sz w:val="20"/>
                <w:szCs w:val="20"/>
                <w:lang w:val="fr-FR"/>
              </w:rPr>
              <w:t>V. Predictability and control in budget execution</w:t>
            </w:r>
          </w:p>
        </w:tc>
      </w:tr>
      <w:tr w:rsidR="00583CF6" w:rsidRPr="00EF7789" w14:paraId="53973027"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3A36BAB1"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PI-19. Revenue administration </w:t>
            </w:r>
          </w:p>
        </w:tc>
        <w:tc>
          <w:tcPr>
            <w:tcW w:w="994" w:type="dxa"/>
            <w:tcBorders>
              <w:top w:val="none" w:sz="0" w:space="0" w:color="auto"/>
            </w:tcBorders>
            <w:noWrap/>
            <w:hideMark/>
          </w:tcPr>
          <w:p w14:paraId="60A4F343"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33153ED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5117738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0BB6C959"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noWrap/>
            <w:hideMark/>
          </w:tcPr>
          <w:p w14:paraId="7E57189F"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949" w:type="dxa"/>
            <w:gridSpan w:val="3"/>
            <w:tcBorders>
              <w:top w:val="none" w:sz="0" w:space="0" w:color="auto"/>
            </w:tcBorders>
            <w:noWrap/>
            <w:hideMark/>
          </w:tcPr>
          <w:p w14:paraId="6E587BED"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0801F945"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6A1F2826"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PI-20. Accounting for revenue </w:t>
            </w:r>
          </w:p>
        </w:tc>
        <w:tc>
          <w:tcPr>
            <w:tcW w:w="994" w:type="dxa"/>
            <w:tcBorders>
              <w:top w:val="none" w:sz="0" w:space="0" w:color="auto"/>
            </w:tcBorders>
            <w:noWrap/>
            <w:hideMark/>
          </w:tcPr>
          <w:p w14:paraId="48542DCB"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606DA57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570" w:type="dxa"/>
            <w:tcBorders>
              <w:top w:val="none" w:sz="0" w:space="0" w:color="auto"/>
            </w:tcBorders>
            <w:noWrap/>
            <w:hideMark/>
          </w:tcPr>
          <w:p w14:paraId="6972264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61" w:type="dxa"/>
            <w:tcBorders>
              <w:top w:val="none" w:sz="0" w:space="0" w:color="auto"/>
            </w:tcBorders>
            <w:noWrap/>
            <w:hideMark/>
          </w:tcPr>
          <w:p w14:paraId="5B32DC96"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shd w:val="clear" w:color="auto" w:fill="F2F2F2" w:themeFill="background1" w:themeFillShade="F2"/>
            <w:noWrap/>
            <w:hideMark/>
          </w:tcPr>
          <w:p w14:paraId="4945572F"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042E871C"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4FC06793"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4EC4731A" w14:textId="4A7B0450"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PI-21. Predictability of in</w:t>
            </w:r>
            <w:r w:rsidR="009D21FC">
              <w:rPr>
                <w:rFonts w:asciiTheme="minorHAnsi" w:hAnsiTheme="minorHAnsi" w:cs="Times New Roman"/>
                <w:sz w:val="20"/>
                <w:szCs w:val="20"/>
                <w:lang w:val="en-GB"/>
              </w:rPr>
              <w:t>-</w:t>
            </w:r>
            <w:r w:rsidRPr="00EF7789">
              <w:rPr>
                <w:rFonts w:asciiTheme="minorHAnsi" w:hAnsiTheme="minorHAnsi" w:cs="Times New Roman"/>
                <w:sz w:val="20"/>
                <w:szCs w:val="20"/>
                <w:lang w:val="en-GB"/>
              </w:rPr>
              <w:t xml:space="preserve">year resource allocation </w:t>
            </w:r>
          </w:p>
        </w:tc>
        <w:tc>
          <w:tcPr>
            <w:tcW w:w="994" w:type="dxa"/>
            <w:tcBorders>
              <w:top w:val="none" w:sz="0" w:space="0" w:color="auto"/>
            </w:tcBorders>
            <w:noWrap/>
            <w:hideMark/>
          </w:tcPr>
          <w:p w14:paraId="61809EA2"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1E52A62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63BD4FA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561" w:type="dxa"/>
            <w:tcBorders>
              <w:top w:val="none" w:sz="0" w:space="0" w:color="auto"/>
            </w:tcBorders>
            <w:noWrap/>
            <w:hideMark/>
          </w:tcPr>
          <w:p w14:paraId="70A5B4EC"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492" w:type="dxa"/>
            <w:tcBorders>
              <w:top w:val="none" w:sz="0" w:space="0" w:color="auto"/>
            </w:tcBorders>
            <w:noWrap/>
            <w:hideMark/>
          </w:tcPr>
          <w:p w14:paraId="201ABA39"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949" w:type="dxa"/>
            <w:gridSpan w:val="3"/>
            <w:tcBorders>
              <w:top w:val="none" w:sz="0" w:space="0" w:color="auto"/>
            </w:tcBorders>
            <w:noWrap/>
            <w:hideMark/>
          </w:tcPr>
          <w:p w14:paraId="3C66D32E"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p>
        </w:tc>
      </w:tr>
      <w:tr w:rsidR="00583CF6" w:rsidRPr="00EF7789" w14:paraId="5E8AD6A4"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23524068"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PI-22. Expenditure arrears </w:t>
            </w:r>
          </w:p>
        </w:tc>
        <w:tc>
          <w:tcPr>
            <w:tcW w:w="994" w:type="dxa"/>
            <w:tcBorders>
              <w:top w:val="none" w:sz="0" w:space="0" w:color="auto"/>
            </w:tcBorders>
            <w:noWrap/>
            <w:hideMark/>
          </w:tcPr>
          <w:p w14:paraId="257D8CA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5C88D4D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0859A8C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shd w:val="clear" w:color="auto" w:fill="F2F2F2" w:themeFill="background1" w:themeFillShade="F2"/>
            <w:noWrap/>
            <w:hideMark/>
          </w:tcPr>
          <w:p w14:paraId="72AC9303" w14:textId="77777777" w:rsidR="00583CF6" w:rsidRPr="00EF7789" w:rsidRDefault="00583CF6" w:rsidP="00585338">
            <w:pPr>
              <w:jc w:val="center"/>
              <w:rPr>
                <w:rFonts w:asciiTheme="minorHAnsi" w:hAnsiTheme="minorHAnsi" w:cs="Times New Roman"/>
                <w:sz w:val="20"/>
                <w:szCs w:val="20"/>
                <w:lang w:val="fr-FR"/>
              </w:rPr>
            </w:pPr>
          </w:p>
        </w:tc>
        <w:tc>
          <w:tcPr>
            <w:tcW w:w="492" w:type="dxa"/>
            <w:tcBorders>
              <w:top w:val="none" w:sz="0" w:space="0" w:color="auto"/>
            </w:tcBorders>
            <w:shd w:val="clear" w:color="auto" w:fill="F2F2F2" w:themeFill="background1" w:themeFillShade="F2"/>
            <w:noWrap/>
            <w:hideMark/>
          </w:tcPr>
          <w:p w14:paraId="6190C72F"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0A3641E6"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70D4E70D"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0F59335D"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PI-23. Payroll controls </w:t>
            </w:r>
          </w:p>
        </w:tc>
        <w:tc>
          <w:tcPr>
            <w:tcW w:w="994" w:type="dxa"/>
            <w:tcBorders>
              <w:top w:val="none" w:sz="0" w:space="0" w:color="auto"/>
            </w:tcBorders>
            <w:noWrap/>
            <w:hideMark/>
          </w:tcPr>
          <w:p w14:paraId="6C142BD5"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5CE27B4B"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77A0E24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61" w:type="dxa"/>
            <w:tcBorders>
              <w:top w:val="none" w:sz="0" w:space="0" w:color="auto"/>
            </w:tcBorders>
            <w:noWrap/>
            <w:hideMark/>
          </w:tcPr>
          <w:p w14:paraId="7214DB09"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noWrap/>
            <w:hideMark/>
          </w:tcPr>
          <w:p w14:paraId="2523D93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949" w:type="dxa"/>
            <w:gridSpan w:val="3"/>
            <w:tcBorders>
              <w:top w:val="none" w:sz="0" w:space="0" w:color="auto"/>
            </w:tcBorders>
            <w:noWrap/>
            <w:hideMark/>
          </w:tcPr>
          <w:p w14:paraId="6B4FD615"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2D0578B1" w14:textId="77777777" w:rsidTr="00EB621E">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32B0CEA4" w14:textId="39329A5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PI-24. Procurement management</w:t>
            </w:r>
            <w:r w:rsidR="00350561">
              <w:rPr>
                <w:rFonts w:asciiTheme="minorHAnsi" w:hAnsiTheme="minorHAnsi" w:cs="Times New Roman"/>
                <w:sz w:val="20"/>
                <w:szCs w:val="20"/>
                <w:lang w:val="fr-FR"/>
              </w:rPr>
              <w:t xml:space="preserve"> </w:t>
            </w:r>
          </w:p>
        </w:tc>
        <w:tc>
          <w:tcPr>
            <w:tcW w:w="994" w:type="dxa"/>
            <w:tcBorders>
              <w:top w:val="none" w:sz="0" w:space="0" w:color="auto"/>
            </w:tcBorders>
            <w:noWrap/>
            <w:hideMark/>
          </w:tcPr>
          <w:p w14:paraId="43F4393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0B444323"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54D039C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5344891D"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492" w:type="dxa"/>
            <w:tcBorders>
              <w:top w:val="none" w:sz="0" w:space="0" w:color="auto"/>
            </w:tcBorders>
            <w:noWrap/>
            <w:hideMark/>
          </w:tcPr>
          <w:p w14:paraId="074CFBE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949" w:type="dxa"/>
            <w:gridSpan w:val="3"/>
            <w:tcBorders>
              <w:top w:val="none" w:sz="0" w:space="0" w:color="auto"/>
            </w:tcBorders>
            <w:noWrap/>
            <w:hideMark/>
          </w:tcPr>
          <w:p w14:paraId="2F6767CA"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p>
        </w:tc>
      </w:tr>
      <w:tr w:rsidR="00583CF6" w:rsidRPr="00EF7789" w14:paraId="1B0DBD95" w14:textId="77777777" w:rsidTr="00071A61">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45F3DCA4" w14:textId="28243F94"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PI-25. Internal controls on non</w:t>
            </w:r>
            <w:r w:rsidR="009D21FC">
              <w:rPr>
                <w:rFonts w:asciiTheme="minorHAnsi" w:hAnsiTheme="minorHAnsi" w:cs="Times New Roman"/>
                <w:sz w:val="20"/>
                <w:szCs w:val="20"/>
                <w:lang w:val="fr-FR"/>
              </w:rPr>
              <w:t>-</w:t>
            </w:r>
            <w:r w:rsidRPr="00EF7789">
              <w:rPr>
                <w:rFonts w:asciiTheme="minorHAnsi" w:hAnsiTheme="minorHAnsi" w:cs="Times New Roman"/>
                <w:sz w:val="20"/>
                <w:szCs w:val="20"/>
                <w:lang w:val="fr-FR"/>
              </w:rPr>
              <w:t xml:space="preserve">salary expenditure </w:t>
            </w:r>
          </w:p>
        </w:tc>
        <w:tc>
          <w:tcPr>
            <w:tcW w:w="994" w:type="dxa"/>
            <w:tcBorders>
              <w:top w:val="none" w:sz="0" w:space="0" w:color="auto"/>
            </w:tcBorders>
            <w:noWrap/>
            <w:hideMark/>
          </w:tcPr>
          <w:p w14:paraId="37645E37"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207F2745"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70" w:type="dxa"/>
            <w:tcBorders>
              <w:top w:val="none" w:sz="0" w:space="0" w:color="auto"/>
            </w:tcBorders>
            <w:noWrap/>
            <w:hideMark/>
          </w:tcPr>
          <w:p w14:paraId="491239E3"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561" w:type="dxa"/>
            <w:tcBorders>
              <w:top w:val="none" w:sz="0" w:space="0" w:color="auto"/>
            </w:tcBorders>
            <w:noWrap/>
            <w:hideMark/>
          </w:tcPr>
          <w:p w14:paraId="5B439FAA"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shd w:val="clear" w:color="auto" w:fill="F2F2F2" w:themeFill="background1" w:themeFillShade="F2"/>
            <w:noWrap/>
            <w:hideMark/>
          </w:tcPr>
          <w:p w14:paraId="4C5133AB"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62380B13"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p>
        </w:tc>
      </w:tr>
      <w:tr w:rsidR="00583CF6" w:rsidRPr="00EF7789" w14:paraId="067F3D28" w14:textId="77777777" w:rsidTr="00EB621E">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792EC342"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PI-26. Internal audit </w:t>
            </w:r>
          </w:p>
        </w:tc>
        <w:tc>
          <w:tcPr>
            <w:tcW w:w="994" w:type="dxa"/>
            <w:tcBorders>
              <w:top w:val="none" w:sz="0" w:space="0" w:color="auto"/>
            </w:tcBorders>
            <w:noWrap/>
            <w:hideMark/>
          </w:tcPr>
          <w:p w14:paraId="1205BBC8"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0101A46D" w14:textId="4F73242F" w:rsidR="00583CF6" w:rsidRPr="00EF7789" w:rsidRDefault="0012722E"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70" w:type="dxa"/>
            <w:tcBorders>
              <w:top w:val="none" w:sz="0" w:space="0" w:color="auto"/>
            </w:tcBorders>
            <w:noWrap/>
            <w:hideMark/>
          </w:tcPr>
          <w:p w14:paraId="370DA8FD"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561" w:type="dxa"/>
            <w:tcBorders>
              <w:top w:val="none" w:sz="0" w:space="0" w:color="auto"/>
            </w:tcBorders>
            <w:noWrap/>
            <w:hideMark/>
          </w:tcPr>
          <w:p w14:paraId="2218BF0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492" w:type="dxa"/>
            <w:tcBorders>
              <w:top w:val="none" w:sz="0" w:space="0" w:color="auto"/>
            </w:tcBorders>
            <w:noWrap/>
            <w:hideMark/>
          </w:tcPr>
          <w:p w14:paraId="2A64B7DF"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949" w:type="dxa"/>
            <w:gridSpan w:val="3"/>
            <w:tcBorders>
              <w:top w:val="none" w:sz="0" w:space="0" w:color="auto"/>
            </w:tcBorders>
            <w:noWrap/>
            <w:hideMark/>
          </w:tcPr>
          <w:p w14:paraId="74EEC16C" w14:textId="23C1603E" w:rsidR="00583CF6" w:rsidRPr="00EF7789" w:rsidRDefault="0012722E"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r w:rsidR="00583CF6" w:rsidRPr="00EF7789">
              <w:rPr>
                <w:rFonts w:asciiTheme="minorHAnsi" w:hAnsiTheme="minorHAnsi" w:cs="Times New Roman"/>
                <w:b/>
                <w:bCs/>
                <w:sz w:val="20"/>
                <w:szCs w:val="20"/>
                <w:lang w:val="fr-FR"/>
              </w:rPr>
              <w:t>+</w:t>
            </w:r>
          </w:p>
        </w:tc>
      </w:tr>
      <w:tr w:rsidR="00071A61" w:rsidRPr="00EF7789" w14:paraId="0B7F3625" w14:textId="77777777" w:rsidTr="00071A61">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9491" w:type="dxa"/>
            <w:gridSpan w:val="9"/>
            <w:shd w:val="clear" w:color="auto" w:fill="C2D822"/>
            <w:noWrap/>
          </w:tcPr>
          <w:p w14:paraId="17A7629F" w14:textId="2ABD8E0B" w:rsidR="00071A61" w:rsidRPr="00EF7789" w:rsidRDefault="00071A61" w:rsidP="00071A61">
            <w:pPr>
              <w:jc w:val="left"/>
              <w:rPr>
                <w:rFonts w:asciiTheme="minorHAnsi" w:hAnsiTheme="minorHAnsi" w:cs="Times New Roman"/>
                <w:b/>
                <w:bCs/>
                <w:sz w:val="20"/>
                <w:szCs w:val="20"/>
                <w:lang w:val="fr-FR"/>
              </w:rPr>
            </w:pPr>
            <w:r w:rsidRPr="00071A61">
              <w:rPr>
                <w:rFonts w:asciiTheme="minorHAnsi" w:hAnsiTheme="minorHAnsi" w:cs="Times New Roman"/>
                <w:b/>
                <w:bCs/>
                <w:sz w:val="20"/>
                <w:szCs w:val="20"/>
                <w:lang w:val="fr-FR"/>
              </w:rPr>
              <w:t>VI. Accounting and reporting</w:t>
            </w:r>
          </w:p>
        </w:tc>
      </w:tr>
      <w:tr w:rsidR="00583CF6" w:rsidRPr="00EF7789" w14:paraId="7090E506" w14:textId="77777777" w:rsidTr="00EB621E">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5A59D0D1"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PI-27. Financial data integrity </w:t>
            </w:r>
          </w:p>
        </w:tc>
        <w:tc>
          <w:tcPr>
            <w:tcW w:w="994" w:type="dxa"/>
            <w:tcBorders>
              <w:top w:val="none" w:sz="0" w:space="0" w:color="auto"/>
            </w:tcBorders>
            <w:noWrap/>
            <w:hideMark/>
          </w:tcPr>
          <w:p w14:paraId="42ACBEFD"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7827BA5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27237711"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169B7F26"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noWrap/>
            <w:hideMark/>
          </w:tcPr>
          <w:p w14:paraId="6669A29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949" w:type="dxa"/>
            <w:gridSpan w:val="3"/>
            <w:tcBorders>
              <w:top w:val="none" w:sz="0" w:space="0" w:color="auto"/>
            </w:tcBorders>
            <w:noWrap/>
            <w:hideMark/>
          </w:tcPr>
          <w:p w14:paraId="7D8EF66E"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583CF6" w:rsidRPr="00EF7789" w14:paraId="1A6C57B4" w14:textId="77777777" w:rsidTr="00071A61">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01AF1C2E" w14:textId="6C613C10"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PI-28. In</w:t>
            </w:r>
            <w:r w:rsidR="009D21FC">
              <w:rPr>
                <w:rFonts w:asciiTheme="minorHAnsi" w:hAnsiTheme="minorHAnsi" w:cs="Times New Roman"/>
                <w:sz w:val="20"/>
                <w:szCs w:val="20"/>
                <w:lang w:val="en-GB"/>
              </w:rPr>
              <w:t>-</w:t>
            </w:r>
            <w:r w:rsidRPr="00EF7789">
              <w:rPr>
                <w:rFonts w:asciiTheme="minorHAnsi" w:hAnsiTheme="minorHAnsi" w:cs="Times New Roman"/>
                <w:sz w:val="20"/>
                <w:szCs w:val="20"/>
                <w:lang w:val="en-GB"/>
              </w:rPr>
              <w:t xml:space="preserve">year budget reports </w:t>
            </w:r>
          </w:p>
        </w:tc>
        <w:tc>
          <w:tcPr>
            <w:tcW w:w="994" w:type="dxa"/>
            <w:tcBorders>
              <w:top w:val="none" w:sz="0" w:space="0" w:color="auto"/>
            </w:tcBorders>
            <w:noWrap/>
            <w:hideMark/>
          </w:tcPr>
          <w:p w14:paraId="35D8D413"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5A4C9BB1" w14:textId="4BC89803" w:rsidR="00583CF6" w:rsidRPr="00EF7789" w:rsidRDefault="007A1A8D"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570" w:type="dxa"/>
            <w:tcBorders>
              <w:top w:val="none" w:sz="0" w:space="0" w:color="auto"/>
            </w:tcBorders>
            <w:noWrap/>
            <w:hideMark/>
          </w:tcPr>
          <w:p w14:paraId="47FDCE62"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61" w:type="dxa"/>
            <w:tcBorders>
              <w:top w:val="none" w:sz="0" w:space="0" w:color="auto"/>
            </w:tcBorders>
            <w:noWrap/>
            <w:hideMark/>
          </w:tcPr>
          <w:p w14:paraId="6EE373D2"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492" w:type="dxa"/>
            <w:tcBorders>
              <w:top w:val="none" w:sz="0" w:space="0" w:color="auto"/>
            </w:tcBorders>
            <w:shd w:val="clear" w:color="auto" w:fill="F2F2F2" w:themeFill="background1" w:themeFillShade="F2"/>
            <w:noWrap/>
            <w:hideMark/>
          </w:tcPr>
          <w:p w14:paraId="26DF208C"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58F06C01" w14:textId="6999E968" w:rsidR="00583CF6" w:rsidRPr="00EF7789" w:rsidRDefault="007A1A8D"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r w:rsidR="00583CF6" w:rsidRPr="00EF7789">
              <w:rPr>
                <w:rFonts w:asciiTheme="minorHAnsi" w:hAnsiTheme="minorHAnsi" w:cs="Times New Roman"/>
                <w:b/>
                <w:bCs/>
                <w:sz w:val="20"/>
                <w:szCs w:val="20"/>
                <w:lang w:val="fr-FR"/>
              </w:rPr>
              <w:t>+</w:t>
            </w:r>
          </w:p>
        </w:tc>
      </w:tr>
      <w:tr w:rsidR="00583CF6" w:rsidRPr="00EF7789" w14:paraId="7AAE1F2D" w14:textId="77777777" w:rsidTr="00071A61">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496D591A"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PI-29. Annual financial reports </w:t>
            </w:r>
          </w:p>
        </w:tc>
        <w:tc>
          <w:tcPr>
            <w:tcW w:w="994" w:type="dxa"/>
            <w:tcBorders>
              <w:top w:val="none" w:sz="0" w:space="0" w:color="auto"/>
            </w:tcBorders>
            <w:noWrap/>
            <w:hideMark/>
          </w:tcPr>
          <w:p w14:paraId="0300039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32960308"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70" w:type="dxa"/>
            <w:tcBorders>
              <w:top w:val="none" w:sz="0" w:space="0" w:color="auto"/>
            </w:tcBorders>
            <w:noWrap/>
            <w:hideMark/>
          </w:tcPr>
          <w:p w14:paraId="3FFF2193"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39B7E2D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492" w:type="dxa"/>
            <w:tcBorders>
              <w:top w:val="none" w:sz="0" w:space="0" w:color="auto"/>
            </w:tcBorders>
            <w:shd w:val="clear" w:color="auto" w:fill="F2F2F2" w:themeFill="background1" w:themeFillShade="F2"/>
            <w:noWrap/>
            <w:hideMark/>
          </w:tcPr>
          <w:p w14:paraId="5E851A4E" w14:textId="77777777" w:rsidR="00583CF6" w:rsidRPr="00EF7789" w:rsidRDefault="00583CF6" w:rsidP="00585338">
            <w:pPr>
              <w:jc w:val="center"/>
              <w:rPr>
                <w:rFonts w:asciiTheme="minorHAnsi" w:hAnsiTheme="minorHAnsi" w:cs="Times New Roman"/>
                <w:sz w:val="20"/>
                <w:szCs w:val="20"/>
                <w:lang w:val="fr-FR"/>
              </w:rPr>
            </w:pPr>
          </w:p>
        </w:tc>
        <w:tc>
          <w:tcPr>
            <w:tcW w:w="949" w:type="dxa"/>
            <w:gridSpan w:val="3"/>
            <w:tcBorders>
              <w:top w:val="none" w:sz="0" w:space="0" w:color="auto"/>
            </w:tcBorders>
            <w:noWrap/>
            <w:hideMark/>
          </w:tcPr>
          <w:p w14:paraId="334F0CE3"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r w:rsidR="00071A61" w:rsidRPr="00EF7789" w14:paraId="4D2060D4" w14:textId="77777777" w:rsidTr="00071A61">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9491" w:type="dxa"/>
            <w:gridSpan w:val="9"/>
            <w:shd w:val="clear" w:color="auto" w:fill="B34584"/>
            <w:noWrap/>
          </w:tcPr>
          <w:p w14:paraId="5B725B2B" w14:textId="6ED34DDA" w:rsidR="00071A61" w:rsidRPr="00EF7789" w:rsidRDefault="00071A61" w:rsidP="00071A61">
            <w:pPr>
              <w:jc w:val="left"/>
              <w:rPr>
                <w:rFonts w:asciiTheme="minorHAnsi" w:hAnsiTheme="minorHAnsi" w:cs="Times New Roman"/>
                <w:b/>
                <w:bCs/>
                <w:sz w:val="20"/>
                <w:szCs w:val="20"/>
                <w:lang w:val="fr-FR"/>
              </w:rPr>
            </w:pPr>
            <w:r w:rsidRPr="00071A61">
              <w:rPr>
                <w:rFonts w:asciiTheme="minorHAnsi" w:hAnsiTheme="minorHAnsi" w:cs="Times New Roman"/>
                <w:b/>
                <w:bCs/>
                <w:sz w:val="20"/>
                <w:szCs w:val="20"/>
                <w:lang w:val="fr-FR"/>
              </w:rPr>
              <w:t>VII. External scrutiny and audit</w:t>
            </w:r>
          </w:p>
        </w:tc>
      </w:tr>
      <w:tr w:rsidR="00583CF6" w:rsidRPr="00EF7789" w14:paraId="5A932C89" w14:textId="77777777" w:rsidTr="00EB621E">
        <w:trPr>
          <w:gridBefore w:val="1"/>
          <w:cnfStyle w:val="000000010000" w:firstRow="0" w:lastRow="0" w:firstColumn="0" w:lastColumn="0" w:oddVBand="0" w:evenVBand="0" w:oddHBand="0" w:evenHBand="1" w:firstRowFirstColumn="0" w:firstRowLastColumn="0" w:lastRowFirstColumn="0" w:lastRowLastColumn="0"/>
          <w:wBefore w:w="8" w:type="dxa"/>
          <w:trHeight w:val="300"/>
        </w:trPr>
        <w:tc>
          <w:tcPr>
            <w:tcW w:w="5355" w:type="dxa"/>
            <w:tcBorders>
              <w:top w:val="none" w:sz="0" w:space="0" w:color="auto"/>
            </w:tcBorders>
            <w:noWrap/>
            <w:hideMark/>
          </w:tcPr>
          <w:p w14:paraId="04EF02D4" w14:textId="77777777" w:rsidR="00583CF6" w:rsidRPr="00EF7789" w:rsidRDefault="00583CF6" w:rsidP="00585338">
            <w:pPr>
              <w:jc w:val="left"/>
              <w:rPr>
                <w:rFonts w:asciiTheme="minorHAnsi" w:hAnsiTheme="minorHAnsi" w:cs="Times New Roman"/>
                <w:sz w:val="20"/>
                <w:szCs w:val="20"/>
                <w:lang w:val="fr-FR"/>
              </w:rPr>
            </w:pPr>
            <w:r w:rsidRPr="00EF7789">
              <w:rPr>
                <w:rFonts w:asciiTheme="minorHAnsi" w:hAnsiTheme="minorHAnsi" w:cs="Times New Roman"/>
                <w:sz w:val="20"/>
                <w:szCs w:val="20"/>
                <w:lang w:val="fr-FR"/>
              </w:rPr>
              <w:t xml:space="preserve">PI-30. External audit </w:t>
            </w:r>
          </w:p>
        </w:tc>
        <w:tc>
          <w:tcPr>
            <w:tcW w:w="994" w:type="dxa"/>
            <w:tcBorders>
              <w:top w:val="none" w:sz="0" w:space="0" w:color="auto"/>
            </w:tcBorders>
            <w:noWrap/>
            <w:hideMark/>
          </w:tcPr>
          <w:p w14:paraId="604C2DB2"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M1</w:t>
            </w:r>
          </w:p>
        </w:tc>
        <w:tc>
          <w:tcPr>
            <w:tcW w:w="570" w:type="dxa"/>
            <w:tcBorders>
              <w:top w:val="none" w:sz="0" w:space="0" w:color="auto"/>
            </w:tcBorders>
            <w:noWrap/>
            <w:hideMark/>
          </w:tcPr>
          <w:p w14:paraId="6581E5B8"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B</w:t>
            </w:r>
          </w:p>
        </w:tc>
        <w:tc>
          <w:tcPr>
            <w:tcW w:w="570" w:type="dxa"/>
            <w:tcBorders>
              <w:top w:val="none" w:sz="0" w:space="0" w:color="auto"/>
            </w:tcBorders>
            <w:noWrap/>
            <w:hideMark/>
          </w:tcPr>
          <w:p w14:paraId="4356BECD"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561" w:type="dxa"/>
            <w:tcBorders>
              <w:top w:val="none" w:sz="0" w:space="0" w:color="auto"/>
            </w:tcBorders>
            <w:noWrap/>
            <w:hideMark/>
          </w:tcPr>
          <w:p w14:paraId="71E29B15" w14:textId="10CC2CE3" w:rsidR="00583CF6" w:rsidRPr="00EF7789" w:rsidRDefault="00407F77"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C</w:t>
            </w:r>
          </w:p>
        </w:tc>
        <w:tc>
          <w:tcPr>
            <w:tcW w:w="492" w:type="dxa"/>
            <w:tcBorders>
              <w:top w:val="none" w:sz="0" w:space="0" w:color="auto"/>
            </w:tcBorders>
            <w:noWrap/>
            <w:hideMark/>
          </w:tcPr>
          <w:p w14:paraId="1D6461F4"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A</w:t>
            </w:r>
          </w:p>
        </w:tc>
        <w:tc>
          <w:tcPr>
            <w:tcW w:w="949" w:type="dxa"/>
            <w:gridSpan w:val="3"/>
            <w:tcBorders>
              <w:top w:val="none" w:sz="0" w:space="0" w:color="auto"/>
            </w:tcBorders>
            <w:noWrap/>
            <w:hideMark/>
          </w:tcPr>
          <w:p w14:paraId="2F0E81B8" w14:textId="74B7D18C" w:rsidR="00583CF6" w:rsidRPr="00EF7789" w:rsidRDefault="00407F77"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C+</w:t>
            </w:r>
          </w:p>
        </w:tc>
      </w:tr>
      <w:tr w:rsidR="00583CF6" w:rsidRPr="00EF7789" w14:paraId="74859420" w14:textId="77777777" w:rsidTr="00EB621E">
        <w:trPr>
          <w:gridBefore w:val="1"/>
          <w:cnfStyle w:val="000000100000" w:firstRow="0" w:lastRow="0" w:firstColumn="0" w:lastColumn="0" w:oddVBand="0" w:evenVBand="0" w:oddHBand="1" w:evenHBand="0" w:firstRowFirstColumn="0" w:firstRowLastColumn="0" w:lastRowFirstColumn="0" w:lastRowLastColumn="0"/>
          <w:wBefore w:w="8" w:type="dxa"/>
          <w:trHeight w:val="300"/>
        </w:trPr>
        <w:tc>
          <w:tcPr>
            <w:tcW w:w="5355" w:type="dxa"/>
            <w:tcBorders>
              <w:top w:val="none" w:sz="0" w:space="0" w:color="auto"/>
            </w:tcBorders>
            <w:noWrap/>
            <w:hideMark/>
          </w:tcPr>
          <w:p w14:paraId="5B20628D" w14:textId="77777777" w:rsidR="00583CF6" w:rsidRPr="00EF7789" w:rsidRDefault="00583CF6" w:rsidP="00585338">
            <w:pPr>
              <w:jc w:val="left"/>
              <w:rPr>
                <w:rFonts w:asciiTheme="minorHAnsi" w:hAnsiTheme="minorHAnsi" w:cs="Times New Roman"/>
                <w:sz w:val="20"/>
                <w:szCs w:val="20"/>
                <w:lang w:val="en-GB"/>
              </w:rPr>
            </w:pPr>
            <w:r w:rsidRPr="00EF7789">
              <w:rPr>
                <w:rFonts w:asciiTheme="minorHAnsi" w:hAnsiTheme="minorHAnsi" w:cs="Times New Roman"/>
                <w:sz w:val="20"/>
                <w:szCs w:val="20"/>
                <w:lang w:val="en-GB"/>
              </w:rPr>
              <w:t xml:space="preserve">PI-31. Legislative scrutiny of audit reports </w:t>
            </w:r>
          </w:p>
        </w:tc>
        <w:tc>
          <w:tcPr>
            <w:tcW w:w="994" w:type="dxa"/>
            <w:tcBorders>
              <w:top w:val="none" w:sz="0" w:space="0" w:color="auto"/>
            </w:tcBorders>
            <w:noWrap/>
            <w:hideMark/>
          </w:tcPr>
          <w:p w14:paraId="0471B2D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M2</w:t>
            </w:r>
          </w:p>
        </w:tc>
        <w:tc>
          <w:tcPr>
            <w:tcW w:w="570" w:type="dxa"/>
            <w:tcBorders>
              <w:top w:val="none" w:sz="0" w:space="0" w:color="auto"/>
            </w:tcBorders>
            <w:noWrap/>
            <w:hideMark/>
          </w:tcPr>
          <w:p w14:paraId="18E58525"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70" w:type="dxa"/>
            <w:tcBorders>
              <w:top w:val="none" w:sz="0" w:space="0" w:color="auto"/>
            </w:tcBorders>
            <w:noWrap/>
            <w:hideMark/>
          </w:tcPr>
          <w:p w14:paraId="38319D08" w14:textId="064B05CC" w:rsidR="00583CF6" w:rsidRPr="00EF7789" w:rsidRDefault="009972FE"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561" w:type="dxa"/>
            <w:tcBorders>
              <w:top w:val="none" w:sz="0" w:space="0" w:color="auto"/>
            </w:tcBorders>
            <w:noWrap/>
            <w:hideMark/>
          </w:tcPr>
          <w:p w14:paraId="62620569"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492" w:type="dxa"/>
            <w:tcBorders>
              <w:top w:val="none" w:sz="0" w:space="0" w:color="auto"/>
            </w:tcBorders>
            <w:noWrap/>
            <w:hideMark/>
          </w:tcPr>
          <w:p w14:paraId="65766E40" w14:textId="77777777" w:rsidR="00583CF6" w:rsidRPr="00EF7789" w:rsidRDefault="00583CF6" w:rsidP="00585338">
            <w:pPr>
              <w:jc w:val="center"/>
              <w:rPr>
                <w:rFonts w:asciiTheme="minorHAnsi" w:hAnsiTheme="minorHAnsi" w:cs="Times New Roman"/>
                <w:sz w:val="20"/>
                <w:szCs w:val="20"/>
                <w:lang w:val="fr-FR"/>
              </w:rPr>
            </w:pPr>
            <w:r w:rsidRPr="00EF7789">
              <w:rPr>
                <w:rFonts w:asciiTheme="minorHAnsi" w:hAnsiTheme="minorHAnsi" w:cs="Times New Roman"/>
                <w:sz w:val="20"/>
                <w:szCs w:val="20"/>
                <w:lang w:val="fr-FR"/>
              </w:rPr>
              <w:t>D*</w:t>
            </w:r>
          </w:p>
        </w:tc>
        <w:tc>
          <w:tcPr>
            <w:tcW w:w="949" w:type="dxa"/>
            <w:gridSpan w:val="3"/>
            <w:tcBorders>
              <w:top w:val="none" w:sz="0" w:space="0" w:color="auto"/>
            </w:tcBorders>
            <w:noWrap/>
            <w:hideMark/>
          </w:tcPr>
          <w:p w14:paraId="0B7076AD" w14:textId="77777777" w:rsidR="00583CF6" w:rsidRPr="00EF7789" w:rsidRDefault="00583CF6" w:rsidP="00585338">
            <w:pPr>
              <w:jc w:val="center"/>
              <w:rPr>
                <w:rFonts w:asciiTheme="minorHAnsi" w:hAnsiTheme="minorHAnsi" w:cs="Times New Roman"/>
                <w:b/>
                <w:bCs/>
                <w:sz w:val="20"/>
                <w:szCs w:val="20"/>
                <w:lang w:val="fr-FR"/>
              </w:rPr>
            </w:pPr>
            <w:r w:rsidRPr="00EF7789">
              <w:rPr>
                <w:rFonts w:asciiTheme="minorHAnsi" w:hAnsiTheme="minorHAnsi" w:cs="Times New Roman"/>
                <w:b/>
                <w:bCs/>
                <w:sz w:val="20"/>
                <w:szCs w:val="20"/>
                <w:lang w:val="fr-FR"/>
              </w:rPr>
              <w:t>D</w:t>
            </w:r>
          </w:p>
        </w:tc>
      </w:tr>
    </w:tbl>
    <w:p w14:paraId="37D79222" w14:textId="6B3093E2" w:rsidR="00001C9D" w:rsidRPr="00890A84" w:rsidRDefault="00001C9D" w:rsidP="006D24AF">
      <w:pPr>
        <w:rPr>
          <w:lang w:eastAsia="en-GB"/>
        </w:rPr>
      </w:pPr>
    </w:p>
    <w:p w14:paraId="640DFE36" w14:textId="77777777" w:rsidR="00920AFF" w:rsidRPr="00196FAE" w:rsidRDefault="00920AFF" w:rsidP="00196FAE">
      <w:pPr>
        <w:pStyle w:val="Heading1"/>
        <w:rPr>
          <w:smallCaps w:val="0"/>
        </w:rPr>
      </w:pPr>
      <w:bookmarkStart w:id="9" w:name="_Toc532426017"/>
      <w:bookmarkEnd w:id="8"/>
      <w:r w:rsidRPr="00196FAE">
        <w:rPr>
          <w:smallCaps w:val="0"/>
        </w:rPr>
        <w:t>Introduction</w:t>
      </w:r>
      <w:bookmarkEnd w:id="9"/>
    </w:p>
    <w:p w14:paraId="0532A4CF" w14:textId="56B45D2C" w:rsidR="006A298A" w:rsidRPr="006E7B98" w:rsidRDefault="006A298A" w:rsidP="00EF7789">
      <w:pPr>
        <w:spacing w:after="240"/>
        <w:rPr>
          <w:sz w:val="22"/>
        </w:rPr>
      </w:pPr>
      <w:bookmarkStart w:id="10" w:name="_Hlk528398915"/>
      <w:bookmarkStart w:id="11" w:name="_Hlk527577398"/>
      <w:r w:rsidRPr="006E7B98">
        <w:rPr>
          <w:sz w:val="22"/>
        </w:rPr>
        <w:t xml:space="preserve">The </w:t>
      </w:r>
      <w:r w:rsidR="009D21FC">
        <w:rPr>
          <w:sz w:val="22"/>
        </w:rPr>
        <w:t>s</w:t>
      </w:r>
      <w:r w:rsidRPr="009D21FC">
        <w:rPr>
          <w:sz w:val="22"/>
        </w:rPr>
        <w:t>ub</w:t>
      </w:r>
      <w:r w:rsidR="009D21FC">
        <w:rPr>
          <w:sz w:val="22"/>
        </w:rPr>
        <w:t>n</w:t>
      </w:r>
      <w:r w:rsidRPr="009D21FC">
        <w:rPr>
          <w:sz w:val="22"/>
        </w:rPr>
        <w:t>ational</w:t>
      </w:r>
      <w:r w:rsidRPr="006E7B98">
        <w:rPr>
          <w:sz w:val="22"/>
        </w:rPr>
        <w:t xml:space="preserve"> </w:t>
      </w:r>
      <w:r w:rsidR="00FB6314" w:rsidRPr="009D494D">
        <w:rPr>
          <w:sz w:val="22"/>
        </w:rPr>
        <w:t xml:space="preserve">Public Expenditure and Financial Accountability </w:t>
      </w:r>
      <w:r w:rsidR="00FB6314">
        <w:rPr>
          <w:sz w:val="22"/>
        </w:rPr>
        <w:t>(</w:t>
      </w:r>
      <w:r w:rsidRPr="006E7B98">
        <w:rPr>
          <w:sz w:val="22"/>
        </w:rPr>
        <w:t>PEFA</w:t>
      </w:r>
      <w:r w:rsidR="00FB6314">
        <w:rPr>
          <w:sz w:val="22"/>
        </w:rPr>
        <w:t>)</w:t>
      </w:r>
      <w:r w:rsidRPr="006E7B98">
        <w:rPr>
          <w:sz w:val="22"/>
        </w:rPr>
        <w:t xml:space="preserve"> assessment seeks to ascertain the performance of the </w:t>
      </w:r>
      <w:r w:rsidR="00534546">
        <w:rPr>
          <w:sz w:val="22"/>
          <w:lang w:eastAsia="en-GB"/>
        </w:rPr>
        <w:t xml:space="preserve">public financial management </w:t>
      </w:r>
      <w:r w:rsidR="00FB6314">
        <w:rPr>
          <w:sz w:val="22"/>
          <w:lang w:eastAsia="en-GB"/>
        </w:rPr>
        <w:t>(</w:t>
      </w:r>
      <w:r w:rsidRPr="006E7B98">
        <w:rPr>
          <w:sz w:val="22"/>
        </w:rPr>
        <w:t>PFM</w:t>
      </w:r>
      <w:r w:rsidR="00FB6314">
        <w:rPr>
          <w:sz w:val="22"/>
        </w:rPr>
        <w:t>)</w:t>
      </w:r>
      <w:r w:rsidR="009D21FC">
        <w:rPr>
          <w:sz w:val="22"/>
        </w:rPr>
        <w:t xml:space="preserve"> system of county g</w:t>
      </w:r>
      <w:r w:rsidRPr="006E7B98">
        <w:rPr>
          <w:sz w:val="22"/>
        </w:rPr>
        <w:t xml:space="preserve">overnments using the PEFA methodology. So far, the Government of Kenya has gained experience in the application of the PEFA methodology by undertaking four national PEFA assessments over the years, the latest </w:t>
      </w:r>
      <w:r w:rsidR="00ED5882">
        <w:rPr>
          <w:sz w:val="22"/>
        </w:rPr>
        <w:t xml:space="preserve">of which was </w:t>
      </w:r>
      <w:r w:rsidRPr="006E7B98">
        <w:rPr>
          <w:sz w:val="22"/>
        </w:rPr>
        <w:t xml:space="preserve">carried out in 2017 and </w:t>
      </w:r>
      <w:r w:rsidR="00ED5882">
        <w:rPr>
          <w:sz w:val="22"/>
        </w:rPr>
        <w:t xml:space="preserve">the </w:t>
      </w:r>
      <w:r w:rsidRPr="006E7B98">
        <w:rPr>
          <w:sz w:val="22"/>
        </w:rPr>
        <w:t xml:space="preserve">report </w:t>
      </w:r>
      <w:r w:rsidR="00ED5882">
        <w:rPr>
          <w:sz w:val="22"/>
        </w:rPr>
        <w:t xml:space="preserve">is </w:t>
      </w:r>
      <w:r w:rsidRPr="006E7B98">
        <w:rPr>
          <w:sz w:val="22"/>
        </w:rPr>
        <w:t xml:space="preserve">due for completion in 2018. However, this is the first subnational assessment to be carried out in Kenya following the adoption of a devolved system of government. </w:t>
      </w:r>
      <w:bookmarkStart w:id="12" w:name="_Hlk527579588"/>
      <w:r w:rsidRPr="006E7B98">
        <w:rPr>
          <w:sz w:val="22"/>
        </w:rPr>
        <w:t xml:space="preserve">It is notable that the </w:t>
      </w:r>
      <w:r w:rsidR="00ED5882">
        <w:rPr>
          <w:sz w:val="22"/>
        </w:rPr>
        <w:t>n</w:t>
      </w:r>
      <w:r w:rsidRPr="006E7B98">
        <w:rPr>
          <w:sz w:val="22"/>
        </w:rPr>
        <w:t xml:space="preserve">ational and subnational PEFA assessments are </w:t>
      </w:r>
      <w:r w:rsidR="00ED5882" w:rsidRPr="006E7B98">
        <w:rPr>
          <w:sz w:val="22"/>
        </w:rPr>
        <w:t xml:space="preserve">being </w:t>
      </w:r>
      <w:r w:rsidRPr="006E7B98">
        <w:rPr>
          <w:sz w:val="22"/>
        </w:rPr>
        <w:t>almost done concurrently</w:t>
      </w:r>
      <w:r w:rsidR="00ED5882">
        <w:rPr>
          <w:sz w:val="22"/>
        </w:rPr>
        <w:t>,</w:t>
      </w:r>
      <w:r w:rsidRPr="006E7B98">
        <w:rPr>
          <w:sz w:val="22"/>
        </w:rPr>
        <w:t xml:space="preserve"> and this is important because both levels of government share the same PFM system</w:t>
      </w:r>
      <w:r w:rsidR="00ED5882">
        <w:rPr>
          <w:sz w:val="22"/>
        </w:rPr>
        <w:t>,</w:t>
      </w:r>
      <w:r w:rsidRPr="006E7B98">
        <w:rPr>
          <w:sz w:val="22"/>
        </w:rPr>
        <w:t xml:space="preserve"> implying that evidence-based reform age</w:t>
      </w:r>
      <w:r w:rsidR="003879F4">
        <w:rPr>
          <w:sz w:val="22"/>
        </w:rPr>
        <w:t>nda</w:t>
      </w:r>
      <w:r w:rsidRPr="006E7B98">
        <w:rPr>
          <w:sz w:val="22"/>
        </w:rPr>
        <w:t xml:space="preserve"> can be implemented simultaneously after areas </w:t>
      </w:r>
      <w:r w:rsidR="00ED5882">
        <w:rPr>
          <w:sz w:val="22"/>
        </w:rPr>
        <w:t>of</w:t>
      </w:r>
      <w:r w:rsidRPr="006E7B98">
        <w:rPr>
          <w:sz w:val="22"/>
        </w:rPr>
        <w:t xml:space="preserve"> improvements are identified. The subnational assessments, which covered </w:t>
      </w:r>
      <w:r w:rsidR="00ED5882">
        <w:rPr>
          <w:sz w:val="22"/>
        </w:rPr>
        <w:t>6</w:t>
      </w:r>
      <w:r w:rsidR="00ED5882" w:rsidRPr="006E7B98">
        <w:rPr>
          <w:sz w:val="22"/>
        </w:rPr>
        <w:t xml:space="preserve"> </w:t>
      </w:r>
      <w:r w:rsidRPr="006E7B98">
        <w:rPr>
          <w:sz w:val="22"/>
        </w:rPr>
        <w:t xml:space="preserve">out of </w:t>
      </w:r>
      <w:r w:rsidR="00ED5882">
        <w:rPr>
          <w:sz w:val="22"/>
        </w:rPr>
        <w:t>47</w:t>
      </w:r>
      <w:r w:rsidRPr="006E7B98">
        <w:rPr>
          <w:sz w:val="22"/>
        </w:rPr>
        <w:t xml:space="preserve"> counties, have been jointly financed by the World Bank and </w:t>
      </w:r>
      <w:r w:rsidR="008B6A0A" w:rsidRPr="009D494D">
        <w:rPr>
          <w:sz w:val="22"/>
        </w:rPr>
        <w:t xml:space="preserve">International Development Research Centre </w:t>
      </w:r>
      <w:r w:rsidR="008B6A0A">
        <w:rPr>
          <w:sz w:val="22"/>
        </w:rPr>
        <w:t>(</w:t>
      </w:r>
      <w:r w:rsidRPr="006E7B98">
        <w:rPr>
          <w:sz w:val="22"/>
        </w:rPr>
        <w:t>IDRC</w:t>
      </w:r>
      <w:r w:rsidR="008B6A0A">
        <w:rPr>
          <w:sz w:val="22"/>
        </w:rPr>
        <w:t>)</w:t>
      </w:r>
      <w:r w:rsidRPr="006E7B98">
        <w:rPr>
          <w:sz w:val="22"/>
        </w:rPr>
        <w:t xml:space="preserve"> through </w:t>
      </w:r>
      <w:r w:rsidR="00ED5882">
        <w:rPr>
          <w:sz w:val="22"/>
        </w:rPr>
        <w:t xml:space="preserve">the </w:t>
      </w:r>
      <w:r w:rsidR="008B6A0A" w:rsidRPr="009D494D">
        <w:rPr>
          <w:sz w:val="22"/>
        </w:rPr>
        <w:t>Kenya Institute for Public Policy Research and Analysis</w:t>
      </w:r>
      <w:r w:rsidR="008B6A0A" w:rsidRPr="006E7B98">
        <w:rPr>
          <w:sz w:val="22"/>
        </w:rPr>
        <w:t xml:space="preserve"> </w:t>
      </w:r>
      <w:r w:rsidR="008B6A0A">
        <w:rPr>
          <w:sz w:val="22"/>
        </w:rPr>
        <w:t>(</w:t>
      </w:r>
      <w:r w:rsidRPr="006E7B98">
        <w:rPr>
          <w:sz w:val="22"/>
        </w:rPr>
        <w:t>KIPPRA</w:t>
      </w:r>
      <w:r w:rsidR="008B6A0A">
        <w:rPr>
          <w:sz w:val="22"/>
        </w:rPr>
        <w:t>)</w:t>
      </w:r>
      <w:r w:rsidRPr="006E7B98">
        <w:rPr>
          <w:sz w:val="22"/>
        </w:rPr>
        <w:t>.</w:t>
      </w:r>
    </w:p>
    <w:p w14:paraId="59CDA0BD" w14:textId="77777777" w:rsidR="004C5EDC" w:rsidRPr="00890A84" w:rsidRDefault="004C5EDC" w:rsidP="00776E84">
      <w:pPr>
        <w:pStyle w:val="Heading2"/>
      </w:pPr>
      <w:bookmarkStart w:id="13" w:name="_Toc484732857"/>
      <w:bookmarkStart w:id="14" w:name="_Toc532426018"/>
      <w:bookmarkEnd w:id="10"/>
      <w:bookmarkEnd w:id="11"/>
      <w:bookmarkEnd w:id="12"/>
      <w:r w:rsidRPr="00890A84">
        <w:t>Rationale and purpose</w:t>
      </w:r>
      <w:bookmarkEnd w:id="13"/>
      <w:bookmarkEnd w:id="14"/>
    </w:p>
    <w:p w14:paraId="0655C285" w14:textId="758164AF" w:rsidR="006A298A" w:rsidRPr="006E7B98" w:rsidRDefault="004C5EDC" w:rsidP="00EF7789">
      <w:pPr>
        <w:spacing w:after="240"/>
        <w:rPr>
          <w:sz w:val="22"/>
        </w:rPr>
      </w:pPr>
      <w:r w:rsidRPr="006E7B98">
        <w:rPr>
          <w:sz w:val="22"/>
          <w:lang w:eastAsia="en-GB"/>
        </w:rPr>
        <w:t xml:space="preserve">The main rationale of this </w:t>
      </w:r>
      <w:r w:rsidR="00C22996" w:rsidRPr="006E7B98">
        <w:rPr>
          <w:sz w:val="22"/>
          <w:lang w:eastAsia="en-GB"/>
        </w:rPr>
        <w:t xml:space="preserve">PEFA </w:t>
      </w:r>
      <w:r w:rsidRPr="006E7B98">
        <w:rPr>
          <w:sz w:val="22"/>
          <w:lang w:eastAsia="en-GB"/>
        </w:rPr>
        <w:t>assessment is to give a better understanding of the PFM systems,</w:t>
      </w:r>
      <w:r w:rsidRPr="006E7B98">
        <w:rPr>
          <w:sz w:val="22"/>
        </w:rPr>
        <w:t xml:space="preserve"> processes</w:t>
      </w:r>
      <w:r w:rsidR="00ED5882">
        <w:rPr>
          <w:sz w:val="22"/>
        </w:rPr>
        <w:t>,</w:t>
      </w:r>
      <w:r w:rsidRPr="006E7B98">
        <w:rPr>
          <w:sz w:val="22"/>
        </w:rPr>
        <w:t xml:space="preserve"> and institutions that will provide an entry point for PFM reform efforts at the </w:t>
      </w:r>
      <w:r w:rsidR="005B0A9A">
        <w:rPr>
          <w:sz w:val="22"/>
        </w:rPr>
        <w:t>co</w:t>
      </w:r>
      <w:r w:rsidRPr="006E7B98">
        <w:rPr>
          <w:sz w:val="22"/>
        </w:rPr>
        <w:t>unty level. This would then be used to leverage existing capacity</w:t>
      </w:r>
      <w:r w:rsidR="00ED5882">
        <w:rPr>
          <w:sz w:val="22"/>
        </w:rPr>
        <w:t>-</w:t>
      </w:r>
      <w:r w:rsidRPr="006E7B98">
        <w:rPr>
          <w:sz w:val="22"/>
        </w:rPr>
        <w:t>building efforts</w:t>
      </w:r>
      <w:r w:rsidR="008B6A0A">
        <w:rPr>
          <w:sz w:val="22"/>
        </w:rPr>
        <w:t>,</w:t>
      </w:r>
      <w:r w:rsidRPr="006E7B98">
        <w:rPr>
          <w:sz w:val="22"/>
        </w:rPr>
        <w:t xml:space="preserve"> </w:t>
      </w:r>
      <w:r w:rsidR="008B6A0A">
        <w:rPr>
          <w:sz w:val="22"/>
        </w:rPr>
        <w:t>for example,</w:t>
      </w:r>
      <w:r w:rsidRPr="006E7B98">
        <w:rPr>
          <w:sz w:val="22"/>
        </w:rPr>
        <w:t xml:space="preserve"> </w:t>
      </w:r>
      <w:r w:rsidR="00FB6314">
        <w:rPr>
          <w:sz w:val="22"/>
          <w:lang w:eastAsia="en-GB"/>
        </w:rPr>
        <w:t>Public Financial Management Reforms (</w:t>
      </w:r>
      <w:r w:rsidRPr="006E7B98">
        <w:rPr>
          <w:sz w:val="22"/>
        </w:rPr>
        <w:t>PFMR</w:t>
      </w:r>
      <w:r w:rsidR="00FB6314">
        <w:rPr>
          <w:sz w:val="22"/>
        </w:rPr>
        <w:t>)</w:t>
      </w:r>
      <w:r w:rsidRPr="006E7B98">
        <w:rPr>
          <w:sz w:val="22"/>
        </w:rPr>
        <w:t xml:space="preserve"> Strategy, National Capacity Building Framework, World Bank Kenya Accountable Devolution Program (KADP)</w:t>
      </w:r>
      <w:r w:rsidR="00ED5882">
        <w:rPr>
          <w:sz w:val="22"/>
        </w:rPr>
        <w:t>,</w:t>
      </w:r>
      <w:r w:rsidRPr="006E7B98">
        <w:rPr>
          <w:sz w:val="22"/>
        </w:rPr>
        <w:t xml:space="preserve"> and </w:t>
      </w:r>
      <w:r w:rsidR="008B6A0A" w:rsidRPr="008B6A0A">
        <w:rPr>
          <w:sz w:val="22"/>
        </w:rPr>
        <w:t xml:space="preserve">Kenya Devolution Support Programme </w:t>
      </w:r>
      <w:r w:rsidR="008B6A0A">
        <w:rPr>
          <w:sz w:val="22"/>
        </w:rPr>
        <w:t>(</w:t>
      </w:r>
      <w:r w:rsidRPr="006E7B98">
        <w:rPr>
          <w:sz w:val="22"/>
        </w:rPr>
        <w:t>KDSP</w:t>
      </w:r>
      <w:r w:rsidR="008B6A0A">
        <w:rPr>
          <w:sz w:val="22"/>
        </w:rPr>
        <w:t>)</w:t>
      </w:r>
      <w:r w:rsidRPr="006E7B98">
        <w:rPr>
          <w:sz w:val="22"/>
        </w:rPr>
        <w:t xml:space="preserve">. </w:t>
      </w:r>
      <w:bookmarkStart w:id="15" w:name="_Hlk527582139"/>
      <w:bookmarkStart w:id="16" w:name="_Hlk528399008"/>
      <w:r w:rsidR="006A298A" w:rsidRPr="006E7B98">
        <w:rPr>
          <w:sz w:val="22"/>
        </w:rPr>
        <w:t xml:space="preserve">The findings </w:t>
      </w:r>
      <w:r w:rsidR="006A298A" w:rsidRPr="006E7B98">
        <w:rPr>
          <w:sz w:val="22"/>
          <w:lang w:val="en-CA"/>
        </w:rPr>
        <w:t>will further facilitate identification of capacity needs</w:t>
      </w:r>
      <w:r w:rsidR="00ED5882">
        <w:rPr>
          <w:sz w:val="22"/>
          <w:lang w:val="en-CA"/>
        </w:rPr>
        <w:t>,</w:t>
      </w:r>
      <w:r w:rsidR="006A298A" w:rsidRPr="006E7B98">
        <w:rPr>
          <w:sz w:val="22"/>
          <w:lang w:val="en-CA"/>
        </w:rPr>
        <w:t xml:space="preserve"> especially in terms of human capacity gaps in different components of </w:t>
      </w:r>
      <w:r w:rsidR="003879F4">
        <w:rPr>
          <w:sz w:val="22"/>
          <w:lang w:val="en-CA"/>
        </w:rPr>
        <w:t xml:space="preserve">the </w:t>
      </w:r>
      <w:r w:rsidR="006A298A" w:rsidRPr="006E7B98">
        <w:rPr>
          <w:sz w:val="22"/>
          <w:lang w:val="en-CA"/>
        </w:rPr>
        <w:t>PFM system in the counties</w:t>
      </w:r>
      <w:r w:rsidR="003879F4">
        <w:rPr>
          <w:sz w:val="22"/>
          <w:lang w:val="en-CA"/>
        </w:rPr>
        <w:t>,</w:t>
      </w:r>
      <w:r w:rsidR="006A298A" w:rsidRPr="006E7B98">
        <w:rPr>
          <w:sz w:val="22"/>
          <w:lang w:val="en-CA"/>
        </w:rPr>
        <w:t xml:space="preserve"> for which KIPPRA seeks to strengthen as part of its capacity</w:t>
      </w:r>
      <w:r w:rsidR="003879F4">
        <w:rPr>
          <w:sz w:val="22"/>
          <w:lang w:val="en-CA"/>
        </w:rPr>
        <w:t>-</w:t>
      </w:r>
      <w:r w:rsidR="006A298A" w:rsidRPr="006E7B98">
        <w:rPr>
          <w:sz w:val="22"/>
          <w:lang w:val="en-CA"/>
        </w:rPr>
        <w:t>building and policy development mandates.</w:t>
      </w:r>
    </w:p>
    <w:bookmarkEnd w:id="15"/>
    <w:p w14:paraId="574F9756" w14:textId="4FBB32CC" w:rsidR="006A298A" w:rsidRPr="006E7B98" w:rsidRDefault="006A298A" w:rsidP="00EF7789">
      <w:pPr>
        <w:spacing w:after="240"/>
        <w:rPr>
          <w:sz w:val="22"/>
        </w:rPr>
      </w:pPr>
      <w:r w:rsidRPr="006E7B98">
        <w:rPr>
          <w:sz w:val="22"/>
          <w:lang w:eastAsia="en-GB"/>
        </w:rPr>
        <w:t>The</w:t>
      </w:r>
      <w:r w:rsidRPr="006E7B98">
        <w:rPr>
          <w:sz w:val="22"/>
        </w:rPr>
        <w:t xml:space="preserve"> assessment will also be useful in identifying priorities for PFM</w:t>
      </w:r>
      <w:r w:rsidR="00FB6314">
        <w:rPr>
          <w:sz w:val="22"/>
        </w:rPr>
        <w:t>R</w:t>
      </w:r>
      <w:r w:rsidRPr="006E7B98">
        <w:rPr>
          <w:sz w:val="22"/>
        </w:rPr>
        <w:t xml:space="preserve"> in the future to ensure a sustainable, effective</w:t>
      </w:r>
      <w:r w:rsidR="003879F4">
        <w:rPr>
          <w:sz w:val="22"/>
        </w:rPr>
        <w:t>,</w:t>
      </w:r>
      <w:r w:rsidRPr="006E7B98">
        <w:rPr>
          <w:sz w:val="22"/>
        </w:rPr>
        <w:t xml:space="preserve"> and transparent allocation and use of public resources. The PEFA assessment will become a benchmark for the upgrade of the PFM system in Kenya’s counties </w:t>
      </w:r>
      <w:r w:rsidR="003879F4">
        <w:rPr>
          <w:sz w:val="22"/>
        </w:rPr>
        <w:t>that</w:t>
      </w:r>
      <w:r w:rsidR="003879F4" w:rsidRPr="006E7B98">
        <w:rPr>
          <w:sz w:val="22"/>
        </w:rPr>
        <w:t xml:space="preserve"> </w:t>
      </w:r>
      <w:r w:rsidRPr="006E7B98">
        <w:rPr>
          <w:sz w:val="22"/>
        </w:rPr>
        <w:t xml:space="preserve">are still in </w:t>
      </w:r>
      <w:r w:rsidR="003879F4">
        <w:rPr>
          <w:sz w:val="22"/>
        </w:rPr>
        <w:t xml:space="preserve">the </w:t>
      </w:r>
      <w:r w:rsidRPr="006E7B98">
        <w:rPr>
          <w:sz w:val="22"/>
        </w:rPr>
        <w:t xml:space="preserve">early stage of development. Indeed, the fiscal discipline and the efficient allocation of resources according to the priorities of the </w:t>
      </w:r>
      <w:r w:rsidR="003879F4">
        <w:rPr>
          <w:sz w:val="22"/>
        </w:rPr>
        <w:t>c</w:t>
      </w:r>
      <w:r w:rsidRPr="006E7B98">
        <w:rPr>
          <w:sz w:val="22"/>
        </w:rPr>
        <w:t xml:space="preserve">ounty of Kajiado are viewed as the important prerequisites to deployment of </w:t>
      </w:r>
      <w:r w:rsidR="003879F4">
        <w:rPr>
          <w:sz w:val="22"/>
        </w:rPr>
        <w:t xml:space="preserve">a </w:t>
      </w:r>
      <w:r w:rsidRPr="006E7B98">
        <w:rPr>
          <w:sz w:val="22"/>
        </w:rPr>
        <w:t xml:space="preserve">well-functioning public finance system. </w:t>
      </w:r>
    </w:p>
    <w:p w14:paraId="5C15CB26" w14:textId="115A2BCC" w:rsidR="004C5EDC" w:rsidRPr="006E7B98" w:rsidRDefault="006A298A" w:rsidP="00EF7789">
      <w:pPr>
        <w:spacing w:after="240"/>
        <w:rPr>
          <w:sz w:val="22"/>
        </w:rPr>
      </w:pPr>
      <w:bookmarkStart w:id="17" w:name="_Hlk528399062"/>
      <w:bookmarkEnd w:id="16"/>
      <w:r w:rsidRPr="006E7B98">
        <w:rPr>
          <w:sz w:val="22"/>
          <w:lang w:eastAsia="en-GB"/>
        </w:rPr>
        <w:t>Effective</w:t>
      </w:r>
      <w:r w:rsidRPr="006E7B98">
        <w:rPr>
          <w:sz w:val="22"/>
        </w:rPr>
        <w:t xml:space="preserve"> PFM institutions and systems in the </w:t>
      </w:r>
      <w:r w:rsidR="003879F4">
        <w:rPr>
          <w:sz w:val="22"/>
        </w:rPr>
        <w:t>c</w:t>
      </w:r>
      <w:r w:rsidRPr="006E7B98">
        <w:rPr>
          <w:sz w:val="22"/>
        </w:rPr>
        <w:t>ounty governments are important for the successful implementation of devolution.</w:t>
      </w:r>
      <w:r w:rsidRPr="006E7B98">
        <w:rPr>
          <w:rFonts w:asciiTheme="minorHAnsi" w:hAnsiTheme="minorHAnsi" w:cstheme="minorHAnsi"/>
          <w:sz w:val="22"/>
        </w:rPr>
        <w:t xml:space="preserve"> </w:t>
      </w:r>
      <w:r w:rsidRPr="006E7B98">
        <w:rPr>
          <w:sz w:val="22"/>
        </w:rPr>
        <w:t>The PEFA assessments are founded on the</w:t>
      </w:r>
      <w:bookmarkEnd w:id="17"/>
      <w:r w:rsidR="001562A7" w:rsidRPr="006E7B98">
        <w:rPr>
          <w:sz w:val="22"/>
        </w:rPr>
        <w:t xml:space="preserve"> p</w:t>
      </w:r>
      <w:r w:rsidR="004C5EDC" w:rsidRPr="006E7B98">
        <w:rPr>
          <w:sz w:val="22"/>
        </w:rPr>
        <w:t>rinciples of openness, accountability</w:t>
      </w:r>
      <w:r w:rsidR="003879F4">
        <w:rPr>
          <w:sz w:val="22"/>
        </w:rPr>
        <w:t>,</w:t>
      </w:r>
      <w:r w:rsidR="004C5EDC" w:rsidRPr="006E7B98">
        <w:rPr>
          <w:sz w:val="22"/>
        </w:rPr>
        <w:t xml:space="preserve"> and public participation in public finance</w:t>
      </w:r>
      <w:r w:rsidR="003879F4">
        <w:rPr>
          <w:sz w:val="22"/>
        </w:rPr>
        <w:t>,</w:t>
      </w:r>
      <w:r w:rsidR="004C5EDC" w:rsidRPr="006E7B98">
        <w:rPr>
          <w:sz w:val="22"/>
        </w:rPr>
        <w:t xml:space="preserve"> a</w:t>
      </w:r>
      <w:r w:rsidR="001562A7" w:rsidRPr="006E7B98">
        <w:rPr>
          <w:sz w:val="22"/>
        </w:rPr>
        <w:t>s</w:t>
      </w:r>
      <w:r w:rsidR="004C5EDC" w:rsidRPr="006E7B98">
        <w:rPr>
          <w:sz w:val="22"/>
        </w:rPr>
        <w:t xml:space="preserve"> contained in Section 201 (a) of the Constitution</w:t>
      </w:r>
      <w:r w:rsidR="001562A7" w:rsidRPr="006E7B98">
        <w:rPr>
          <w:sz w:val="22"/>
        </w:rPr>
        <w:t xml:space="preserve"> of Kenya 2010</w:t>
      </w:r>
      <w:r w:rsidR="004C5EDC" w:rsidRPr="006E7B98">
        <w:rPr>
          <w:sz w:val="22"/>
        </w:rPr>
        <w:t xml:space="preserve">. Their assessment will provide a baseline of current state of PFM within the </w:t>
      </w:r>
      <w:r w:rsidR="003879F4">
        <w:rPr>
          <w:sz w:val="22"/>
        </w:rPr>
        <w:t>c</w:t>
      </w:r>
      <w:r w:rsidR="004C5EDC" w:rsidRPr="006E7B98">
        <w:rPr>
          <w:sz w:val="22"/>
        </w:rPr>
        <w:t xml:space="preserve">ounty and for the entire financial system and indicate areas </w:t>
      </w:r>
      <w:r w:rsidR="003879F4">
        <w:rPr>
          <w:sz w:val="22"/>
        </w:rPr>
        <w:t>of</w:t>
      </w:r>
      <w:r w:rsidR="004C5EDC" w:rsidRPr="006E7B98">
        <w:rPr>
          <w:sz w:val="22"/>
        </w:rPr>
        <w:t xml:space="preserve"> improvements. </w:t>
      </w:r>
    </w:p>
    <w:p w14:paraId="0E596142" w14:textId="1C214D85" w:rsidR="004C5EDC" w:rsidRPr="006E7B98" w:rsidRDefault="001562A7" w:rsidP="00EF7789">
      <w:pPr>
        <w:spacing w:after="240"/>
        <w:rPr>
          <w:sz w:val="22"/>
        </w:rPr>
      </w:pPr>
      <w:r w:rsidRPr="006E7B98">
        <w:rPr>
          <w:sz w:val="22"/>
        </w:rPr>
        <w:t xml:space="preserve">Apart from Kajiado, the other </w:t>
      </w:r>
      <w:r w:rsidR="003879F4">
        <w:rPr>
          <w:sz w:val="22"/>
        </w:rPr>
        <w:t>c</w:t>
      </w:r>
      <w:r w:rsidRPr="006E7B98">
        <w:rPr>
          <w:sz w:val="22"/>
        </w:rPr>
        <w:t xml:space="preserve">ounties </w:t>
      </w:r>
      <w:r w:rsidR="003879F4">
        <w:rPr>
          <w:sz w:val="22"/>
        </w:rPr>
        <w:t>that</w:t>
      </w:r>
      <w:r w:rsidR="003879F4" w:rsidRPr="006E7B98">
        <w:rPr>
          <w:sz w:val="22"/>
        </w:rPr>
        <w:t xml:space="preserve"> </w:t>
      </w:r>
      <w:r w:rsidR="004C5EDC" w:rsidRPr="006E7B98">
        <w:rPr>
          <w:sz w:val="22"/>
        </w:rPr>
        <w:t>voluntar</w:t>
      </w:r>
      <w:r w:rsidRPr="006E7B98">
        <w:rPr>
          <w:sz w:val="22"/>
        </w:rPr>
        <w:t>il</w:t>
      </w:r>
      <w:r w:rsidR="004C5EDC" w:rsidRPr="006E7B98">
        <w:rPr>
          <w:sz w:val="22"/>
        </w:rPr>
        <w:t>y express</w:t>
      </w:r>
      <w:r w:rsidRPr="006E7B98">
        <w:rPr>
          <w:sz w:val="22"/>
        </w:rPr>
        <w:t xml:space="preserve">ed </w:t>
      </w:r>
      <w:r w:rsidR="004C5EDC" w:rsidRPr="006E7B98">
        <w:rPr>
          <w:sz w:val="22"/>
        </w:rPr>
        <w:t xml:space="preserve">interest in </w:t>
      </w:r>
      <w:r w:rsidRPr="006E7B98">
        <w:rPr>
          <w:sz w:val="22"/>
        </w:rPr>
        <w:t>undertaking the PEFA assessments were</w:t>
      </w:r>
      <w:r w:rsidR="004C5EDC" w:rsidRPr="006E7B98">
        <w:rPr>
          <w:sz w:val="22"/>
        </w:rPr>
        <w:t xml:space="preserve"> Baringo, Makueni, West Pokot, Nakuru</w:t>
      </w:r>
      <w:r w:rsidR="003879F4">
        <w:rPr>
          <w:sz w:val="22"/>
        </w:rPr>
        <w:t>,</w:t>
      </w:r>
      <w:r w:rsidR="004C5EDC" w:rsidRPr="006E7B98">
        <w:rPr>
          <w:sz w:val="22"/>
        </w:rPr>
        <w:t xml:space="preserve"> and Kakamega</w:t>
      </w:r>
      <w:r w:rsidRPr="006E7B98">
        <w:rPr>
          <w:sz w:val="22"/>
        </w:rPr>
        <w:t>. It should be not</w:t>
      </w:r>
      <w:r w:rsidR="003879F4">
        <w:rPr>
          <w:sz w:val="22"/>
        </w:rPr>
        <w:t>ed</w:t>
      </w:r>
      <w:r w:rsidRPr="006E7B98">
        <w:rPr>
          <w:sz w:val="22"/>
        </w:rPr>
        <w:t xml:space="preserve"> that the selected counties do not represent particular interests </w:t>
      </w:r>
      <w:r w:rsidR="003879F4">
        <w:rPr>
          <w:sz w:val="22"/>
        </w:rPr>
        <w:t>nor</w:t>
      </w:r>
      <w:r w:rsidR="003879F4" w:rsidRPr="006E7B98">
        <w:rPr>
          <w:sz w:val="22"/>
        </w:rPr>
        <w:t xml:space="preserve"> </w:t>
      </w:r>
      <w:r w:rsidRPr="006E7B98">
        <w:rPr>
          <w:sz w:val="22"/>
        </w:rPr>
        <w:t>is there a basis for comparison of their performances.</w:t>
      </w:r>
    </w:p>
    <w:p w14:paraId="15F4D9ED" w14:textId="22FCA477" w:rsidR="004C5EDC" w:rsidRPr="006E7B98" w:rsidRDefault="00310112" w:rsidP="005849E4">
      <w:pPr>
        <w:keepNext/>
        <w:spacing w:after="240"/>
        <w:rPr>
          <w:b/>
          <w:color w:val="0070C0"/>
          <w:sz w:val="22"/>
        </w:rPr>
      </w:pPr>
      <w:r w:rsidRPr="006E7B98">
        <w:rPr>
          <w:b/>
          <w:color w:val="0070C0"/>
          <w:sz w:val="22"/>
        </w:rPr>
        <w:t>Objectives of the PEFA Assessment</w:t>
      </w:r>
    </w:p>
    <w:p w14:paraId="064EE0D2" w14:textId="7E7AACCA" w:rsidR="004C5EDC" w:rsidRPr="006E7B98" w:rsidRDefault="004C5EDC" w:rsidP="005849E4">
      <w:pPr>
        <w:keepNext/>
        <w:spacing w:after="240"/>
        <w:rPr>
          <w:sz w:val="22"/>
        </w:rPr>
      </w:pPr>
      <w:r w:rsidRPr="006E7B98">
        <w:rPr>
          <w:sz w:val="22"/>
        </w:rPr>
        <w:t xml:space="preserve">The specific objectives of the PEFA assessment </w:t>
      </w:r>
      <w:r w:rsidR="001562A7" w:rsidRPr="006E7B98">
        <w:rPr>
          <w:sz w:val="22"/>
        </w:rPr>
        <w:t xml:space="preserve">in Kajiado County </w:t>
      </w:r>
      <w:r w:rsidRPr="006E7B98">
        <w:rPr>
          <w:sz w:val="22"/>
        </w:rPr>
        <w:t xml:space="preserve">include the following: </w:t>
      </w:r>
    </w:p>
    <w:p w14:paraId="1B139715" w14:textId="44A7A163" w:rsidR="009B66EE" w:rsidRPr="006E7B98" w:rsidRDefault="009B66EE" w:rsidP="00273165">
      <w:pPr>
        <w:pStyle w:val="ListParagraph"/>
        <w:numPr>
          <w:ilvl w:val="0"/>
          <w:numId w:val="10"/>
        </w:numPr>
        <w:spacing w:after="240"/>
        <w:contextualSpacing w:val="0"/>
        <w:rPr>
          <w:sz w:val="22"/>
        </w:rPr>
      </w:pPr>
      <w:r w:rsidRPr="006E7B98">
        <w:rPr>
          <w:sz w:val="22"/>
        </w:rPr>
        <w:t xml:space="preserve">Assess the state of financial management capacities in </w:t>
      </w:r>
      <w:r w:rsidR="001562A7" w:rsidRPr="006E7B98">
        <w:rPr>
          <w:sz w:val="22"/>
        </w:rPr>
        <w:t>the c</w:t>
      </w:r>
      <w:r w:rsidRPr="006E7B98">
        <w:rPr>
          <w:sz w:val="22"/>
        </w:rPr>
        <w:t xml:space="preserve">ounty </w:t>
      </w:r>
    </w:p>
    <w:p w14:paraId="5997BC58" w14:textId="6DE73B0A" w:rsidR="009B66EE" w:rsidRPr="006E7B98" w:rsidRDefault="009B66EE" w:rsidP="00273165">
      <w:pPr>
        <w:pStyle w:val="ListParagraph"/>
        <w:numPr>
          <w:ilvl w:val="0"/>
          <w:numId w:val="10"/>
        </w:numPr>
        <w:spacing w:after="240"/>
        <w:contextualSpacing w:val="0"/>
        <w:rPr>
          <w:sz w:val="22"/>
        </w:rPr>
      </w:pPr>
      <w:r w:rsidRPr="006E7B98">
        <w:rPr>
          <w:sz w:val="22"/>
        </w:rPr>
        <w:t>Identify gaps in terms of capacity, systems, policies and</w:t>
      </w:r>
      <w:r w:rsidR="003879F4">
        <w:rPr>
          <w:sz w:val="22"/>
        </w:rPr>
        <w:t>,</w:t>
      </w:r>
      <w:r w:rsidRPr="006E7B98">
        <w:rPr>
          <w:sz w:val="22"/>
        </w:rPr>
        <w:t xml:space="preserve"> processes in</w:t>
      </w:r>
      <w:r w:rsidR="001562A7" w:rsidRPr="006E7B98">
        <w:rPr>
          <w:sz w:val="22"/>
        </w:rPr>
        <w:t xml:space="preserve"> </w:t>
      </w:r>
      <w:r w:rsidRPr="006E7B98">
        <w:rPr>
          <w:sz w:val="22"/>
        </w:rPr>
        <w:t>PFM</w:t>
      </w:r>
    </w:p>
    <w:p w14:paraId="2D217342" w14:textId="1F1F9227" w:rsidR="009B66EE" w:rsidRPr="006E7B98" w:rsidRDefault="009B66EE" w:rsidP="00273165">
      <w:pPr>
        <w:pStyle w:val="ListParagraph"/>
        <w:numPr>
          <w:ilvl w:val="0"/>
          <w:numId w:val="10"/>
        </w:numPr>
        <w:spacing w:after="240"/>
        <w:contextualSpacing w:val="0"/>
        <w:rPr>
          <w:sz w:val="22"/>
        </w:rPr>
      </w:pPr>
      <w:r w:rsidRPr="006E7B98">
        <w:rPr>
          <w:sz w:val="22"/>
        </w:rPr>
        <w:t xml:space="preserve">Provide </w:t>
      </w:r>
      <w:r w:rsidR="003879F4">
        <w:rPr>
          <w:sz w:val="22"/>
        </w:rPr>
        <w:t xml:space="preserve">a </w:t>
      </w:r>
      <w:r w:rsidRPr="006E7B98">
        <w:rPr>
          <w:sz w:val="22"/>
        </w:rPr>
        <w:t>basis for informing entry points for PFM reform engagements in the county that will be used to leverage existing capacity</w:t>
      </w:r>
      <w:r w:rsidR="003879F4">
        <w:rPr>
          <w:sz w:val="22"/>
        </w:rPr>
        <w:t>-</w:t>
      </w:r>
      <w:r w:rsidRPr="006E7B98">
        <w:rPr>
          <w:sz w:val="22"/>
        </w:rPr>
        <w:t xml:space="preserve">building efforts </w:t>
      </w:r>
    </w:p>
    <w:p w14:paraId="774F650B" w14:textId="4F5CC3B1" w:rsidR="004C5EDC" w:rsidRPr="006E7B98" w:rsidRDefault="001562A7" w:rsidP="00273165">
      <w:pPr>
        <w:pStyle w:val="ListParagraph"/>
        <w:numPr>
          <w:ilvl w:val="0"/>
          <w:numId w:val="10"/>
        </w:numPr>
        <w:spacing w:after="240"/>
        <w:contextualSpacing w:val="0"/>
        <w:rPr>
          <w:sz w:val="22"/>
        </w:rPr>
      </w:pPr>
      <w:r w:rsidRPr="006E7B98">
        <w:rPr>
          <w:sz w:val="22"/>
        </w:rPr>
        <w:t>Facilitat</w:t>
      </w:r>
      <w:r w:rsidR="005D5228" w:rsidRPr="006E7B98">
        <w:rPr>
          <w:sz w:val="22"/>
        </w:rPr>
        <w:t>e</w:t>
      </w:r>
      <w:r w:rsidRPr="006E7B98">
        <w:rPr>
          <w:sz w:val="22"/>
        </w:rPr>
        <w:t xml:space="preserve"> and d</w:t>
      </w:r>
      <w:r w:rsidR="009B66EE" w:rsidRPr="006E7B98">
        <w:rPr>
          <w:sz w:val="22"/>
        </w:rPr>
        <w:t>evelop</w:t>
      </w:r>
      <w:r w:rsidR="005D5228" w:rsidRPr="006E7B98">
        <w:rPr>
          <w:sz w:val="22"/>
        </w:rPr>
        <w:t xml:space="preserve"> </w:t>
      </w:r>
      <w:r w:rsidR="009B66EE" w:rsidRPr="006E7B98">
        <w:rPr>
          <w:sz w:val="22"/>
        </w:rPr>
        <w:t xml:space="preserve">self-assessment capacity at the </w:t>
      </w:r>
      <w:r w:rsidR="003879F4">
        <w:rPr>
          <w:sz w:val="22"/>
        </w:rPr>
        <w:t>c</w:t>
      </w:r>
      <w:r w:rsidR="009B66EE" w:rsidRPr="006E7B98">
        <w:rPr>
          <w:sz w:val="22"/>
        </w:rPr>
        <w:t>ounty level and build capacities of key staff to carry out assessments in the future</w:t>
      </w:r>
    </w:p>
    <w:p w14:paraId="0377F3A8" w14:textId="77777777" w:rsidR="00CC78F5" w:rsidRDefault="00CA52CE" w:rsidP="00776E84">
      <w:pPr>
        <w:pStyle w:val="Heading2"/>
      </w:pPr>
      <w:bookmarkStart w:id="18" w:name="_Toc532426019"/>
      <w:r w:rsidRPr="00890A84">
        <w:t>Assessment management and quality assurance</w:t>
      </w:r>
      <w:bookmarkEnd w:id="18"/>
    </w:p>
    <w:p w14:paraId="5D291A6E" w14:textId="5468447F" w:rsidR="00E70E46" w:rsidRPr="005849E4" w:rsidRDefault="00E70E46" w:rsidP="00EF7789">
      <w:pPr>
        <w:spacing w:after="240"/>
        <w:rPr>
          <w:sz w:val="22"/>
        </w:rPr>
      </w:pPr>
      <w:r w:rsidRPr="005849E4">
        <w:rPr>
          <w:sz w:val="22"/>
        </w:rPr>
        <w:t xml:space="preserve">The PEFA CHECK is a mechanism for confirming the adequacy of the quality assurance processes used in planning and implementing a PEFA assessment. The PEFA CHECK verifies </w:t>
      </w:r>
      <w:r w:rsidR="003879F4">
        <w:rPr>
          <w:sz w:val="22"/>
        </w:rPr>
        <w:t>whether</w:t>
      </w:r>
      <w:r w:rsidR="003879F4" w:rsidRPr="005849E4">
        <w:rPr>
          <w:sz w:val="22"/>
        </w:rPr>
        <w:t xml:space="preserve"> </w:t>
      </w:r>
      <w:r w:rsidRPr="005849E4">
        <w:rPr>
          <w:sz w:val="22"/>
        </w:rPr>
        <w:t>good practices in both planning and implementing an assessment have been followed. The PEFA CHECK is therefore not a judgment of the quality of an assessment’s technical content but a verification of its compliance with practices commonly accepted and used in conducting PEFA assessments, as outlined in six formal criteria</w:t>
      </w:r>
      <w:r w:rsidR="003879F4">
        <w:rPr>
          <w:sz w:val="22"/>
        </w:rPr>
        <w:t>,</w:t>
      </w:r>
      <w:r w:rsidRPr="005849E4">
        <w:rPr>
          <w:sz w:val="22"/>
        </w:rPr>
        <w:t xml:space="preserve"> </w:t>
      </w:r>
      <w:r w:rsidR="00F63D82" w:rsidRPr="005849E4">
        <w:rPr>
          <w:sz w:val="22"/>
        </w:rPr>
        <w:t xml:space="preserve">as shown in </w:t>
      </w:r>
      <w:r w:rsidR="007929DF">
        <w:rPr>
          <w:sz w:val="22"/>
        </w:rPr>
        <w:t>B</w:t>
      </w:r>
      <w:r w:rsidRPr="005849E4">
        <w:rPr>
          <w:sz w:val="22"/>
        </w:rPr>
        <w:t>ox 1</w:t>
      </w:r>
      <w:r w:rsidR="00332285">
        <w:rPr>
          <w:sz w:val="22"/>
        </w:rPr>
        <w:t>.</w:t>
      </w:r>
      <w:r w:rsidR="00F63D82" w:rsidRPr="005849E4">
        <w:rPr>
          <w:sz w:val="22"/>
        </w:rPr>
        <w:t>1.</w:t>
      </w:r>
    </w:p>
    <w:tbl>
      <w:tblPr>
        <w:tblStyle w:val="TableGrid0"/>
        <w:tblW w:w="0" w:type="auto"/>
        <w:tblLook w:val="04A0" w:firstRow="1" w:lastRow="0" w:firstColumn="1" w:lastColumn="0" w:noHBand="0" w:noVBand="1"/>
      </w:tblPr>
      <w:tblGrid>
        <w:gridCol w:w="9350"/>
      </w:tblGrid>
      <w:tr w:rsidR="009471DC" w14:paraId="7B308EC1" w14:textId="77777777" w:rsidTr="009471DC">
        <w:tc>
          <w:tcPr>
            <w:tcW w:w="9350" w:type="dxa"/>
          </w:tcPr>
          <w:p w14:paraId="4DF8A655" w14:textId="079AA4D6" w:rsidR="009471DC" w:rsidRDefault="009471DC" w:rsidP="009471DC">
            <w:pPr>
              <w:pStyle w:val="TableStyle"/>
              <w:rPr>
                <w:i/>
              </w:rPr>
            </w:pPr>
            <w:r w:rsidRPr="009471DC">
              <w:t xml:space="preserve">Box </w:t>
            </w:r>
            <w:r w:rsidR="008B59A7">
              <w:rPr>
                <w:noProof/>
              </w:rPr>
              <w:fldChar w:fldCharType="begin"/>
            </w:r>
            <w:r w:rsidR="008B59A7">
              <w:rPr>
                <w:noProof/>
              </w:rPr>
              <w:instrText xml:space="preserve"> STYLEREF 1 \s </w:instrText>
            </w:r>
            <w:r w:rsidR="008B59A7">
              <w:rPr>
                <w:noProof/>
              </w:rPr>
              <w:fldChar w:fldCharType="separate"/>
            </w:r>
            <w:r w:rsidR="00D00E7B">
              <w:rPr>
                <w:noProof/>
              </w:rPr>
              <w:t>1</w:t>
            </w:r>
            <w:r w:rsidR="008B59A7">
              <w:rPr>
                <w:noProof/>
              </w:rPr>
              <w:fldChar w:fldCharType="end"/>
            </w:r>
            <w:r w:rsidRPr="009471DC">
              <w:t>.</w:t>
            </w:r>
            <w:r w:rsidR="008B59A7">
              <w:rPr>
                <w:noProof/>
              </w:rPr>
              <w:fldChar w:fldCharType="begin"/>
            </w:r>
            <w:r w:rsidR="008B59A7">
              <w:rPr>
                <w:noProof/>
              </w:rPr>
              <w:instrText xml:space="preserve"> SEQ Box:_ \* ARABIC \s 1 </w:instrText>
            </w:r>
            <w:r w:rsidR="008B59A7">
              <w:rPr>
                <w:noProof/>
              </w:rPr>
              <w:fldChar w:fldCharType="separate"/>
            </w:r>
            <w:r w:rsidR="00D00E7B">
              <w:rPr>
                <w:noProof/>
              </w:rPr>
              <w:t>1</w:t>
            </w:r>
            <w:r w:rsidR="008B59A7">
              <w:rPr>
                <w:noProof/>
              </w:rPr>
              <w:fldChar w:fldCharType="end"/>
            </w:r>
            <w:r w:rsidR="00EA489B">
              <w:rPr>
                <w:noProof/>
              </w:rPr>
              <w:t>:</w:t>
            </w:r>
            <w:r w:rsidRPr="009471DC">
              <w:t xml:space="preserve"> PEFA CHECK criteria</w:t>
            </w:r>
          </w:p>
          <w:p w14:paraId="4721986D" w14:textId="7ED07427" w:rsidR="009471DC" w:rsidRPr="0045183B" w:rsidRDefault="009471DC" w:rsidP="009471DC">
            <w:pPr>
              <w:pStyle w:val="italic0"/>
              <w:spacing w:before="60" w:after="60"/>
              <w:rPr>
                <w:i w:val="0"/>
                <w:sz w:val="20"/>
                <w:szCs w:val="20"/>
              </w:rPr>
            </w:pPr>
            <w:r w:rsidRPr="0045183B">
              <w:rPr>
                <w:i w:val="0"/>
                <w:sz w:val="20"/>
                <w:szCs w:val="20"/>
              </w:rPr>
              <w:t>1. The concept note or similar document and the assessment report (draft and revised draft) follow an adequate peer review process. Documents are submitted to reviewers representing at least four PFM institutions. The peer reviewers should include the government assessed</w:t>
            </w:r>
            <w:r>
              <w:rPr>
                <w:i w:val="0"/>
                <w:sz w:val="20"/>
                <w:szCs w:val="20"/>
              </w:rPr>
              <w:t>,</w:t>
            </w:r>
            <w:r w:rsidRPr="0045183B">
              <w:rPr>
                <w:i w:val="0"/>
                <w:sz w:val="20"/>
                <w:szCs w:val="20"/>
              </w:rPr>
              <w:t xml:space="preserve"> the PEFA Secretariat, and at least two other independent institutions from within or outside the country (such as international organizations, PFM‐related </w:t>
            </w:r>
            <w:r>
              <w:rPr>
                <w:i w:val="0"/>
                <w:sz w:val="20"/>
                <w:szCs w:val="20"/>
              </w:rPr>
              <w:t>nongovernmental organizations [</w:t>
            </w:r>
            <w:r w:rsidRPr="0045183B">
              <w:rPr>
                <w:i w:val="0"/>
                <w:sz w:val="20"/>
                <w:szCs w:val="20"/>
              </w:rPr>
              <w:t>NGOs</w:t>
            </w:r>
            <w:r>
              <w:rPr>
                <w:i w:val="0"/>
                <w:sz w:val="20"/>
                <w:szCs w:val="20"/>
              </w:rPr>
              <w:t>]</w:t>
            </w:r>
            <w:r w:rsidRPr="0045183B">
              <w:rPr>
                <w:i w:val="0"/>
                <w:sz w:val="20"/>
                <w:szCs w:val="20"/>
              </w:rPr>
              <w:t xml:space="preserve">, civil society groups, or other governments). </w:t>
            </w:r>
          </w:p>
          <w:p w14:paraId="6EE16111" w14:textId="1E05043D" w:rsidR="009471DC" w:rsidRPr="0045183B" w:rsidRDefault="009471DC" w:rsidP="009471DC">
            <w:pPr>
              <w:pStyle w:val="italic0"/>
              <w:spacing w:before="60" w:after="60"/>
              <w:rPr>
                <w:i w:val="0"/>
                <w:sz w:val="20"/>
                <w:szCs w:val="20"/>
              </w:rPr>
            </w:pPr>
            <w:r w:rsidRPr="0045183B">
              <w:rPr>
                <w:i w:val="0"/>
                <w:sz w:val="20"/>
                <w:szCs w:val="20"/>
              </w:rPr>
              <w:t xml:space="preserve">2. The draft </w:t>
            </w:r>
            <w:r>
              <w:rPr>
                <w:i w:val="0"/>
                <w:sz w:val="20"/>
                <w:szCs w:val="20"/>
              </w:rPr>
              <w:t>concept note</w:t>
            </w:r>
            <w:r w:rsidRPr="0045183B">
              <w:rPr>
                <w:i w:val="0"/>
                <w:sz w:val="20"/>
                <w:szCs w:val="20"/>
              </w:rPr>
              <w:t xml:space="preserve"> is submitted for peer review before the in‐country assessment field work starts. </w:t>
            </w:r>
          </w:p>
          <w:p w14:paraId="5755B05A" w14:textId="41806C9B" w:rsidR="009471DC" w:rsidRPr="0045183B" w:rsidRDefault="009471DC" w:rsidP="009471DC">
            <w:pPr>
              <w:pStyle w:val="italic0"/>
              <w:spacing w:before="60" w:after="60"/>
              <w:rPr>
                <w:i w:val="0"/>
                <w:sz w:val="20"/>
                <w:szCs w:val="20"/>
              </w:rPr>
            </w:pPr>
            <w:r w:rsidRPr="0045183B">
              <w:rPr>
                <w:i w:val="0"/>
                <w:sz w:val="20"/>
                <w:szCs w:val="20"/>
              </w:rPr>
              <w:t xml:space="preserve">3. A final version of the </w:t>
            </w:r>
            <w:r>
              <w:rPr>
                <w:i w:val="0"/>
                <w:sz w:val="20"/>
                <w:szCs w:val="20"/>
              </w:rPr>
              <w:t>concept note</w:t>
            </w:r>
            <w:r w:rsidRPr="0045183B">
              <w:rPr>
                <w:i w:val="0"/>
                <w:sz w:val="20"/>
                <w:szCs w:val="20"/>
              </w:rPr>
              <w:t xml:space="preserve"> is shared with all peer reviewers. </w:t>
            </w:r>
          </w:p>
          <w:p w14:paraId="0D5B4B2F" w14:textId="77777777" w:rsidR="009471DC" w:rsidRPr="0045183B" w:rsidRDefault="009471DC" w:rsidP="009471DC">
            <w:pPr>
              <w:pStyle w:val="italic0"/>
              <w:spacing w:before="60" w:after="60"/>
              <w:rPr>
                <w:i w:val="0"/>
                <w:sz w:val="20"/>
                <w:szCs w:val="20"/>
              </w:rPr>
            </w:pPr>
            <w:r w:rsidRPr="0045183B">
              <w:rPr>
                <w:i w:val="0"/>
                <w:sz w:val="20"/>
                <w:szCs w:val="20"/>
              </w:rPr>
              <w:t xml:space="preserve">4. The complete draft PEFA report is submitted to all peer reviewers for review. All reviewers are invited to participate in the report’s finalization process. </w:t>
            </w:r>
          </w:p>
          <w:p w14:paraId="025FFF6D" w14:textId="77777777" w:rsidR="009471DC" w:rsidRPr="0045183B" w:rsidRDefault="009471DC" w:rsidP="009471DC">
            <w:pPr>
              <w:pStyle w:val="italic0"/>
              <w:spacing w:before="60" w:after="60"/>
              <w:rPr>
                <w:i w:val="0"/>
                <w:sz w:val="20"/>
                <w:szCs w:val="20"/>
              </w:rPr>
            </w:pPr>
            <w:r w:rsidRPr="0045183B">
              <w:rPr>
                <w:i w:val="0"/>
                <w:sz w:val="20"/>
                <w:szCs w:val="20"/>
              </w:rPr>
              <w:t>5. A revised draft PEFA report and a separate matrix with peer reviewers’ comments and assessment team</w:t>
            </w:r>
            <w:r>
              <w:rPr>
                <w:i w:val="0"/>
                <w:sz w:val="20"/>
                <w:szCs w:val="20"/>
              </w:rPr>
              <w:t>’s</w:t>
            </w:r>
            <w:r w:rsidRPr="0045183B">
              <w:rPr>
                <w:i w:val="0"/>
                <w:sz w:val="20"/>
                <w:szCs w:val="20"/>
              </w:rPr>
              <w:t xml:space="preserve"> responses are submitted to all peer reviewers. The PEFA Secretariat carries out a follow‐up review that evaluates whether its comments have been addressed. </w:t>
            </w:r>
          </w:p>
          <w:p w14:paraId="5E97A8B8" w14:textId="49CE436D" w:rsidR="009471DC" w:rsidRPr="009471DC" w:rsidRDefault="009471DC" w:rsidP="009471DC">
            <w:pPr>
              <w:pStyle w:val="italic0"/>
              <w:spacing w:before="60" w:after="60"/>
              <w:rPr>
                <w:i w:val="0"/>
                <w:sz w:val="20"/>
                <w:szCs w:val="20"/>
              </w:rPr>
            </w:pPr>
            <w:r w:rsidRPr="0045183B">
              <w:rPr>
                <w:i w:val="0"/>
                <w:sz w:val="20"/>
                <w:szCs w:val="20"/>
              </w:rPr>
              <w:t>6. The assessment management and quality assurance arrangements are described in the PEFA report</w:t>
            </w:r>
            <w:r>
              <w:rPr>
                <w:i w:val="0"/>
                <w:sz w:val="20"/>
                <w:szCs w:val="20"/>
              </w:rPr>
              <w:t>,</w:t>
            </w:r>
            <w:r w:rsidRPr="0045183B">
              <w:rPr>
                <w:i w:val="0"/>
                <w:sz w:val="20"/>
                <w:szCs w:val="20"/>
              </w:rPr>
              <w:t xml:space="preserve"> including a clear reference to the follow‐up review. </w:t>
            </w:r>
          </w:p>
        </w:tc>
      </w:tr>
    </w:tbl>
    <w:p w14:paraId="76FF2540" w14:textId="628117A1" w:rsidR="00C45744" w:rsidRPr="005849E4" w:rsidRDefault="00C45744" w:rsidP="0045183B">
      <w:pPr>
        <w:spacing w:before="240" w:after="240"/>
        <w:rPr>
          <w:sz w:val="22"/>
        </w:rPr>
      </w:pPr>
      <w:r w:rsidRPr="005849E4">
        <w:rPr>
          <w:sz w:val="22"/>
        </w:rPr>
        <w:t>The partnering local government organi</w:t>
      </w:r>
      <w:r w:rsidR="009471DC">
        <w:rPr>
          <w:sz w:val="22"/>
        </w:rPr>
        <w:t>z</w:t>
      </w:r>
      <w:r w:rsidRPr="005849E4">
        <w:rPr>
          <w:sz w:val="22"/>
        </w:rPr>
        <w:t xml:space="preserve">ations involved in the management and the assessment of this PEFA assignment are </w:t>
      </w:r>
      <w:r w:rsidR="009471DC">
        <w:rPr>
          <w:sz w:val="22"/>
        </w:rPr>
        <w:t>listed</w:t>
      </w:r>
      <w:r w:rsidR="009471DC" w:rsidRPr="005849E4">
        <w:rPr>
          <w:sz w:val="22"/>
        </w:rPr>
        <w:t xml:space="preserve"> </w:t>
      </w:r>
      <w:r w:rsidRPr="005849E4">
        <w:rPr>
          <w:sz w:val="22"/>
        </w:rPr>
        <w:t xml:space="preserve">in </w:t>
      </w:r>
      <w:r w:rsidR="007929DF">
        <w:rPr>
          <w:sz w:val="22"/>
        </w:rPr>
        <w:t>B</w:t>
      </w:r>
      <w:r w:rsidRPr="005849E4">
        <w:rPr>
          <w:sz w:val="22"/>
        </w:rPr>
        <w:t xml:space="preserve">ox </w:t>
      </w:r>
      <w:r w:rsidR="009471DC">
        <w:rPr>
          <w:sz w:val="22"/>
        </w:rPr>
        <w:t>1.2,</w:t>
      </w:r>
      <w:r w:rsidR="009471DC" w:rsidRPr="005849E4">
        <w:rPr>
          <w:sz w:val="22"/>
        </w:rPr>
        <w:t xml:space="preserve"> </w:t>
      </w:r>
      <w:r w:rsidRPr="005849E4">
        <w:rPr>
          <w:sz w:val="22"/>
        </w:rPr>
        <w:t>with their specific roles and contribution to the delivery of the intended outputs.</w:t>
      </w:r>
    </w:p>
    <w:p w14:paraId="49FAAA45" w14:textId="4CC87584" w:rsidR="00E70E46" w:rsidRPr="00E70E46" w:rsidRDefault="00E70E46" w:rsidP="00EF7789">
      <w:pPr>
        <w:pStyle w:val="TableStyle"/>
      </w:pPr>
    </w:p>
    <w:tbl>
      <w:tblPr>
        <w:tblW w:w="5000" w:type="pct"/>
        <w:tblCellMar>
          <w:left w:w="151" w:type="dxa"/>
          <w:right w:w="101" w:type="dxa"/>
        </w:tblCellMar>
        <w:tblLook w:val="04A0" w:firstRow="1" w:lastRow="0" w:firstColumn="1" w:lastColumn="0" w:noHBand="0" w:noVBand="1"/>
      </w:tblPr>
      <w:tblGrid>
        <w:gridCol w:w="9344"/>
      </w:tblGrid>
      <w:tr w:rsidR="00F4415D" w:rsidRPr="00EF7789" w14:paraId="2B342803" w14:textId="77777777" w:rsidTr="0045183B">
        <w:trPr>
          <w:trHeight w:val="2962"/>
        </w:trPr>
        <w:tc>
          <w:tcPr>
            <w:tcW w:w="9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33E7A7" w14:textId="104817E4" w:rsidR="009471DC" w:rsidRPr="009471DC" w:rsidRDefault="009471DC" w:rsidP="009471DC">
            <w:pPr>
              <w:pStyle w:val="TableStyle"/>
              <w:keepNext w:val="0"/>
              <w:rPr>
                <w:szCs w:val="20"/>
              </w:rPr>
            </w:pPr>
            <w:r w:rsidRPr="00E70E46">
              <w:t xml:space="preserve">Box </w:t>
            </w:r>
            <w:r w:rsidRPr="00E70E46">
              <w:rPr>
                <w:noProof/>
              </w:rPr>
              <w:fldChar w:fldCharType="begin"/>
            </w:r>
            <w:r w:rsidRPr="00E70E46">
              <w:rPr>
                <w:noProof/>
              </w:rPr>
              <w:instrText xml:space="preserve"> STYLEREF 1 \s </w:instrText>
            </w:r>
            <w:r w:rsidRPr="00E70E46">
              <w:rPr>
                <w:noProof/>
              </w:rPr>
              <w:fldChar w:fldCharType="separate"/>
            </w:r>
            <w:r w:rsidR="00D00E7B">
              <w:rPr>
                <w:noProof/>
              </w:rPr>
              <w:t>1</w:t>
            </w:r>
            <w:r w:rsidRPr="00E70E46">
              <w:rPr>
                <w:noProof/>
              </w:rPr>
              <w:fldChar w:fldCharType="end"/>
            </w:r>
            <w:r>
              <w:rPr>
                <w:noProof/>
              </w:rPr>
              <w:t>.</w:t>
            </w:r>
            <w:r w:rsidRPr="00E70E46">
              <w:rPr>
                <w:noProof/>
              </w:rPr>
              <w:fldChar w:fldCharType="begin"/>
            </w:r>
            <w:r w:rsidRPr="00E70E46">
              <w:rPr>
                <w:noProof/>
              </w:rPr>
              <w:instrText xml:space="preserve"> SEQ Box:_ \* ARABIC \s 1 </w:instrText>
            </w:r>
            <w:r w:rsidRPr="00E70E46">
              <w:rPr>
                <w:noProof/>
              </w:rPr>
              <w:fldChar w:fldCharType="separate"/>
            </w:r>
            <w:r w:rsidR="00D00E7B">
              <w:rPr>
                <w:noProof/>
              </w:rPr>
              <w:t>2</w:t>
            </w:r>
            <w:r w:rsidRPr="00E70E46">
              <w:rPr>
                <w:noProof/>
              </w:rPr>
              <w:fldChar w:fldCharType="end"/>
            </w:r>
            <w:r w:rsidR="00EA489B">
              <w:rPr>
                <w:noProof/>
              </w:rPr>
              <w:t>:</w:t>
            </w:r>
            <w:r w:rsidRPr="00E70E46">
              <w:rPr>
                <w:noProof/>
              </w:rPr>
              <w:t xml:space="preserve"> Assessment management and quality assurance arrangements</w:t>
            </w:r>
          </w:p>
          <w:p w14:paraId="4DC8AFF8" w14:textId="1B26B152" w:rsidR="001D3CD5" w:rsidRPr="00EF7789" w:rsidRDefault="001D3CD5" w:rsidP="00273165">
            <w:pPr>
              <w:pStyle w:val="ListParagraph"/>
              <w:numPr>
                <w:ilvl w:val="0"/>
                <w:numId w:val="4"/>
              </w:numPr>
              <w:rPr>
                <w:b/>
                <w:sz w:val="20"/>
                <w:szCs w:val="20"/>
              </w:rPr>
            </w:pPr>
            <w:r w:rsidRPr="00EF7789">
              <w:rPr>
                <w:b/>
                <w:sz w:val="20"/>
                <w:szCs w:val="20"/>
              </w:rPr>
              <w:t xml:space="preserve">Oversight Team </w:t>
            </w:r>
            <w:r w:rsidR="00196FAE" w:rsidRPr="00EF7789">
              <w:rPr>
                <w:b/>
                <w:sz w:val="20"/>
                <w:szCs w:val="20"/>
              </w:rPr>
              <w:t>-</w:t>
            </w:r>
            <w:r w:rsidRPr="00EF7789">
              <w:rPr>
                <w:b/>
                <w:sz w:val="20"/>
                <w:szCs w:val="20"/>
              </w:rPr>
              <w:t xml:space="preserve"> Chair </w:t>
            </w:r>
            <w:r w:rsidR="00196FAE" w:rsidRPr="00EF7789">
              <w:rPr>
                <w:b/>
                <w:sz w:val="20"/>
                <w:szCs w:val="20"/>
              </w:rPr>
              <w:t xml:space="preserve">and </w:t>
            </w:r>
            <w:r w:rsidRPr="00EF7789">
              <w:rPr>
                <w:b/>
                <w:sz w:val="20"/>
                <w:szCs w:val="20"/>
              </w:rPr>
              <w:t>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703"/>
            </w:tblGrid>
            <w:tr w:rsidR="001D3CD5" w:rsidRPr="00EF7789" w14:paraId="4E19888D" w14:textId="77777777" w:rsidTr="0045183B">
              <w:trPr>
                <w:trHeight w:val="198"/>
              </w:trPr>
              <w:tc>
                <w:tcPr>
                  <w:tcW w:w="2411" w:type="pct"/>
                  <w:tcBorders>
                    <w:top w:val="single" w:sz="4" w:space="0" w:color="auto"/>
                    <w:left w:val="single" w:sz="4" w:space="0" w:color="auto"/>
                    <w:bottom w:val="single" w:sz="4" w:space="0" w:color="auto"/>
                    <w:right w:val="single" w:sz="4" w:space="0" w:color="auto"/>
                  </w:tcBorders>
                  <w:shd w:val="clear" w:color="auto" w:fill="F2F2F2"/>
                </w:tcPr>
                <w:p w14:paraId="271389E6" w14:textId="64CD7307" w:rsidR="001D3CD5" w:rsidRPr="00EF7789" w:rsidRDefault="001D3CD5" w:rsidP="009471DC">
                  <w:pPr>
                    <w:jc w:val="center"/>
                    <w:rPr>
                      <w:b/>
                      <w:sz w:val="20"/>
                      <w:szCs w:val="20"/>
                    </w:rPr>
                  </w:pPr>
                  <w:r w:rsidRPr="00EF7789">
                    <w:rPr>
                      <w:b/>
                      <w:sz w:val="20"/>
                      <w:szCs w:val="20"/>
                    </w:rPr>
                    <w:t>Organization name</w:t>
                  </w:r>
                </w:p>
              </w:tc>
              <w:tc>
                <w:tcPr>
                  <w:tcW w:w="2589" w:type="pct"/>
                  <w:tcBorders>
                    <w:top w:val="single" w:sz="4" w:space="0" w:color="auto"/>
                    <w:left w:val="single" w:sz="4" w:space="0" w:color="auto"/>
                    <w:bottom w:val="single" w:sz="4" w:space="0" w:color="auto"/>
                    <w:right w:val="single" w:sz="4" w:space="0" w:color="auto"/>
                  </w:tcBorders>
                  <w:shd w:val="clear" w:color="auto" w:fill="F2F2F2"/>
                </w:tcPr>
                <w:p w14:paraId="339DF700" w14:textId="77777777" w:rsidR="001D3CD5" w:rsidRPr="00EF7789" w:rsidRDefault="001D3CD5" w:rsidP="009471DC">
                  <w:pPr>
                    <w:jc w:val="center"/>
                    <w:rPr>
                      <w:b/>
                      <w:sz w:val="20"/>
                      <w:szCs w:val="20"/>
                    </w:rPr>
                  </w:pPr>
                  <w:r w:rsidRPr="00EF7789">
                    <w:rPr>
                      <w:b/>
                      <w:sz w:val="20"/>
                      <w:szCs w:val="20"/>
                    </w:rPr>
                    <w:t>Team member details</w:t>
                  </w:r>
                </w:p>
              </w:tc>
            </w:tr>
            <w:tr w:rsidR="001D3CD5" w:rsidRPr="00EF7789" w14:paraId="7D46BA8B" w14:textId="77777777" w:rsidTr="0045183B">
              <w:trPr>
                <w:trHeight w:val="197"/>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449862FD" w14:textId="77777777" w:rsidR="001D3CD5" w:rsidRPr="00EF7789" w:rsidRDefault="001D3CD5" w:rsidP="00196FAE">
                  <w:pPr>
                    <w:jc w:val="left"/>
                    <w:rPr>
                      <w:sz w:val="20"/>
                      <w:szCs w:val="20"/>
                    </w:rPr>
                  </w:pPr>
                  <w:r w:rsidRPr="00EF7789">
                    <w:rPr>
                      <w:sz w:val="20"/>
                      <w:szCs w:val="20"/>
                    </w:rPr>
                    <w:t>KIPPRA Executive Director (Chair)</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251A4E9E" w14:textId="7DCB4E2F" w:rsidR="001D3CD5" w:rsidRPr="00EF7789" w:rsidRDefault="00FC0ED2" w:rsidP="00196FAE">
                  <w:pPr>
                    <w:jc w:val="left"/>
                    <w:rPr>
                      <w:sz w:val="20"/>
                      <w:szCs w:val="20"/>
                    </w:rPr>
                  </w:pPr>
                  <w:r w:rsidRPr="00EF7789">
                    <w:rPr>
                      <w:sz w:val="20"/>
                      <w:szCs w:val="20"/>
                    </w:rPr>
                    <w:t>Dr</w:t>
                  </w:r>
                  <w:r w:rsidR="001D3CD5" w:rsidRPr="00EF7789">
                    <w:rPr>
                      <w:sz w:val="20"/>
                      <w:szCs w:val="20"/>
                    </w:rPr>
                    <w:t xml:space="preserve"> Rose Ngugi</w:t>
                  </w:r>
                </w:p>
              </w:tc>
            </w:tr>
            <w:tr w:rsidR="001D3CD5" w:rsidRPr="00EF7789" w14:paraId="63AC07C8" w14:textId="77777777" w:rsidTr="0045183B">
              <w:trPr>
                <w:trHeight w:val="197"/>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1D6F5AB6" w14:textId="77777777" w:rsidR="001D3CD5" w:rsidRPr="00EF7789" w:rsidRDefault="001D3CD5" w:rsidP="00196FAE">
                  <w:pPr>
                    <w:jc w:val="left"/>
                    <w:rPr>
                      <w:sz w:val="20"/>
                      <w:szCs w:val="20"/>
                    </w:rPr>
                  </w:pPr>
                  <w:r w:rsidRPr="00EF7789">
                    <w:rPr>
                      <w:sz w:val="20"/>
                      <w:szCs w:val="20"/>
                    </w:rPr>
                    <w:t xml:space="preserve">KIPPRA </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53F7C777" w14:textId="793ABDEB" w:rsidR="001D3CD5" w:rsidRPr="00EF7789" w:rsidRDefault="00FC0ED2" w:rsidP="00196FAE">
                  <w:pPr>
                    <w:jc w:val="left"/>
                    <w:rPr>
                      <w:sz w:val="20"/>
                      <w:szCs w:val="20"/>
                    </w:rPr>
                  </w:pPr>
                  <w:r w:rsidRPr="00EF7789">
                    <w:rPr>
                      <w:sz w:val="20"/>
                      <w:szCs w:val="20"/>
                    </w:rPr>
                    <w:t>Dr</w:t>
                  </w:r>
                  <w:r w:rsidR="001D3CD5" w:rsidRPr="00EF7789">
                    <w:rPr>
                      <w:sz w:val="20"/>
                      <w:szCs w:val="20"/>
                    </w:rPr>
                    <w:t xml:space="preserve"> Augustus Muluvi</w:t>
                  </w:r>
                </w:p>
              </w:tc>
            </w:tr>
            <w:tr w:rsidR="001D3CD5" w:rsidRPr="00EF7789" w14:paraId="744A830E" w14:textId="77777777" w:rsidTr="0045183B">
              <w:trPr>
                <w:trHeight w:val="197"/>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59B35E8B" w14:textId="77777777" w:rsidR="001D3CD5" w:rsidRPr="00EF7789" w:rsidRDefault="001D3CD5" w:rsidP="00196FAE">
                  <w:pPr>
                    <w:jc w:val="left"/>
                    <w:rPr>
                      <w:sz w:val="20"/>
                      <w:szCs w:val="20"/>
                    </w:rPr>
                  </w:pPr>
                  <w:r w:rsidRPr="00EF7789">
                    <w:rPr>
                      <w:sz w:val="20"/>
                      <w:szCs w:val="20"/>
                    </w:rPr>
                    <w:t>KIPPRA</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513EE0FF" w14:textId="315051FB" w:rsidR="001D3CD5" w:rsidRPr="00EF7789" w:rsidRDefault="00FC0ED2" w:rsidP="00196FAE">
                  <w:pPr>
                    <w:jc w:val="left"/>
                    <w:rPr>
                      <w:sz w:val="20"/>
                      <w:szCs w:val="20"/>
                    </w:rPr>
                  </w:pPr>
                  <w:r w:rsidRPr="00EF7789">
                    <w:rPr>
                      <w:sz w:val="20"/>
                      <w:szCs w:val="20"/>
                    </w:rPr>
                    <w:t>Dr</w:t>
                  </w:r>
                  <w:r w:rsidR="001D3CD5" w:rsidRPr="00EF7789">
                    <w:rPr>
                      <w:sz w:val="20"/>
                      <w:szCs w:val="20"/>
                    </w:rPr>
                    <w:t xml:space="preserve"> Christopher Onyango</w:t>
                  </w:r>
                </w:p>
              </w:tc>
            </w:tr>
            <w:tr w:rsidR="001D3CD5" w:rsidRPr="00EF7789" w14:paraId="62023002" w14:textId="77777777" w:rsidTr="0045183B">
              <w:trPr>
                <w:trHeight w:val="197"/>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6992A9EB" w14:textId="77777777" w:rsidR="001D3CD5" w:rsidRPr="00EF7789" w:rsidRDefault="001D3CD5" w:rsidP="00196FAE">
                  <w:pPr>
                    <w:jc w:val="left"/>
                    <w:rPr>
                      <w:sz w:val="20"/>
                      <w:szCs w:val="20"/>
                    </w:rPr>
                  </w:pPr>
                  <w:r w:rsidRPr="00EF7789">
                    <w:rPr>
                      <w:sz w:val="20"/>
                      <w:szCs w:val="20"/>
                    </w:rPr>
                    <w:t>KIPPRA</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3A8D83B3" w14:textId="77777777" w:rsidR="001D3CD5" w:rsidRPr="00EF7789" w:rsidRDefault="001D3CD5" w:rsidP="00196FAE">
                  <w:pPr>
                    <w:jc w:val="left"/>
                    <w:rPr>
                      <w:sz w:val="20"/>
                      <w:szCs w:val="20"/>
                    </w:rPr>
                  </w:pPr>
                  <w:r w:rsidRPr="00EF7789">
                    <w:rPr>
                      <w:sz w:val="20"/>
                      <w:szCs w:val="20"/>
                    </w:rPr>
                    <w:t>Mr. Benson Kiriga</w:t>
                  </w:r>
                </w:p>
              </w:tc>
            </w:tr>
            <w:tr w:rsidR="001D3CD5" w:rsidRPr="00EF7789" w14:paraId="7338F933" w14:textId="77777777" w:rsidTr="0045183B">
              <w:trPr>
                <w:trHeight w:val="197"/>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08F8AF98" w14:textId="77777777" w:rsidR="001D3CD5" w:rsidRPr="00EF7789" w:rsidRDefault="001D3CD5" w:rsidP="00196FAE">
                  <w:pPr>
                    <w:jc w:val="left"/>
                    <w:rPr>
                      <w:sz w:val="20"/>
                      <w:szCs w:val="20"/>
                    </w:rPr>
                  </w:pPr>
                  <w:r w:rsidRPr="00EF7789">
                    <w:rPr>
                      <w:sz w:val="20"/>
                      <w:szCs w:val="20"/>
                    </w:rPr>
                    <w:t>KIPPRA</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47751F27" w14:textId="6BBBB96E" w:rsidR="001D3CD5" w:rsidRPr="00EF7789" w:rsidRDefault="00FC0ED2" w:rsidP="00196FAE">
                  <w:pPr>
                    <w:jc w:val="left"/>
                    <w:rPr>
                      <w:sz w:val="20"/>
                      <w:szCs w:val="20"/>
                    </w:rPr>
                  </w:pPr>
                  <w:r>
                    <w:rPr>
                      <w:sz w:val="20"/>
                      <w:szCs w:val="20"/>
                    </w:rPr>
                    <w:t>Dr</w:t>
                  </w:r>
                  <w:r w:rsidR="001D3CD5" w:rsidRPr="00EF7789">
                    <w:rPr>
                      <w:sz w:val="20"/>
                      <w:szCs w:val="20"/>
                    </w:rPr>
                    <w:t xml:space="preserve"> Simon Githuku</w:t>
                  </w:r>
                </w:p>
              </w:tc>
            </w:tr>
            <w:tr w:rsidR="001D3CD5" w:rsidRPr="00EF7789" w14:paraId="5710DFCF" w14:textId="77777777" w:rsidTr="0045183B">
              <w:trPr>
                <w:trHeight w:val="197"/>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6BBD1827" w14:textId="77777777" w:rsidR="001D3CD5" w:rsidRPr="00EF7789" w:rsidRDefault="001D3CD5" w:rsidP="00196FAE">
                  <w:pPr>
                    <w:jc w:val="left"/>
                    <w:rPr>
                      <w:sz w:val="20"/>
                      <w:szCs w:val="20"/>
                    </w:rPr>
                  </w:pPr>
                  <w:r w:rsidRPr="00EF7789">
                    <w:rPr>
                      <w:sz w:val="20"/>
                      <w:szCs w:val="20"/>
                    </w:rPr>
                    <w:t>KIPPRA</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50548F78" w14:textId="05F75A60" w:rsidR="001D3CD5" w:rsidRPr="00EF7789" w:rsidRDefault="00FC0ED2" w:rsidP="00196FAE">
                  <w:pPr>
                    <w:jc w:val="left"/>
                    <w:rPr>
                      <w:sz w:val="20"/>
                      <w:szCs w:val="20"/>
                    </w:rPr>
                  </w:pPr>
                  <w:r w:rsidRPr="00EF7789">
                    <w:rPr>
                      <w:sz w:val="20"/>
                      <w:szCs w:val="20"/>
                    </w:rPr>
                    <w:t>Dr</w:t>
                  </w:r>
                  <w:r w:rsidR="001D3CD5" w:rsidRPr="00EF7789">
                    <w:rPr>
                      <w:sz w:val="20"/>
                      <w:szCs w:val="20"/>
                    </w:rPr>
                    <w:t xml:space="preserve"> Douglas Kivoi</w:t>
                  </w:r>
                </w:p>
              </w:tc>
            </w:tr>
            <w:tr w:rsidR="001D3CD5" w:rsidRPr="00EF7789" w14:paraId="12969D09" w14:textId="77777777" w:rsidTr="0045183B">
              <w:trPr>
                <w:trHeight w:val="242"/>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3D66F3A6" w14:textId="77777777" w:rsidR="001D3CD5" w:rsidRPr="00EF7789" w:rsidRDefault="001D3CD5" w:rsidP="00196FAE">
                  <w:pPr>
                    <w:jc w:val="left"/>
                    <w:rPr>
                      <w:sz w:val="20"/>
                      <w:szCs w:val="20"/>
                    </w:rPr>
                  </w:pPr>
                  <w:r w:rsidRPr="00EF7789">
                    <w:rPr>
                      <w:sz w:val="20"/>
                      <w:szCs w:val="20"/>
                    </w:rPr>
                    <w:t>World Bank</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319DECEA" w14:textId="66155E0E" w:rsidR="001D3CD5" w:rsidRPr="00EF7789" w:rsidRDefault="00D94B3F" w:rsidP="00196FAE">
                  <w:pPr>
                    <w:jc w:val="left"/>
                    <w:rPr>
                      <w:sz w:val="20"/>
                      <w:szCs w:val="20"/>
                    </w:rPr>
                  </w:pPr>
                  <w:r>
                    <w:rPr>
                      <w:sz w:val="20"/>
                      <w:szCs w:val="20"/>
                    </w:rPr>
                    <w:t xml:space="preserve">Ms. </w:t>
                  </w:r>
                  <w:r w:rsidR="001D3CD5" w:rsidRPr="00EF7789">
                    <w:rPr>
                      <w:sz w:val="20"/>
                      <w:szCs w:val="20"/>
                    </w:rPr>
                    <w:t>Christine Anyango</w:t>
                  </w:r>
                  <w:r w:rsidR="009B1007" w:rsidRPr="00EF7789">
                    <w:rPr>
                      <w:sz w:val="20"/>
                      <w:szCs w:val="20"/>
                    </w:rPr>
                    <w:t xml:space="preserve"> </w:t>
                  </w:r>
                  <w:r w:rsidR="001D3CD5" w:rsidRPr="00EF7789">
                    <w:rPr>
                      <w:sz w:val="20"/>
                      <w:szCs w:val="20"/>
                    </w:rPr>
                    <w:t>Owuor</w:t>
                  </w:r>
                </w:p>
              </w:tc>
            </w:tr>
            <w:tr w:rsidR="001D3CD5" w:rsidRPr="00EF7789" w14:paraId="6645FB46" w14:textId="77777777" w:rsidTr="0045183B">
              <w:trPr>
                <w:trHeight w:val="242"/>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37131572" w14:textId="77777777" w:rsidR="001D3CD5" w:rsidRPr="00EF7789" w:rsidRDefault="001D3CD5" w:rsidP="00196FAE">
                  <w:pPr>
                    <w:jc w:val="left"/>
                    <w:rPr>
                      <w:sz w:val="20"/>
                      <w:szCs w:val="20"/>
                    </w:rPr>
                  </w:pPr>
                  <w:r w:rsidRPr="00EF7789">
                    <w:rPr>
                      <w:sz w:val="20"/>
                      <w:szCs w:val="20"/>
                    </w:rPr>
                    <w:t>World Bank</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722A9293" w14:textId="04EB0F3D" w:rsidR="001D3CD5" w:rsidRPr="00EF7789" w:rsidRDefault="00D94B3F" w:rsidP="00196FAE">
                  <w:pPr>
                    <w:jc w:val="left"/>
                    <w:rPr>
                      <w:sz w:val="20"/>
                      <w:szCs w:val="20"/>
                    </w:rPr>
                  </w:pPr>
                  <w:r>
                    <w:rPr>
                      <w:sz w:val="20"/>
                      <w:szCs w:val="20"/>
                    </w:rPr>
                    <w:t xml:space="preserve">Mr. </w:t>
                  </w:r>
                  <w:r w:rsidR="001D3CD5" w:rsidRPr="00EF7789">
                    <w:rPr>
                      <w:sz w:val="20"/>
                      <w:szCs w:val="20"/>
                    </w:rPr>
                    <w:t>Tim Williamson</w:t>
                  </w:r>
                </w:p>
              </w:tc>
            </w:tr>
            <w:tr w:rsidR="001D3CD5" w:rsidRPr="00EF7789" w14:paraId="717EB917" w14:textId="77777777" w:rsidTr="0045183B">
              <w:trPr>
                <w:trHeight w:val="70"/>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25C59F99" w14:textId="77777777" w:rsidR="001D3CD5" w:rsidRPr="00EF7789" w:rsidRDefault="001D3CD5" w:rsidP="00196FAE">
                  <w:pPr>
                    <w:jc w:val="left"/>
                    <w:rPr>
                      <w:sz w:val="20"/>
                      <w:szCs w:val="20"/>
                    </w:rPr>
                  </w:pPr>
                  <w:r w:rsidRPr="00EF7789">
                    <w:rPr>
                      <w:sz w:val="20"/>
                      <w:szCs w:val="20"/>
                    </w:rPr>
                    <w:t>Council of Governors</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29886B07" w14:textId="35E95828" w:rsidR="001D3CD5" w:rsidRPr="00EF7789" w:rsidRDefault="00D94B3F" w:rsidP="00196FAE">
                  <w:pPr>
                    <w:jc w:val="left"/>
                    <w:rPr>
                      <w:sz w:val="20"/>
                      <w:szCs w:val="20"/>
                    </w:rPr>
                  </w:pPr>
                  <w:r>
                    <w:rPr>
                      <w:sz w:val="20"/>
                      <w:szCs w:val="20"/>
                    </w:rPr>
                    <w:t xml:space="preserve">Mr. </w:t>
                  </w:r>
                  <w:r w:rsidR="001D3CD5" w:rsidRPr="00EF7789">
                    <w:rPr>
                      <w:sz w:val="20"/>
                      <w:szCs w:val="20"/>
                    </w:rPr>
                    <w:t>Joseph Kung’u</w:t>
                  </w:r>
                </w:p>
              </w:tc>
            </w:tr>
            <w:tr w:rsidR="001D3CD5" w:rsidRPr="00EF7789" w14:paraId="42C40501" w14:textId="77777777" w:rsidTr="0045183B">
              <w:trPr>
                <w:trHeight w:val="70"/>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258FA77C" w14:textId="77777777" w:rsidR="001D3CD5" w:rsidRPr="00EF7789" w:rsidRDefault="001D3CD5" w:rsidP="00196FAE">
                  <w:pPr>
                    <w:jc w:val="left"/>
                    <w:rPr>
                      <w:sz w:val="20"/>
                      <w:szCs w:val="20"/>
                    </w:rPr>
                  </w:pPr>
                  <w:r w:rsidRPr="00EF7789">
                    <w:rPr>
                      <w:sz w:val="20"/>
                      <w:szCs w:val="20"/>
                    </w:rPr>
                    <w:t>PFMR Secretariat</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13190AE7" w14:textId="77777777" w:rsidR="001D3CD5" w:rsidRPr="00EF7789" w:rsidRDefault="001D3CD5" w:rsidP="00196FAE">
                  <w:pPr>
                    <w:jc w:val="left"/>
                    <w:rPr>
                      <w:sz w:val="20"/>
                      <w:szCs w:val="20"/>
                    </w:rPr>
                  </w:pPr>
                  <w:r w:rsidRPr="00EF7789">
                    <w:rPr>
                      <w:sz w:val="20"/>
                      <w:szCs w:val="20"/>
                    </w:rPr>
                    <w:t>Mr.Warui</w:t>
                  </w:r>
                  <w:r w:rsidR="009B1007" w:rsidRPr="00EF7789">
                    <w:rPr>
                      <w:sz w:val="20"/>
                      <w:szCs w:val="20"/>
                    </w:rPr>
                    <w:t xml:space="preserve"> </w:t>
                  </w:r>
                  <w:r w:rsidRPr="00EF7789">
                    <w:rPr>
                      <w:sz w:val="20"/>
                      <w:szCs w:val="20"/>
                    </w:rPr>
                    <w:t>Maina/Joel Bett</w:t>
                  </w:r>
                </w:p>
              </w:tc>
            </w:tr>
            <w:tr w:rsidR="001D3CD5" w:rsidRPr="00EF7789" w14:paraId="1974843A" w14:textId="77777777" w:rsidTr="0045183B">
              <w:trPr>
                <w:trHeight w:val="70"/>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7500BCF8" w14:textId="633E0252" w:rsidR="001D3CD5" w:rsidRPr="00EF7789" w:rsidRDefault="00BA77EE" w:rsidP="00196FAE">
                  <w:pPr>
                    <w:jc w:val="left"/>
                    <w:rPr>
                      <w:sz w:val="20"/>
                      <w:szCs w:val="20"/>
                    </w:rPr>
                  </w:pPr>
                  <w:r w:rsidRPr="00BA77EE">
                    <w:rPr>
                      <w:sz w:val="20"/>
                      <w:szCs w:val="20"/>
                    </w:rPr>
                    <w:t xml:space="preserve">Office of the Controller of Budget </w:t>
                  </w:r>
                  <w:r>
                    <w:rPr>
                      <w:sz w:val="20"/>
                      <w:szCs w:val="20"/>
                    </w:rPr>
                    <w:t>(</w:t>
                  </w:r>
                  <w:r w:rsidR="001D3CD5" w:rsidRPr="00EF7789">
                    <w:rPr>
                      <w:sz w:val="20"/>
                      <w:szCs w:val="20"/>
                    </w:rPr>
                    <w:t>OCOB</w:t>
                  </w:r>
                  <w:r>
                    <w:rPr>
                      <w:sz w:val="20"/>
                      <w:szCs w:val="20"/>
                    </w:rPr>
                    <w:t>)</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385E6C7B" w14:textId="77777777" w:rsidR="001D3CD5" w:rsidRPr="00EF7789" w:rsidRDefault="001D3CD5" w:rsidP="00196FAE">
                  <w:pPr>
                    <w:jc w:val="left"/>
                    <w:rPr>
                      <w:sz w:val="20"/>
                      <w:szCs w:val="20"/>
                    </w:rPr>
                  </w:pPr>
                  <w:r w:rsidRPr="00EF7789">
                    <w:rPr>
                      <w:sz w:val="20"/>
                      <w:szCs w:val="20"/>
                    </w:rPr>
                    <w:t>Mr. Joshua Musyimi/Grace Kimitei</w:t>
                  </w:r>
                </w:p>
              </w:tc>
            </w:tr>
            <w:tr w:rsidR="001D3CD5" w:rsidRPr="00EF7789" w14:paraId="523D4168" w14:textId="77777777" w:rsidTr="0045183B">
              <w:trPr>
                <w:trHeight w:val="70"/>
              </w:trPr>
              <w:tc>
                <w:tcPr>
                  <w:tcW w:w="2411" w:type="pct"/>
                  <w:tcBorders>
                    <w:top w:val="single" w:sz="4" w:space="0" w:color="auto"/>
                    <w:left w:val="single" w:sz="4" w:space="0" w:color="auto"/>
                    <w:bottom w:val="single" w:sz="4" w:space="0" w:color="auto"/>
                    <w:right w:val="single" w:sz="4" w:space="0" w:color="auto"/>
                  </w:tcBorders>
                  <w:shd w:val="clear" w:color="auto" w:fill="auto"/>
                </w:tcPr>
                <w:p w14:paraId="26015ADF" w14:textId="34312140" w:rsidR="001D3CD5" w:rsidRPr="00EF7789" w:rsidRDefault="001D3CD5" w:rsidP="00196FAE">
                  <w:pPr>
                    <w:jc w:val="left"/>
                    <w:rPr>
                      <w:sz w:val="20"/>
                      <w:szCs w:val="20"/>
                    </w:rPr>
                  </w:pPr>
                  <w:r w:rsidRPr="00EF7789">
                    <w:rPr>
                      <w:sz w:val="20"/>
                      <w:szCs w:val="20"/>
                    </w:rPr>
                    <w:t>Office of the Auditor General</w:t>
                  </w:r>
                  <w:r w:rsidR="00BA77EE">
                    <w:rPr>
                      <w:sz w:val="20"/>
                      <w:szCs w:val="20"/>
                    </w:rPr>
                    <w:t xml:space="preserve"> (OAG)</w:t>
                  </w:r>
                </w:p>
              </w:tc>
              <w:tc>
                <w:tcPr>
                  <w:tcW w:w="2589" w:type="pct"/>
                  <w:tcBorders>
                    <w:top w:val="single" w:sz="4" w:space="0" w:color="auto"/>
                    <w:left w:val="single" w:sz="4" w:space="0" w:color="auto"/>
                    <w:bottom w:val="single" w:sz="4" w:space="0" w:color="auto"/>
                    <w:right w:val="single" w:sz="4" w:space="0" w:color="auto"/>
                  </w:tcBorders>
                  <w:shd w:val="clear" w:color="auto" w:fill="FFFFFF"/>
                </w:tcPr>
                <w:p w14:paraId="1D07E086" w14:textId="553D3615" w:rsidR="001D3CD5" w:rsidRPr="00EF7789" w:rsidRDefault="00D94B3F" w:rsidP="00196FAE">
                  <w:pPr>
                    <w:jc w:val="left"/>
                    <w:rPr>
                      <w:sz w:val="20"/>
                      <w:szCs w:val="20"/>
                    </w:rPr>
                  </w:pPr>
                  <w:r>
                    <w:rPr>
                      <w:sz w:val="20"/>
                      <w:szCs w:val="20"/>
                    </w:rPr>
                    <w:t xml:space="preserve">Mr. </w:t>
                  </w:r>
                  <w:r w:rsidR="001D3CD5" w:rsidRPr="00EF7789">
                    <w:rPr>
                      <w:sz w:val="20"/>
                      <w:szCs w:val="20"/>
                    </w:rPr>
                    <w:t>George Nashon</w:t>
                  </w:r>
                  <w:r w:rsidR="009B1007" w:rsidRPr="00EF7789">
                    <w:rPr>
                      <w:sz w:val="20"/>
                      <w:szCs w:val="20"/>
                    </w:rPr>
                    <w:t xml:space="preserve"> </w:t>
                  </w:r>
                  <w:r w:rsidR="001D3CD5" w:rsidRPr="00EF7789">
                    <w:rPr>
                      <w:sz w:val="20"/>
                      <w:szCs w:val="20"/>
                    </w:rPr>
                    <w:t>Otieno</w:t>
                  </w:r>
                </w:p>
              </w:tc>
            </w:tr>
          </w:tbl>
          <w:p w14:paraId="13030CA0" w14:textId="38C2B9D2" w:rsidR="001D3CD5" w:rsidRDefault="001D3CD5" w:rsidP="00D52523">
            <w:pPr>
              <w:rPr>
                <w:sz w:val="20"/>
                <w:szCs w:val="20"/>
              </w:rPr>
            </w:pPr>
            <w:r w:rsidRPr="00EF7789">
              <w:rPr>
                <w:b/>
                <w:sz w:val="20"/>
                <w:szCs w:val="20"/>
              </w:rPr>
              <w:t>Assessment Manager</w:t>
            </w:r>
            <w:r w:rsidRPr="00EF7789">
              <w:rPr>
                <w:sz w:val="20"/>
                <w:szCs w:val="20"/>
              </w:rPr>
              <w:t>: Simon Githuku-KIPPRA</w:t>
            </w:r>
          </w:p>
          <w:p w14:paraId="215F84CF" w14:textId="77777777" w:rsidR="009471DC" w:rsidRPr="00EF7789" w:rsidRDefault="009471DC" w:rsidP="00D52523">
            <w:pPr>
              <w:rPr>
                <w:sz w:val="20"/>
                <w:szCs w:val="20"/>
              </w:rPr>
            </w:pPr>
          </w:p>
          <w:p w14:paraId="7708016E" w14:textId="77777777" w:rsidR="001D3CD5" w:rsidRPr="0045183B" w:rsidRDefault="001D3CD5" w:rsidP="00221A40">
            <w:pPr>
              <w:pStyle w:val="ListParagraph"/>
              <w:numPr>
                <w:ilvl w:val="0"/>
                <w:numId w:val="4"/>
              </w:numPr>
              <w:rPr>
                <w:b/>
                <w:sz w:val="20"/>
                <w:szCs w:val="20"/>
              </w:rPr>
            </w:pPr>
            <w:r w:rsidRPr="0045183B">
              <w:rPr>
                <w:b/>
                <w:sz w:val="20"/>
                <w:szCs w:val="20"/>
              </w:rPr>
              <w:t>Assessment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251"/>
              <w:gridCol w:w="2610"/>
              <w:gridCol w:w="1693"/>
            </w:tblGrid>
            <w:tr w:rsidR="001D3CD5" w:rsidRPr="00EF7789" w14:paraId="4747C3FA" w14:textId="77777777" w:rsidTr="009471DC">
              <w:trPr>
                <w:tblHeader/>
              </w:trPr>
              <w:tc>
                <w:tcPr>
                  <w:tcW w:w="1392" w:type="pct"/>
                  <w:shd w:val="clear" w:color="auto" w:fill="F2F2F2"/>
                </w:tcPr>
                <w:p w14:paraId="092BD8B8" w14:textId="77777777" w:rsidR="001D3CD5" w:rsidRPr="00EF7789" w:rsidRDefault="001D3CD5" w:rsidP="009471DC">
                  <w:pPr>
                    <w:jc w:val="center"/>
                    <w:rPr>
                      <w:b/>
                      <w:sz w:val="20"/>
                      <w:szCs w:val="20"/>
                    </w:rPr>
                  </w:pPr>
                  <w:r w:rsidRPr="00EF7789">
                    <w:rPr>
                      <w:b/>
                      <w:sz w:val="20"/>
                      <w:szCs w:val="20"/>
                    </w:rPr>
                    <w:t>Team A</w:t>
                  </w:r>
                </w:p>
              </w:tc>
              <w:tc>
                <w:tcPr>
                  <w:tcW w:w="1239" w:type="pct"/>
                  <w:shd w:val="clear" w:color="auto" w:fill="F2F2F2"/>
                </w:tcPr>
                <w:p w14:paraId="7225B2C7" w14:textId="77777777" w:rsidR="001D3CD5" w:rsidRPr="00EF7789" w:rsidRDefault="001D3CD5" w:rsidP="009471DC">
                  <w:pPr>
                    <w:jc w:val="center"/>
                    <w:rPr>
                      <w:b/>
                      <w:sz w:val="20"/>
                      <w:szCs w:val="20"/>
                    </w:rPr>
                  </w:pPr>
                  <w:r w:rsidRPr="00EF7789">
                    <w:rPr>
                      <w:b/>
                      <w:sz w:val="20"/>
                      <w:szCs w:val="20"/>
                    </w:rPr>
                    <w:t>Organization</w:t>
                  </w:r>
                </w:p>
              </w:tc>
              <w:tc>
                <w:tcPr>
                  <w:tcW w:w="1437" w:type="pct"/>
                  <w:shd w:val="clear" w:color="auto" w:fill="F2F2F2"/>
                </w:tcPr>
                <w:p w14:paraId="2B487561" w14:textId="77777777" w:rsidR="001D3CD5" w:rsidRPr="00EF7789" w:rsidRDefault="001D3CD5" w:rsidP="009471DC">
                  <w:pPr>
                    <w:jc w:val="center"/>
                    <w:rPr>
                      <w:b/>
                      <w:sz w:val="20"/>
                      <w:szCs w:val="20"/>
                    </w:rPr>
                  </w:pPr>
                  <w:r w:rsidRPr="00EF7789">
                    <w:rPr>
                      <w:b/>
                      <w:sz w:val="20"/>
                      <w:szCs w:val="20"/>
                    </w:rPr>
                    <w:t>Team B</w:t>
                  </w:r>
                </w:p>
              </w:tc>
              <w:tc>
                <w:tcPr>
                  <w:tcW w:w="932" w:type="pct"/>
                  <w:shd w:val="clear" w:color="auto" w:fill="F2F2F2"/>
                </w:tcPr>
                <w:p w14:paraId="15CBD219" w14:textId="77777777" w:rsidR="001D3CD5" w:rsidRPr="00EF7789" w:rsidRDefault="001D3CD5" w:rsidP="009471DC">
                  <w:pPr>
                    <w:jc w:val="center"/>
                    <w:rPr>
                      <w:b/>
                      <w:sz w:val="20"/>
                      <w:szCs w:val="20"/>
                    </w:rPr>
                  </w:pPr>
                  <w:r w:rsidRPr="00EF7789">
                    <w:rPr>
                      <w:b/>
                      <w:sz w:val="20"/>
                      <w:szCs w:val="20"/>
                    </w:rPr>
                    <w:t>Organization</w:t>
                  </w:r>
                </w:p>
              </w:tc>
            </w:tr>
            <w:tr w:rsidR="001D3CD5" w:rsidRPr="00EF7789" w14:paraId="00FC6922" w14:textId="77777777" w:rsidTr="009471DC">
              <w:tc>
                <w:tcPr>
                  <w:tcW w:w="1392" w:type="pct"/>
                  <w:shd w:val="clear" w:color="auto" w:fill="auto"/>
                </w:tcPr>
                <w:p w14:paraId="27361ED2" w14:textId="6DD9BF79" w:rsidR="001D3CD5" w:rsidRPr="00EF7789" w:rsidRDefault="00FC0ED2" w:rsidP="00196FAE">
                  <w:pPr>
                    <w:jc w:val="left"/>
                    <w:rPr>
                      <w:sz w:val="20"/>
                      <w:szCs w:val="20"/>
                    </w:rPr>
                  </w:pPr>
                  <w:r w:rsidRPr="00EF7789">
                    <w:rPr>
                      <w:sz w:val="20"/>
                      <w:szCs w:val="20"/>
                    </w:rPr>
                    <w:t>Dr</w:t>
                  </w:r>
                  <w:r w:rsidR="009B66EE" w:rsidRPr="00EF7789">
                    <w:rPr>
                      <w:sz w:val="20"/>
                      <w:szCs w:val="20"/>
                    </w:rPr>
                    <w:t xml:space="preserve"> </w:t>
                  </w:r>
                  <w:r w:rsidR="001D3CD5" w:rsidRPr="00EF7789">
                    <w:rPr>
                      <w:sz w:val="20"/>
                      <w:szCs w:val="20"/>
                    </w:rPr>
                    <w:t>Bernadette Wanjala (Team Lead)</w:t>
                  </w:r>
                </w:p>
              </w:tc>
              <w:tc>
                <w:tcPr>
                  <w:tcW w:w="1239" w:type="pct"/>
                  <w:shd w:val="clear" w:color="auto" w:fill="auto"/>
                </w:tcPr>
                <w:p w14:paraId="62491F53" w14:textId="77777777" w:rsidR="001D3CD5" w:rsidRPr="00EF7789" w:rsidRDefault="001D3CD5" w:rsidP="00196FAE">
                  <w:pPr>
                    <w:jc w:val="left"/>
                    <w:rPr>
                      <w:sz w:val="20"/>
                      <w:szCs w:val="20"/>
                    </w:rPr>
                  </w:pPr>
                  <w:r w:rsidRPr="00EF7789">
                    <w:rPr>
                      <w:sz w:val="20"/>
                      <w:szCs w:val="20"/>
                    </w:rPr>
                    <w:t>KIPPRA</w:t>
                  </w:r>
                </w:p>
              </w:tc>
              <w:tc>
                <w:tcPr>
                  <w:tcW w:w="1437" w:type="pct"/>
                  <w:shd w:val="clear" w:color="auto" w:fill="auto"/>
                </w:tcPr>
                <w:p w14:paraId="2A43A678" w14:textId="1745C932" w:rsidR="001D3CD5" w:rsidRPr="00EF7789" w:rsidRDefault="00FC0ED2" w:rsidP="00196FAE">
                  <w:pPr>
                    <w:jc w:val="left"/>
                    <w:rPr>
                      <w:sz w:val="20"/>
                      <w:szCs w:val="20"/>
                    </w:rPr>
                  </w:pPr>
                  <w:r>
                    <w:rPr>
                      <w:sz w:val="20"/>
                      <w:szCs w:val="20"/>
                    </w:rPr>
                    <w:t>Dr</w:t>
                  </w:r>
                  <w:r w:rsidR="00D94B3F">
                    <w:rPr>
                      <w:sz w:val="20"/>
                      <w:szCs w:val="20"/>
                    </w:rPr>
                    <w:t xml:space="preserve"> </w:t>
                  </w:r>
                  <w:r w:rsidR="001D3CD5" w:rsidRPr="00EF7789">
                    <w:rPr>
                      <w:sz w:val="20"/>
                      <w:szCs w:val="20"/>
                    </w:rPr>
                    <w:t>Simon Githuku (Team lead)</w:t>
                  </w:r>
                </w:p>
              </w:tc>
              <w:tc>
                <w:tcPr>
                  <w:tcW w:w="932" w:type="pct"/>
                  <w:shd w:val="clear" w:color="auto" w:fill="auto"/>
                </w:tcPr>
                <w:p w14:paraId="005611FB" w14:textId="77777777" w:rsidR="001D3CD5" w:rsidRPr="00EF7789" w:rsidRDefault="001D3CD5" w:rsidP="00196FAE">
                  <w:pPr>
                    <w:jc w:val="left"/>
                    <w:rPr>
                      <w:sz w:val="20"/>
                      <w:szCs w:val="20"/>
                    </w:rPr>
                  </w:pPr>
                  <w:r w:rsidRPr="00EF7789">
                    <w:rPr>
                      <w:sz w:val="20"/>
                      <w:szCs w:val="20"/>
                    </w:rPr>
                    <w:t>KIPPRA</w:t>
                  </w:r>
                </w:p>
              </w:tc>
            </w:tr>
            <w:tr w:rsidR="00196FAE" w:rsidRPr="00EF7789" w14:paraId="4F07237B" w14:textId="77777777" w:rsidTr="009471DC">
              <w:tc>
                <w:tcPr>
                  <w:tcW w:w="1392" w:type="pct"/>
                  <w:shd w:val="clear" w:color="auto" w:fill="auto"/>
                </w:tcPr>
                <w:p w14:paraId="6E59F180" w14:textId="77777777" w:rsidR="00196FAE" w:rsidRPr="00EF7789" w:rsidRDefault="00196FAE" w:rsidP="00196FAE">
                  <w:pPr>
                    <w:jc w:val="left"/>
                    <w:rPr>
                      <w:sz w:val="20"/>
                      <w:szCs w:val="20"/>
                    </w:rPr>
                  </w:pPr>
                  <w:r w:rsidRPr="00EF7789">
                    <w:rPr>
                      <w:sz w:val="20"/>
                      <w:szCs w:val="20"/>
                    </w:rPr>
                    <w:t>Jean-Marc Philip (Lead Consultant)</w:t>
                  </w:r>
                </w:p>
              </w:tc>
              <w:tc>
                <w:tcPr>
                  <w:tcW w:w="1239" w:type="pct"/>
                  <w:shd w:val="clear" w:color="auto" w:fill="auto"/>
                </w:tcPr>
                <w:p w14:paraId="0B92B3E7" w14:textId="0CABEAB6" w:rsidR="00196FAE" w:rsidRPr="00EF7789" w:rsidRDefault="00196FAE" w:rsidP="00196FAE">
                  <w:pPr>
                    <w:jc w:val="left"/>
                    <w:rPr>
                      <w:sz w:val="20"/>
                      <w:szCs w:val="20"/>
                    </w:rPr>
                  </w:pPr>
                  <w:r w:rsidRPr="00EF7789">
                    <w:rPr>
                      <w:sz w:val="20"/>
                      <w:szCs w:val="20"/>
                    </w:rPr>
                    <w:t>World Bank</w:t>
                  </w:r>
                </w:p>
              </w:tc>
              <w:tc>
                <w:tcPr>
                  <w:tcW w:w="1437" w:type="pct"/>
                  <w:shd w:val="clear" w:color="auto" w:fill="auto"/>
                </w:tcPr>
                <w:p w14:paraId="160C491C" w14:textId="77777777" w:rsidR="00196FAE" w:rsidRPr="00EF7789" w:rsidRDefault="00196FAE" w:rsidP="00196FAE">
                  <w:pPr>
                    <w:jc w:val="left"/>
                    <w:rPr>
                      <w:sz w:val="20"/>
                      <w:szCs w:val="20"/>
                    </w:rPr>
                  </w:pPr>
                  <w:r w:rsidRPr="00EF7789">
                    <w:rPr>
                      <w:sz w:val="20"/>
                      <w:szCs w:val="20"/>
                    </w:rPr>
                    <w:t>Elisaveta Teneva (Lead consultant)</w:t>
                  </w:r>
                </w:p>
              </w:tc>
              <w:tc>
                <w:tcPr>
                  <w:tcW w:w="932" w:type="pct"/>
                  <w:shd w:val="clear" w:color="auto" w:fill="auto"/>
                </w:tcPr>
                <w:p w14:paraId="705D86BE" w14:textId="765B0EA5" w:rsidR="00196FAE" w:rsidRPr="00EF7789" w:rsidRDefault="00196FAE" w:rsidP="00196FAE">
                  <w:pPr>
                    <w:jc w:val="left"/>
                    <w:rPr>
                      <w:sz w:val="20"/>
                      <w:szCs w:val="20"/>
                    </w:rPr>
                  </w:pPr>
                  <w:r w:rsidRPr="00EF7789">
                    <w:rPr>
                      <w:sz w:val="20"/>
                      <w:szCs w:val="20"/>
                    </w:rPr>
                    <w:t>World Bank</w:t>
                  </w:r>
                </w:p>
              </w:tc>
            </w:tr>
            <w:tr w:rsidR="00196FAE" w:rsidRPr="00EF7789" w14:paraId="0DDDA3C0" w14:textId="77777777" w:rsidTr="009471DC">
              <w:tc>
                <w:tcPr>
                  <w:tcW w:w="1392" w:type="pct"/>
                  <w:shd w:val="clear" w:color="auto" w:fill="auto"/>
                </w:tcPr>
                <w:p w14:paraId="5FE8F448" w14:textId="77777777" w:rsidR="00196FAE" w:rsidRPr="00EF7789" w:rsidRDefault="00196FAE" w:rsidP="00196FAE">
                  <w:pPr>
                    <w:jc w:val="left"/>
                    <w:rPr>
                      <w:sz w:val="20"/>
                      <w:szCs w:val="20"/>
                    </w:rPr>
                  </w:pPr>
                  <w:r w:rsidRPr="00EF7789">
                    <w:rPr>
                      <w:sz w:val="20"/>
                      <w:szCs w:val="20"/>
                    </w:rPr>
                    <w:t>Samuel Kiautha (Consultant)</w:t>
                  </w:r>
                </w:p>
              </w:tc>
              <w:tc>
                <w:tcPr>
                  <w:tcW w:w="1239" w:type="pct"/>
                  <w:shd w:val="clear" w:color="auto" w:fill="auto"/>
                </w:tcPr>
                <w:p w14:paraId="06F05CC1" w14:textId="298F1A53" w:rsidR="00196FAE" w:rsidRPr="00EF7789" w:rsidRDefault="00196FAE" w:rsidP="00196FAE">
                  <w:pPr>
                    <w:jc w:val="left"/>
                    <w:rPr>
                      <w:sz w:val="20"/>
                      <w:szCs w:val="20"/>
                    </w:rPr>
                  </w:pPr>
                  <w:r w:rsidRPr="00EF7789">
                    <w:rPr>
                      <w:sz w:val="20"/>
                      <w:szCs w:val="20"/>
                    </w:rPr>
                    <w:t>World Bank</w:t>
                  </w:r>
                </w:p>
              </w:tc>
              <w:tc>
                <w:tcPr>
                  <w:tcW w:w="1437" w:type="pct"/>
                  <w:shd w:val="clear" w:color="auto" w:fill="auto"/>
                </w:tcPr>
                <w:p w14:paraId="4E230F7C" w14:textId="77777777" w:rsidR="00196FAE" w:rsidRPr="00EF7789" w:rsidRDefault="00196FAE" w:rsidP="00196FAE">
                  <w:pPr>
                    <w:jc w:val="left"/>
                    <w:rPr>
                      <w:sz w:val="20"/>
                      <w:szCs w:val="20"/>
                    </w:rPr>
                  </w:pPr>
                  <w:r w:rsidRPr="00EF7789">
                    <w:rPr>
                      <w:sz w:val="20"/>
                      <w:szCs w:val="20"/>
                    </w:rPr>
                    <w:t>Jeremiah Oliech (consultant)</w:t>
                  </w:r>
                </w:p>
              </w:tc>
              <w:tc>
                <w:tcPr>
                  <w:tcW w:w="932" w:type="pct"/>
                  <w:shd w:val="clear" w:color="auto" w:fill="auto"/>
                </w:tcPr>
                <w:p w14:paraId="3215EACE" w14:textId="2A312D73" w:rsidR="00196FAE" w:rsidRPr="00EF7789" w:rsidRDefault="00196FAE" w:rsidP="00196FAE">
                  <w:pPr>
                    <w:jc w:val="left"/>
                    <w:rPr>
                      <w:sz w:val="20"/>
                      <w:szCs w:val="20"/>
                    </w:rPr>
                  </w:pPr>
                  <w:r w:rsidRPr="00EF7789">
                    <w:rPr>
                      <w:sz w:val="20"/>
                      <w:szCs w:val="20"/>
                    </w:rPr>
                    <w:t>World Bank</w:t>
                  </w:r>
                </w:p>
              </w:tc>
            </w:tr>
            <w:tr w:rsidR="00196FAE" w:rsidRPr="00EF7789" w14:paraId="4D12D9CB" w14:textId="77777777" w:rsidTr="009471DC">
              <w:tc>
                <w:tcPr>
                  <w:tcW w:w="1392" w:type="pct"/>
                  <w:shd w:val="clear" w:color="auto" w:fill="auto"/>
                </w:tcPr>
                <w:p w14:paraId="0ADFB819" w14:textId="77777777" w:rsidR="00196FAE" w:rsidRPr="00EF7789" w:rsidRDefault="00196FAE" w:rsidP="00196FAE">
                  <w:pPr>
                    <w:jc w:val="left"/>
                    <w:rPr>
                      <w:sz w:val="20"/>
                      <w:szCs w:val="20"/>
                    </w:rPr>
                  </w:pPr>
                  <w:r w:rsidRPr="00EF7789">
                    <w:rPr>
                      <w:sz w:val="20"/>
                      <w:szCs w:val="20"/>
                    </w:rPr>
                    <w:t>Duncan Mugo Ndirangu</w:t>
                  </w:r>
                </w:p>
              </w:tc>
              <w:tc>
                <w:tcPr>
                  <w:tcW w:w="1239" w:type="pct"/>
                  <w:shd w:val="clear" w:color="auto" w:fill="auto"/>
                </w:tcPr>
                <w:p w14:paraId="43A6452A" w14:textId="77777777" w:rsidR="00196FAE" w:rsidRPr="00EF7789" w:rsidRDefault="00196FAE" w:rsidP="00196FAE">
                  <w:pPr>
                    <w:jc w:val="left"/>
                    <w:rPr>
                      <w:sz w:val="20"/>
                      <w:szCs w:val="20"/>
                    </w:rPr>
                  </w:pPr>
                  <w:r w:rsidRPr="00EF7789">
                    <w:rPr>
                      <w:sz w:val="20"/>
                      <w:szCs w:val="20"/>
                    </w:rPr>
                    <w:t>National Treasury</w:t>
                  </w:r>
                </w:p>
              </w:tc>
              <w:tc>
                <w:tcPr>
                  <w:tcW w:w="1437" w:type="pct"/>
                  <w:shd w:val="clear" w:color="auto" w:fill="auto"/>
                </w:tcPr>
                <w:p w14:paraId="5CB82AEE" w14:textId="77777777" w:rsidR="00196FAE" w:rsidRPr="00EF7789" w:rsidRDefault="00196FAE" w:rsidP="00196FAE">
                  <w:pPr>
                    <w:jc w:val="left"/>
                    <w:rPr>
                      <w:sz w:val="20"/>
                      <w:szCs w:val="20"/>
                    </w:rPr>
                  </w:pPr>
                  <w:r w:rsidRPr="00EF7789">
                    <w:rPr>
                      <w:sz w:val="20"/>
                      <w:szCs w:val="20"/>
                    </w:rPr>
                    <w:t>Christine Owuor</w:t>
                  </w:r>
                </w:p>
              </w:tc>
              <w:tc>
                <w:tcPr>
                  <w:tcW w:w="932" w:type="pct"/>
                  <w:shd w:val="clear" w:color="auto" w:fill="auto"/>
                </w:tcPr>
                <w:p w14:paraId="2053E207" w14:textId="6A7BFDCE" w:rsidR="00196FAE" w:rsidRPr="00EF7789" w:rsidRDefault="00196FAE" w:rsidP="00196FAE">
                  <w:pPr>
                    <w:jc w:val="left"/>
                    <w:rPr>
                      <w:sz w:val="20"/>
                      <w:szCs w:val="20"/>
                    </w:rPr>
                  </w:pPr>
                  <w:r w:rsidRPr="00EF7789">
                    <w:rPr>
                      <w:sz w:val="20"/>
                      <w:szCs w:val="20"/>
                    </w:rPr>
                    <w:t>World Bank</w:t>
                  </w:r>
                </w:p>
              </w:tc>
            </w:tr>
            <w:tr w:rsidR="001D3CD5" w:rsidRPr="00EF7789" w14:paraId="2B1EAEEA" w14:textId="77777777" w:rsidTr="009471DC">
              <w:tc>
                <w:tcPr>
                  <w:tcW w:w="1392" w:type="pct"/>
                  <w:shd w:val="clear" w:color="auto" w:fill="auto"/>
                </w:tcPr>
                <w:p w14:paraId="673A23E0" w14:textId="77777777" w:rsidR="001D3CD5" w:rsidRPr="00EF7789" w:rsidRDefault="001D3CD5" w:rsidP="00196FAE">
                  <w:pPr>
                    <w:jc w:val="left"/>
                    <w:rPr>
                      <w:sz w:val="20"/>
                      <w:szCs w:val="20"/>
                    </w:rPr>
                  </w:pPr>
                  <w:r w:rsidRPr="00EF7789">
                    <w:rPr>
                      <w:sz w:val="20"/>
                      <w:szCs w:val="20"/>
                    </w:rPr>
                    <w:t>Meimuna Mohamed</w:t>
                  </w:r>
                </w:p>
              </w:tc>
              <w:tc>
                <w:tcPr>
                  <w:tcW w:w="1239" w:type="pct"/>
                  <w:shd w:val="clear" w:color="auto" w:fill="auto"/>
                </w:tcPr>
                <w:p w14:paraId="3C7F2E21" w14:textId="46BBD24E" w:rsidR="001D3CD5" w:rsidRPr="00EF7789" w:rsidRDefault="00196FAE" w:rsidP="00196FAE">
                  <w:pPr>
                    <w:jc w:val="left"/>
                    <w:rPr>
                      <w:sz w:val="20"/>
                      <w:szCs w:val="20"/>
                    </w:rPr>
                  </w:pPr>
                  <w:r w:rsidRPr="00EF7789">
                    <w:rPr>
                      <w:sz w:val="20"/>
                      <w:szCs w:val="20"/>
                    </w:rPr>
                    <w:t>Commission on Revenue Allocation</w:t>
                  </w:r>
                  <w:r w:rsidRPr="00EF7789">
                    <w:rPr>
                      <w:i/>
                      <w:sz w:val="20"/>
                      <w:szCs w:val="20"/>
                    </w:rPr>
                    <w:t xml:space="preserve"> </w:t>
                  </w:r>
                  <w:r w:rsidRPr="00EF7789">
                    <w:rPr>
                      <w:sz w:val="20"/>
                      <w:szCs w:val="20"/>
                    </w:rPr>
                    <w:t>(</w:t>
                  </w:r>
                  <w:r w:rsidR="001D3CD5" w:rsidRPr="00EF7789">
                    <w:rPr>
                      <w:sz w:val="20"/>
                      <w:szCs w:val="20"/>
                    </w:rPr>
                    <w:t>CRA</w:t>
                  </w:r>
                  <w:r w:rsidRPr="00EF7789">
                    <w:rPr>
                      <w:sz w:val="20"/>
                      <w:szCs w:val="20"/>
                    </w:rPr>
                    <w:t>)</w:t>
                  </w:r>
                </w:p>
              </w:tc>
              <w:tc>
                <w:tcPr>
                  <w:tcW w:w="1437" w:type="pct"/>
                  <w:shd w:val="clear" w:color="auto" w:fill="auto"/>
                </w:tcPr>
                <w:p w14:paraId="76197516" w14:textId="77777777" w:rsidR="001D3CD5" w:rsidRPr="00EF7789" w:rsidRDefault="001D3CD5" w:rsidP="00196FAE">
                  <w:pPr>
                    <w:jc w:val="left"/>
                    <w:rPr>
                      <w:sz w:val="20"/>
                      <w:szCs w:val="20"/>
                    </w:rPr>
                  </w:pPr>
                  <w:r w:rsidRPr="00EF7789">
                    <w:rPr>
                      <w:sz w:val="20"/>
                      <w:szCs w:val="20"/>
                    </w:rPr>
                    <w:t>Joshua Musyoka</w:t>
                  </w:r>
                </w:p>
              </w:tc>
              <w:tc>
                <w:tcPr>
                  <w:tcW w:w="932" w:type="pct"/>
                  <w:shd w:val="clear" w:color="auto" w:fill="auto"/>
                </w:tcPr>
                <w:p w14:paraId="49ADC9AC" w14:textId="77777777" w:rsidR="001D3CD5" w:rsidRPr="00EF7789" w:rsidRDefault="001D3CD5" w:rsidP="00196FAE">
                  <w:pPr>
                    <w:jc w:val="left"/>
                    <w:rPr>
                      <w:sz w:val="20"/>
                      <w:szCs w:val="20"/>
                    </w:rPr>
                  </w:pPr>
                  <w:r w:rsidRPr="00EF7789">
                    <w:rPr>
                      <w:sz w:val="20"/>
                      <w:szCs w:val="20"/>
                    </w:rPr>
                    <w:t>National Treasury</w:t>
                  </w:r>
                </w:p>
              </w:tc>
            </w:tr>
            <w:tr w:rsidR="001D3CD5" w:rsidRPr="00EF7789" w14:paraId="6EAF6AF1" w14:textId="77777777" w:rsidTr="009471DC">
              <w:trPr>
                <w:trHeight w:val="195"/>
              </w:trPr>
              <w:tc>
                <w:tcPr>
                  <w:tcW w:w="1392" w:type="pct"/>
                  <w:shd w:val="clear" w:color="auto" w:fill="auto"/>
                </w:tcPr>
                <w:p w14:paraId="53292245" w14:textId="77777777" w:rsidR="001D3CD5" w:rsidRPr="00EF7789" w:rsidRDefault="001D3CD5" w:rsidP="00196FAE">
                  <w:pPr>
                    <w:jc w:val="left"/>
                    <w:rPr>
                      <w:sz w:val="20"/>
                      <w:szCs w:val="20"/>
                    </w:rPr>
                  </w:pPr>
                  <w:r w:rsidRPr="00EF7789">
                    <w:rPr>
                      <w:sz w:val="20"/>
                      <w:szCs w:val="20"/>
                    </w:rPr>
                    <w:t>Warui</w:t>
                  </w:r>
                  <w:r w:rsidR="009B1007" w:rsidRPr="00EF7789">
                    <w:rPr>
                      <w:sz w:val="20"/>
                      <w:szCs w:val="20"/>
                    </w:rPr>
                    <w:t xml:space="preserve"> </w:t>
                  </w:r>
                  <w:r w:rsidRPr="00EF7789">
                    <w:rPr>
                      <w:sz w:val="20"/>
                      <w:szCs w:val="20"/>
                    </w:rPr>
                    <w:t>Maina</w:t>
                  </w:r>
                </w:p>
              </w:tc>
              <w:tc>
                <w:tcPr>
                  <w:tcW w:w="1239" w:type="pct"/>
                  <w:shd w:val="clear" w:color="auto" w:fill="auto"/>
                </w:tcPr>
                <w:p w14:paraId="6C14940B" w14:textId="77777777" w:rsidR="001D3CD5" w:rsidRPr="00EF7789" w:rsidRDefault="001D3CD5" w:rsidP="00196FAE">
                  <w:pPr>
                    <w:jc w:val="left"/>
                    <w:rPr>
                      <w:sz w:val="20"/>
                      <w:szCs w:val="20"/>
                    </w:rPr>
                  </w:pPr>
                  <w:r w:rsidRPr="00EF7789">
                    <w:rPr>
                      <w:sz w:val="20"/>
                      <w:szCs w:val="20"/>
                    </w:rPr>
                    <w:t xml:space="preserve">National Treasury </w:t>
                  </w:r>
                </w:p>
              </w:tc>
              <w:tc>
                <w:tcPr>
                  <w:tcW w:w="1437" w:type="pct"/>
                  <w:shd w:val="clear" w:color="auto" w:fill="auto"/>
                </w:tcPr>
                <w:p w14:paraId="6C80682C" w14:textId="042BC94A" w:rsidR="001D3CD5" w:rsidRPr="00EF7789" w:rsidRDefault="001D3CD5" w:rsidP="00196FAE">
                  <w:pPr>
                    <w:jc w:val="left"/>
                    <w:rPr>
                      <w:sz w:val="20"/>
                      <w:szCs w:val="20"/>
                    </w:rPr>
                  </w:pPr>
                  <w:r w:rsidRPr="00EF7789">
                    <w:rPr>
                      <w:sz w:val="20"/>
                      <w:szCs w:val="20"/>
                    </w:rPr>
                    <w:t>Juliah</w:t>
                  </w:r>
                  <w:r w:rsidR="00A23812" w:rsidRPr="00EF7789">
                    <w:rPr>
                      <w:sz w:val="20"/>
                      <w:szCs w:val="20"/>
                    </w:rPr>
                    <w:t xml:space="preserve"> </w:t>
                  </w:r>
                  <w:r w:rsidRPr="00EF7789">
                    <w:rPr>
                      <w:sz w:val="20"/>
                      <w:szCs w:val="20"/>
                    </w:rPr>
                    <w:t>Muguro</w:t>
                  </w:r>
                </w:p>
              </w:tc>
              <w:tc>
                <w:tcPr>
                  <w:tcW w:w="932" w:type="pct"/>
                  <w:shd w:val="clear" w:color="auto" w:fill="auto"/>
                </w:tcPr>
                <w:p w14:paraId="15295BB2" w14:textId="77777777" w:rsidR="001D3CD5" w:rsidRPr="00EF7789" w:rsidRDefault="001D3CD5" w:rsidP="00196FAE">
                  <w:pPr>
                    <w:jc w:val="left"/>
                    <w:rPr>
                      <w:sz w:val="20"/>
                      <w:szCs w:val="20"/>
                    </w:rPr>
                  </w:pPr>
                  <w:r w:rsidRPr="00EF7789">
                    <w:rPr>
                      <w:sz w:val="20"/>
                      <w:szCs w:val="20"/>
                    </w:rPr>
                    <w:t>KIPPRA</w:t>
                  </w:r>
                </w:p>
              </w:tc>
            </w:tr>
            <w:tr w:rsidR="001D3CD5" w:rsidRPr="00EF7789" w14:paraId="0A1646FB" w14:textId="77777777" w:rsidTr="009471DC">
              <w:tc>
                <w:tcPr>
                  <w:tcW w:w="1392" w:type="pct"/>
                  <w:shd w:val="clear" w:color="auto" w:fill="auto"/>
                </w:tcPr>
                <w:p w14:paraId="5AA690FE" w14:textId="77777777" w:rsidR="001D3CD5" w:rsidRPr="00EF7789" w:rsidRDefault="001D3CD5" w:rsidP="00196FAE">
                  <w:pPr>
                    <w:jc w:val="left"/>
                    <w:rPr>
                      <w:sz w:val="20"/>
                      <w:szCs w:val="20"/>
                    </w:rPr>
                  </w:pPr>
                  <w:r w:rsidRPr="00EF7789">
                    <w:rPr>
                      <w:sz w:val="20"/>
                      <w:szCs w:val="20"/>
                    </w:rPr>
                    <w:t>Fredrick Owino</w:t>
                  </w:r>
                </w:p>
              </w:tc>
              <w:tc>
                <w:tcPr>
                  <w:tcW w:w="1239" w:type="pct"/>
                  <w:shd w:val="clear" w:color="auto" w:fill="auto"/>
                </w:tcPr>
                <w:p w14:paraId="43153A6A" w14:textId="77777777" w:rsidR="001D3CD5" w:rsidRPr="00EF7789" w:rsidRDefault="001D3CD5" w:rsidP="00196FAE">
                  <w:pPr>
                    <w:jc w:val="left"/>
                    <w:rPr>
                      <w:sz w:val="20"/>
                      <w:szCs w:val="20"/>
                    </w:rPr>
                  </w:pPr>
                  <w:r w:rsidRPr="00EF7789">
                    <w:rPr>
                      <w:sz w:val="20"/>
                      <w:szCs w:val="20"/>
                    </w:rPr>
                    <w:t>KIPPRA</w:t>
                  </w:r>
                </w:p>
              </w:tc>
              <w:tc>
                <w:tcPr>
                  <w:tcW w:w="1437" w:type="pct"/>
                  <w:shd w:val="clear" w:color="auto" w:fill="auto"/>
                </w:tcPr>
                <w:p w14:paraId="206EBBB1" w14:textId="77777777" w:rsidR="001D3CD5" w:rsidRPr="00EF7789" w:rsidRDefault="001D3CD5" w:rsidP="00196FAE">
                  <w:pPr>
                    <w:jc w:val="left"/>
                    <w:rPr>
                      <w:sz w:val="20"/>
                      <w:szCs w:val="20"/>
                    </w:rPr>
                  </w:pPr>
                  <w:r w:rsidRPr="00EF7789">
                    <w:rPr>
                      <w:sz w:val="20"/>
                      <w:szCs w:val="20"/>
                    </w:rPr>
                    <w:t>Macklin A. Ogolla</w:t>
                  </w:r>
                </w:p>
              </w:tc>
              <w:tc>
                <w:tcPr>
                  <w:tcW w:w="932" w:type="pct"/>
                  <w:shd w:val="clear" w:color="auto" w:fill="auto"/>
                </w:tcPr>
                <w:p w14:paraId="53233E35" w14:textId="366D544E" w:rsidR="001D3CD5" w:rsidRPr="00EF7789" w:rsidRDefault="001D3CD5" w:rsidP="00196FAE">
                  <w:pPr>
                    <w:jc w:val="left"/>
                    <w:rPr>
                      <w:sz w:val="20"/>
                      <w:szCs w:val="20"/>
                    </w:rPr>
                  </w:pPr>
                  <w:r w:rsidRPr="00EF7789">
                    <w:rPr>
                      <w:sz w:val="20"/>
                      <w:szCs w:val="20"/>
                    </w:rPr>
                    <w:t>C</w:t>
                  </w:r>
                  <w:r w:rsidR="00604DBF">
                    <w:rPr>
                      <w:sz w:val="20"/>
                      <w:szCs w:val="20"/>
                    </w:rPr>
                    <w:t>O</w:t>
                  </w:r>
                  <w:r w:rsidRPr="00EF7789">
                    <w:rPr>
                      <w:sz w:val="20"/>
                      <w:szCs w:val="20"/>
                    </w:rPr>
                    <w:t>B</w:t>
                  </w:r>
                </w:p>
              </w:tc>
            </w:tr>
            <w:tr w:rsidR="001D3CD5" w:rsidRPr="00EF7789" w14:paraId="1FF55FDB" w14:textId="77777777" w:rsidTr="009471DC">
              <w:tc>
                <w:tcPr>
                  <w:tcW w:w="1392" w:type="pct"/>
                  <w:shd w:val="clear" w:color="auto" w:fill="auto"/>
                </w:tcPr>
                <w:p w14:paraId="13ADC8DA" w14:textId="77777777" w:rsidR="001D3CD5" w:rsidRPr="00EF7789" w:rsidRDefault="001D3CD5" w:rsidP="00196FAE">
                  <w:pPr>
                    <w:jc w:val="left"/>
                    <w:rPr>
                      <w:sz w:val="20"/>
                      <w:szCs w:val="20"/>
                    </w:rPr>
                  </w:pPr>
                  <w:r w:rsidRPr="00EF7789">
                    <w:rPr>
                      <w:sz w:val="20"/>
                      <w:szCs w:val="20"/>
                    </w:rPr>
                    <w:t>Grace Kimitei</w:t>
                  </w:r>
                </w:p>
              </w:tc>
              <w:tc>
                <w:tcPr>
                  <w:tcW w:w="1239" w:type="pct"/>
                  <w:shd w:val="clear" w:color="auto" w:fill="auto"/>
                </w:tcPr>
                <w:p w14:paraId="0CFF197B" w14:textId="1B48130C" w:rsidR="001D3CD5" w:rsidRPr="00EF7789" w:rsidRDefault="001D3CD5" w:rsidP="00196FAE">
                  <w:pPr>
                    <w:jc w:val="left"/>
                    <w:rPr>
                      <w:sz w:val="20"/>
                      <w:szCs w:val="20"/>
                    </w:rPr>
                  </w:pPr>
                  <w:r w:rsidRPr="00EF7789">
                    <w:rPr>
                      <w:sz w:val="20"/>
                      <w:szCs w:val="20"/>
                    </w:rPr>
                    <w:t>C</w:t>
                  </w:r>
                  <w:r w:rsidR="00604DBF">
                    <w:rPr>
                      <w:sz w:val="20"/>
                      <w:szCs w:val="20"/>
                    </w:rPr>
                    <w:t>O</w:t>
                  </w:r>
                  <w:r w:rsidRPr="00EF7789">
                    <w:rPr>
                      <w:sz w:val="20"/>
                      <w:szCs w:val="20"/>
                    </w:rPr>
                    <w:t>B</w:t>
                  </w:r>
                </w:p>
              </w:tc>
              <w:tc>
                <w:tcPr>
                  <w:tcW w:w="1437" w:type="pct"/>
                  <w:shd w:val="clear" w:color="auto" w:fill="auto"/>
                </w:tcPr>
                <w:p w14:paraId="318145B2" w14:textId="77777777" w:rsidR="001D3CD5" w:rsidRPr="00EF7789" w:rsidRDefault="001D3CD5" w:rsidP="00196FAE">
                  <w:pPr>
                    <w:jc w:val="left"/>
                    <w:rPr>
                      <w:sz w:val="20"/>
                      <w:szCs w:val="20"/>
                    </w:rPr>
                  </w:pPr>
                  <w:r w:rsidRPr="00EF7789">
                    <w:rPr>
                      <w:sz w:val="20"/>
                      <w:szCs w:val="20"/>
                    </w:rPr>
                    <w:t>Nickson</w:t>
                  </w:r>
                  <w:r w:rsidR="009B1007" w:rsidRPr="00EF7789">
                    <w:rPr>
                      <w:sz w:val="20"/>
                      <w:szCs w:val="20"/>
                    </w:rPr>
                    <w:t xml:space="preserve"> </w:t>
                  </w:r>
                  <w:r w:rsidRPr="00EF7789">
                    <w:rPr>
                      <w:sz w:val="20"/>
                      <w:szCs w:val="20"/>
                    </w:rPr>
                    <w:t>Omondi</w:t>
                  </w:r>
                </w:p>
              </w:tc>
              <w:tc>
                <w:tcPr>
                  <w:tcW w:w="932" w:type="pct"/>
                  <w:shd w:val="clear" w:color="auto" w:fill="auto"/>
                </w:tcPr>
                <w:p w14:paraId="475B987A" w14:textId="77777777" w:rsidR="001D3CD5" w:rsidRPr="00EF7789" w:rsidRDefault="001D3CD5" w:rsidP="00196FAE">
                  <w:pPr>
                    <w:jc w:val="left"/>
                    <w:rPr>
                      <w:sz w:val="20"/>
                      <w:szCs w:val="20"/>
                    </w:rPr>
                  </w:pPr>
                  <w:r w:rsidRPr="00EF7789">
                    <w:rPr>
                      <w:sz w:val="20"/>
                      <w:szCs w:val="20"/>
                    </w:rPr>
                    <w:t>KRA</w:t>
                  </w:r>
                </w:p>
              </w:tc>
            </w:tr>
            <w:tr w:rsidR="001D3CD5" w:rsidRPr="00EF7789" w14:paraId="50F065DA" w14:textId="77777777" w:rsidTr="009471DC">
              <w:tc>
                <w:tcPr>
                  <w:tcW w:w="1392" w:type="pct"/>
                  <w:shd w:val="clear" w:color="auto" w:fill="auto"/>
                </w:tcPr>
                <w:p w14:paraId="236B1EBD" w14:textId="77777777" w:rsidR="001D3CD5" w:rsidRPr="00EF7789" w:rsidRDefault="001D3CD5" w:rsidP="00196FAE">
                  <w:pPr>
                    <w:jc w:val="left"/>
                    <w:rPr>
                      <w:sz w:val="20"/>
                      <w:szCs w:val="20"/>
                    </w:rPr>
                  </w:pPr>
                  <w:r w:rsidRPr="00EF7789">
                    <w:rPr>
                      <w:sz w:val="20"/>
                      <w:szCs w:val="20"/>
                    </w:rPr>
                    <w:t>Silvanos</w:t>
                  </w:r>
                  <w:r w:rsidR="009B1007" w:rsidRPr="00EF7789">
                    <w:rPr>
                      <w:sz w:val="20"/>
                      <w:szCs w:val="20"/>
                    </w:rPr>
                    <w:t xml:space="preserve"> </w:t>
                  </w:r>
                  <w:r w:rsidRPr="00EF7789">
                    <w:rPr>
                      <w:sz w:val="20"/>
                      <w:szCs w:val="20"/>
                    </w:rPr>
                    <w:t>Obondi</w:t>
                  </w:r>
                </w:p>
              </w:tc>
              <w:tc>
                <w:tcPr>
                  <w:tcW w:w="1239" w:type="pct"/>
                  <w:shd w:val="clear" w:color="auto" w:fill="auto"/>
                </w:tcPr>
                <w:p w14:paraId="5F870BC1" w14:textId="0AAF38A5" w:rsidR="001D3CD5" w:rsidRPr="00EF7789" w:rsidRDefault="001D3CD5" w:rsidP="00196FAE">
                  <w:pPr>
                    <w:jc w:val="left"/>
                    <w:rPr>
                      <w:sz w:val="20"/>
                      <w:szCs w:val="20"/>
                    </w:rPr>
                  </w:pPr>
                  <w:r w:rsidRPr="00EF7789">
                    <w:rPr>
                      <w:sz w:val="20"/>
                      <w:szCs w:val="20"/>
                    </w:rPr>
                    <w:t>OAG</w:t>
                  </w:r>
                </w:p>
              </w:tc>
              <w:tc>
                <w:tcPr>
                  <w:tcW w:w="1437" w:type="pct"/>
                  <w:shd w:val="clear" w:color="auto" w:fill="auto"/>
                </w:tcPr>
                <w:p w14:paraId="5ADAD5CF" w14:textId="77777777" w:rsidR="001D3CD5" w:rsidRPr="00EF7789" w:rsidRDefault="001D3CD5" w:rsidP="00196FAE">
                  <w:pPr>
                    <w:jc w:val="left"/>
                    <w:rPr>
                      <w:sz w:val="20"/>
                      <w:szCs w:val="20"/>
                    </w:rPr>
                  </w:pPr>
                  <w:r w:rsidRPr="00EF7789">
                    <w:rPr>
                      <w:sz w:val="20"/>
                      <w:szCs w:val="20"/>
                    </w:rPr>
                    <w:t>John Mose</w:t>
                  </w:r>
                </w:p>
              </w:tc>
              <w:tc>
                <w:tcPr>
                  <w:tcW w:w="932" w:type="pct"/>
                  <w:shd w:val="clear" w:color="auto" w:fill="auto"/>
                </w:tcPr>
                <w:p w14:paraId="18495938" w14:textId="77777777" w:rsidR="001D3CD5" w:rsidRPr="00EF7789" w:rsidRDefault="001D3CD5" w:rsidP="00196FAE">
                  <w:pPr>
                    <w:jc w:val="left"/>
                    <w:rPr>
                      <w:sz w:val="20"/>
                      <w:szCs w:val="20"/>
                    </w:rPr>
                  </w:pPr>
                  <w:r w:rsidRPr="00EF7789">
                    <w:rPr>
                      <w:sz w:val="20"/>
                      <w:szCs w:val="20"/>
                    </w:rPr>
                    <w:t>CRA</w:t>
                  </w:r>
                </w:p>
              </w:tc>
            </w:tr>
            <w:tr w:rsidR="001D3CD5" w:rsidRPr="00EF7789" w14:paraId="57709D1E" w14:textId="77777777" w:rsidTr="009471DC">
              <w:tc>
                <w:tcPr>
                  <w:tcW w:w="1392" w:type="pct"/>
                  <w:shd w:val="clear" w:color="auto" w:fill="auto"/>
                </w:tcPr>
                <w:p w14:paraId="318031FD" w14:textId="77777777" w:rsidR="001D3CD5" w:rsidRPr="00EF7789" w:rsidRDefault="001D3CD5" w:rsidP="00196FAE">
                  <w:pPr>
                    <w:jc w:val="left"/>
                    <w:rPr>
                      <w:sz w:val="20"/>
                      <w:szCs w:val="20"/>
                    </w:rPr>
                  </w:pPr>
                  <w:r w:rsidRPr="00EF7789">
                    <w:rPr>
                      <w:sz w:val="20"/>
                      <w:szCs w:val="20"/>
                    </w:rPr>
                    <w:t>Robert Ng’ang’a</w:t>
                  </w:r>
                </w:p>
              </w:tc>
              <w:tc>
                <w:tcPr>
                  <w:tcW w:w="1239" w:type="pct"/>
                  <w:shd w:val="clear" w:color="auto" w:fill="auto"/>
                </w:tcPr>
                <w:p w14:paraId="1E0A8FED" w14:textId="3777680B" w:rsidR="001D3CD5" w:rsidRPr="00EF7789" w:rsidRDefault="008B6A0A" w:rsidP="00196FAE">
                  <w:pPr>
                    <w:jc w:val="left"/>
                    <w:rPr>
                      <w:sz w:val="20"/>
                      <w:szCs w:val="20"/>
                    </w:rPr>
                  </w:pPr>
                  <w:r w:rsidRPr="008B6A0A">
                    <w:rPr>
                      <w:sz w:val="20"/>
                      <w:szCs w:val="20"/>
                    </w:rPr>
                    <w:t xml:space="preserve">Kenya School of Government </w:t>
                  </w:r>
                  <w:r>
                    <w:rPr>
                      <w:sz w:val="20"/>
                      <w:szCs w:val="20"/>
                    </w:rPr>
                    <w:t>(</w:t>
                  </w:r>
                  <w:r w:rsidR="001D3CD5" w:rsidRPr="00EF7789">
                    <w:rPr>
                      <w:sz w:val="20"/>
                      <w:szCs w:val="20"/>
                    </w:rPr>
                    <w:t>KSG</w:t>
                  </w:r>
                  <w:r>
                    <w:rPr>
                      <w:sz w:val="20"/>
                      <w:szCs w:val="20"/>
                    </w:rPr>
                    <w:t>)</w:t>
                  </w:r>
                </w:p>
              </w:tc>
              <w:tc>
                <w:tcPr>
                  <w:tcW w:w="1437" w:type="pct"/>
                  <w:shd w:val="clear" w:color="auto" w:fill="auto"/>
                </w:tcPr>
                <w:p w14:paraId="164048D9" w14:textId="77777777" w:rsidR="001D3CD5" w:rsidRPr="00EF7789" w:rsidRDefault="001D3CD5" w:rsidP="00196FAE">
                  <w:pPr>
                    <w:jc w:val="left"/>
                    <w:rPr>
                      <w:sz w:val="20"/>
                      <w:szCs w:val="20"/>
                    </w:rPr>
                  </w:pPr>
                  <w:r w:rsidRPr="00EF7789">
                    <w:rPr>
                      <w:sz w:val="20"/>
                      <w:szCs w:val="20"/>
                    </w:rPr>
                    <w:t>Dr. Douglas Kivoi</w:t>
                  </w:r>
                </w:p>
              </w:tc>
              <w:tc>
                <w:tcPr>
                  <w:tcW w:w="932" w:type="pct"/>
                  <w:shd w:val="clear" w:color="auto" w:fill="auto"/>
                </w:tcPr>
                <w:p w14:paraId="3B3766D4" w14:textId="77777777" w:rsidR="001D3CD5" w:rsidRPr="00EF7789" w:rsidRDefault="001D3CD5" w:rsidP="00196FAE">
                  <w:pPr>
                    <w:jc w:val="left"/>
                    <w:rPr>
                      <w:sz w:val="20"/>
                      <w:szCs w:val="20"/>
                    </w:rPr>
                  </w:pPr>
                  <w:r w:rsidRPr="00EF7789">
                    <w:rPr>
                      <w:sz w:val="20"/>
                      <w:szCs w:val="20"/>
                    </w:rPr>
                    <w:t>KIPPRA</w:t>
                  </w:r>
                </w:p>
              </w:tc>
            </w:tr>
            <w:tr w:rsidR="001D3CD5" w:rsidRPr="00EF7789" w14:paraId="4399AD24" w14:textId="77777777" w:rsidTr="009471DC">
              <w:tc>
                <w:tcPr>
                  <w:tcW w:w="1392" w:type="pct"/>
                  <w:shd w:val="clear" w:color="auto" w:fill="auto"/>
                </w:tcPr>
                <w:p w14:paraId="16487A64" w14:textId="77777777" w:rsidR="001D3CD5" w:rsidRPr="00EF7789" w:rsidRDefault="001D3CD5" w:rsidP="00196FAE">
                  <w:pPr>
                    <w:jc w:val="left"/>
                    <w:rPr>
                      <w:sz w:val="20"/>
                      <w:szCs w:val="20"/>
                    </w:rPr>
                  </w:pPr>
                  <w:r w:rsidRPr="00EF7789">
                    <w:rPr>
                      <w:sz w:val="20"/>
                      <w:szCs w:val="20"/>
                    </w:rPr>
                    <w:t>Kennedy Okoth</w:t>
                  </w:r>
                </w:p>
              </w:tc>
              <w:tc>
                <w:tcPr>
                  <w:tcW w:w="1239" w:type="pct"/>
                  <w:shd w:val="clear" w:color="auto" w:fill="auto"/>
                </w:tcPr>
                <w:p w14:paraId="758C16C8" w14:textId="491A63F4" w:rsidR="001D3CD5" w:rsidRPr="00EF7789" w:rsidRDefault="001D3CD5" w:rsidP="00196FAE">
                  <w:pPr>
                    <w:jc w:val="left"/>
                    <w:rPr>
                      <w:sz w:val="20"/>
                      <w:szCs w:val="20"/>
                    </w:rPr>
                  </w:pPr>
                  <w:r w:rsidRPr="005B0A9A">
                    <w:rPr>
                      <w:sz w:val="20"/>
                      <w:szCs w:val="20"/>
                    </w:rPr>
                    <w:t>K</w:t>
                  </w:r>
                  <w:r w:rsidR="005B0A9A">
                    <w:rPr>
                      <w:sz w:val="20"/>
                      <w:szCs w:val="20"/>
                    </w:rPr>
                    <w:t xml:space="preserve">enya </w:t>
                  </w:r>
                  <w:r w:rsidRPr="005B0A9A">
                    <w:rPr>
                      <w:sz w:val="20"/>
                      <w:szCs w:val="20"/>
                    </w:rPr>
                    <w:t>R</w:t>
                  </w:r>
                  <w:r w:rsidR="005B0A9A">
                    <w:rPr>
                      <w:sz w:val="20"/>
                      <w:szCs w:val="20"/>
                    </w:rPr>
                    <w:t xml:space="preserve">evenue </w:t>
                  </w:r>
                  <w:r w:rsidRPr="005B0A9A">
                    <w:rPr>
                      <w:sz w:val="20"/>
                      <w:szCs w:val="20"/>
                    </w:rPr>
                    <w:t>A</w:t>
                  </w:r>
                  <w:r w:rsidR="005B0A9A">
                    <w:rPr>
                      <w:sz w:val="20"/>
                      <w:szCs w:val="20"/>
                    </w:rPr>
                    <w:t>uthority</w:t>
                  </w:r>
                </w:p>
              </w:tc>
              <w:tc>
                <w:tcPr>
                  <w:tcW w:w="1437" w:type="pct"/>
                  <w:shd w:val="clear" w:color="auto" w:fill="auto"/>
                </w:tcPr>
                <w:p w14:paraId="1A52E94D" w14:textId="77777777" w:rsidR="001D3CD5" w:rsidRPr="00EF7789" w:rsidRDefault="001D3CD5" w:rsidP="00196FAE">
                  <w:pPr>
                    <w:jc w:val="left"/>
                    <w:rPr>
                      <w:sz w:val="20"/>
                      <w:szCs w:val="20"/>
                    </w:rPr>
                  </w:pPr>
                  <w:r w:rsidRPr="00EF7789">
                    <w:rPr>
                      <w:sz w:val="20"/>
                      <w:szCs w:val="20"/>
                    </w:rPr>
                    <w:t>Paul Odhimabo</w:t>
                  </w:r>
                </w:p>
              </w:tc>
              <w:tc>
                <w:tcPr>
                  <w:tcW w:w="932" w:type="pct"/>
                  <w:shd w:val="clear" w:color="auto" w:fill="auto"/>
                </w:tcPr>
                <w:p w14:paraId="79CCDF26" w14:textId="77777777" w:rsidR="001D3CD5" w:rsidRPr="00EF7789" w:rsidRDefault="001D3CD5" w:rsidP="00196FAE">
                  <w:pPr>
                    <w:jc w:val="left"/>
                    <w:rPr>
                      <w:sz w:val="20"/>
                      <w:szCs w:val="20"/>
                    </w:rPr>
                  </w:pPr>
                  <w:r w:rsidRPr="00EF7789">
                    <w:rPr>
                      <w:sz w:val="20"/>
                      <w:szCs w:val="20"/>
                    </w:rPr>
                    <w:t>KIPPRA</w:t>
                  </w:r>
                </w:p>
              </w:tc>
            </w:tr>
            <w:tr w:rsidR="001D3CD5" w:rsidRPr="00EF7789" w14:paraId="14CF1134" w14:textId="77777777" w:rsidTr="009471DC">
              <w:tc>
                <w:tcPr>
                  <w:tcW w:w="1392" w:type="pct"/>
                  <w:shd w:val="clear" w:color="auto" w:fill="auto"/>
                </w:tcPr>
                <w:p w14:paraId="79940D20" w14:textId="77777777" w:rsidR="001D3CD5" w:rsidRPr="00EF7789" w:rsidRDefault="001D3CD5" w:rsidP="00196FAE">
                  <w:pPr>
                    <w:jc w:val="left"/>
                    <w:rPr>
                      <w:sz w:val="20"/>
                      <w:szCs w:val="20"/>
                    </w:rPr>
                  </w:pPr>
                  <w:r w:rsidRPr="00EF7789">
                    <w:rPr>
                      <w:sz w:val="20"/>
                      <w:szCs w:val="20"/>
                    </w:rPr>
                    <w:t>Dr. David Waigwa</w:t>
                  </w:r>
                </w:p>
              </w:tc>
              <w:tc>
                <w:tcPr>
                  <w:tcW w:w="1239" w:type="pct"/>
                  <w:shd w:val="clear" w:color="auto" w:fill="auto"/>
                </w:tcPr>
                <w:p w14:paraId="3FC876AB" w14:textId="643B24D0" w:rsidR="001D3CD5" w:rsidRPr="00EF7789" w:rsidRDefault="00196FAE" w:rsidP="00196FAE">
                  <w:pPr>
                    <w:jc w:val="left"/>
                    <w:rPr>
                      <w:sz w:val="20"/>
                      <w:szCs w:val="20"/>
                    </w:rPr>
                  </w:pPr>
                  <w:r w:rsidRPr="00EF7789">
                    <w:rPr>
                      <w:sz w:val="20"/>
                      <w:szCs w:val="20"/>
                    </w:rPr>
                    <w:t>World Bank</w:t>
                  </w:r>
                </w:p>
              </w:tc>
              <w:tc>
                <w:tcPr>
                  <w:tcW w:w="1437" w:type="pct"/>
                  <w:shd w:val="clear" w:color="auto" w:fill="auto"/>
                </w:tcPr>
                <w:p w14:paraId="087D4349" w14:textId="77777777" w:rsidR="001D3CD5" w:rsidRPr="00EF7789" w:rsidRDefault="001D3CD5" w:rsidP="00196FAE">
                  <w:pPr>
                    <w:jc w:val="left"/>
                    <w:rPr>
                      <w:sz w:val="20"/>
                      <w:szCs w:val="20"/>
                    </w:rPr>
                  </w:pPr>
                  <w:r w:rsidRPr="00EF7789">
                    <w:rPr>
                      <w:sz w:val="20"/>
                      <w:szCs w:val="20"/>
                    </w:rPr>
                    <w:t>Mathew Ngusya</w:t>
                  </w:r>
                </w:p>
              </w:tc>
              <w:tc>
                <w:tcPr>
                  <w:tcW w:w="932" w:type="pct"/>
                  <w:shd w:val="clear" w:color="auto" w:fill="auto"/>
                </w:tcPr>
                <w:p w14:paraId="488AEDBC" w14:textId="77777777" w:rsidR="001D3CD5" w:rsidRPr="00EF7789" w:rsidRDefault="001D3CD5" w:rsidP="00196FAE">
                  <w:pPr>
                    <w:jc w:val="left"/>
                    <w:rPr>
                      <w:sz w:val="20"/>
                      <w:szCs w:val="20"/>
                    </w:rPr>
                  </w:pPr>
                  <w:r w:rsidRPr="00EF7789">
                    <w:rPr>
                      <w:sz w:val="20"/>
                      <w:szCs w:val="20"/>
                    </w:rPr>
                    <w:t>OAG</w:t>
                  </w:r>
                </w:p>
              </w:tc>
            </w:tr>
            <w:tr w:rsidR="001D3CD5" w:rsidRPr="00EF7789" w14:paraId="2E76DFE3" w14:textId="77777777" w:rsidTr="009471DC">
              <w:tc>
                <w:tcPr>
                  <w:tcW w:w="1392" w:type="pct"/>
                  <w:shd w:val="clear" w:color="auto" w:fill="auto"/>
                </w:tcPr>
                <w:p w14:paraId="66D3AB70" w14:textId="77777777" w:rsidR="001D3CD5" w:rsidRPr="00EF7789" w:rsidRDefault="001D3CD5" w:rsidP="00196FAE">
                  <w:pPr>
                    <w:jc w:val="left"/>
                    <w:rPr>
                      <w:sz w:val="20"/>
                      <w:szCs w:val="20"/>
                    </w:rPr>
                  </w:pPr>
                  <w:r w:rsidRPr="00EF7789">
                    <w:rPr>
                      <w:sz w:val="20"/>
                      <w:szCs w:val="20"/>
                    </w:rPr>
                    <w:t>Dr. Christopher Onyango</w:t>
                  </w:r>
                </w:p>
              </w:tc>
              <w:tc>
                <w:tcPr>
                  <w:tcW w:w="1239" w:type="pct"/>
                  <w:shd w:val="clear" w:color="auto" w:fill="auto"/>
                </w:tcPr>
                <w:p w14:paraId="6164E6B0" w14:textId="77777777" w:rsidR="001D3CD5" w:rsidRPr="00EF7789" w:rsidRDefault="001D3CD5" w:rsidP="00196FAE">
                  <w:pPr>
                    <w:jc w:val="left"/>
                    <w:rPr>
                      <w:sz w:val="20"/>
                      <w:szCs w:val="20"/>
                    </w:rPr>
                  </w:pPr>
                  <w:r w:rsidRPr="00EF7789">
                    <w:rPr>
                      <w:sz w:val="20"/>
                      <w:szCs w:val="20"/>
                    </w:rPr>
                    <w:t>KIPPRA</w:t>
                  </w:r>
                </w:p>
              </w:tc>
              <w:tc>
                <w:tcPr>
                  <w:tcW w:w="1437" w:type="pct"/>
                  <w:shd w:val="clear" w:color="auto" w:fill="auto"/>
                </w:tcPr>
                <w:p w14:paraId="76F2E991" w14:textId="77777777" w:rsidR="001D3CD5" w:rsidRPr="00EF7789" w:rsidRDefault="001D3CD5" w:rsidP="00196FAE">
                  <w:pPr>
                    <w:jc w:val="left"/>
                    <w:rPr>
                      <w:sz w:val="20"/>
                      <w:szCs w:val="20"/>
                    </w:rPr>
                  </w:pPr>
                  <w:r w:rsidRPr="00EF7789">
                    <w:rPr>
                      <w:sz w:val="20"/>
                      <w:szCs w:val="20"/>
                    </w:rPr>
                    <w:t>Dr. Augustus Muluvi</w:t>
                  </w:r>
                </w:p>
              </w:tc>
              <w:tc>
                <w:tcPr>
                  <w:tcW w:w="932" w:type="pct"/>
                  <w:shd w:val="clear" w:color="auto" w:fill="auto"/>
                </w:tcPr>
                <w:p w14:paraId="5FF754A3" w14:textId="77777777" w:rsidR="001D3CD5" w:rsidRPr="00EF7789" w:rsidRDefault="001D3CD5" w:rsidP="00196FAE">
                  <w:pPr>
                    <w:jc w:val="left"/>
                    <w:rPr>
                      <w:sz w:val="20"/>
                      <w:szCs w:val="20"/>
                    </w:rPr>
                  </w:pPr>
                  <w:r w:rsidRPr="00EF7789">
                    <w:rPr>
                      <w:sz w:val="20"/>
                      <w:szCs w:val="20"/>
                    </w:rPr>
                    <w:t>KIPPRA</w:t>
                  </w:r>
                </w:p>
              </w:tc>
            </w:tr>
            <w:tr w:rsidR="00555134" w:rsidRPr="00EF7789" w14:paraId="4F04E0F5" w14:textId="77777777" w:rsidTr="009471DC">
              <w:tc>
                <w:tcPr>
                  <w:tcW w:w="1392" w:type="pct"/>
                  <w:shd w:val="clear" w:color="auto" w:fill="auto"/>
                </w:tcPr>
                <w:p w14:paraId="2177C5CF" w14:textId="77777777" w:rsidR="00555134" w:rsidRPr="00EF7789" w:rsidRDefault="00555134" w:rsidP="00196FAE">
                  <w:pPr>
                    <w:jc w:val="left"/>
                    <w:rPr>
                      <w:sz w:val="20"/>
                      <w:szCs w:val="20"/>
                    </w:rPr>
                  </w:pPr>
                  <w:r w:rsidRPr="00EF7789">
                    <w:rPr>
                      <w:sz w:val="20"/>
                      <w:szCs w:val="20"/>
                    </w:rPr>
                    <w:t>Manaseh</w:t>
                  </w:r>
                  <w:r w:rsidR="00642525" w:rsidRPr="00EF7789">
                    <w:rPr>
                      <w:sz w:val="20"/>
                      <w:szCs w:val="20"/>
                    </w:rPr>
                    <w:t xml:space="preserve"> </w:t>
                  </w:r>
                  <w:r w:rsidRPr="00EF7789">
                    <w:rPr>
                      <w:sz w:val="20"/>
                      <w:szCs w:val="20"/>
                    </w:rPr>
                    <w:t>O</w:t>
                  </w:r>
                  <w:r w:rsidR="00645A59" w:rsidRPr="00EF7789">
                    <w:rPr>
                      <w:sz w:val="20"/>
                      <w:szCs w:val="20"/>
                    </w:rPr>
                    <w:t>tieno</w:t>
                  </w:r>
                </w:p>
              </w:tc>
              <w:tc>
                <w:tcPr>
                  <w:tcW w:w="1239" w:type="pct"/>
                  <w:shd w:val="clear" w:color="auto" w:fill="auto"/>
                </w:tcPr>
                <w:p w14:paraId="0AEC4E79" w14:textId="77777777" w:rsidR="00555134" w:rsidRPr="00EF7789" w:rsidRDefault="00555134" w:rsidP="00196FAE">
                  <w:pPr>
                    <w:jc w:val="left"/>
                    <w:rPr>
                      <w:sz w:val="20"/>
                      <w:szCs w:val="20"/>
                    </w:rPr>
                  </w:pPr>
                  <w:r w:rsidRPr="00EF7789">
                    <w:rPr>
                      <w:sz w:val="20"/>
                      <w:szCs w:val="20"/>
                    </w:rPr>
                    <w:t>KIPPRA</w:t>
                  </w:r>
                </w:p>
              </w:tc>
              <w:tc>
                <w:tcPr>
                  <w:tcW w:w="1437" w:type="pct"/>
                  <w:shd w:val="clear" w:color="auto" w:fill="auto"/>
                </w:tcPr>
                <w:p w14:paraId="268B3B3F" w14:textId="77777777" w:rsidR="00555134" w:rsidRPr="00EF7789" w:rsidRDefault="00555134" w:rsidP="00196FAE">
                  <w:pPr>
                    <w:jc w:val="left"/>
                    <w:rPr>
                      <w:sz w:val="20"/>
                      <w:szCs w:val="20"/>
                    </w:rPr>
                  </w:pPr>
                </w:p>
              </w:tc>
              <w:tc>
                <w:tcPr>
                  <w:tcW w:w="932" w:type="pct"/>
                  <w:shd w:val="clear" w:color="auto" w:fill="auto"/>
                </w:tcPr>
                <w:p w14:paraId="466C97B5" w14:textId="77777777" w:rsidR="00555134" w:rsidRPr="00EF7789" w:rsidRDefault="00555134" w:rsidP="00196FAE">
                  <w:pPr>
                    <w:jc w:val="left"/>
                    <w:rPr>
                      <w:sz w:val="20"/>
                      <w:szCs w:val="20"/>
                    </w:rPr>
                  </w:pPr>
                </w:p>
              </w:tc>
            </w:tr>
          </w:tbl>
          <w:p w14:paraId="6063F404" w14:textId="77777777" w:rsidR="009471DC" w:rsidRDefault="009471DC" w:rsidP="009471DC">
            <w:pPr>
              <w:pStyle w:val="ListParagraph"/>
              <w:numPr>
                <w:ilvl w:val="0"/>
                <w:numId w:val="0"/>
              </w:numPr>
              <w:ind w:left="720"/>
              <w:rPr>
                <w:sz w:val="20"/>
                <w:szCs w:val="20"/>
              </w:rPr>
            </w:pPr>
          </w:p>
          <w:p w14:paraId="0936E78E" w14:textId="69AB0176" w:rsidR="001D3CD5" w:rsidRPr="009471DC" w:rsidRDefault="001D3CD5" w:rsidP="00273165">
            <w:pPr>
              <w:pStyle w:val="ListParagraph"/>
              <w:numPr>
                <w:ilvl w:val="0"/>
                <w:numId w:val="4"/>
              </w:numPr>
              <w:rPr>
                <w:b/>
                <w:sz w:val="20"/>
                <w:szCs w:val="20"/>
              </w:rPr>
            </w:pPr>
            <w:r w:rsidRPr="009471DC">
              <w:rPr>
                <w:b/>
                <w:sz w:val="20"/>
                <w:szCs w:val="20"/>
              </w:rPr>
              <w:t xml:space="preserve">Review of concept note and/or terms of reference </w:t>
            </w:r>
          </w:p>
          <w:p w14:paraId="1A5DF02E" w14:textId="4B2007A9" w:rsidR="001D3CD5" w:rsidRPr="00EF7789" w:rsidRDefault="001D3CD5" w:rsidP="00273165">
            <w:pPr>
              <w:pStyle w:val="ListParagraph"/>
              <w:numPr>
                <w:ilvl w:val="0"/>
                <w:numId w:val="6"/>
              </w:numPr>
              <w:rPr>
                <w:sz w:val="20"/>
                <w:szCs w:val="20"/>
              </w:rPr>
            </w:pPr>
            <w:r w:rsidRPr="00EF7789">
              <w:rPr>
                <w:sz w:val="20"/>
                <w:szCs w:val="20"/>
              </w:rPr>
              <w:t>First round of comments w</w:t>
            </w:r>
            <w:r w:rsidR="00196FAE" w:rsidRPr="00EF7789">
              <w:rPr>
                <w:sz w:val="20"/>
                <w:szCs w:val="20"/>
              </w:rPr>
              <w:t>as</w:t>
            </w:r>
            <w:r w:rsidRPr="00EF7789">
              <w:rPr>
                <w:sz w:val="20"/>
                <w:szCs w:val="20"/>
              </w:rPr>
              <w:t xml:space="preserve"> addressed in December 2016</w:t>
            </w:r>
            <w:r w:rsidR="00196FAE" w:rsidRPr="00EF7789">
              <w:rPr>
                <w:sz w:val="20"/>
                <w:szCs w:val="20"/>
              </w:rPr>
              <w:t>.</w:t>
            </w:r>
            <w:r w:rsidRPr="00EF7789">
              <w:rPr>
                <w:sz w:val="20"/>
                <w:szCs w:val="20"/>
              </w:rPr>
              <w:t xml:space="preserve"> </w:t>
            </w:r>
          </w:p>
          <w:p w14:paraId="20D3D407" w14:textId="26D2AB6C" w:rsidR="001D3CD5" w:rsidRPr="00EF7789" w:rsidRDefault="00F177B8" w:rsidP="00273165">
            <w:pPr>
              <w:pStyle w:val="ListParagraph"/>
              <w:numPr>
                <w:ilvl w:val="0"/>
                <w:numId w:val="6"/>
              </w:numPr>
              <w:rPr>
                <w:sz w:val="20"/>
                <w:szCs w:val="20"/>
              </w:rPr>
            </w:pPr>
            <w:r w:rsidRPr="00EF7789">
              <w:rPr>
                <w:sz w:val="20"/>
                <w:szCs w:val="20"/>
              </w:rPr>
              <w:t>Second</w:t>
            </w:r>
            <w:r w:rsidR="001D3CD5" w:rsidRPr="00EF7789">
              <w:rPr>
                <w:sz w:val="20"/>
                <w:szCs w:val="20"/>
              </w:rPr>
              <w:t xml:space="preserve"> and final round</w:t>
            </w:r>
            <w:r w:rsidR="009471DC">
              <w:rPr>
                <w:sz w:val="20"/>
                <w:szCs w:val="20"/>
              </w:rPr>
              <w:t>s</w:t>
            </w:r>
            <w:r w:rsidR="001D3CD5" w:rsidRPr="00EF7789">
              <w:rPr>
                <w:sz w:val="20"/>
                <w:szCs w:val="20"/>
              </w:rPr>
              <w:t xml:space="preserve"> of comments were addressed in </w:t>
            </w:r>
            <w:r w:rsidR="001D7E75" w:rsidRPr="00EF7789">
              <w:rPr>
                <w:sz w:val="20"/>
                <w:szCs w:val="20"/>
              </w:rPr>
              <w:t>February</w:t>
            </w:r>
            <w:r w:rsidR="001D3CD5" w:rsidRPr="00EF7789">
              <w:rPr>
                <w:sz w:val="20"/>
                <w:szCs w:val="20"/>
              </w:rPr>
              <w:t xml:space="preserve"> 2017.</w:t>
            </w:r>
          </w:p>
          <w:p w14:paraId="7979D6AC" w14:textId="7B071D95" w:rsidR="001D3CD5" w:rsidRPr="00EF7789" w:rsidRDefault="001D3CD5" w:rsidP="00273165">
            <w:pPr>
              <w:pStyle w:val="ListParagraph"/>
              <w:numPr>
                <w:ilvl w:val="0"/>
                <w:numId w:val="6"/>
              </w:numPr>
              <w:rPr>
                <w:sz w:val="20"/>
                <w:szCs w:val="20"/>
              </w:rPr>
            </w:pPr>
            <w:r w:rsidRPr="00EF7789">
              <w:rPr>
                <w:sz w:val="20"/>
                <w:szCs w:val="20"/>
              </w:rPr>
              <w:t xml:space="preserve">Invited reviewers: PEFA Secretariat, World Bank, </w:t>
            </w:r>
            <w:r w:rsidR="00BA77EE">
              <w:rPr>
                <w:sz w:val="20"/>
                <w:szCs w:val="20"/>
              </w:rPr>
              <w:t>OAG,</w:t>
            </w:r>
            <w:r w:rsidRPr="00EF7789">
              <w:rPr>
                <w:sz w:val="20"/>
                <w:szCs w:val="20"/>
              </w:rPr>
              <w:t xml:space="preserve"> and the National Treasury.</w:t>
            </w:r>
          </w:p>
          <w:p w14:paraId="522D8549" w14:textId="77777777" w:rsidR="001D3CD5" w:rsidRPr="00EF7789" w:rsidRDefault="001D3CD5" w:rsidP="00273165">
            <w:pPr>
              <w:pStyle w:val="ListParagraph"/>
              <w:numPr>
                <w:ilvl w:val="0"/>
                <w:numId w:val="6"/>
              </w:numPr>
              <w:rPr>
                <w:sz w:val="20"/>
                <w:szCs w:val="20"/>
              </w:rPr>
            </w:pPr>
            <w:r w:rsidRPr="00EF7789">
              <w:rPr>
                <w:sz w:val="20"/>
                <w:szCs w:val="20"/>
              </w:rPr>
              <w:t>Reviewers who provided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253"/>
            </w:tblGrid>
            <w:tr w:rsidR="001D3CD5" w:rsidRPr="00EF7789" w14:paraId="26733E8D" w14:textId="77777777" w:rsidTr="00997EEC">
              <w:tc>
                <w:tcPr>
                  <w:tcW w:w="4225" w:type="dxa"/>
                  <w:shd w:val="clear" w:color="auto" w:fill="auto"/>
                </w:tcPr>
                <w:p w14:paraId="375F24A7" w14:textId="77777777" w:rsidR="001D3CD5" w:rsidRPr="00EF7789" w:rsidRDefault="001D3CD5" w:rsidP="009471DC">
                  <w:pPr>
                    <w:jc w:val="center"/>
                    <w:rPr>
                      <w:b/>
                      <w:sz w:val="20"/>
                      <w:szCs w:val="20"/>
                    </w:rPr>
                  </w:pPr>
                  <w:r w:rsidRPr="00EF7789">
                    <w:rPr>
                      <w:b/>
                      <w:sz w:val="20"/>
                      <w:szCs w:val="20"/>
                    </w:rPr>
                    <w:t>Name</w:t>
                  </w:r>
                </w:p>
              </w:tc>
              <w:tc>
                <w:tcPr>
                  <w:tcW w:w="4253" w:type="dxa"/>
                  <w:shd w:val="clear" w:color="auto" w:fill="auto"/>
                </w:tcPr>
                <w:p w14:paraId="580DDA0E" w14:textId="5B06C4AE" w:rsidR="001D3CD5" w:rsidRPr="00EF7789" w:rsidRDefault="001D3CD5" w:rsidP="009471DC">
                  <w:pPr>
                    <w:jc w:val="center"/>
                    <w:rPr>
                      <w:b/>
                      <w:sz w:val="20"/>
                      <w:szCs w:val="20"/>
                    </w:rPr>
                  </w:pPr>
                  <w:r w:rsidRPr="00EF7789">
                    <w:rPr>
                      <w:b/>
                      <w:sz w:val="20"/>
                      <w:szCs w:val="20"/>
                    </w:rPr>
                    <w:t>Organi</w:t>
                  </w:r>
                  <w:r w:rsidR="00196FAE" w:rsidRPr="00EF7789">
                    <w:rPr>
                      <w:b/>
                      <w:sz w:val="20"/>
                      <w:szCs w:val="20"/>
                    </w:rPr>
                    <w:t>z</w:t>
                  </w:r>
                  <w:r w:rsidRPr="00EF7789">
                    <w:rPr>
                      <w:b/>
                      <w:sz w:val="20"/>
                      <w:szCs w:val="20"/>
                    </w:rPr>
                    <w:t>ation</w:t>
                  </w:r>
                </w:p>
              </w:tc>
            </w:tr>
            <w:tr w:rsidR="001D3CD5" w:rsidRPr="00EF7789" w14:paraId="7E904192" w14:textId="77777777" w:rsidTr="00997EEC">
              <w:tc>
                <w:tcPr>
                  <w:tcW w:w="4225" w:type="dxa"/>
                  <w:shd w:val="clear" w:color="auto" w:fill="auto"/>
                </w:tcPr>
                <w:p w14:paraId="2E337D8B" w14:textId="77777777" w:rsidR="001D3CD5" w:rsidRPr="00EF7789" w:rsidRDefault="001D3CD5" w:rsidP="00D52523">
                  <w:pPr>
                    <w:rPr>
                      <w:sz w:val="20"/>
                      <w:szCs w:val="20"/>
                    </w:rPr>
                  </w:pPr>
                  <w:r w:rsidRPr="00EF7789">
                    <w:rPr>
                      <w:sz w:val="20"/>
                      <w:szCs w:val="20"/>
                    </w:rPr>
                    <w:t>Jens Kristensen</w:t>
                  </w:r>
                </w:p>
              </w:tc>
              <w:tc>
                <w:tcPr>
                  <w:tcW w:w="4253" w:type="dxa"/>
                  <w:shd w:val="clear" w:color="auto" w:fill="auto"/>
                </w:tcPr>
                <w:p w14:paraId="0863FA91" w14:textId="77777777" w:rsidR="001D3CD5" w:rsidRPr="00EF7789" w:rsidRDefault="001D3CD5" w:rsidP="006D24AF">
                  <w:pPr>
                    <w:rPr>
                      <w:sz w:val="20"/>
                      <w:szCs w:val="20"/>
                    </w:rPr>
                  </w:pPr>
                  <w:r w:rsidRPr="00EF7789">
                    <w:rPr>
                      <w:sz w:val="20"/>
                      <w:szCs w:val="20"/>
                    </w:rPr>
                    <w:t>World Bank</w:t>
                  </w:r>
                </w:p>
              </w:tc>
            </w:tr>
            <w:tr w:rsidR="001D3CD5" w:rsidRPr="00EF7789" w14:paraId="73EEC828" w14:textId="77777777" w:rsidTr="00997EEC">
              <w:tc>
                <w:tcPr>
                  <w:tcW w:w="4225" w:type="dxa"/>
                  <w:shd w:val="clear" w:color="auto" w:fill="auto"/>
                </w:tcPr>
                <w:p w14:paraId="7F308761" w14:textId="77777777" w:rsidR="001D3CD5" w:rsidRPr="00EF7789" w:rsidRDefault="001D3CD5" w:rsidP="00D52523">
                  <w:pPr>
                    <w:rPr>
                      <w:sz w:val="20"/>
                      <w:szCs w:val="20"/>
                    </w:rPr>
                  </w:pPr>
                  <w:r w:rsidRPr="00EF7789">
                    <w:rPr>
                      <w:sz w:val="20"/>
                      <w:szCs w:val="20"/>
                    </w:rPr>
                    <w:t>Timothy Williamson</w:t>
                  </w:r>
                </w:p>
              </w:tc>
              <w:tc>
                <w:tcPr>
                  <w:tcW w:w="4253" w:type="dxa"/>
                  <w:shd w:val="clear" w:color="auto" w:fill="auto"/>
                </w:tcPr>
                <w:p w14:paraId="03C6927F" w14:textId="77777777" w:rsidR="001D3CD5" w:rsidRPr="00EF7789" w:rsidRDefault="001D3CD5" w:rsidP="006D24AF">
                  <w:pPr>
                    <w:rPr>
                      <w:sz w:val="20"/>
                      <w:szCs w:val="20"/>
                    </w:rPr>
                  </w:pPr>
                  <w:r w:rsidRPr="00EF7789">
                    <w:rPr>
                      <w:sz w:val="20"/>
                      <w:szCs w:val="20"/>
                    </w:rPr>
                    <w:t>World Bank</w:t>
                  </w:r>
                </w:p>
              </w:tc>
            </w:tr>
            <w:tr w:rsidR="001D3CD5" w:rsidRPr="00EF7789" w14:paraId="50C3668F" w14:textId="77777777" w:rsidTr="00997EEC">
              <w:tc>
                <w:tcPr>
                  <w:tcW w:w="4225" w:type="dxa"/>
                  <w:shd w:val="clear" w:color="auto" w:fill="auto"/>
                </w:tcPr>
                <w:p w14:paraId="2A81A550" w14:textId="77777777" w:rsidR="001D3CD5" w:rsidRPr="00EF7789" w:rsidRDefault="00E71572" w:rsidP="00D52523">
                  <w:pPr>
                    <w:rPr>
                      <w:sz w:val="20"/>
                      <w:szCs w:val="20"/>
                    </w:rPr>
                  </w:pPr>
                  <w:r w:rsidRPr="00EF7789">
                    <w:rPr>
                      <w:sz w:val="20"/>
                      <w:szCs w:val="20"/>
                    </w:rPr>
                    <w:t xml:space="preserve">Dr. </w:t>
                  </w:r>
                  <w:r w:rsidR="001D3CD5" w:rsidRPr="00EF7789">
                    <w:rPr>
                      <w:sz w:val="20"/>
                      <w:szCs w:val="20"/>
                    </w:rPr>
                    <w:t>Jane Kiringai</w:t>
                  </w:r>
                </w:p>
              </w:tc>
              <w:tc>
                <w:tcPr>
                  <w:tcW w:w="4253" w:type="dxa"/>
                  <w:shd w:val="clear" w:color="auto" w:fill="auto"/>
                </w:tcPr>
                <w:p w14:paraId="4AAFAE6D" w14:textId="77777777" w:rsidR="001D3CD5" w:rsidRPr="00273165" w:rsidRDefault="001D3CD5" w:rsidP="00273165">
                  <w:pPr>
                    <w:ind w:left="360" w:hanging="360"/>
                    <w:rPr>
                      <w:sz w:val="20"/>
                      <w:szCs w:val="20"/>
                    </w:rPr>
                  </w:pPr>
                  <w:r w:rsidRPr="00273165">
                    <w:rPr>
                      <w:sz w:val="20"/>
                      <w:szCs w:val="20"/>
                    </w:rPr>
                    <w:t>World Bank</w:t>
                  </w:r>
                </w:p>
              </w:tc>
            </w:tr>
            <w:tr w:rsidR="001D3CD5" w:rsidRPr="00EF7789" w14:paraId="1E0669D5" w14:textId="77777777" w:rsidTr="00997EEC">
              <w:tc>
                <w:tcPr>
                  <w:tcW w:w="4225" w:type="dxa"/>
                  <w:shd w:val="clear" w:color="auto" w:fill="auto"/>
                </w:tcPr>
                <w:p w14:paraId="7342696B" w14:textId="77777777" w:rsidR="001D3CD5" w:rsidRPr="00EF7789" w:rsidRDefault="001D3CD5" w:rsidP="00D52523">
                  <w:pPr>
                    <w:rPr>
                      <w:sz w:val="20"/>
                      <w:szCs w:val="20"/>
                    </w:rPr>
                  </w:pPr>
                  <w:r w:rsidRPr="00EF7789">
                    <w:rPr>
                      <w:sz w:val="20"/>
                      <w:szCs w:val="20"/>
                    </w:rPr>
                    <w:t>Agnes C. Mita</w:t>
                  </w:r>
                </w:p>
              </w:tc>
              <w:tc>
                <w:tcPr>
                  <w:tcW w:w="4253" w:type="dxa"/>
                  <w:shd w:val="clear" w:color="auto" w:fill="auto"/>
                </w:tcPr>
                <w:p w14:paraId="55D3162C" w14:textId="77777777" w:rsidR="001D3CD5" w:rsidRPr="00273165" w:rsidRDefault="001D3CD5" w:rsidP="00273165">
                  <w:pPr>
                    <w:ind w:left="360" w:hanging="360"/>
                    <w:rPr>
                      <w:sz w:val="20"/>
                      <w:szCs w:val="20"/>
                    </w:rPr>
                  </w:pPr>
                  <w:r w:rsidRPr="00273165">
                    <w:rPr>
                      <w:sz w:val="20"/>
                      <w:szCs w:val="20"/>
                    </w:rPr>
                    <w:t>OAG</w:t>
                  </w:r>
                </w:p>
              </w:tc>
            </w:tr>
            <w:tr w:rsidR="00D33C5C" w:rsidRPr="00EF7789" w14:paraId="7ABA3292" w14:textId="77777777" w:rsidTr="00997EEC">
              <w:tc>
                <w:tcPr>
                  <w:tcW w:w="4225" w:type="dxa"/>
                  <w:shd w:val="clear" w:color="auto" w:fill="auto"/>
                </w:tcPr>
                <w:p w14:paraId="7716CDAB" w14:textId="77777777" w:rsidR="00D33C5C" w:rsidRPr="00EF7789" w:rsidRDefault="00D33C5C" w:rsidP="00D52523">
                  <w:pPr>
                    <w:rPr>
                      <w:sz w:val="20"/>
                      <w:szCs w:val="20"/>
                    </w:rPr>
                  </w:pPr>
                  <w:r w:rsidRPr="00EF7789">
                    <w:rPr>
                      <w:sz w:val="20"/>
                      <w:szCs w:val="20"/>
                    </w:rPr>
                    <w:t>County Executive representatives</w:t>
                  </w:r>
                </w:p>
              </w:tc>
              <w:tc>
                <w:tcPr>
                  <w:tcW w:w="4253" w:type="dxa"/>
                  <w:shd w:val="clear" w:color="auto" w:fill="auto"/>
                </w:tcPr>
                <w:p w14:paraId="40DD094A" w14:textId="77777777" w:rsidR="00D33C5C" w:rsidRPr="00273165" w:rsidRDefault="00D33C5C" w:rsidP="00273165">
                  <w:pPr>
                    <w:ind w:left="360" w:hanging="360"/>
                    <w:rPr>
                      <w:sz w:val="20"/>
                      <w:szCs w:val="20"/>
                    </w:rPr>
                  </w:pPr>
                  <w:r w:rsidRPr="00273165">
                    <w:rPr>
                      <w:sz w:val="20"/>
                      <w:szCs w:val="20"/>
                    </w:rPr>
                    <w:t xml:space="preserve">Kajiado County Executive </w:t>
                  </w:r>
                </w:p>
              </w:tc>
            </w:tr>
            <w:tr w:rsidR="00D33C5C" w:rsidRPr="00EF7789" w14:paraId="1EBEA7B3" w14:textId="77777777" w:rsidTr="00997EEC">
              <w:tc>
                <w:tcPr>
                  <w:tcW w:w="4225" w:type="dxa"/>
                  <w:shd w:val="clear" w:color="auto" w:fill="auto"/>
                </w:tcPr>
                <w:p w14:paraId="5433114F" w14:textId="77777777" w:rsidR="00D33C5C" w:rsidRPr="00EF7789" w:rsidRDefault="00D33C5C" w:rsidP="00D52523">
                  <w:pPr>
                    <w:rPr>
                      <w:sz w:val="20"/>
                      <w:szCs w:val="20"/>
                    </w:rPr>
                  </w:pPr>
                  <w:r w:rsidRPr="00EF7789">
                    <w:rPr>
                      <w:sz w:val="20"/>
                      <w:szCs w:val="20"/>
                    </w:rPr>
                    <w:t>County Assembly representatives</w:t>
                  </w:r>
                </w:p>
              </w:tc>
              <w:tc>
                <w:tcPr>
                  <w:tcW w:w="4253" w:type="dxa"/>
                  <w:shd w:val="clear" w:color="auto" w:fill="auto"/>
                </w:tcPr>
                <w:p w14:paraId="462BF0B8" w14:textId="77777777" w:rsidR="00D33C5C" w:rsidRPr="00273165" w:rsidRDefault="00D33C5C" w:rsidP="00273165">
                  <w:pPr>
                    <w:ind w:left="360" w:hanging="360"/>
                    <w:rPr>
                      <w:sz w:val="20"/>
                      <w:szCs w:val="20"/>
                    </w:rPr>
                  </w:pPr>
                  <w:r w:rsidRPr="00273165">
                    <w:rPr>
                      <w:sz w:val="20"/>
                      <w:szCs w:val="20"/>
                    </w:rPr>
                    <w:t xml:space="preserve">Kajiado County Assembly </w:t>
                  </w:r>
                </w:p>
              </w:tc>
            </w:tr>
            <w:tr w:rsidR="001D3CD5" w:rsidRPr="00EF7789" w14:paraId="175E10D4" w14:textId="77777777" w:rsidTr="00997EEC">
              <w:tc>
                <w:tcPr>
                  <w:tcW w:w="4225" w:type="dxa"/>
                  <w:shd w:val="clear" w:color="auto" w:fill="auto"/>
                </w:tcPr>
                <w:p w14:paraId="1334443D" w14:textId="77777777" w:rsidR="001D3CD5" w:rsidRPr="00EF7789" w:rsidRDefault="001D3CD5" w:rsidP="00D52523">
                  <w:pPr>
                    <w:rPr>
                      <w:sz w:val="20"/>
                      <w:szCs w:val="20"/>
                    </w:rPr>
                  </w:pPr>
                  <w:r w:rsidRPr="00EF7789">
                    <w:rPr>
                      <w:sz w:val="20"/>
                      <w:szCs w:val="20"/>
                    </w:rPr>
                    <w:t>Warui</w:t>
                  </w:r>
                  <w:r w:rsidR="00E71572" w:rsidRPr="00EF7789">
                    <w:rPr>
                      <w:sz w:val="20"/>
                      <w:szCs w:val="20"/>
                    </w:rPr>
                    <w:t xml:space="preserve"> </w:t>
                  </w:r>
                  <w:r w:rsidRPr="00EF7789">
                    <w:rPr>
                      <w:sz w:val="20"/>
                      <w:szCs w:val="20"/>
                    </w:rPr>
                    <w:t>Maina</w:t>
                  </w:r>
                </w:p>
              </w:tc>
              <w:tc>
                <w:tcPr>
                  <w:tcW w:w="4253" w:type="dxa"/>
                  <w:shd w:val="clear" w:color="auto" w:fill="auto"/>
                </w:tcPr>
                <w:p w14:paraId="572A9334" w14:textId="77777777" w:rsidR="001D3CD5" w:rsidRPr="00221A40" w:rsidRDefault="001D3CD5" w:rsidP="00273165">
                  <w:pPr>
                    <w:ind w:left="360" w:hanging="360"/>
                    <w:rPr>
                      <w:sz w:val="20"/>
                      <w:szCs w:val="20"/>
                    </w:rPr>
                  </w:pPr>
                  <w:r w:rsidRPr="00221A40">
                    <w:rPr>
                      <w:sz w:val="20"/>
                      <w:szCs w:val="20"/>
                    </w:rPr>
                    <w:t>National Treasury</w:t>
                  </w:r>
                </w:p>
              </w:tc>
            </w:tr>
          </w:tbl>
          <w:p w14:paraId="7BDAD816" w14:textId="77777777" w:rsidR="009471DC" w:rsidRPr="009471DC" w:rsidRDefault="009471DC" w:rsidP="009471DC">
            <w:pPr>
              <w:pStyle w:val="ListParagraph"/>
              <w:numPr>
                <w:ilvl w:val="0"/>
                <w:numId w:val="0"/>
              </w:numPr>
              <w:ind w:left="720"/>
              <w:jc w:val="left"/>
              <w:rPr>
                <w:sz w:val="20"/>
                <w:szCs w:val="20"/>
              </w:rPr>
            </w:pPr>
          </w:p>
          <w:p w14:paraId="0EB84DD1" w14:textId="2DE4C96F" w:rsidR="001D3CD5" w:rsidRPr="00EF7789" w:rsidRDefault="001D3CD5" w:rsidP="00273165">
            <w:pPr>
              <w:pStyle w:val="ListParagraph"/>
              <w:numPr>
                <w:ilvl w:val="0"/>
                <w:numId w:val="4"/>
              </w:numPr>
              <w:jc w:val="left"/>
              <w:rPr>
                <w:sz w:val="20"/>
                <w:szCs w:val="20"/>
              </w:rPr>
            </w:pPr>
            <w:r w:rsidRPr="00EF7789">
              <w:rPr>
                <w:b/>
                <w:sz w:val="20"/>
                <w:szCs w:val="20"/>
              </w:rPr>
              <w:t>Secretariat and date(s) of its review(s):</w:t>
            </w:r>
            <w:r w:rsidRPr="00EF7789">
              <w:rPr>
                <w:sz w:val="20"/>
                <w:szCs w:val="20"/>
              </w:rPr>
              <w:t xml:space="preserve"> First review comments from the PEFA Secretariat on October </w:t>
            </w:r>
            <w:r w:rsidR="00043BB3" w:rsidRPr="00EF7789">
              <w:rPr>
                <w:sz w:val="20"/>
                <w:szCs w:val="20"/>
              </w:rPr>
              <w:t xml:space="preserve">14, </w:t>
            </w:r>
            <w:r w:rsidRPr="00EF7789">
              <w:rPr>
                <w:sz w:val="20"/>
                <w:szCs w:val="20"/>
              </w:rPr>
              <w:t>2016</w:t>
            </w:r>
            <w:r w:rsidR="00196FAE" w:rsidRPr="00EF7789">
              <w:rPr>
                <w:sz w:val="20"/>
                <w:szCs w:val="20"/>
              </w:rPr>
              <w:t>,</w:t>
            </w:r>
            <w:r w:rsidRPr="00EF7789">
              <w:rPr>
                <w:sz w:val="20"/>
                <w:szCs w:val="20"/>
              </w:rPr>
              <w:t xml:space="preserve"> and second review comments from the PEFA Secretariat on January </w:t>
            </w:r>
            <w:r w:rsidR="00043BB3" w:rsidRPr="00EF7789">
              <w:rPr>
                <w:sz w:val="20"/>
                <w:szCs w:val="20"/>
              </w:rPr>
              <w:t xml:space="preserve">10, </w:t>
            </w:r>
            <w:r w:rsidRPr="00EF7789">
              <w:rPr>
                <w:sz w:val="20"/>
                <w:szCs w:val="20"/>
              </w:rPr>
              <w:t xml:space="preserve">2017. </w:t>
            </w:r>
          </w:p>
          <w:p w14:paraId="510FA0E1" w14:textId="77777777" w:rsidR="009471DC" w:rsidRDefault="009471DC" w:rsidP="009471DC">
            <w:pPr>
              <w:pStyle w:val="ListParagraph"/>
              <w:numPr>
                <w:ilvl w:val="0"/>
                <w:numId w:val="0"/>
              </w:numPr>
              <w:ind w:left="720"/>
              <w:jc w:val="left"/>
              <w:rPr>
                <w:sz w:val="20"/>
                <w:szCs w:val="20"/>
              </w:rPr>
            </w:pPr>
          </w:p>
          <w:p w14:paraId="4F8DF243" w14:textId="7E925AA7" w:rsidR="001D3CD5" w:rsidRPr="00EF7789" w:rsidRDefault="001D3CD5" w:rsidP="00273165">
            <w:pPr>
              <w:pStyle w:val="ListParagraph"/>
              <w:numPr>
                <w:ilvl w:val="0"/>
                <w:numId w:val="4"/>
              </w:numPr>
              <w:jc w:val="left"/>
              <w:rPr>
                <w:sz w:val="20"/>
                <w:szCs w:val="20"/>
              </w:rPr>
            </w:pPr>
            <w:r w:rsidRPr="009471DC">
              <w:rPr>
                <w:b/>
                <w:sz w:val="20"/>
                <w:szCs w:val="20"/>
              </w:rPr>
              <w:t>Date(s) of final concept note and/or terms of reference:</w:t>
            </w:r>
            <w:r w:rsidRPr="00EF7789">
              <w:rPr>
                <w:sz w:val="20"/>
                <w:szCs w:val="20"/>
              </w:rPr>
              <w:t xml:space="preserve"> March </w:t>
            </w:r>
            <w:r w:rsidR="00043BB3" w:rsidRPr="00EF7789">
              <w:rPr>
                <w:sz w:val="20"/>
                <w:szCs w:val="20"/>
              </w:rPr>
              <w:t xml:space="preserve">17, </w:t>
            </w:r>
            <w:r w:rsidRPr="00EF7789">
              <w:rPr>
                <w:sz w:val="20"/>
                <w:szCs w:val="20"/>
              </w:rPr>
              <w:t>2017 </w:t>
            </w:r>
          </w:p>
          <w:p w14:paraId="744E5D0B" w14:textId="77777777" w:rsidR="009471DC" w:rsidRDefault="009471DC" w:rsidP="009471DC">
            <w:pPr>
              <w:pStyle w:val="ListParagraph"/>
              <w:numPr>
                <w:ilvl w:val="0"/>
                <w:numId w:val="0"/>
              </w:numPr>
              <w:ind w:left="720"/>
              <w:jc w:val="left"/>
              <w:rPr>
                <w:sz w:val="20"/>
                <w:szCs w:val="20"/>
              </w:rPr>
            </w:pPr>
          </w:p>
          <w:p w14:paraId="730153E3" w14:textId="12A01281" w:rsidR="00963D42" w:rsidRPr="00221A40" w:rsidRDefault="001D3CD5" w:rsidP="00273165">
            <w:pPr>
              <w:pStyle w:val="ListParagraph"/>
              <w:numPr>
                <w:ilvl w:val="0"/>
                <w:numId w:val="4"/>
              </w:numPr>
              <w:jc w:val="left"/>
              <w:rPr>
                <w:sz w:val="20"/>
                <w:szCs w:val="20"/>
              </w:rPr>
            </w:pPr>
            <w:r w:rsidRPr="009471DC">
              <w:rPr>
                <w:b/>
                <w:sz w:val="20"/>
                <w:szCs w:val="20"/>
              </w:rPr>
              <w:t>Review of the assessment report</w:t>
            </w:r>
            <w:r w:rsidR="00D94B3F">
              <w:rPr>
                <w:b/>
                <w:sz w:val="20"/>
                <w:szCs w:val="20"/>
              </w:rPr>
              <w:t>:</w:t>
            </w:r>
            <w:r w:rsidRPr="00EF7789">
              <w:rPr>
                <w:sz w:val="20"/>
                <w:szCs w:val="20"/>
              </w:rPr>
              <w:t xml:space="preserve"> </w:t>
            </w:r>
          </w:p>
          <w:p w14:paraId="2C689B9F" w14:textId="77777777" w:rsidR="009471DC" w:rsidRPr="00EF7789" w:rsidRDefault="009471DC" w:rsidP="009471DC">
            <w:pPr>
              <w:pStyle w:val="ListParagraph"/>
              <w:numPr>
                <w:ilvl w:val="0"/>
                <w:numId w:val="0"/>
              </w:numPr>
              <w:ind w:left="720"/>
              <w:jc w:val="left"/>
              <w:rPr>
                <w:sz w:val="20"/>
                <w:szCs w:val="20"/>
              </w:rPr>
            </w:pPr>
          </w:p>
          <w:p w14:paraId="7DBC018C" w14:textId="4FACA191" w:rsidR="00963D42" w:rsidRPr="00EF7789" w:rsidRDefault="001D3CD5" w:rsidP="00273165">
            <w:pPr>
              <w:pStyle w:val="ListParagraph"/>
              <w:numPr>
                <w:ilvl w:val="0"/>
                <w:numId w:val="28"/>
              </w:numPr>
              <w:jc w:val="left"/>
              <w:rPr>
                <w:sz w:val="20"/>
                <w:szCs w:val="20"/>
              </w:rPr>
            </w:pPr>
            <w:r w:rsidRPr="009471DC">
              <w:rPr>
                <w:b/>
                <w:sz w:val="20"/>
                <w:szCs w:val="20"/>
              </w:rPr>
              <w:t>Date of</w:t>
            </w:r>
            <w:r w:rsidR="00963D42" w:rsidRPr="009471DC">
              <w:rPr>
                <w:b/>
                <w:sz w:val="20"/>
                <w:szCs w:val="20"/>
              </w:rPr>
              <w:t xml:space="preserve"> the first draft report:</w:t>
            </w:r>
            <w:r w:rsidRPr="009471DC">
              <w:rPr>
                <w:b/>
                <w:sz w:val="20"/>
                <w:szCs w:val="20"/>
              </w:rPr>
              <w:t xml:space="preserve"> </w:t>
            </w:r>
            <w:r w:rsidR="00963D42" w:rsidRPr="00EF7789">
              <w:rPr>
                <w:sz w:val="20"/>
                <w:szCs w:val="20"/>
              </w:rPr>
              <w:t>May 5, 2018</w:t>
            </w:r>
          </w:p>
          <w:p w14:paraId="782DB9B4" w14:textId="10B35201" w:rsidR="00963D42" w:rsidRPr="00EF7789" w:rsidRDefault="001D3CD5" w:rsidP="00273165">
            <w:pPr>
              <w:pStyle w:val="ListParagraph"/>
              <w:numPr>
                <w:ilvl w:val="0"/>
                <w:numId w:val="28"/>
              </w:numPr>
              <w:jc w:val="left"/>
              <w:rPr>
                <w:sz w:val="20"/>
                <w:szCs w:val="20"/>
              </w:rPr>
            </w:pPr>
            <w:r w:rsidRPr="009471DC">
              <w:rPr>
                <w:b/>
                <w:sz w:val="20"/>
                <w:szCs w:val="20"/>
              </w:rPr>
              <w:t>Invited reviewers:</w:t>
            </w:r>
            <w:r w:rsidRPr="00EF7789">
              <w:rPr>
                <w:sz w:val="20"/>
                <w:szCs w:val="20"/>
              </w:rPr>
              <w:t xml:space="preserve"> </w:t>
            </w:r>
            <w:r w:rsidR="009471DC">
              <w:rPr>
                <w:sz w:val="20"/>
                <w:szCs w:val="20"/>
              </w:rPr>
              <w:t>T</w:t>
            </w:r>
            <w:r w:rsidR="00963D42" w:rsidRPr="00EF7789">
              <w:rPr>
                <w:sz w:val="20"/>
                <w:szCs w:val="20"/>
              </w:rPr>
              <w:t xml:space="preserve">he </w:t>
            </w:r>
            <w:r w:rsidR="009471DC">
              <w:rPr>
                <w:sz w:val="20"/>
                <w:szCs w:val="20"/>
              </w:rPr>
              <w:t>c</w:t>
            </w:r>
            <w:r w:rsidR="00963D42" w:rsidRPr="00EF7789">
              <w:rPr>
                <w:sz w:val="20"/>
                <w:szCs w:val="20"/>
              </w:rPr>
              <w:t xml:space="preserve">ounty </w:t>
            </w:r>
            <w:r w:rsidR="00A357A4" w:rsidRPr="00EF7789">
              <w:rPr>
                <w:sz w:val="20"/>
                <w:szCs w:val="20"/>
              </w:rPr>
              <w:t>governments</w:t>
            </w:r>
            <w:r w:rsidRPr="00EF7789">
              <w:rPr>
                <w:sz w:val="20"/>
                <w:szCs w:val="20"/>
              </w:rPr>
              <w:t>,</w:t>
            </w:r>
            <w:r w:rsidR="00B1584E" w:rsidRPr="00EF7789">
              <w:rPr>
                <w:sz w:val="20"/>
                <w:szCs w:val="20"/>
              </w:rPr>
              <w:t xml:space="preserve"> OCOB, OAG, IBEC, the National Treasury, CRA,</w:t>
            </w:r>
            <w:r w:rsidR="00350561">
              <w:rPr>
                <w:sz w:val="20"/>
                <w:szCs w:val="20"/>
              </w:rPr>
              <w:t xml:space="preserve"> </w:t>
            </w:r>
            <w:r w:rsidR="00963D42" w:rsidRPr="00EF7789">
              <w:rPr>
                <w:sz w:val="20"/>
                <w:szCs w:val="20"/>
              </w:rPr>
              <w:t xml:space="preserve">the World Bank, Swedish International Development Cooperation Agency </w:t>
            </w:r>
            <w:r w:rsidR="00043BB3" w:rsidRPr="00EF7789">
              <w:rPr>
                <w:sz w:val="20"/>
                <w:szCs w:val="20"/>
              </w:rPr>
              <w:t>(</w:t>
            </w:r>
            <w:r w:rsidR="00963D42" w:rsidRPr="00EF7789">
              <w:rPr>
                <w:sz w:val="20"/>
                <w:szCs w:val="20"/>
              </w:rPr>
              <w:t>Sida</w:t>
            </w:r>
            <w:r w:rsidR="00043BB3" w:rsidRPr="00EF7789">
              <w:rPr>
                <w:sz w:val="20"/>
                <w:szCs w:val="20"/>
              </w:rPr>
              <w:t>)</w:t>
            </w:r>
            <w:r w:rsidR="00D94B3F">
              <w:rPr>
                <w:sz w:val="20"/>
                <w:szCs w:val="20"/>
              </w:rPr>
              <w:t xml:space="preserve"> and</w:t>
            </w:r>
            <w:r w:rsidR="00963D42" w:rsidRPr="00EF7789">
              <w:rPr>
                <w:sz w:val="20"/>
                <w:szCs w:val="20"/>
              </w:rPr>
              <w:t xml:space="preserve"> </w:t>
            </w:r>
            <w:r w:rsidRPr="00EF7789">
              <w:rPr>
                <w:sz w:val="20"/>
                <w:szCs w:val="20"/>
              </w:rPr>
              <w:t xml:space="preserve">the PEFA Secretariat </w:t>
            </w:r>
          </w:p>
          <w:p w14:paraId="4436E18F" w14:textId="038BD5FE" w:rsidR="00043BB3" w:rsidRPr="00EF7789" w:rsidRDefault="001D7E75" w:rsidP="00273165">
            <w:pPr>
              <w:pStyle w:val="ListParagraph"/>
              <w:numPr>
                <w:ilvl w:val="0"/>
                <w:numId w:val="28"/>
              </w:numPr>
              <w:jc w:val="left"/>
              <w:rPr>
                <w:sz w:val="20"/>
                <w:szCs w:val="20"/>
              </w:rPr>
            </w:pPr>
            <w:r w:rsidRPr="00791495">
              <w:rPr>
                <w:b/>
                <w:sz w:val="20"/>
                <w:szCs w:val="20"/>
              </w:rPr>
              <w:t>Reviewers</w:t>
            </w:r>
            <w:r w:rsidR="001D3CD5" w:rsidRPr="00791495">
              <w:rPr>
                <w:b/>
                <w:sz w:val="20"/>
                <w:szCs w:val="20"/>
              </w:rPr>
              <w:t xml:space="preserve"> who provided comments:</w:t>
            </w:r>
            <w:r w:rsidR="001D3CD5" w:rsidRPr="00EF7789">
              <w:rPr>
                <w:sz w:val="20"/>
                <w:szCs w:val="20"/>
              </w:rPr>
              <w:t xml:space="preserve"> </w:t>
            </w:r>
            <w:r w:rsidR="00791495">
              <w:rPr>
                <w:sz w:val="20"/>
                <w:szCs w:val="20"/>
              </w:rPr>
              <w:t>T</w:t>
            </w:r>
            <w:r w:rsidR="00963D42" w:rsidRPr="00EF7789">
              <w:rPr>
                <w:sz w:val="20"/>
                <w:szCs w:val="20"/>
              </w:rPr>
              <w:t>he World Bank, Sida, the PEFA Secretariat</w:t>
            </w:r>
          </w:p>
          <w:p w14:paraId="420755FA" w14:textId="25A84A4B" w:rsidR="000A08C1" w:rsidRPr="00EF7789" w:rsidRDefault="000A08C1" w:rsidP="00273165">
            <w:pPr>
              <w:pStyle w:val="ListParagraph"/>
              <w:numPr>
                <w:ilvl w:val="0"/>
                <w:numId w:val="28"/>
              </w:numPr>
              <w:jc w:val="left"/>
              <w:rPr>
                <w:sz w:val="20"/>
                <w:szCs w:val="20"/>
              </w:rPr>
            </w:pPr>
            <w:r w:rsidRPr="00791495">
              <w:rPr>
                <w:b/>
                <w:sz w:val="20"/>
                <w:szCs w:val="20"/>
              </w:rPr>
              <w:t>Date of the comments:</w:t>
            </w:r>
            <w:r w:rsidRPr="00EF7789">
              <w:rPr>
                <w:sz w:val="20"/>
                <w:szCs w:val="20"/>
              </w:rPr>
              <w:t xml:space="preserve"> June 8, 2018</w:t>
            </w:r>
          </w:p>
          <w:p w14:paraId="6A9496B6" w14:textId="7353058B" w:rsidR="000A08C1" w:rsidRPr="00EF7789" w:rsidRDefault="000A08C1" w:rsidP="00273165">
            <w:pPr>
              <w:pStyle w:val="ListParagraph"/>
              <w:numPr>
                <w:ilvl w:val="0"/>
                <w:numId w:val="28"/>
              </w:numPr>
              <w:jc w:val="left"/>
              <w:rPr>
                <w:sz w:val="20"/>
                <w:szCs w:val="20"/>
              </w:rPr>
            </w:pPr>
            <w:r w:rsidRPr="00791495">
              <w:rPr>
                <w:b/>
                <w:sz w:val="20"/>
                <w:szCs w:val="20"/>
              </w:rPr>
              <w:t xml:space="preserve">Date of </w:t>
            </w:r>
            <w:r w:rsidR="00791495" w:rsidRPr="00791495">
              <w:rPr>
                <w:b/>
                <w:sz w:val="20"/>
                <w:szCs w:val="20"/>
              </w:rPr>
              <w:t>the a</w:t>
            </w:r>
            <w:r w:rsidRPr="00791495">
              <w:rPr>
                <w:b/>
                <w:sz w:val="20"/>
                <w:szCs w:val="20"/>
              </w:rPr>
              <w:t xml:space="preserve">ssessment </w:t>
            </w:r>
            <w:r w:rsidR="00791495" w:rsidRPr="00791495">
              <w:rPr>
                <w:b/>
                <w:sz w:val="20"/>
                <w:szCs w:val="20"/>
              </w:rPr>
              <w:t>t</w:t>
            </w:r>
            <w:r w:rsidRPr="00791495">
              <w:rPr>
                <w:b/>
                <w:sz w:val="20"/>
                <w:szCs w:val="20"/>
              </w:rPr>
              <w:t>eam’s response:</w:t>
            </w:r>
            <w:r w:rsidRPr="00EF7789">
              <w:rPr>
                <w:sz w:val="20"/>
                <w:szCs w:val="20"/>
              </w:rPr>
              <w:t xml:space="preserve"> August 28, 2018</w:t>
            </w:r>
            <w:r w:rsidRPr="00EF7789">
              <w:rPr>
                <w:sz w:val="20"/>
                <w:szCs w:val="20"/>
              </w:rPr>
              <w:tab/>
            </w:r>
          </w:p>
          <w:p w14:paraId="5CD2C83E" w14:textId="77777777" w:rsidR="00963D42" w:rsidRPr="00EF7789" w:rsidRDefault="000A08C1" w:rsidP="00273165">
            <w:pPr>
              <w:pStyle w:val="ListParagraph"/>
              <w:numPr>
                <w:ilvl w:val="0"/>
                <w:numId w:val="28"/>
              </w:numPr>
              <w:jc w:val="left"/>
              <w:rPr>
                <w:sz w:val="20"/>
                <w:szCs w:val="20"/>
              </w:rPr>
            </w:pPr>
            <w:r w:rsidRPr="00791495">
              <w:rPr>
                <w:b/>
                <w:sz w:val="20"/>
                <w:szCs w:val="20"/>
              </w:rPr>
              <w:t>Date of Secretariat’s evaluation of response:</w:t>
            </w:r>
            <w:r w:rsidRPr="00EF7789">
              <w:rPr>
                <w:sz w:val="20"/>
                <w:szCs w:val="20"/>
              </w:rPr>
              <w:t xml:space="preserve"> September 13, 2018</w:t>
            </w:r>
          </w:p>
          <w:p w14:paraId="15B5E7C2" w14:textId="0BFDAA78" w:rsidR="000A08C1" w:rsidRPr="00EF7789" w:rsidRDefault="000A08C1" w:rsidP="00273165">
            <w:pPr>
              <w:pStyle w:val="ListParagraph"/>
              <w:numPr>
                <w:ilvl w:val="0"/>
                <w:numId w:val="28"/>
              </w:numPr>
              <w:jc w:val="left"/>
              <w:rPr>
                <w:sz w:val="20"/>
                <w:szCs w:val="20"/>
              </w:rPr>
            </w:pPr>
            <w:r w:rsidRPr="00791495">
              <w:rPr>
                <w:b/>
                <w:sz w:val="20"/>
                <w:szCs w:val="20"/>
              </w:rPr>
              <w:t xml:space="preserve">Date of </w:t>
            </w:r>
            <w:r w:rsidR="00791495" w:rsidRPr="00791495">
              <w:rPr>
                <w:b/>
                <w:sz w:val="20"/>
                <w:szCs w:val="20"/>
              </w:rPr>
              <w:t>the as</w:t>
            </w:r>
            <w:r w:rsidRPr="00791495">
              <w:rPr>
                <w:b/>
                <w:sz w:val="20"/>
                <w:szCs w:val="20"/>
              </w:rPr>
              <w:t xml:space="preserve">sessment </w:t>
            </w:r>
            <w:r w:rsidR="00791495" w:rsidRPr="00791495">
              <w:rPr>
                <w:b/>
                <w:sz w:val="20"/>
                <w:szCs w:val="20"/>
              </w:rPr>
              <w:t>t</w:t>
            </w:r>
            <w:r w:rsidRPr="00791495">
              <w:rPr>
                <w:b/>
                <w:sz w:val="20"/>
                <w:szCs w:val="20"/>
              </w:rPr>
              <w:t>eam’s response:</w:t>
            </w:r>
            <w:r w:rsidRPr="00EF7789">
              <w:rPr>
                <w:sz w:val="20"/>
                <w:szCs w:val="20"/>
              </w:rPr>
              <w:t xml:space="preserve"> October </w:t>
            </w:r>
            <w:r w:rsidR="00B1584E" w:rsidRPr="00EF7789">
              <w:rPr>
                <w:sz w:val="20"/>
                <w:szCs w:val="20"/>
              </w:rPr>
              <w:t>29</w:t>
            </w:r>
            <w:r w:rsidRPr="00EF7789">
              <w:rPr>
                <w:sz w:val="20"/>
                <w:szCs w:val="20"/>
              </w:rPr>
              <w:t>, 2018</w:t>
            </w:r>
          </w:p>
          <w:p w14:paraId="3F4DEAC4" w14:textId="1D817EC9" w:rsidR="00627BB3" w:rsidRPr="00EF7789" w:rsidRDefault="00627BB3" w:rsidP="00273165">
            <w:pPr>
              <w:pStyle w:val="ListParagraph"/>
              <w:numPr>
                <w:ilvl w:val="0"/>
                <w:numId w:val="28"/>
              </w:numPr>
              <w:jc w:val="left"/>
              <w:rPr>
                <w:sz w:val="20"/>
                <w:szCs w:val="20"/>
              </w:rPr>
            </w:pPr>
            <w:r w:rsidRPr="00791495">
              <w:rPr>
                <w:b/>
                <w:sz w:val="20"/>
                <w:szCs w:val="20"/>
              </w:rPr>
              <w:t>Date of PEFA C</w:t>
            </w:r>
            <w:r w:rsidR="00332285">
              <w:rPr>
                <w:b/>
                <w:sz w:val="20"/>
                <w:szCs w:val="20"/>
              </w:rPr>
              <w:t>HECK</w:t>
            </w:r>
            <w:r w:rsidRPr="00791495">
              <w:rPr>
                <w:b/>
                <w:sz w:val="20"/>
                <w:szCs w:val="20"/>
              </w:rPr>
              <w:t>:</w:t>
            </w:r>
            <w:r w:rsidRPr="00EF7789">
              <w:rPr>
                <w:sz w:val="20"/>
                <w:szCs w:val="20"/>
              </w:rPr>
              <w:t xml:space="preserve"> November 15, 2018</w:t>
            </w:r>
          </w:p>
        </w:tc>
      </w:tr>
    </w:tbl>
    <w:p w14:paraId="2BC5F749" w14:textId="77777777" w:rsidR="00CA52CE" w:rsidRPr="00890A84" w:rsidRDefault="00CA52CE" w:rsidP="0045183B">
      <w:pPr>
        <w:pStyle w:val="Heading2"/>
        <w:spacing w:before="240"/>
      </w:pPr>
      <w:bookmarkStart w:id="19" w:name="_Toc532426020"/>
      <w:r w:rsidRPr="00890A84">
        <w:t>Assessment methodology</w:t>
      </w:r>
      <w:bookmarkEnd w:id="19"/>
    </w:p>
    <w:p w14:paraId="45043FF4" w14:textId="77777777" w:rsidR="00A704A0" w:rsidRPr="005849E4" w:rsidRDefault="00A704A0" w:rsidP="005849E4">
      <w:pPr>
        <w:pStyle w:val="Heading3"/>
      </w:pPr>
      <w:bookmarkStart w:id="20" w:name="_Toc493057781"/>
      <w:bookmarkStart w:id="21" w:name="_Toc495331685"/>
      <w:bookmarkStart w:id="22" w:name="_Toc532426021"/>
      <w:r w:rsidRPr="005849E4">
        <w:t>Coverage of the assessment</w:t>
      </w:r>
      <w:bookmarkEnd w:id="20"/>
      <w:bookmarkEnd w:id="21"/>
      <w:bookmarkEnd w:id="22"/>
    </w:p>
    <w:p w14:paraId="26061517" w14:textId="6F6DD60E" w:rsidR="00A704A0" w:rsidRPr="005849E4" w:rsidRDefault="00A704A0" w:rsidP="00365229">
      <w:pPr>
        <w:rPr>
          <w:sz w:val="22"/>
          <w:lang w:eastAsia="en-GB"/>
        </w:rPr>
      </w:pPr>
      <w:r w:rsidRPr="005849E4">
        <w:rPr>
          <w:sz w:val="22"/>
          <w:lang w:eastAsia="en-GB"/>
        </w:rPr>
        <w:t>This subnatio</w:t>
      </w:r>
      <w:r w:rsidR="00CF5676" w:rsidRPr="005849E4">
        <w:rPr>
          <w:sz w:val="22"/>
          <w:lang w:eastAsia="en-GB"/>
        </w:rPr>
        <w:t>nal PEFA assessment covers the c</w:t>
      </w:r>
      <w:r w:rsidRPr="005849E4">
        <w:rPr>
          <w:sz w:val="22"/>
          <w:lang w:eastAsia="en-GB"/>
        </w:rPr>
        <w:t xml:space="preserve">ounty of </w:t>
      </w:r>
      <w:r w:rsidR="00CF5676" w:rsidRPr="005849E4">
        <w:rPr>
          <w:sz w:val="22"/>
          <w:lang w:eastAsia="en-GB"/>
        </w:rPr>
        <w:t>Kajiado</w:t>
      </w:r>
      <w:r w:rsidRPr="005849E4">
        <w:rPr>
          <w:sz w:val="22"/>
          <w:lang w:eastAsia="en-GB"/>
        </w:rPr>
        <w:t xml:space="preserve"> and is part of the assessment covering one-eighth of the </w:t>
      </w:r>
      <w:r w:rsidR="00791495">
        <w:rPr>
          <w:sz w:val="22"/>
          <w:lang w:eastAsia="en-GB"/>
        </w:rPr>
        <w:t>c</w:t>
      </w:r>
      <w:r w:rsidRPr="005849E4">
        <w:rPr>
          <w:sz w:val="22"/>
          <w:lang w:eastAsia="en-GB"/>
        </w:rPr>
        <w:t>ounties in Kenya</w:t>
      </w:r>
      <w:r w:rsidR="00791495">
        <w:rPr>
          <w:sz w:val="22"/>
          <w:lang w:eastAsia="en-GB"/>
        </w:rPr>
        <w:t>,</w:t>
      </w:r>
      <w:r w:rsidRPr="005849E4">
        <w:rPr>
          <w:sz w:val="22"/>
          <w:lang w:eastAsia="en-GB"/>
        </w:rPr>
        <w:t xml:space="preserve"> </w:t>
      </w:r>
      <w:r w:rsidR="00791495">
        <w:rPr>
          <w:sz w:val="22"/>
          <w:lang w:eastAsia="en-GB"/>
        </w:rPr>
        <w:t>that is</w:t>
      </w:r>
      <w:r w:rsidRPr="005849E4">
        <w:rPr>
          <w:sz w:val="22"/>
          <w:lang w:eastAsia="en-GB"/>
        </w:rPr>
        <w:t xml:space="preserve"> six </w:t>
      </w:r>
      <w:r w:rsidR="00791495">
        <w:rPr>
          <w:sz w:val="22"/>
          <w:lang w:eastAsia="en-GB"/>
        </w:rPr>
        <w:t>c</w:t>
      </w:r>
      <w:r w:rsidRPr="005849E4">
        <w:rPr>
          <w:sz w:val="22"/>
          <w:lang w:eastAsia="en-GB"/>
        </w:rPr>
        <w:t xml:space="preserve">ounties. </w:t>
      </w:r>
      <w:r w:rsidR="00CD06DB" w:rsidRPr="005849E4">
        <w:rPr>
          <w:sz w:val="22"/>
          <w:lang w:eastAsia="en-GB"/>
        </w:rPr>
        <w:t xml:space="preserve">The assessment did not cover </w:t>
      </w:r>
      <w:r w:rsidR="00E55F4E" w:rsidRPr="005849E4">
        <w:rPr>
          <w:sz w:val="22"/>
          <w:lang w:eastAsia="en-GB"/>
        </w:rPr>
        <w:t>public</w:t>
      </w:r>
      <w:r w:rsidR="002955BE" w:rsidRPr="005849E4">
        <w:rPr>
          <w:sz w:val="22"/>
          <w:lang w:eastAsia="en-GB"/>
        </w:rPr>
        <w:t xml:space="preserve"> corporations</w:t>
      </w:r>
      <w:r w:rsidR="00CD06DB" w:rsidRPr="005849E4">
        <w:rPr>
          <w:sz w:val="22"/>
          <w:lang w:eastAsia="en-GB"/>
        </w:rPr>
        <w:t xml:space="preserve"> except in terms of the fiscal transparency of their operations (PIs 6 and 9) and their fiscal relationship to the budgetary county government. </w:t>
      </w:r>
    </w:p>
    <w:p w14:paraId="5263D7D7" w14:textId="77777777" w:rsidR="00A704A0" w:rsidRPr="004D3A84" w:rsidRDefault="00A704A0" w:rsidP="005849E4">
      <w:pPr>
        <w:pStyle w:val="Heading3"/>
      </w:pPr>
      <w:bookmarkStart w:id="23" w:name="_Toc493057782"/>
      <w:bookmarkStart w:id="24" w:name="_Toc495331686"/>
      <w:bookmarkStart w:id="25" w:name="_Toc532426022"/>
      <w:r w:rsidRPr="004D3A84">
        <w:t>Time of the assessment</w:t>
      </w:r>
      <w:bookmarkEnd w:id="23"/>
      <w:bookmarkEnd w:id="24"/>
      <w:bookmarkEnd w:id="25"/>
    </w:p>
    <w:p w14:paraId="26884E6E" w14:textId="27347298" w:rsidR="00A704A0" w:rsidRPr="005849E4" w:rsidRDefault="00A704A0" w:rsidP="001E3161">
      <w:pPr>
        <w:rPr>
          <w:sz w:val="22"/>
          <w:lang w:eastAsia="en-GB"/>
        </w:rPr>
      </w:pPr>
      <w:r w:rsidRPr="005849E4">
        <w:rPr>
          <w:sz w:val="22"/>
          <w:lang w:eastAsia="en-GB"/>
        </w:rPr>
        <w:t>T</w:t>
      </w:r>
      <w:r w:rsidR="00791495">
        <w:rPr>
          <w:sz w:val="22"/>
          <w:lang w:eastAsia="en-GB"/>
        </w:rPr>
        <w:t>he</w:t>
      </w:r>
      <w:r w:rsidRPr="005849E4">
        <w:rPr>
          <w:sz w:val="22"/>
          <w:lang w:eastAsia="en-GB"/>
        </w:rPr>
        <w:t xml:space="preserve"> period covered in the assessment was three </w:t>
      </w:r>
      <w:r w:rsidR="00791495">
        <w:rPr>
          <w:sz w:val="22"/>
          <w:lang w:eastAsia="en-GB"/>
        </w:rPr>
        <w:t>fiscal years (</w:t>
      </w:r>
      <w:r w:rsidRPr="005849E4">
        <w:rPr>
          <w:sz w:val="22"/>
          <w:lang w:eastAsia="en-GB"/>
        </w:rPr>
        <w:t>FYs</w:t>
      </w:r>
      <w:r w:rsidR="00791495">
        <w:rPr>
          <w:sz w:val="22"/>
          <w:lang w:eastAsia="en-GB"/>
        </w:rPr>
        <w:t>)</w:t>
      </w:r>
      <w:r w:rsidRPr="005849E4">
        <w:rPr>
          <w:sz w:val="22"/>
          <w:lang w:eastAsia="en-GB"/>
        </w:rPr>
        <w:t xml:space="preserve"> after the introduction of devolved system of government in Kenya</w:t>
      </w:r>
      <w:r w:rsidR="00791495">
        <w:rPr>
          <w:sz w:val="22"/>
          <w:lang w:eastAsia="en-GB"/>
        </w:rPr>
        <w:t>,</w:t>
      </w:r>
      <w:r w:rsidRPr="005849E4">
        <w:rPr>
          <w:sz w:val="22"/>
          <w:lang w:eastAsia="en-GB"/>
        </w:rPr>
        <w:t xml:space="preserve"> </w:t>
      </w:r>
      <w:r w:rsidR="00791495">
        <w:rPr>
          <w:sz w:val="22"/>
          <w:lang w:eastAsia="en-GB"/>
        </w:rPr>
        <w:t>t</w:t>
      </w:r>
      <w:r w:rsidRPr="005849E4">
        <w:rPr>
          <w:sz w:val="22"/>
          <w:lang w:eastAsia="en-GB"/>
        </w:rPr>
        <w:t xml:space="preserve">hat is, FY2013/14, </w:t>
      </w:r>
      <w:r w:rsidR="00791495">
        <w:rPr>
          <w:sz w:val="22"/>
          <w:lang w:eastAsia="en-GB"/>
        </w:rPr>
        <w:t>FY</w:t>
      </w:r>
      <w:r w:rsidRPr="005849E4">
        <w:rPr>
          <w:sz w:val="22"/>
          <w:lang w:eastAsia="en-GB"/>
        </w:rPr>
        <w:t>2014/15</w:t>
      </w:r>
      <w:r w:rsidR="00791495">
        <w:rPr>
          <w:sz w:val="22"/>
          <w:lang w:eastAsia="en-GB"/>
        </w:rPr>
        <w:t>,</w:t>
      </w:r>
      <w:r w:rsidRPr="005849E4">
        <w:rPr>
          <w:sz w:val="22"/>
          <w:lang w:eastAsia="en-GB"/>
        </w:rPr>
        <w:t xml:space="preserve"> and </w:t>
      </w:r>
      <w:r w:rsidR="00791495">
        <w:rPr>
          <w:sz w:val="22"/>
          <w:lang w:eastAsia="en-GB"/>
        </w:rPr>
        <w:t>FY</w:t>
      </w:r>
      <w:r w:rsidRPr="005849E4">
        <w:rPr>
          <w:sz w:val="22"/>
          <w:lang w:eastAsia="en-GB"/>
        </w:rPr>
        <w:t>2015/16</w:t>
      </w:r>
      <w:r w:rsidR="00791495">
        <w:rPr>
          <w:sz w:val="22"/>
          <w:lang w:eastAsia="en-GB"/>
        </w:rPr>
        <w:t>,</w:t>
      </w:r>
      <w:r w:rsidRPr="005849E4">
        <w:rPr>
          <w:sz w:val="22"/>
          <w:lang w:eastAsia="en-GB"/>
        </w:rPr>
        <w:t xml:space="preserve"> depending on the indicators and dimensions of the assessment. </w:t>
      </w:r>
      <w:bookmarkStart w:id="26" w:name="_Hlk526679409"/>
      <w:r w:rsidR="004820F8" w:rsidRPr="005849E4">
        <w:rPr>
          <w:sz w:val="22"/>
          <w:lang w:eastAsia="en-GB"/>
        </w:rPr>
        <w:t>The field work assessment took place in April 2017</w:t>
      </w:r>
      <w:r w:rsidR="00C22996" w:rsidRPr="005849E4">
        <w:rPr>
          <w:sz w:val="22"/>
          <w:lang w:eastAsia="en-GB"/>
        </w:rPr>
        <w:t xml:space="preserve">, which </w:t>
      </w:r>
      <w:r w:rsidR="004820F8" w:rsidRPr="005849E4">
        <w:rPr>
          <w:sz w:val="22"/>
          <w:lang w:eastAsia="en-GB"/>
        </w:rPr>
        <w:t>is the time of assessment for those indicators where more up-to-date assessment period is required.</w:t>
      </w:r>
    </w:p>
    <w:p w14:paraId="5635A7D4" w14:textId="221CF628" w:rsidR="00A704A0" w:rsidRPr="004D3A84" w:rsidRDefault="00A704A0" w:rsidP="005849E4">
      <w:pPr>
        <w:pStyle w:val="Heading3"/>
      </w:pPr>
      <w:bookmarkStart w:id="27" w:name="_Toc532426023"/>
      <w:bookmarkStart w:id="28" w:name="_Toc493057783"/>
      <w:bookmarkStart w:id="29" w:name="_Toc495331687"/>
      <w:bookmarkEnd w:id="26"/>
      <w:r w:rsidRPr="004D3A84">
        <w:t>Sources of information</w:t>
      </w:r>
      <w:bookmarkEnd w:id="27"/>
      <w:bookmarkEnd w:id="28"/>
      <w:bookmarkEnd w:id="29"/>
    </w:p>
    <w:p w14:paraId="63744FFF" w14:textId="43D0676D" w:rsidR="00A704A0" w:rsidRPr="005849E4" w:rsidRDefault="00A704A0" w:rsidP="001E3161">
      <w:pPr>
        <w:rPr>
          <w:sz w:val="22"/>
          <w:lang w:eastAsia="en-GB"/>
        </w:rPr>
      </w:pPr>
      <w:r w:rsidRPr="005849E4">
        <w:rPr>
          <w:sz w:val="22"/>
          <w:lang w:eastAsia="en-GB"/>
        </w:rPr>
        <w:t>The key documents that have been used in the assessment are mainly (</w:t>
      </w:r>
      <w:r w:rsidR="00791495">
        <w:rPr>
          <w:sz w:val="22"/>
          <w:lang w:eastAsia="en-GB"/>
        </w:rPr>
        <w:t>a</w:t>
      </w:r>
      <w:r w:rsidRPr="005849E4">
        <w:rPr>
          <w:sz w:val="22"/>
          <w:lang w:eastAsia="en-GB"/>
        </w:rPr>
        <w:t>) Constitution of Kenya, 2010</w:t>
      </w:r>
      <w:r w:rsidR="00791495">
        <w:rPr>
          <w:sz w:val="22"/>
          <w:lang w:eastAsia="en-GB"/>
        </w:rPr>
        <w:t>;</w:t>
      </w:r>
      <w:r w:rsidRPr="005849E4">
        <w:rPr>
          <w:sz w:val="22"/>
          <w:lang w:eastAsia="en-GB"/>
        </w:rPr>
        <w:t xml:space="preserve"> (</w:t>
      </w:r>
      <w:r w:rsidR="00791495">
        <w:rPr>
          <w:sz w:val="22"/>
          <w:lang w:eastAsia="en-GB"/>
        </w:rPr>
        <w:t>b</w:t>
      </w:r>
      <w:r w:rsidRPr="005849E4">
        <w:rPr>
          <w:sz w:val="22"/>
          <w:lang w:eastAsia="en-GB"/>
        </w:rPr>
        <w:t>) Government of Kenya Review of the PFMR Strategy 2013-2018 report (2016)</w:t>
      </w:r>
      <w:r w:rsidR="00791495">
        <w:rPr>
          <w:sz w:val="22"/>
          <w:lang w:eastAsia="en-GB"/>
        </w:rPr>
        <w:t>;</w:t>
      </w:r>
      <w:r w:rsidRPr="005849E4">
        <w:rPr>
          <w:sz w:val="22"/>
          <w:lang w:eastAsia="en-GB"/>
        </w:rPr>
        <w:t xml:space="preserve"> and (</w:t>
      </w:r>
      <w:r w:rsidR="00791495">
        <w:rPr>
          <w:sz w:val="22"/>
          <w:lang w:eastAsia="en-GB"/>
        </w:rPr>
        <w:t>c</w:t>
      </w:r>
      <w:r w:rsidRPr="005849E4">
        <w:rPr>
          <w:sz w:val="22"/>
          <w:lang w:eastAsia="en-GB"/>
        </w:rPr>
        <w:t xml:space="preserve">) the Public Finance Management (PFM) Act, 2012. The exhaustive list of all documents and materials used and referred to in this PEFA assessment </w:t>
      </w:r>
      <w:r w:rsidR="00791495">
        <w:rPr>
          <w:sz w:val="22"/>
          <w:lang w:eastAsia="en-GB"/>
        </w:rPr>
        <w:t>is provided</w:t>
      </w:r>
      <w:r w:rsidRPr="005849E4">
        <w:rPr>
          <w:sz w:val="22"/>
          <w:lang w:eastAsia="en-GB"/>
        </w:rPr>
        <w:t xml:space="preserve"> in </w:t>
      </w:r>
      <w:r w:rsidRPr="008F1990">
        <w:rPr>
          <w:sz w:val="22"/>
          <w:lang w:eastAsia="en-GB"/>
        </w:rPr>
        <w:t>Annex 3C.</w:t>
      </w:r>
    </w:p>
    <w:p w14:paraId="7A9C23DB" w14:textId="77777777" w:rsidR="00A23FF4" w:rsidRPr="00890A84" w:rsidRDefault="00A23FF4" w:rsidP="001E3161"/>
    <w:p w14:paraId="53187581" w14:textId="3EF2DA20" w:rsidR="00076ADC" w:rsidRPr="00196FAE" w:rsidRDefault="008E3C7E" w:rsidP="00671E8A">
      <w:pPr>
        <w:pStyle w:val="Heading1"/>
        <w:rPr>
          <w:smallCaps w:val="0"/>
        </w:rPr>
      </w:pPr>
      <w:bookmarkStart w:id="30" w:name="_Toc493057784"/>
      <w:bookmarkStart w:id="31" w:name="_Toc532426024"/>
      <w:r w:rsidRPr="00196FAE">
        <w:rPr>
          <w:smallCaps w:val="0"/>
        </w:rPr>
        <w:t>Kajiado</w:t>
      </w:r>
      <w:r w:rsidR="00642525" w:rsidRPr="00196FAE">
        <w:rPr>
          <w:smallCaps w:val="0"/>
        </w:rPr>
        <w:t xml:space="preserve"> </w:t>
      </w:r>
      <w:r w:rsidR="00CC5BC5" w:rsidRPr="00196FAE">
        <w:rPr>
          <w:smallCaps w:val="0"/>
        </w:rPr>
        <w:t>C</w:t>
      </w:r>
      <w:r w:rsidR="005F38BB" w:rsidRPr="00196FAE">
        <w:rPr>
          <w:smallCaps w:val="0"/>
        </w:rPr>
        <w:t xml:space="preserve">ounty </w:t>
      </w:r>
      <w:r w:rsidR="00196FAE" w:rsidRPr="00221A40">
        <w:rPr>
          <w:smallCaps w:val="0"/>
        </w:rPr>
        <w:t>B</w:t>
      </w:r>
      <w:r w:rsidR="005F38BB" w:rsidRPr="00221A40">
        <w:rPr>
          <w:smallCaps w:val="0"/>
        </w:rPr>
        <w:t xml:space="preserve">ackground </w:t>
      </w:r>
      <w:r w:rsidR="00196FAE" w:rsidRPr="00221A40">
        <w:rPr>
          <w:smallCaps w:val="0"/>
        </w:rPr>
        <w:t>I</w:t>
      </w:r>
      <w:r w:rsidR="005F38BB" w:rsidRPr="00221A40">
        <w:rPr>
          <w:smallCaps w:val="0"/>
        </w:rPr>
        <w:t>nformation</w:t>
      </w:r>
      <w:bookmarkEnd w:id="30"/>
      <w:bookmarkEnd w:id="31"/>
    </w:p>
    <w:p w14:paraId="57047E3F" w14:textId="77777777" w:rsidR="00076ADC" w:rsidRPr="009B1007" w:rsidRDefault="005F38BB" w:rsidP="00776E84">
      <w:pPr>
        <w:pStyle w:val="Heading2"/>
      </w:pPr>
      <w:bookmarkStart w:id="32" w:name="_Toc493057785"/>
      <w:bookmarkStart w:id="33" w:name="_Toc532426025"/>
      <w:r w:rsidRPr="009B1007">
        <w:t>Economic context</w:t>
      </w:r>
      <w:bookmarkEnd w:id="32"/>
      <w:bookmarkEnd w:id="33"/>
    </w:p>
    <w:p w14:paraId="6A065BFE" w14:textId="77777777" w:rsidR="005F38BB" w:rsidRPr="004D3A84" w:rsidRDefault="00514BAE" w:rsidP="005849E4">
      <w:pPr>
        <w:pStyle w:val="Heading3"/>
      </w:pPr>
      <w:bookmarkStart w:id="34" w:name="_Toc532426026"/>
      <w:r w:rsidRPr="004D3A84">
        <w:t>An overview of the Kenyan e</w:t>
      </w:r>
      <w:r w:rsidR="005F38BB" w:rsidRPr="004D3A84">
        <w:t>conomy</w:t>
      </w:r>
      <w:bookmarkEnd w:id="34"/>
    </w:p>
    <w:p w14:paraId="668319A1" w14:textId="3BEC9B2B" w:rsidR="005F38BB" w:rsidRPr="005849E4" w:rsidRDefault="005F38BB" w:rsidP="00EF7789">
      <w:pPr>
        <w:spacing w:after="240"/>
        <w:rPr>
          <w:sz w:val="22"/>
          <w:lang w:eastAsia="en-GB"/>
        </w:rPr>
      </w:pPr>
      <w:r w:rsidRPr="005849E4">
        <w:rPr>
          <w:sz w:val="22"/>
          <w:lang w:eastAsia="en-GB"/>
        </w:rPr>
        <w:t xml:space="preserve">Kenya has a unitary but devolved system of government consisting of the </w:t>
      </w:r>
      <w:r w:rsidR="00791495">
        <w:rPr>
          <w:sz w:val="22"/>
          <w:lang w:eastAsia="en-GB"/>
        </w:rPr>
        <w:t>n</w:t>
      </w:r>
      <w:r w:rsidRPr="005849E4">
        <w:rPr>
          <w:sz w:val="22"/>
          <w:lang w:eastAsia="en-GB"/>
        </w:rPr>
        <w:t xml:space="preserve">ational and 47 </w:t>
      </w:r>
      <w:r w:rsidR="00791495">
        <w:rPr>
          <w:sz w:val="22"/>
          <w:lang w:eastAsia="en-GB"/>
        </w:rPr>
        <w:t>c</w:t>
      </w:r>
      <w:r w:rsidRPr="005849E4">
        <w:rPr>
          <w:sz w:val="22"/>
          <w:lang w:eastAsia="en-GB"/>
        </w:rPr>
        <w:t>ounty governments</w:t>
      </w:r>
      <w:r w:rsidR="00791495">
        <w:rPr>
          <w:sz w:val="22"/>
          <w:lang w:eastAsia="en-GB"/>
        </w:rPr>
        <w:t>,</w:t>
      </w:r>
      <w:r w:rsidRPr="005849E4">
        <w:rPr>
          <w:sz w:val="22"/>
          <w:lang w:eastAsia="en-GB"/>
        </w:rPr>
        <w:t xml:space="preserve"> as provided in the Constitution. All the counties do not have detailed economic data such as </w:t>
      </w:r>
      <w:r w:rsidR="00791495">
        <w:rPr>
          <w:sz w:val="22"/>
          <w:lang w:eastAsia="en-GB"/>
        </w:rPr>
        <w:t>gross domestic product (</w:t>
      </w:r>
      <w:r w:rsidRPr="005849E4">
        <w:rPr>
          <w:sz w:val="22"/>
          <w:lang w:eastAsia="en-GB"/>
        </w:rPr>
        <w:t>GDP</w:t>
      </w:r>
      <w:r w:rsidR="00791495">
        <w:rPr>
          <w:sz w:val="22"/>
          <w:lang w:eastAsia="en-GB"/>
        </w:rPr>
        <w:t>)</w:t>
      </w:r>
      <w:r w:rsidRPr="005849E4">
        <w:rPr>
          <w:sz w:val="22"/>
          <w:lang w:eastAsia="en-GB"/>
        </w:rPr>
        <w:t xml:space="preserve"> growth, inflation rates</w:t>
      </w:r>
      <w:r w:rsidR="009D21FC">
        <w:rPr>
          <w:sz w:val="22"/>
          <w:lang w:eastAsia="en-GB"/>
        </w:rPr>
        <w:t>,</w:t>
      </w:r>
      <w:r w:rsidRPr="005849E4">
        <w:rPr>
          <w:sz w:val="22"/>
          <w:lang w:eastAsia="en-GB"/>
        </w:rPr>
        <w:t xml:space="preserve"> </w:t>
      </w:r>
      <w:r w:rsidR="009D21FC">
        <w:rPr>
          <w:sz w:val="22"/>
          <w:lang w:eastAsia="en-GB"/>
        </w:rPr>
        <w:t>and so on</w:t>
      </w:r>
      <w:r w:rsidRPr="005849E4">
        <w:rPr>
          <w:sz w:val="22"/>
          <w:lang w:eastAsia="en-GB"/>
        </w:rPr>
        <w:t>. However, the Kenya National Bureau of Statistics has developed county</w:t>
      </w:r>
      <w:r w:rsidR="00791495">
        <w:rPr>
          <w:sz w:val="22"/>
          <w:lang w:eastAsia="en-GB"/>
        </w:rPr>
        <w:t>-</w:t>
      </w:r>
      <w:r w:rsidRPr="005849E4">
        <w:rPr>
          <w:sz w:val="22"/>
          <w:lang w:eastAsia="en-GB"/>
        </w:rPr>
        <w:t>specific statistical abstracts. The National Treasury and the World Bank are set to undertake compilation of county</w:t>
      </w:r>
      <w:r w:rsidR="00791495">
        <w:rPr>
          <w:sz w:val="22"/>
          <w:lang w:eastAsia="en-GB"/>
        </w:rPr>
        <w:t>-</w:t>
      </w:r>
      <w:r w:rsidRPr="005849E4">
        <w:rPr>
          <w:sz w:val="22"/>
          <w:lang w:eastAsia="en-GB"/>
        </w:rPr>
        <w:t xml:space="preserve">specific GDPs. </w:t>
      </w:r>
    </w:p>
    <w:p w14:paraId="22C5A074" w14:textId="3888B4F0" w:rsidR="00E7251A" w:rsidRPr="005849E4" w:rsidRDefault="005F38BB" w:rsidP="00EF7789">
      <w:pPr>
        <w:spacing w:after="240"/>
        <w:rPr>
          <w:sz w:val="22"/>
          <w:lang w:eastAsia="en-GB"/>
        </w:rPr>
      </w:pPr>
      <w:r w:rsidRPr="005849E4">
        <w:rPr>
          <w:sz w:val="22"/>
          <w:lang w:eastAsia="en-GB"/>
        </w:rPr>
        <w:t>The Kenyan economy has sustained its robust growth in the past decade</w:t>
      </w:r>
      <w:r w:rsidR="00791495">
        <w:rPr>
          <w:sz w:val="22"/>
          <w:lang w:eastAsia="en-GB"/>
        </w:rPr>
        <w:t>,</w:t>
      </w:r>
      <w:r w:rsidRPr="005849E4">
        <w:rPr>
          <w:sz w:val="22"/>
          <w:lang w:eastAsia="en-GB"/>
        </w:rPr>
        <w:t xml:space="preserve"> supported by significant structural and economic reforms. The Kenyan economy grew by </w:t>
      </w:r>
      <w:r w:rsidR="00E7251A" w:rsidRPr="005849E4">
        <w:rPr>
          <w:sz w:val="22"/>
          <w:lang w:eastAsia="en-GB"/>
        </w:rPr>
        <w:t>4.9</w:t>
      </w:r>
      <w:r w:rsidRPr="005849E4">
        <w:rPr>
          <w:sz w:val="22"/>
          <w:lang w:eastAsia="en-GB"/>
        </w:rPr>
        <w:t xml:space="preserve"> percent in 201</w:t>
      </w:r>
      <w:r w:rsidR="00E7251A" w:rsidRPr="005849E4">
        <w:rPr>
          <w:sz w:val="22"/>
          <w:lang w:eastAsia="en-GB"/>
        </w:rPr>
        <w:t>7</w:t>
      </w:r>
      <w:r w:rsidRPr="005849E4">
        <w:rPr>
          <w:sz w:val="22"/>
          <w:lang w:eastAsia="en-GB"/>
        </w:rPr>
        <w:t xml:space="preserve"> compared to 5.</w:t>
      </w:r>
      <w:r w:rsidR="00E7251A" w:rsidRPr="005849E4">
        <w:rPr>
          <w:sz w:val="22"/>
          <w:lang w:eastAsia="en-GB"/>
        </w:rPr>
        <w:t>9</w:t>
      </w:r>
      <w:r w:rsidRPr="005849E4">
        <w:rPr>
          <w:sz w:val="22"/>
          <w:lang w:eastAsia="en-GB"/>
        </w:rPr>
        <w:t xml:space="preserve"> percent</w:t>
      </w:r>
      <w:r w:rsidR="00E7251A" w:rsidRPr="005849E4">
        <w:rPr>
          <w:sz w:val="22"/>
          <w:lang w:eastAsia="en-GB"/>
        </w:rPr>
        <w:t xml:space="preserve"> in 2016 and 5.7 percent</w:t>
      </w:r>
      <w:r w:rsidRPr="005849E4">
        <w:rPr>
          <w:sz w:val="22"/>
          <w:lang w:eastAsia="en-GB"/>
        </w:rPr>
        <w:t xml:space="preserve"> in 2015. </w:t>
      </w:r>
      <w:r w:rsidR="00E7251A" w:rsidRPr="005849E4">
        <w:rPr>
          <w:sz w:val="22"/>
          <w:lang w:eastAsia="en-GB"/>
        </w:rPr>
        <w:t xml:space="preserve">The leading sectors in growth during 2017 included tourism, building </w:t>
      </w:r>
      <w:r w:rsidR="00791495">
        <w:rPr>
          <w:sz w:val="22"/>
          <w:lang w:eastAsia="en-GB"/>
        </w:rPr>
        <w:t>and</w:t>
      </w:r>
      <w:r w:rsidR="00791495" w:rsidRPr="005849E4">
        <w:rPr>
          <w:sz w:val="22"/>
          <w:lang w:eastAsia="en-GB"/>
        </w:rPr>
        <w:t xml:space="preserve"> </w:t>
      </w:r>
      <w:r w:rsidR="00E7251A" w:rsidRPr="005849E4">
        <w:rPr>
          <w:sz w:val="22"/>
          <w:lang w:eastAsia="en-GB"/>
        </w:rPr>
        <w:t>construction, transport</w:t>
      </w:r>
      <w:r w:rsidR="00791495">
        <w:rPr>
          <w:sz w:val="22"/>
          <w:lang w:eastAsia="en-GB"/>
        </w:rPr>
        <w:t>,</w:t>
      </w:r>
      <w:r w:rsidR="00E7251A" w:rsidRPr="005849E4">
        <w:rPr>
          <w:sz w:val="22"/>
          <w:lang w:eastAsia="en-GB"/>
        </w:rPr>
        <w:t xml:space="preserve"> and </w:t>
      </w:r>
      <w:r w:rsidR="00791495" w:rsidRPr="00791495">
        <w:rPr>
          <w:sz w:val="22"/>
          <w:lang w:val="en-US" w:eastAsia="en-GB"/>
        </w:rPr>
        <w:t xml:space="preserve">information and communication technology </w:t>
      </w:r>
      <w:r w:rsidR="00791495">
        <w:rPr>
          <w:sz w:val="22"/>
          <w:lang w:val="en-US" w:eastAsia="en-GB"/>
        </w:rPr>
        <w:t>(</w:t>
      </w:r>
      <w:r w:rsidR="00E7251A" w:rsidRPr="005849E4">
        <w:rPr>
          <w:sz w:val="22"/>
          <w:lang w:eastAsia="en-GB"/>
        </w:rPr>
        <w:t>ICT</w:t>
      </w:r>
      <w:r w:rsidR="00791495">
        <w:rPr>
          <w:sz w:val="22"/>
          <w:lang w:eastAsia="en-GB"/>
        </w:rPr>
        <w:t>)</w:t>
      </w:r>
      <w:r w:rsidR="00E7251A" w:rsidRPr="005849E4">
        <w:rPr>
          <w:sz w:val="22"/>
          <w:lang w:eastAsia="en-GB"/>
        </w:rPr>
        <w:t>. On the other hand, the agriculture sector declined tremendously to 1.6 percent from 5.1 percent the previous year due to drought coupled with pests and diseases.</w:t>
      </w:r>
    </w:p>
    <w:p w14:paraId="5E997C84" w14:textId="0E88E865" w:rsidR="005F38BB" w:rsidRPr="005849E4" w:rsidRDefault="005F38BB" w:rsidP="00EF7789">
      <w:pPr>
        <w:spacing w:after="240"/>
        <w:rPr>
          <w:sz w:val="22"/>
          <w:lang w:eastAsia="en-GB"/>
        </w:rPr>
      </w:pPr>
      <w:r w:rsidRPr="005849E4">
        <w:rPr>
          <w:sz w:val="22"/>
          <w:lang w:eastAsia="en-GB"/>
        </w:rPr>
        <w:t>Inflation rate in 201</w:t>
      </w:r>
      <w:r w:rsidR="00E7251A" w:rsidRPr="005849E4">
        <w:rPr>
          <w:sz w:val="22"/>
          <w:lang w:eastAsia="en-GB"/>
        </w:rPr>
        <w:t>7</w:t>
      </w:r>
      <w:r w:rsidRPr="005849E4">
        <w:rPr>
          <w:sz w:val="22"/>
          <w:lang w:eastAsia="en-GB"/>
        </w:rPr>
        <w:t xml:space="preserve"> was </w:t>
      </w:r>
      <w:r w:rsidR="00E7251A" w:rsidRPr="005849E4">
        <w:rPr>
          <w:sz w:val="22"/>
          <w:lang w:eastAsia="en-GB"/>
        </w:rPr>
        <w:t>8.0</w:t>
      </w:r>
      <w:r w:rsidRPr="005849E4">
        <w:rPr>
          <w:sz w:val="22"/>
          <w:lang w:eastAsia="en-GB"/>
        </w:rPr>
        <w:t xml:space="preserve"> percent, a </w:t>
      </w:r>
      <w:r w:rsidR="00E7251A" w:rsidRPr="005849E4">
        <w:rPr>
          <w:sz w:val="22"/>
          <w:lang w:eastAsia="en-GB"/>
        </w:rPr>
        <w:t xml:space="preserve">rise </w:t>
      </w:r>
      <w:r w:rsidRPr="005849E4">
        <w:rPr>
          <w:sz w:val="22"/>
          <w:lang w:eastAsia="en-GB"/>
        </w:rPr>
        <w:t>from 6.</w:t>
      </w:r>
      <w:r w:rsidR="00E7251A" w:rsidRPr="005849E4">
        <w:rPr>
          <w:sz w:val="22"/>
          <w:lang w:eastAsia="en-GB"/>
        </w:rPr>
        <w:t>3</w:t>
      </w:r>
      <w:r w:rsidRPr="005849E4">
        <w:rPr>
          <w:sz w:val="22"/>
          <w:lang w:eastAsia="en-GB"/>
        </w:rPr>
        <w:t xml:space="preserve"> percent recorded in 201</w:t>
      </w:r>
      <w:r w:rsidR="00E7251A" w:rsidRPr="005849E4">
        <w:rPr>
          <w:sz w:val="22"/>
          <w:lang w:eastAsia="en-GB"/>
        </w:rPr>
        <w:t>6</w:t>
      </w:r>
      <w:r w:rsidRPr="005849E4">
        <w:rPr>
          <w:sz w:val="22"/>
          <w:lang w:eastAsia="en-GB"/>
        </w:rPr>
        <w:t xml:space="preserve">. </w:t>
      </w:r>
      <w:r w:rsidR="00811752" w:rsidRPr="005849E4">
        <w:rPr>
          <w:sz w:val="22"/>
          <w:lang w:eastAsia="en-GB"/>
        </w:rPr>
        <w:t>The inflationary</w:t>
      </w:r>
      <w:r w:rsidRPr="005849E4">
        <w:rPr>
          <w:sz w:val="22"/>
          <w:lang w:eastAsia="en-GB"/>
        </w:rPr>
        <w:t xml:space="preserve"> pressure </w:t>
      </w:r>
      <w:r w:rsidR="00E7251A" w:rsidRPr="005849E4">
        <w:rPr>
          <w:sz w:val="22"/>
          <w:lang w:eastAsia="en-GB"/>
        </w:rPr>
        <w:t xml:space="preserve">was mainly attributed to significant increases in oil and </w:t>
      </w:r>
      <w:r w:rsidRPr="005849E4">
        <w:rPr>
          <w:sz w:val="22"/>
          <w:lang w:eastAsia="en-GB"/>
        </w:rPr>
        <w:t>high food prices</w:t>
      </w:r>
      <w:r w:rsidR="00E7251A" w:rsidRPr="005849E4">
        <w:rPr>
          <w:sz w:val="22"/>
          <w:lang w:eastAsia="en-GB"/>
        </w:rPr>
        <w:t xml:space="preserve">. </w:t>
      </w:r>
    </w:p>
    <w:p w14:paraId="404C0B03" w14:textId="29B08941" w:rsidR="003103F3" w:rsidRPr="005849E4" w:rsidRDefault="005F38BB" w:rsidP="00EF7789">
      <w:pPr>
        <w:spacing w:after="240"/>
        <w:rPr>
          <w:sz w:val="22"/>
          <w:lang w:eastAsia="en-GB"/>
        </w:rPr>
      </w:pPr>
      <w:r w:rsidRPr="005849E4">
        <w:rPr>
          <w:sz w:val="22"/>
          <w:lang w:eastAsia="en-GB"/>
        </w:rPr>
        <w:t xml:space="preserve">Economic growth is expected to be </w:t>
      </w:r>
      <w:bookmarkStart w:id="35" w:name="_Hlk528403694"/>
      <w:r w:rsidR="003103F3" w:rsidRPr="005849E4">
        <w:rPr>
          <w:sz w:val="22"/>
          <w:lang w:eastAsia="en-GB"/>
        </w:rPr>
        <w:t xml:space="preserve">accelerated during 2018 due to improved political stability and </w:t>
      </w:r>
      <w:r w:rsidR="00773F0B">
        <w:rPr>
          <w:sz w:val="22"/>
          <w:lang w:eastAsia="en-GB"/>
        </w:rPr>
        <w:t xml:space="preserve">a </w:t>
      </w:r>
      <w:r w:rsidR="003103F3" w:rsidRPr="005849E4">
        <w:rPr>
          <w:sz w:val="22"/>
          <w:lang w:eastAsia="en-GB"/>
        </w:rPr>
        <w:t>favorable macroeconomic environment. In addition, the ongoing investments in infrastructure, improved business confidence</w:t>
      </w:r>
      <w:r w:rsidR="00773F0B">
        <w:rPr>
          <w:sz w:val="22"/>
          <w:lang w:eastAsia="en-GB"/>
        </w:rPr>
        <w:t>,</w:t>
      </w:r>
      <w:r w:rsidR="003103F3" w:rsidRPr="005849E4">
        <w:rPr>
          <w:sz w:val="22"/>
          <w:lang w:eastAsia="en-GB"/>
        </w:rPr>
        <w:t xml:space="preserve"> and strong private consumption are likely to support a strong growth. Besides, the favorable climatic conditions are likely to boost agriculture production and electricity and water sectors </w:t>
      </w:r>
      <w:r w:rsidR="00773F0B">
        <w:rPr>
          <w:sz w:val="22"/>
          <w:lang w:eastAsia="en-GB"/>
        </w:rPr>
        <w:t xml:space="preserve">and </w:t>
      </w:r>
      <w:r w:rsidR="003103F3" w:rsidRPr="005849E4">
        <w:rPr>
          <w:sz w:val="22"/>
          <w:lang w:eastAsia="en-GB"/>
        </w:rPr>
        <w:t xml:space="preserve">hence support manufacturing growth. On the other hand, rising oil prices </w:t>
      </w:r>
      <w:bookmarkEnd w:id="35"/>
      <w:r w:rsidR="003103F3" w:rsidRPr="005849E4">
        <w:rPr>
          <w:sz w:val="22"/>
          <w:lang w:eastAsia="en-GB"/>
        </w:rPr>
        <w:t>and d</w:t>
      </w:r>
      <w:r w:rsidRPr="005849E4">
        <w:rPr>
          <w:sz w:val="22"/>
          <w:lang w:eastAsia="en-GB"/>
        </w:rPr>
        <w:t>epressed growth of credit to the private sector</w:t>
      </w:r>
      <w:r w:rsidR="00773F0B">
        <w:rPr>
          <w:sz w:val="22"/>
          <w:lang w:eastAsia="en-GB"/>
        </w:rPr>
        <w:t>,</w:t>
      </w:r>
      <w:r w:rsidRPr="005849E4">
        <w:rPr>
          <w:sz w:val="22"/>
          <w:lang w:eastAsia="en-GB"/>
        </w:rPr>
        <w:t xml:space="preserve"> which started in 2016</w:t>
      </w:r>
      <w:r w:rsidR="00773F0B">
        <w:rPr>
          <w:sz w:val="22"/>
          <w:lang w:eastAsia="en-GB"/>
        </w:rPr>
        <w:t>,</w:t>
      </w:r>
      <w:r w:rsidRPr="005849E4">
        <w:rPr>
          <w:sz w:val="22"/>
          <w:lang w:eastAsia="en-GB"/>
        </w:rPr>
        <w:t xml:space="preserve"> </w:t>
      </w:r>
      <w:bookmarkStart w:id="36" w:name="_Hlk528403757"/>
      <w:r w:rsidR="003103F3" w:rsidRPr="005849E4">
        <w:rPr>
          <w:sz w:val="22"/>
          <w:lang w:eastAsia="en-GB"/>
        </w:rPr>
        <w:t>are likely to undermine the growth prospects. However, the adverse effects are likely to be offset by the strong favorable factors</w:t>
      </w:r>
      <w:r w:rsidR="00773F0B">
        <w:rPr>
          <w:sz w:val="22"/>
          <w:lang w:eastAsia="en-GB"/>
        </w:rPr>
        <w:t>,</w:t>
      </w:r>
      <w:r w:rsidR="003103F3" w:rsidRPr="005849E4">
        <w:rPr>
          <w:sz w:val="22"/>
          <w:lang w:eastAsia="en-GB"/>
        </w:rPr>
        <w:t xml:space="preserve"> result</w:t>
      </w:r>
      <w:r w:rsidR="00773F0B">
        <w:rPr>
          <w:sz w:val="22"/>
          <w:lang w:eastAsia="en-GB"/>
        </w:rPr>
        <w:t>ing</w:t>
      </w:r>
      <w:r w:rsidR="003103F3" w:rsidRPr="005849E4">
        <w:rPr>
          <w:sz w:val="22"/>
          <w:lang w:eastAsia="en-GB"/>
        </w:rPr>
        <w:t xml:space="preserve"> in better growth in 2018.</w:t>
      </w:r>
    </w:p>
    <w:p w14:paraId="33E2E7AF" w14:textId="6D1E7AF4" w:rsidR="005F38BB" w:rsidRPr="004D3A84" w:rsidRDefault="005F38BB" w:rsidP="005849E4">
      <w:pPr>
        <w:pStyle w:val="Heading3"/>
      </w:pPr>
      <w:bookmarkStart w:id="37" w:name="_Toc532426027"/>
      <w:bookmarkEnd w:id="36"/>
      <w:r w:rsidRPr="004D3A84">
        <w:t xml:space="preserve">Overview of </w:t>
      </w:r>
      <w:r w:rsidR="00CF5676" w:rsidRPr="004D3A84">
        <w:t>Kajiado</w:t>
      </w:r>
      <w:r w:rsidR="00642525" w:rsidRPr="004D3A84">
        <w:t xml:space="preserve"> </w:t>
      </w:r>
      <w:r w:rsidR="00CC5BC5">
        <w:t>C</w:t>
      </w:r>
      <w:r w:rsidR="00514BAE" w:rsidRPr="004D3A84">
        <w:t>ounty e</w:t>
      </w:r>
      <w:r w:rsidRPr="004D3A84">
        <w:t>conomy</w:t>
      </w:r>
      <w:bookmarkEnd w:id="37"/>
      <w:r w:rsidRPr="004D3A84">
        <w:t xml:space="preserve"> </w:t>
      </w:r>
    </w:p>
    <w:p w14:paraId="5D0CFA1F" w14:textId="70833787" w:rsidR="00ED31DF" w:rsidRPr="005849E4" w:rsidRDefault="00ED31DF" w:rsidP="006D24AF">
      <w:pPr>
        <w:rPr>
          <w:sz w:val="22"/>
        </w:rPr>
      </w:pPr>
      <w:r w:rsidRPr="005849E4">
        <w:rPr>
          <w:sz w:val="22"/>
        </w:rPr>
        <w:t xml:space="preserve">Table 2.1 presents selected economic for the </w:t>
      </w:r>
      <w:r w:rsidR="00773F0B">
        <w:rPr>
          <w:sz w:val="22"/>
        </w:rPr>
        <w:t>c</w:t>
      </w:r>
      <w:r w:rsidRPr="005849E4">
        <w:rPr>
          <w:sz w:val="22"/>
        </w:rPr>
        <w:t xml:space="preserve">ounty government. </w:t>
      </w:r>
    </w:p>
    <w:p w14:paraId="3607A197" w14:textId="74F63BC9" w:rsidR="00CF5676" w:rsidRDefault="00FE07C0" w:rsidP="00590C8E">
      <w:pPr>
        <w:pStyle w:val="TableStyle"/>
      </w:pPr>
      <w:bookmarkStart w:id="38" w:name="_Toc532418099"/>
      <w:r w:rsidRPr="00890A84">
        <w:t>Table 2.</w:t>
      </w:r>
      <w:r w:rsidR="00426456" w:rsidRPr="00890A84">
        <w:fldChar w:fldCharType="begin"/>
      </w:r>
      <w:r w:rsidR="009A26F6" w:rsidRPr="00890A84">
        <w:instrText xml:space="preserve"> SEQ Table_2. \* ARABIC </w:instrText>
      </w:r>
      <w:r w:rsidR="00426456" w:rsidRPr="00890A84">
        <w:fldChar w:fldCharType="separate"/>
      </w:r>
      <w:r w:rsidR="00D00E7B">
        <w:rPr>
          <w:noProof/>
        </w:rPr>
        <w:t>1</w:t>
      </w:r>
      <w:r w:rsidR="00426456" w:rsidRPr="00890A84">
        <w:fldChar w:fldCharType="end"/>
      </w:r>
      <w:r w:rsidR="009A26F6" w:rsidRPr="00890A84">
        <w:t>: Basic economic data and indicators for Kajiado</w:t>
      </w:r>
      <w:r w:rsidR="00A70510" w:rsidRPr="00890A84">
        <w:t xml:space="preserve"> </w:t>
      </w:r>
      <w:r w:rsidR="00CC5BC5">
        <w:t>C</w:t>
      </w:r>
      <w:r w:rsidR="009A26F6" w:rsidRPr="00890A84">
        <w:t>ounty</w:t>
      </w:r>
      <w:bookmarkEnd w:id="38"/>
    </w:p>
    <w:tbl>
      <w:tblPr>
        <w:tblW w:w="9106" w:type="dxa"/>
        <w:tblBorders>
          <w:top w:val="single" w:sz="6" w:space="0" w:color="006DB6"/>
          <w:left w:val="single" w:sz="6" w:space="0" w:color="006DB6"/>
          <w:bottom w:val="single" w:sz="6" w:space="0" w:color="006DB6"/>
          <w:right w:val="single" w:sz="6" w:space="0" w:color="006DB6"/>
          <w:insideV w:val="single" w:sz="6" w:space="0" w:color="006DB6"/>
        </w:tblBorders>
        <w:tblLayout w:type="fixed"/>
        <w:tblLook w:val="04A0" w:firstRow="1" w:lastRow="0" w:firstColumn="1" w:lastColumn="0" w:noHBand="0" w:noVBand="1"/>
      </w:tblPr>
      <w:tblGrid>
        <w:gridCol w:w="5040"/>
        <w:gridCol w:w="4066"/>
      </w:tblGrid>
      <w:tr w:rsidR="005734C0" w:rsidRPr="008E345E" w14:paraId="499DEA18" w14:textId="77777777" w:rsidTr="00EB09D7">
        <w:trPr>
          <w:tblHeader/>
        </w:trPr>
        <w:tc>
          <w:tcPr>
            <w:tcW w:w="5040" w:type="dxa"/>
            <w:tcBorders>
              <w:top w:val="nil"/>
              <w:left w:val="nil"/>
              <w:bottom w:val="nil"/>
              <w:right w:val="nil"/>
              <w:tl2br w:val="nil"/>
              <w:tr2bl w:val="nil"/>
            </w:tcBorders>
            <w:shd w:val="pct70" w:color="4E93CA" w:fill="4E93CA"/>
            <w:noWrap/>
            <w:hideMark/>
          </w:tcPr>
          <w:p w14:paraId="6404C73F" w14:textId="0F1CD3BC" w:rsidR="00CF5676" w:rsidRPr="008E345E" w:rsidRDefault="00CF5676" w:rsidP="00350561">
            <w:pPr>
              <w:jc w:val="center"/>
              <w:rPr>
                <w:b/>
                <w:color w:val="FFFFFF" w:themeColor="background1"/>
                <w:sz w:val="20"/>
                <w:szCs w:val="20"/>
                <w:lang w:val="nl-NL"/>
              </w:rPr>
            </w:pPr>
            <w:r w:rsidRPr="008E345E">
              <w:rPr>
                <w:b/>
                <w:color w:val="FFFFFF" w:themeColor="background1"/>
                <w:sz w:val="20"/>
                <w:szCs w:val="20"/>
                <w:lang w:val="nl-NL"/>
              </w:rPr>
              <w:t>Indicator</w:t>
            </w:r>
          </w:p>
        </w:tc>
        <w:tc>
          <w:tcPr>
            <w:tcW w:w="4066" w:type="dxa"/>
            <w:tcBorders>
              <w:top w:val="nil"/>
              <w:left w:val="nil"/>
              <w:bottom w:val="nil"/>
              <w:right w:val="nil"/>
              <w:tl2br w:val="nil"/>
              <w:tr2bl w:val="nil"/>
            </w:tcBorders>
            <w:shd w:val="pct70" w:color="4E93CA" w:fill="4E93CA"/>
            <w:noWrap/>
            <w:hideMark/>
          </w:tcPr>
          <w:p w14:paraId="265C9A73" w14:textId="77777777" w:rsidR="00CF5676" w:rsidRPr="008E345E" w:rsidRDefault="005734C0" w:rsidP="00350561">
            <w:pPr>
              <w:jc w:val="center"/>
              <w:rPr>
                <w:b/>
                <w:color w:val="FFFFFF" w:themeColor="background1"/>
                <w:sz w:val="20"/>
                <w:szCs w:val="20"/>
                <w:lang w:val="nl-NL"/>
              </w:rPr>
            </w:pPr>
            <w:r w:rsidRPr="008E345E">
              <w:rPr>
                <w:b/>
                <w:color w:val="FFFFFF" w:themeColor="background1"/>
                <w:sz w:val="20"/>
                <w:szCs w:val="20"/>
                <w:lang w:val="nl-NL"/>
              </w:rPr>
              <w:t>Amount/Designation</w:t>
            </w:r>
          </w:p>
        </w:tc>
      </w:tr>
      <w:tr w:rsidR="00CF5676" w:rsidRPr="008E345E" w14:paraId="57FD61CC" w14:textId="77777777" w:rsidTr="00EB09D7">
        <w:tc>
          <w:tcPr>
            <w:tcW w:w="5040" w:type="dxa"/>
            <w:tcBorders>
              <w:top w:val="single" w:sz="6" w:space="0" w:color="A6A6A6"/>
            </w:tcBorders>
            <w:shd w:val="clear" w:color="auto" w:fill="auto"/>
            <w:noWrap/>
            <w:hideMark/>
          </w:tcPr>
          <w:p w14:paraId="4A2A7D06" w14:textId="196310F2" w:rsidR="00CF5676" w:rsidRPr="008E345E" w:rsidRDefault="00CF5676" w:rsidP="00C87C03">
            <w:pPr>
              <w:jc w:val="left"/>
              <w:rPr>
                <w:sz w:val="20"/>
                <w:szCs w:val="20"/>
                <w:lang w:val="nl-NL"/>
              </w:rPr>
            </w:pPr>
            <w:r w:rsidRPr="008E345E">
              <w:rPr>
                <w:sz w:val="20"/>
                <w:szCs w:val="20"/>
                <w:lang w:val="nl-NL"/>
              </w:rPr>
              <w:t>Area (</w:t>
            </w:r>
            <w:r w:rsidR="00773F0B">
              <w:rPr>
                <w:sz w:val="20"/>
                <w:szCs w:val="20"/>
                <w:lang w:val="nl-NL"/>
              </w:rPr>
              <w:t>km</w:t>
            </w:r>
            <w:r w:rsidRPr="008E345E">
              <w:rPr>
                <w:sz w:val="20"/>
                <w:szCs w:val="20"/>
                <w:vertAlign w:val="superscript"/>
                <w:lang w:val="nl-NL"/>
              </w:rPr>
              <w:t>2</w:t>
            </w:r>
            <w:r w:rsidRPr="008E345E">
              <w:rPr>
                <w:sz w:val="20"/>
                <w:szCs w:val="20"/>
                <w:lang w:val="nl-NL"/>
              </w:rPr>
              <w:t>)</w:t>
            </w:r>
          </w:p>
        </w:tc>
        <w:tc>
          <w:tcPr>
            <w:tcW w:w="4066" w:type="dxa"/>
            <w:tcBorders>
              <w:top w:val="single" w:sz="6" w:space="0" w:color="A6A6A6"/>
            </w:tcBorders>
            <w:shd w:val="clear" w:color="auto" w:fill="auto"/>
            <w:noWrap/>
            <w:hideMark/>
          </w:tcPr>
          <w:p w14:paraId="5B0B3502" w14:textId="77777777" w:rsidR="00CF5676" w:rsidRPr="008E345E" w:rsidRDefault="00852186" w:rsidP="00773F0B">
            <w:pPr>
              <w:jc w:val="center"/>
              <w:rPr>
                <w:sz w:val="20"/>
                <w:szCs w:val="20"/>
                <w:lang w:val="nl-NL"/>
              </w:rPr>
            </w:pPr>
            <w:r w:rsidRPr="008E345E">
              <w:rPr>
                <w:sz w:val="20"/>
                <w:szCs w:val="20"/>
                <w:lang w:val="nl-NL"/>
              </w:rPr>
              <w:t>21,900.9</w:t>
            </w:r>
          </w:p>
        </w:tc>
      </w:tr>
      <w:tr w:rsidR="00CF5676" w:rsidRPr="008E345E" w14:paraId="319869D2" w14:textId="77777777" w:rsidTr="00EB09D7">
        <w:tc>
          <w:tcPr>
            <w:tcW w:w="5040" w:type="dxa"/>
            <w:tcBorders>
              <w:top w:val="single" w:sz="6" w:space="0" w:color="A6A6A6"/>
            </w:tcBorders>
            <w:shd w:val="clear" w:color="auto" w:fill="auto"/>
            <w:noWrap/>
            <w:hideMark/>
          </w:tcPr>
          <w:p w14:paraId="2E9DA14F" w14:textId="088DE42A" w:rsidR="00CF5676" w:rsidRPr="008E345E" w:rsidRDefault="00CF5676" w:rsidP="00C87C03">
            <w:pPr>
              <w:jc w:val="left"/>
              <w:rPr>
                <w:sz w:val="20"/>
                <w:szCs w:val="20"/>
                <w:lang w:val="nl-NL"/>
              </w:rPr>
            </w:pPr>
            <w:r w:rsidRPr="008E345E">
              <w:rPr>
                <w:sz w:val="20"/>
                <w:szCs w:val="20"/>
                <w:lang w:val="nl-NL"/>
              </w:rPr>
              <w:t xml:space="preserve">No. of </w:t>
            </w:r>
            <w:r w:rsidR="00773F0B">
              <w:rPr>
                <w:sz w:val="20"/>
                <w:szCs w:val="20"/>
                <w:lang w:val="nl-NL"/>
              </w:rPr>
              <w:t>c</w:t>
            </w:r>
            <w:r w:rsidRPr="008E345E">
              <w:rPr>
                <w:sz w:val="20"/>
                <w:szCs w:val="20"/>
                <w:lang w:val="nl-NL"/>
              </w:rPr>
              <w:t>onstituencies</w:t>
            </w:r>
          </w:p>
        </w:tc>
        <w:tc>
          <w:tcPr>
            <w:tcW w:w="4066" w:type="dxa"/>
            <w:tcBorders>
              <w:top w:val="single" w:sz="6" w:space="0" w:color="A6A6A6"/>
            </w:tcBorders>
            <w:shd w:val="clear" w:color="auto" w:fill="auto"/>
            <w:noWrap/>
            <w:hideMark/>
          </w:tcPr>
          <w:p w14:paraId="70421123" w14:textId="77777777" w:rsidR="00CF5676" w:rsidRPr="008E345E" w:rsidRDefault="00852186" w:rsidP="00773F0B">
            <w:pPr>
              <w:jc w:val="center"/>
              <w:rPr>
                <w:sz w:val="20"/>
                <w:szCs w:val="20"/>
                <w:lang w:val="nl-NL"/>
              </w:rPr>
            </w:pPr>
            <w:r w:rsidRPr="008E345E">
              <w:rPr>
                <w:sz w:val="20"/>
                <w:szCs w:val="20"/>
                <w:lang w:val="nl-NL"/>
              </w:rPr>
              <w:t>5</w:t>
            </w:r>
          </w:p>
        </w:tc>
      </w:tr>
      <w:tr w:rsidR="00CF5676" w:rsidRPr="008E345E" w14:paraId="6B159367" w14:textId="77777777" w:rsidTr="00EB09D7">
        <w:tc>
          <w:tcPr>
            <w:tcW w:w="5040" w:type="dxa"/>
            <w:tcBorders>
              <w:top w:val="single" w:sz="6" w:space="0" w:color="A6A6A6"/>
            </w:tcBorders>
            <w:shd w:val="clear" w:color="auto" w:fill="auto"/>
            <w:noWrap/>
            <w:hideMark/>
          </w:tcPr>
          <w:p w14:paraId="3F206BBD" w14:textId="77777777" w:rsidR="00CF5676" w:rsidRPr="008E345E" w:rsidRDefault="00CF5676" w:rsidP="00C87C03">
            <w:pPr>
              <w:jc w:val="left"/>
              <w:rPr>
                <w:sz w:val="20"/>
                <w:szCs w:val="20"/>
                <w:lang w:val="nl-NL"/>
              </w:rPr>
            </w:pPr>
            <w:r w:rsidRPr="008E345E">
              <w:rPr>
                <w:sz w:val="20"/>
                <w:szCs w:val="20"/>
                <w:lang w:val="nl-NL"/>
              </w:rPr>
              <w:t>County Assembly Wards</w:t>
            </w:r>
          </w:p>
        </w:tc>
        <w:tc>
          <w:tcPr>
            <w:tcW w:w="4066" w:type="dxa"/>
            <w:tcBorders>
              <w:top w:val="single" w:sz="6" w:space="0" w:color="A6A6A6"/>
            </w:tcBorders>
            <w:shd w:val="clear" w:color="auto" w:fill="auto"/>
            <w:noWrap/>
            <w:hideMark/>
          </w:tcPr>
          <w:p w14:paraId="59D21251" w14:textId="77777777" w:rsidR="00CF5676" w:rsidRPr="008E345E" w:rsidRDefault="00CF5676" w:rsidP="00773F0B">
            <w:pPr>
              <w:jc w:val="center"/>
              <w:rPr>
                <w:sz w:val="20"/>
                <w:szCs w:val="20"/>
                <w:lang w:val="nl-NL"/>
              </w:rPr>
            </w:pPr>
            <w:r w:rsidRPr="008E345E">
              <w:rPr>
                <w:sz w:val="20"/>
                <w:szCs w:val="20"/>
                <w:lang w:val="nl-NL"/>
              </w:rPr>
              <w:t>2</w:t>
            </w:r>
            <w:r w:rsidR="00852186" w:rsidRPr="008E345E">
              <w:rPr>
                <w:sz w:val="20"/>
                <w:szCs w:val="20"/>
                <w:lang w:val="nl-NL"/>
              </w:rPr>
              <w:t>5</w:t>
            </w:r>
          </w:p>
        </w:tc>
      </w:tr>
      <w:tr w:rsidR="00CF5676" w:rsidRPr="008E345E" w14:paraId="029CC0C8" w14:textId="77777777" w:rsidTr="00EB09D7">
        <w:tc>
          <w:tcPr>
            <w:tcW w:w="5040" w:type="dxa"/>
            <w:tcBorders>
              <w:top w:val="single" w:sz="6" w:space="0" w:color="A6A6A6"/>
            </w:tcBorders>
            <w:shd w:val="clear" w:color="auto" w:fill="auto"/>
            <w:noWrap/>
            <w:hideMark/>
          </w:tcPr>
          <w:p w14:paraId="35C4B86D" w14:textId="77777777" w:rsidR="00CF5676" w:rsidRPr="008E345E" w:rsidRDefault="00CF5676" w:rsidP="00C87C03">
            <w:pPr>
              <w:jc w:val="left"/>
              <w:rPr>
                <w:sz w:val="20"/>
                <w:szCs w:val="20"/>
                <w:lang w:val="nl-NL"/>
              </w:rPr>
            </w:pPr>
            <w:r w:rsidRPr="008E345E">
              <w:rPr>
                <w:sz w:val="20"/>
                <w:szCs w:val="20"/>
                <w:lang w:val="nl-NL"/>
              </w:rPr>
              <w:t xml:space="preserve">Population </w:t>
            </w:r>
          </w:p>
        </w:tc>
        <w:tc>
          <w:tcPr>
            <w:tcW w:w="4066" w:type="dxa"/>
            <w:tcBorders>
              <w:top w:val="single" w:sz="6" w:space="0" w:color="A6A6A6"/>
            </w:tcBorders>
            <w:shd w:val="clear" w:color="auto" w:fill="auto"/>
            <w:noWrap/>
            <w:hideMark/>
          </w:tcPr>
          <w:p w14:paraId="56E3F78D" w14:textId="5A95C467" w:rsidR="00CF5676" w:rsidRPr="008E345E" w:rsidRDefault="00811752" w:rsidP="00773F0B">
            <w:pPr>
              <w:jc w:val="left"/>
              <w:rPr>
                <w:sz w:val="20"/>
                <w:szCs w:val="20"/>
                <w:lang w:val="nl-NL"/>
              </w:rPr>
            </w:pPr>
            <w:r w:rsidRPr="008E345E">
              <w:rPr>
                <w:sz w:val="20"/>
                <w:szCs w:val="20"/>
              </w:rPr>
              <w:t xml:space="preserve">807,069 (males </w:t>
            </w:r>
            <w:r w:rsidR="00773F0B">
              <w:rPr>
                <w:sz w:val="20"/>
                <w:szCs w:val="20"/>
              </w:rPr>
              <w:t>-</w:t>
            </w:r>
            <w:r w:rsidRPr="008E345E">
              <w:rPr>
                <w:sz w:val="20"/>
                <w:szCs w:val="20"/>
              </w:rPr>
              <w:t xml:space="preserve"> 405,285; females </w:t>
            </w:r>
            <w:r w:rsidR="00773F0B">
              <w:rPr>
                <w:sz w:val="20"/>
                <w:szCs w:val="20"/>
              </w:rPr>
              <w:t>-</w:t>
            </w:r>
            <w:r w:rsidRPr="008E345E">
              <w:rPr>
                <w:sz w:val="20"/>
                <w:szCs w:val="20"/>
              </w:rPr>
              <w:t xml:space="preserve"> 401,784)</w:t>
            </w:r>
          </w:p>
        </w:tc>
      </w:tr>
      <w:tr w:rsidR="00811752" w:rsidRPr="008E345E" w14:paraId="1B900B49" w14:textId="77777777" w:rsidTr="00EB09D7">
        <w:tc>
          <w:tcPr>
            <w:tcW w:w="5040" w:type="dxa"/>
            <w:tcBorders>
              <w:top w:val="single" w:sz="6" w:space="0" w:color="A6A6A6"/>
            </w:tcBorders>
            <w:shd w:val="clear" w:color="auto" w:fill="auto"/>
            <w:noWrap/>
          </w:tcPr>
          <w:p w14:paraId="026FA674" w14:textId="216B72DB" w:rsidR="00811752" w:rsidRPr="008E345E" w:rsidRDefault="00811752" w:rsidP="00C87C03">
            <w:pPr>
              <w:jc w:val="left"/>
              <w:rPr>
                <w:sz w:val="20"/>
                <w:szCs w:val="20"/>
                <w:lang w:val="nl-NL"/>
              </w:rPr>
            </w:pPr>
            <w:r w:rsidRPr="008E345E">
              <w:rPr>
                <w:color w:val="000000"/>
                <w:sz w:val="20"/>
                <w:szCs w:val="20"/>
              </w:rPr>
              <w:t>% Population living below poverty line</w:t>
            </w:r>
          </w:p>
        </w:tc>
        <w:tc>
          <w:tcPr>
            <w:tcW w:w="4066" w:type="dxa"/>
            <w:tcBorders>
              <w:top w:val="single" w:sz="6" w:space="0" w:color="A6A6A6"/>
            </w:tcBorders>
            <w:shd w:val="clear" w:color="auto" w:fill="auto"/>
            <w:noWrap/>
          </w:tcPr>
          <w:p w14:paraId="10515755" w14:textId="32220E0E" w:rsidR="00811752" w:rsidRPr="008E345E" w:rsidRDefault="00811752" w:rsidP="00773F0B">
            <w:pPr>
              <w:jc w:val="center"/>
              <w:rPr>
                <w:sz w:val="20"/>
                <w:szCs w:val="20"/>
                <w:lang w:val="nl-NL"/>
              </w:rPr>
            </w:pPr>
            <w:r w:rsidRPr="008E345E">
              <w:rPr>
                <w:color w:val="000000"/>
                <w:sz w:val="20"/>
                <w:szCs w:val="20"/>
              </w:rPr>
              <w:t>47</w:t>
            </w:r>
          </w:p>
        </w:tc>
      </w:tr>
      <w:tr w:rsidR="00811752" w:rsidRPr="008E345E" w14:paraId="784A2DE8" w14:textId="77777777" w:rsidTr="00EB09D7">
        <w:tc>
          <w:tcPr>
            <w:tcW w:w="5040" w:type="dxa"/>
            <w:tcBorders>
              <w:top w:val="single" w:sz="6" w:space="0" w:color="A6A6A6"/>
            </w:tcBorders>
            <w:shd w:val="clear" w:color="auto" w:fill="auto"/>
            <w:noWrap/>
            <w:hideMark/>
          </w:tcPr>
          <w:p w14:paraId="529C62FD" w14:textId="77777777" w:rsidR="00811752" w:rsidRPr="008E345E" w:rsidRDefault="00811752" w:rsidP="00C87C03">
            <w:pPr>
              <w:jc w:val="left"/>
              <w:rPr>
                <w:sz w:val="20"/>
                <w:szCs w:val="20"/>
                <w:lang w:val="nl-NL"/>
              </w:rPr>
            </w:pPr>
            <w:r w:rsidRPr="008E345E">
              <w:rPr>
                <w:sz w:val="20"/>
                <w:szCs w:val="20"/>
                <w:lang w:val="nl-NL"/>
              </w:rPr>
              <w:t>Population density per KM</w:t>
            </w:r>
            <w:r w:rsidRPr="008E345E">
              <w:rPr>
                <w:sz w:val="20"/>
                <w:szCs w:val="20"/>
                <w:vertAlign w:val="superscript"/>
                <w:lang w:val="nl-NL"/>
              </w:rPr>
              <w:t>2</w:t>
            </w:r>
          </w:p>
        </w:tc>
        <w:tc>
          <w:tcPr>
            <w:tcW w:w="4066" w:type="dxa"/>
            <w:tcBorders>
              <w:top w:val="single" w:sz="6" w:space="0" w:color="A6A6A6"/>
            </w:tcBorders>
            <w:shd w:val="clear" w:color="auto" w:fill="auto"/>
            <w:noWrap/>
            <w:hideMark/>
          </w:tcPr>
          <w:p w14:paraId="548E75CD" w14:textId="77777777" w:rsidR="00811752" w:rsidRPr="008E345E" w:rsidRDefault="00811752" w:rsidP="00773F0B">
            <w:pPr>
              <w:jc w:val="center"/>
              <w:rPr>
                <w:sz w:val="20"/>
                <w:szCs w:val="20"/>
                <w:lang w:val="nl-NL"/>
              </w:rPr>
            </w:pPr>
            <w:r w:rsidRPr="008E345E">
              <w:rPr>
                <w:sz w:val="20"/>
                <w:szCs w:val="20"/>
                <w:lang w:val="nl-NL"/>
              </w:rPr>
              <w:t>31</w:t>
            </w:r>
          </w:p>
        </w:tc>
      </w:tr>
      <w:tr w:rsidR="00811752" w:rsidRPr="008E345E" w14:paraId="4C7C3404" w14:textId="77777777" w:rsidTr="00EB09D7">
        <w:tc>
          <w:tcPr>
            <w:tcW w:w="5040" w:type="dxa"/>
            <w:tcBorders>
              <w:top w:val="single" w:sz="6" w:space="0" w:color="A6A6A6"/>
            </w:tcBorders>
            <w:shd w:val="clear" w:color="auto" w:fill="auto"/>
            <w:hideMark/>
          </w:tcPr>
          <w:p w14:paraId="50D027D3" w14:textId="77777777" w:rsidR="00811752" w:rsidRPr="008E345E" w:rsidRDefault="00811752" w:rsidP="00C87C03">
            <w:pPr>
              <w:jc w:val="left"/>
              <w:rPr>
                <w:sz w:val="20"/>
                <w:szCs w:val="20"/>
                <w:lang w:val="nl-NL"/>
              </w:rPr>
            </w:pPr>
            <w:r w:rsidRPr="008E345E">
              <w:rPr>
                <w:sz w:val="20"/>
                <w:szCs w:val="20"/>
                <w:lang w:val="nl-NL"/>
              </w:rPr>
              <w:t>Main economic activities</w:t>
            </w:r>
          </w:p>
        </w:tc>
        <w:tc>
          <w:tcPr>
            <w:tcW w:w="4066" w:type="dxa"/>
            <w:tcBorders>
              <w:top w:val="single" w:sz="6" w:space="0" w:color="A6A6A6"/>
            </w:tcBorders>
            <w:shd w:val="clear" w:color="auto" w:fill="auto"/>
            <w:hideMark/>
          </w:tcPr>
          <w:p w14:paraId="5C949DF2" w14:textId="1D5BC475" w:rsidR="00811752" w:rsidRPr="008E345E" w:rsidRDefault="00811752" w:rsidP="00773F0B">
            <w:pPr>
              <w:jc w:val="left"/>
              <w:rPr>
                <w:sz w:val="20"/>
                <w:szCs w:val="20"/>
                <w:lang w:val="nl-NL"/>
              </w:rPr>
            </w:pPr>
            <w:r w:rsidRPr="008E345E">
              <w:rPr>
                <w:sz w:val="20"/>
                <w:szCs w:val="20"/>
                <w:lang w:val="nl-NL"/>
              </w:rPr>
              <w:t>Pastoralism, agriculture, livestock trading, tourism</w:t>
            </w:r>
            <w:r w:rsidR="00773F0B">
              <w:rPr>
                <w:sz w:val="20"/>
                <w:szCs w:val="20"/>
                <w:lang w:val="nl-NL"/>
              </w:rPr>
              <w:t>,</w:t>
            </w:r>
            <w:r w:rsidRPr="008E345E">
              <w:rPr>
                <w:sz w:val="20"/>
                <w:szCs w:val="20"/>
                <w:lang w:val="nl-NL"/>
              </w:rPr>
              <w:t xml:space="preserve"> and mining</w:t>
            </w:r>
          </w:p>
        </w:tc>
      </w:tr>
      <w:tr w:rsidR="00811752" w:rsidRPr="008E345E" w14:paraId="052F3BB7" w14:textId="77777777" w:rsidTr="00EB09D7">
        <w:tc>
          <w:tcPr>
            <w:tcW w:w="5040" w:type="dxa"/>
            <w:tcBorders>
              <w:top w:val="single" w:sz="6" w:space="0" w:color="A6A6A6"/>
            </w:tcBorders>
            <w:shd w:val="clear" w:color="auto" w:fill="auto"/>
            <w:noWrap/>
          </w:tcPr>
          <w:p w14:paraId="53E454E5" w14:textId="77777777" w:rsidR="00811752" w:rsidRPr="00773F0B" w:rsidRDefault="00811752" w:rsidP="00C87C03">
            <w:pPr>
              <w:jc w:val="left"/>
              <w:rPr>
                <w:b/>
                <w:sz w:val="20"/>
                <w:szCs w:val="20"/>
                <w:lang w:val="nl-NL"/>
              </w:rPr>
            </w:pPr>
            <w:r w:rsidRPr="00773F0B">
              <w:rPr>
                <w:b/>
                <w:sz w:val="20"/>
                <w:szCs w:val="20"/>
                <w:lang w:val="nl-NL"/>
              </w:rPr>
              <w:t>Wage employment by sector:</w:t>
            </w:r>
          </w:p>
          <w:p w14:paraId="7999AE0E" w14:textId="3E9C8E6A" w:rsidR="00811752" w:rsidRPr="008E345E" w:rsidRDefault="00811752" w:rsidP="00773F0B">
            <w:pPr>
              <w:ind w:left="144"/>
              <w:jc w:val="left"/>
              <w:rPr>
                <w:sz w:val="20"/>
                <w:szCs w:val="20"/>
                <w:lang w:val="nl-NL"/>
              </w:rPr>
            </w:pPr>
            <w:r w:rsidRPr="008E345E">
              <w:rPr>
                <w:sz w:val="20"/>
                <w:szCs w:val="20"/>
                <w:lang w:val="nl-NL"/>
              </w:rPr>
              <w:t xml:space="preserve">National </w:t>
            </w:r>
            <w:r w:rsidR="00773F0B">
              <w:rPr>
                <w:sz w:val="20"/>
                <w:szCs w:val="20"/>
                <w:lang w:val="nl-NL"/>
              </w:rPr>
              <w:t>g</w:t>
            </w:r>
            <w:r w:rsidRPr="008E345E">
              <w:rPr>
                <w:sz w:val="20"/>
                <w:szCs w:val="20"/>
                <w:lang w:val="nl-NL"/>
              </w:rPr>
              <w:t>overnment</w:t>
            </w:r>
          </w:p>
          <w:p w14:paraId="17B73943" w14:textId="77777777" w:rsidR="00811752" w:rsidRPr="008E345E" w:rsidRDefault="00811752" w:rsidP="00773F0B">
            <w:pPr>
              <w:ind w:left="144"/>
              <w:jc w:val="left"/>
              <w:rPr>
                <w:sz w:val="20"/>
                <w:szCs w:val="20"/>
                <w:lang w:val="nl-NL"/>
              </w:rPr>
            </w:pPr>
            <w:r w:rsidRPr="008E345E">
              <w:rPr>
                <w:sz w:val="20"/>
                <w:szCs w:val="20"/>
                <w:lang w:val="nl-NL"/>
              </w:rPr>
              <w:t>County government</w:t>
            </w:r>
          </w:p>
          <w:p w14:paraId="6B1C81A6" w14:textId="17106109" w:rsidR="00811752" w:rsidRPr="008E345E" w:rsidRDefault="00811752" w:rsidP="00773F0B">
            <w:pPr>
              <w:ind w:left="144"/>
              <w:jc w:val="left"/>
              <w:rPr>
                <w:sz w:val="20"/>
                <w:szCs w:val="20"/>
                <w:lang w:val="nl-NL"/>
              </w:rPr>
            </w:pPr>
            <w:r w:rsidRPr="008E345E">
              <w:rPr>
                <w:sz w:val="20"/>
                <w:szCs w:val="20"/>
                <w:lang w:val="nl-NL"/>
              </w:rPr>
              <w:t>Teachers Service Commission</w:t>
            </w:r>
          </w:p>
        </w:tc>
        <w:tc>
          <w:tcPr>
            <w:tcW w:w="4066" w:type="dxa"/>
            <w:tcBorders>
              <w:top w:val="single" w:sz="6" w:space="0" w:color="A6A6A6"/>
            </w:tcBorders>
            <w:shd w:val="clear" w:color="auto" w:fill="auto"/>
            <w:noWrap/>
          </w:tcPr>
          <w:p w14:paraId="3FA6B3FE" w14:textId="77777777" w:rsidR="00811752" w:rsidRPr="008E345E" w:rsidRDefault="00811752" w:rsidP="00773F0B">
            <w:pPr>
              <w:jc w:val="center"/>
              <w:rPr>
                <w:sz w:val="20"/>
                <w:szCs w:val="20"/>
                <w:lang w:val="nl-NL"/>
              </w:rPr>
            </w:pPr>
            <w:r w:rsidRPr="008E345E">
              <w:rPr>
                <w:sz w:val="20"/>
                <w:szCs w:val="20"/>
                <w:lang w:val="nl-NL"/>
              </w:rPr>
              <w:t>4,110</w:t>
            </w:r>
          </w:p>
          <w:p w14:paraId="7953E652" w14:textId="35F6FEE3" w:rsidR="00811752" w:rsidRPr="008E345E" w:rsidRDefault="00811752" w:rsidP="00773F0B">
            <w:pPr>
              <w:jc w:val="center"/>
              <w:rPr>
                <w:sz w:val="20"/>
                <w:szCs w:val="20"/>
                <w:lang w:val="nl-NL"/>
              </w:rPr>
            </w:pPr>
            <w:r w:rsidRPr="008E345E">
              <w:rPr>
                <w:sz w:val="20"/>
                <w:szCs w:val="20"/>
                <w:lang w:val="nl-NL"/>
              </w:rPr>
              <w:t>2,798</w:t>
            </w:r>
          </w:p>
          <w:p w14:paraId="22B7C9D5" w14:textId="77777777" w:rsidR="00811752" w:rsidRPr="008E345E" w:rsidRDefault="00811752" w:rsidP="00773F0B">
            <w:pPr>
              <w:jc w:val="center"/>
              <w:rPr>
                <w:sz w:val="20"/>
                <w:szCs w:val="20"/>
                <w:lang w:val="nl-NL"/>
              </w:rPr>
            </w:pPr>
            <w:r w:rsidRPr="008E345E">
              <w:rPr>
                <w:sz w:val="20"/>
                <w:szCs w:val="20"/>
                <w:lang w:val="nl-NL"/>
              </w:rPr>
              <w:t>1,312</w:t>
            </w:r>
          </w:p>
          <w:p w14:paraId="7FC6B589" w14:textId="6A6758A7" w:rsidR="00811752" w:rsidRPr="008E345E" w:rsidRDefault="00773F0B" w:rsidP="00773F0B">
            <w:pPr>
              <w:jc w:val="center"/>
              <w:rPr>
                <w:sz w:val="20"/>
                <w:szCs w:val="20"/>
                <w:lang w:val="nl-NL"/>
              </w:rPr>
            </w:pPr>
            <w:r>
              <w:rPr>
                <w:sz w:val="20"/>
                <w:szCs w:val="20"/>
                <w:lang w:val="nl-NL"/>
              </w:rPr>
              <w:t>—</w:t>
            </w:r>
          </w:p>
        </w:tc>
      </w:tr>
      <w:tr w:rsidR="00811752" w:rsidRPr="008E345E" w14:paraId="2469F6A8" w14:textId="77777777" w:rsidTr="00EB09D7">
        <w:tc>
          <w:tcPr>
            <w:tcW w:w="5040" w:type="dxa"/>
            <w:tcBorders>
              <w:top w:val="single" w:sz="6" w:space="0" w:color="A6A6A6"/>
            </w:tcBorders>
            <w:shd w:val="clear" w:color="auto" w:fill="auto"/>
            <w:noWrap/>
            <w:hideMark/>
          </w:tcPr>
          <w:p w14:paraId="0012812C" w14:textId="19C0FC53" w:rsidR="00811752" w:rsidRPr="00773F0B" w:rsidRDefault="00811752" w:rsidP="00773F0B">
            <w:pPr>
              <w:jc w:val="left"/>
              <w:rPr>
                <w:b/>
                <w:sz w:val="20"/>
                <w:szCs w:val="20"/>
                <w:lang w:val="nl-NL"/>
              </w:rPr>
            </w:pPr>
            <w:r w:rsidRPr="00071A61">
              <w:rPr>
                <w:b/>
                <w:sz w:val="20"/>
                <w:szCs w:val="20"/>
                <w:lang w:val="nl-NL"/>
              </w:rPr>
              <w:t>E</w:t>
            </w:r>
            <w:r w:rsidR="00773F0B" w:rsidRPr="00071A61">
              <w:rPr>
                <w:b/>
                <w:sz w:val="20"/>
                <w:szCs w:val="20"/>
                <w:lang w:val="nl-NL"/>
              </w:rPr>
              <w:t xml:space="preserve">arly </w:t>
            </w:r>
            <w:r w:rsidRPr="00071A61">
              <w:rPr>
                <w:b/>
                <w:sz w:val="20"/>
                <w:szCs w:val="20"/>
                <w:lang w:val="nl-NL"/>
              </w:rPr>
              <w:t>C</w:t>
            </w:r>
            <w:r w:rsidR="00773F0B" w:rsidRPr="00071A61">
              <w:rPr>
                <w:b/>
                <w:sz w:val="20"/>
                <w:szCs w:val="20"/>
                <w:lang w:val="nl-NL"/>
              </w:rPr>
              <w:t xml:space="preserve">hildhood </w:t>
            </w:r>
            <w:r w:rsidRPr="00071A61">
              <w:rPr>
                <w:b/>
                <w:sz w:val="20"/>
                <w:szCs w:val="20"/>
                <w:lang w:val="nl-NL"/>
              </w:rPr>
              <w:t>D</w:t>
            </w:r>
            <w:r w:rsidR="00773F0B" w:rsidRPr="00071A61">
              <w:rPr>
                <w:b/>
                <w:sz w:val="20"/>
                <w:szCs w:val="20"/>
                <w:lang w:val="nl-NL"/>
              </w:rPr>
              <w:t xml:space="preserve">evelopment and </w:t>
            </w:r>
            <w:r w:rsidRPr="00071A61">
              <w:rPr>
                <w:b/>
                <w:sz w:val="20"/>
                <w:szCs w:val="20"/>
                <w:lang w:val="nl-NL"/>
              </w:rPr>
              <w:t>E</w:t>
            </w:r>
            <w:r w:rsidR="00773F0B" w:rsidRPr="00071A61">
              <w:rPr>
                <w:b/>
                <w:sz w:val="20"/>
                <w:szCs w:val="20"/>
                <w:lang w:val="nl-NL"/>
              </w:rPr>
              <w:t>ducation</w:t>
            </w:r>
            <w:r w:rsidRPr="00071A61">
              <w:rPr>
                <w:b/>
                <w:sz w:val="20"/>
                <w:szCs w:val="20"/>
                <w:lang w:val="nl-NL"/>
              </w:rPr>
              <w:t xml:space="preserve"> Cent</w:t>
            </w:r>
            <w:r w:rsidR="00773F0B" w:rsidRPr="00071A61">
              <w:rPr>
                <w:b/>
                <w:sz w:val="20"/>
                <w:szCs w:val="20"/>
                <w:lang w:val="nl-NL"/>
              </w:rPr>
              <w:t>e</w:t>
            </w:r>
            <w:r w:rsidRPr="00071A61">
              <w:rPr>
                <w:b/>
                <w:sz w:val="20"/>
                <w:szCs w:val="20"/>
                <w:lang w:val="nl-NL"/>
              </w:rPr>
              <w:t>rs</w:t>
            </w:r>
            <w:r w:rsidRPr="00773F0B">
              <w:rPr>
                <w:b/>
                <w:sz w:val="20"/>
                <w:szCs w:val="20"/>
                <w:lang w:val="nl-NL"/>
              </w:rPr>
              <w:t>:</w:t>
            </w:r>
          </w:p>
          <w:p w14:paraId="60F23678" w14:textId="77777777" w:rsidR="00811752" w:rsidRPr="008E345E" w:rsidRDefault="00811752" w:rsidP="00773F0B">
            <w:pPr>
              <w:ind w:left="144"/>
              <w:jc w:val="left"/>
              <w:rPr>
                <w:sz w:val="20"/>
                <w:szCs w:val="20"/>
                <w:lang w:val="nl-NL"/>
              </w:rPr>
            </w:pPr>
            <w:r w:rsidRPr="008E345E">
              <w:rPr>
                <w:sz w:val="20"/>
                <w:szCs w:val="20"/>
                <w:lang w:val="nl-NL"/>
              </w:rPr>
              <w:t>Public</w:t>
            </w:r>
          </w:p>
          <w:p w14:paraId="4720905B" w14:textId="77777777" w:rsidR="00811752" w:rsidRPr="008E345E" w:rsidRDefault="00811752" w:rsidP="00773F0B">
            <w:pPr>
              <w:ind w:left="144"/>
              <w:jc w:val="left"/>
              <w:rPr>
                <w:sz w:val="20"/>
                <w:szCs w:val="20"/>
                <w:lang w:val="nl-NL"/>
              </w:rPr>
            </w:pPr>
            <w:r w:rsidRPr="008E345E">
              <w:rPr>
                <w:sz w:val="20"/>
                <w:szCs w:val="20"/>
                <w:lang w:val="nl-NL"/>
              </w:rPr>
              <w:t>Private</w:t>
            </w:r>
          </w:p>
        </w:tc>
        <w:tc>
          <w:tcPr>
            <w:tcW w:w="4066" w:type="dxa"/>
            <w:tcBorders>
              <w:top w:val="single" w:sz="6" w:space="0" w:color="A6A6A6"/>
            </w:tcBorders>
            <w:shd w:val="clear" w:color="auto" w:fill="auto"/>
            <w:noWrap/>
            <w:hideMark/>
          </w:tcPr>
          <w:p w14:paraId="474ED6B7" w14:textId="5F9D2C18" w:rsidR="00811752" w:rsidRPr="008E345E" w:rsidRDefault="00811752" w:rsidP="00773F0B">
            <w:pPr>
              <w:jc w:val="center"/>
              <w:rPr>
                <w:sz w:val="20"/>
                <w:szCs w:val="20"/>
                <w:lang w:val="nl-NL"/>
              </w:rPr>
            </w:pPr>
            <w:r w:rsidRPr="008E345E">
              <w:rPr>
                <w:sz w:val="20"/>
                <w:szCs w:val="20"/>
                <w:lang w:val="nl-NL"/>
              </w:rPr>
              <w:t>811</w:t>
            </w:r>
          </w:p>
          <w:p w14:paraId="368FF449" w14:textId="2BB1888F" w:rsidR="00811752" w:rsidRPr="008E345E" w:rsidRDefault="00811752" w:rsidP="00773F0B">
            <w:pPr>
              <w:jc w:val="center"/>
              <w:rPr>
                <w:sz w:val="20"/>
                <w:szCs w:val="20"/>
                <w:lang w:val="nl-NL"/>
              </w:rPr>
            </w:pPr>
            <w:r w:rsidRPr="008E345E">
              <w:rPr>
                <w:sz w:val="20"/>
                <w:szCs w:val="20"/>
                <w:lang w:val="nl-NL"/>
              </w:rPr>
              <w:t>423</w:t>
            </w:r>
          </w:p>
          <w:p w14:paraId="4B9B6B23" w14:textId="77777777" w:rsidR="00811752" w:rsidRPr="008E345E" w:rsidRDefault="00811752" w:rsidP="00773F0B">
            <w:pPr>
              <w:jc w:val="center"/>
              <w:rPr>
                <w:sz w:val="20"/>
                <w:szCs w:val="20"/>
                <w:lang w:val="nl-NL"/>
              </w:rPr>
            </w:pPr>
            <w:r w:rsidRPr="008E345E">
              <w:rPr>
                <w:sz w:val="20"/>
                <w:szCs w:val="20"/>
                <w:lang w:val="nl-NL"/>
              </w:rPr>
              <w:t>388</w:t>
            </w:r>
          </w:p>
        </w:tc>
      </w:tr>
      <w:tr w:rsidR="00811752" w:rsidRPr="008E345E" w14:paraId="0A4A32FB" w14:textId="77777777" w:rsidTr="00EB09D7">
        <w:tc>
          <w:tcPr>
            <w:tcW w:w="5040" w:type="dxa"/>
            <w:tcBorders>
              <w:top w:val="single" w:sz="6" w:space="0" w:color="A6A6A6"/>
            </w:tcBorders>
            <w:shd w:val="clear" w:color="auto" w:fill="auto"/>
            <w:noWrap/>
            <w:hideMark/>
          </w:tcPr>
          <w:p w14:paraId="102855D0" w14:textId="77777777" w:rsidR="00811752" w:rsidRPr="00773F0B" w:rsidRDefault="00811752" w:rsidP="00C87C03">
            <w:pPr>
              <w:jc w:val="left"/>
              <w:rPr>
                <w:b/>
                <w:sz w:val="20"/>
                <w:szCs w:val="20"/>
                <w:lang w:val="nl-NL"/>
              </w:rPr>
            </w:pPr>
            <w:r w:rsidRPr="00773F0B">
              <w:rPr>
                <w:b/>
                <w:sz w:val="20"/>
                <w:szCs w:val="20"/>
                <w:lang w:val="nl-NL"/>
              </w:rPr>
              <w:t>No. of primary schools:</w:t>
            </w:r>
          </w:p>
          <w:p w14:paraId="7670CAAD" w14:textId="77777777" w:rsidR="00811752" w:rsidRPr="008E345E" w:rsidRDefault="00811752" w:rsidP="00773F0B">
            <w:pPr>
              <w:ind w:left="144"/>
              <w:jc w:val="left"/>
              <w:rPr>
                <w:sz w:val="20"/>
                <w:szCs w:val="20"/>
                <w:lang w:val="nl-NL"/>
              </w:rPr>
            </w:pPr>
            <w:r w:rsidRPr="008E345E">
              <w:rPr>
                <w:sz w:val="20"/>
                <w:szCs w:val="20"/>
                <w:lang w:val="nl-NL"/>
              </w:rPr>
              <w:t>Public</w:t>
            </w:r>
          </w:p>
          <w:p w14:paraId="601C3EF0" w14:textId="77777777" w:rsidR="00811752" w:rsidRPr="008E345E" w:rsidRDefault="00811752" w:rsidP="00773F0B">
            <w:pPr>
              <w:ind w:left="144"/>
              <w:jc w:val="left"/>
              <w:rPr>
                <w:sz w:val="20"/>
                <w:szCs w:val="20"/>
                <w:lang w:val="nl-NL"/>
              </w:rPr>
            </w:pPr>
            <w:r w:rsidRPr="008E345E">
              <w:rPr>
                <w:sz w:val="20"/>
                <w:szCs w:val="20"/>
                <w:lang w:val="nl-NL"/>
              </w:rPr>
              <w:t>Private</w:t>
            </w:r>
          </w:p>
        </w:tc>
        <w:tc>
          <w:tcPr>
            <w:tcW w:w="4066" w:type="dxa"/>
            <w:tcBorders>
              <w:top w:val="single" w:sz="6" w:space="0" w:color="A6A6A6"/>
            </w:tcBorders>
            <w:shd w:val="clear" w:color="auto" w:fill="auto"/>
            <w:noWrap/>
            <w:hideMark/>
          </w:tcPr>
          <w:p w14:paraId="36A77333" w14:textId="77777777" w:rsidR="00811752" w:rsidRPr="008E345E" w:rsidRDefault="00811752" w:rsidP="00773F0B">
            <w:pPr>
              <w:jc w:val="center"/>
              <w:rPr>
                <w:sz w:val="20"/>
                <w:szCs w:val="20"/>
                <w:lang w:val="nl-NL"/>
              </w:rPr>
            </w:pPr>
            <w:r w:rsidRPr="008E345E">
              <w:rPr>
                <w:sz w:val="20"/>
                <w:szCs w:val="20"/>
                <w:lang w:val="nl-NL"/>
              </w:rPr>
              <w:t>568</w:t>
            </w:r>
          </w:p>
          <w:p w14:paraId="50FB4896" w14:textId="54D0A8BE" w:rsidR="00811752" w:rsidRPr="008E345E" w:rsidRDefault="00811752" w:rsidP="00773F0B">
            <w:pPr>
              <w:jc w:val="center"/>
              <w:rPr>
                <w:b/>
                <w:sz w:val="20"/>
                <w:szCs w:val="20"/>
                <w:lang w:val="nl-NL"/>
              </w:rPr>
            </w:pPr>
            <w:r w:rsidRPr="008E345E">
              <w:rPr>
                <w:sz w:val="20"/>
                <w:szCs w:val="20"/>
                <w:lang w:val="nl-NL"/>
              </w:rPr>
              <w:t>372</w:t>
            </w:r>
          </w:p>
          <w:p w14:paraId="531C9342" w14:textId="63E67636" w:rsidR="00811752" w:rsidRPr="008E345E" w:rsidRDefault="00811752" w:rsidP="00773F0B">
            <w:pPr>
              <w:jc w:val="center"/>
              <w:rPr>
                <w:b/>
                <w:sz w:val="20"/>
                <w:szCs w:val="20"/>
                <w:lang w:val="nl-NL"/>
              </w:rPr>
            </w:pPr>
            <w:r w:rsidRPr="008E345E">
              <w:rPr>
                <w:sz w:val="20"/>
                <w:szCs w:val="20"/>
                <w:lang w:val="nl-NL"/>
              </w:rPr>
              <w:t>196</w:t>
            </w:r>
          </w:p>
        </w:tc>
      </w:tr>
      <w:tr w:rsidR="00811752" w:rsidRPr="008E345E" w14:paraId="75E14DD8" w14:textId="77777777" w:rsidTr="00EB09D7">
        <w:tc>
          <w:tcPr>
            <w:tcW w:w="5040" w:type="dxa"/>
            <w:tcBorders>
              <w:top w:val="single" w:sz="6" w:space="0" w:color="A6A6A6"/>
            </w:tcBorders>
            <w:shd w:val="clear" w:color="auto" w:fill="auto"/>
            <w:noWrap/>
            <w:hideMark/>
          </w:tcPr>
          <w:p w14:paraId="17360818" w14:textId="77777777" w:rsidR="00773F0B" w:rsidRPr="00773F0B" w:rsidRDefault="00811752" w:rsidP="00773F0B">
            <w:pPr>
              <w:jc w:val="left"/>
              <w:rPr>
                <w:b/>
                <w:sz w:val="20"/>
                <w:szCs w:val="20"/>
                <w:lang w:val="nl-NL"/>
              </w:rPr>
            </w:pPr>
            <w:r w:rsidRPr="00773F0B">
              <w:rPr>
                <w:b/>
                <w:sz w:val="20"/>
                <w:szCs w:val="20"/>
                <w:lang w:val="nl-NL"/>
              </w:rPr>
              <w:t>No. of secondary schools:</w:t>
            </w:r>
          </w:p>
          <w:p w14:paraId="5B927F27" w14:textId="0EE131FD" w:rsidR="00811752" w:rsidRPr="008E345E" w:rsidRDefault="00811752" w:rsidP="00773F0B">
            <w:pPr>
              <w:ind w:left="144"/>
              <w:jc w:val="left"/>
              <w:rPr>
                <w:sz w:val="20"/>
                <w:szCs w:val="20"/>
                <w:lang w:val="nl-NL"/>
              </w:rPr>
            </w:pPr>
            <w:r w:rsidRPr="008E345E">
              <w:rPr>
                <w:sz w:val="20"/>
                <w:szCs w:val="20"/>
                <w:lang w:val="nl-NL"/>
              </w:rPr>
              <w:t>Public</w:t>
            </w:r>
          </w:p>
          <w:p w14:paraId="1E24EF4F" w14:textId="77777777" w:rsidR="00811752" w:rsidRPr="008E345E" w:rsidRDefault="00811752" w:rsidP="00773F0B">
            <w:pPr>
              <w:ind w:left="144"/>
              <w:jc w:val="left"/>
              <w:rPr>
                <w:sz w:val="20"/>
                <w:szCs w:val="20"/>
                <w:lang w:val="nl-NL"/>
              </w:rPr>
            </w:pPr>
            <w:r w:rsidRPr="008E345E">
              <w:rPr>
                <w:sz w:val="20"/>
                <w:szCs w:val="20"/>
                <w:lang w:val="nl-NL"/>
              </w:rPr>
              <w:t>Private</w:t>
            </w:r>
          </w:p>
        </w:tc>
        <w:tc>
          <w:tcPr>
            <w:tcW w:w="4066" w:type="dxa"/>
            <w:tcBorders>
              <w:top w:val="single" w:sz="6" w:space="0" w:color="A6A6A6"/>
            </w:tcBorders>
            <w:shd w:val="clear" w:color="auto" w:fill="auto"/>
            <w:noWrap/>
            <w:hideMark/>
          </w:tcPr>
          <w:p w14:paraId="09FD7202" w14:textId="77777777" w:rsidR="00811752" w:rsidRPr="008E345E" w:rsidRDefault="00811752" w:rsidP="00773F0B">
            <w:pPr>
              <w:jc w:val="center"/>
              <w:rPr>
                <w:sz w:val="20"/>
                <w:szCs w:val="20"/>
                <w:lang w:val="nl-NL"/>
              </w:rPr>
            </w:pPr>
            <w:r w:rsidRPr="008E345E">
              <w:rPr>
                <w:sz w:val="20"/>
                <w:szCs w:val="20"/>
                <w:lang w:val="nl-NL"/>
              </w:rPr>
              <w:t>124</w:t>
            </w:r>
          </w:p>
          <w:p w14:paraId="5B0B7511" w14:textId="77777777" w:rsidR="00811752" w:rsidRPr="008E345E" w:rsidRDefault="00811752" w:rsidP="00773F0B">
            <w:pPr>
              <w:jc w:val="center"/>
              <w:rPr>
                <w:sz w:val="20"/>
                <w:szCs w:val="20"/>
                <w:lang w:val="nl-NL"/>
              </w:rPr>
            </w:pPr>
            <w:r w:rsidRPr="008E345E">
              <w:rPr>
                <w:sz w:val="20"/>
                <w:szCs w:val="20"/>
                <w:lang w:val="nl-NL"/>
              </w:rPr>
              <w:t>71</w:t>
            </w:r>
          </w:p>
          <w:p w14:paraId="6196EBCF" w14:textId="77777777" w:rsidR="00811752" w:rsidRPr="008E345E" w:rsidRDefault="00811752" w:rsidP="00773F0B">
            <w:pPr>
              <w:jc w:val="center"/>
              <w:rPr>
                <w:sz w:val="20"/>
                <w:szCs w:val="20"/>
                <w:lang w:val="nl-NL"/>
              </w:rPr>
            </w:pPr>
            <w:r w:rsidRPr="008E345E">
              <w:rPr>
                <w:sz w:val="20"/>
                <w:szCs w:val="20"/>
                <w:lang w:val="nl-NL"/>
              </w:rPr>
              <w:t>53</w:t>
            </w:r>
          </w:p>
        </w:tc>
      </w:tr>
      <w:tr w:rsidR="00811752" w:rsidRPr="008E345E" w14:paraId="6E323C73" w14:textId="77777777" w:rsidTr="00EB09D7">
        <w:tc>
          <w:tcPr>
            <w:tcW w:w="5040" w:type="dxa"/>
            <w:tcBorders>
              <w:top w:val="single" w:sz="6" w:space="0" w:color="A6A6A6"/>
            </w:tcBorders>
            <w:shd w:val="clear" w:color="auto" w:fill="auto"/>
            <w:noWrap/>
            <w:hideMark/>
          </w:tcPr>
          <w:p w14:paraId="5F745C04" w14:textId="77777777" w:rsidR="00811752" w:rsidRPr="008E345E" w:rsidRDefault="00811752" w:rsidP="00C87C03">
            <w:pPr>
              <w:jc w:val="left"/>
              <w:rPr>
                <w:sz w:val="20"/>
                <w:szCs w:val="20"/>
                <w:lang w:val="nl-NL"/>
              </w:rPr>
            </w:pPr>
            <w:r w:rsidRPr="008E345E">
              <w:rPr>
                <w:sz w:val="20"/>
                <w:szCs w:val="20"/>
                <w:lang w:val="nl-NL"/>
              </w:rPr>
              <w:t>No. of health facilities</w:t>
            </w:r>
          </w:p>
        </w:tc>
        <w:tc>
          <w:tcPr>
            <w:tcW w:w="4066" w:type="dxa"/>
            <w:tcBorders>
              <w:top w:val="single" w:sz="6" w:space="0" w:color="A6A6A6"/>
            </w:tcBorders>
            <w:shd w:val="clear" w:color="auto" w:fill="auto"/>
            <w:noWrap/>
            <w:hideMark/>
          </w:tcPr>
          <w:p w14:paraId="0DFAEBBC" w14:textId="77777777" w:rsidR="00811752" w:rsidRPr="008E345E" w:rsidRDefault="00811752" w:rsidP="00773F0B">
            <w:pPr>
              <w:jc w:val="center"/>
              <w:rPr>
                <w:sz w:val="20"/>
                <w:szCs w:val="20"/>
                <w:lang w:val="nl-NL"/>
              </w:rPr>
            </w:pPr>
            <w:r w:rsidRPr="008E345E">
              <w:rPr>
                <w:sz w:val="20"/>
                <w:szCs w:val="20"/>
                <w:lang w:val="nl-NL"/>
              </w:rPr>
              <w:t>234</w:t>
            </w:r>
          </w:p>
        </w:tc>
      </w:tr>
      <w:tr w:rsidR="00811752" w:rsidRPr="008E345E" w14:paraId="5D2A4F0D" w14:textId="77777777" w:rsidTr="00EB09D7">
        <w:tc>
          <w:tcPr>
            <w:tcW w:w="5040" w:type="dxa"/>
            <w:tcBorders>
              <w:top w:val="single" w:sz="6" w:space="0" w:color="A6A6A6"/>
            </w:tcBorders>
            <w:shd w:val="clear" w:color="auto" w:fill="auto"/>
            <w:noWrap/>
            <w:hideMark/>
          </w:tcPr>
          <w:p w14:paraId="1845E79D" w14:textId="688E3CAE" w:rsidR="00811752" w:rsidRPr="008E345E" w:rsidRDefault="00811752" w:rsidP="00C87C03">
            <w:pPr>
              <w:jc w:val="left"/>
              <w:rPr>
                <w:sz w:val="20"/>
                <w:szCs w:val="20"/>
                <w:lang w:val="nl-NL"/>
              </w:rPr>
            </w:pPr>
            <w:r w:rsidRPr="008E345E">
              <w:rPr>
                <w:sz w:val="20"/>
                <w:szCs w:val="20"/>
                <w:lang w:val="nl-NL"/>
              </w:rPr>
              <w:t>Doctor</w:t>
            </w:r>
            <w:r w:rsidR="00773F0B">
              <w:rPr>
                <w:sz w:val="20"/>
                <w:szCs w:val="20"/>
                <w:lang w:val="nl-NL"/>
              </w:rPr>
              <w:t>-</w:t>
            </w:r>
            <w:r w:rsidRPr="008E345E">
              <w:rPr>
                <w:sz w:val="20"/>
                <w:szCs w:val="20"/>
                <w:lang w:val="nl-NL"/>
              </w:rPr>
              <w:t>to</w:t>
            </w:r>
            <w:r w:rsidR="00773F0B">
              <w:rPr>
                <w:sz w:val="20"/>
                <w:szCs w:val="20"/>
                <w:lang w:val="nl-NL"/>
              </w:rPr>
              <w:t>-</w:t>
            </w:r>
            <w:r w:rsidRPr="008E345E">
              <w:rPr>
                <w:sz w:val="20"/>
                <w:szCs w:val="20"/>
                <w:lang w:val="nl-NL"/>
              </w:rPr>
              <w:t>population ratio</w:t>
            </w:r>
          </w:p>
        </w:tc>
        <w:tc>
          <w:tcPr>
            <w:tcW w:w="4066" w:type="dxa"/>
            <w:tcBorders>
              <w:top w:val="single" w:sz="6" w:space="0" w:color="A6A6A6"/>
            </w:tcBorders>
            <w:shd w:val="clear" w:color="auto" w:fill="auto"/>
            <w:noWrap/>
            <w:hideMark/>
          </w:tcPr>
          <w:p w14:paraId="4CD331CC" w14:textId="77777777" w:rsidR="00811752" w:rsidRPr="008E345E" w:rsidRDefault="00811752" w:rsidP="00773F0B">
            <w:pPr>
              <w:jc w:val="center"/>
              <w:rPr>
                <w:sz w:val="20"/>
                <w:szCs w:val="20"/>
                <w:lang w:val="nl-NL"/>
              </w:rPr>
            </w:pPr>
            <w:r w:rsidRPr="008E345E">
              <w:rPr>
                <w:sz w:val="20"/>
                <w:szCs w:val="20"/>
                <w:lang w:val="nl-NL"/>
              </w:rPr>
              <w:t>26,094</w:t>
            </w:r>
          </w:p>
        </w:tc>
      </w:tr>
    </w:tbl>
    <w:p w14:paraId="3B278DCC" w14:textId="43DA96C5" w:rsidR="00CF5676" w:rsidRPr="008E345E" w:rsidRDefault="00043BB3" w:rsidP="0045183B">
      <w:pPr>
        <w:pStyle w:val="Italic"/>
        <w:spacing w:after="240"/>
        <w:rPr>
          <w:sz w:val="20"/>
        </w:rPr>
      </w:pPr>
      <w:r w:rsidRPr="008E345E">
        <w:rPr>
          <w:sz w:val="20"/>
        </w:rPr>
        <w:t>S</w:t>
      </w:r>
      <w:r w:rsidR="00CF5676" w:rsidRPr="008E345E">
        <w:rPr>
          <w:sz w:val="20"/>
        </w:rPr>
        <w:t xml:space="preserve">ource: </w:t>
      </w:r>
      <w:r w:rsidR="00CF5676" w:rsidRPr="008E345E">
        <w:rPr>
          <w:i w:val="0"/>
          <w:sz w:val="20"/>
        </w:rPr>
        <w:t xml:space="preserve">CRA, </w:t>
      </w:r>
      <w:r w:rsidR="00773F0B" w:rsidRPr="00773F0B">
        <w:rPr>
          <w:i w:val="0"/>
          <w:sz w:val="20"/>
        </w:rPr>
        <w:t>County Integrated Development Plan</w:t>
      </w:r>
      <w:r w:rsidR="00773F0B">
        <w:rPr>
          <w:i w:val="0"/>
          <w:sz w:val="20"/>
        </w:rPr>
        <w:t xml:space="preserve"> (</w:t>
      </w:r>
      <w:r w:rsidR="00CF5676" w:rsidRPr="008E345E">
        <w:rPr>
          <w:i w:val="0"/>
          <w:sz w:val="20"/>
        </w:rPr>
        <w:t>CIDP</w:t>
      </w:r>
      <w:r w:rsidR="00773F0B">
        <w:rPr>
          <w:i w:val="0"/>
          <w:sz w:val="20"/>
        </w:rPr>
        <w:t>)</w:t>
      </w:r>
      <w:r w:rsidRPr="008E345E">
        <w:rPr>
          <w:i w:val="0"/>
          <w:sz w:val="20"/>
        </w:rPr>
        <w:t>,</w:t>
      </w:r>
      <w:r w:rsidR="00CF5676" w:rsidRPr="008E345E">
        <w:rPr>
          <w:i w:val="0"/>
          <w:sz w:val="20"/>
        </w:rPr>
        <w:t xml:space="preserve"> and </w:t>
      </w:r>
      <w:r w:rsidR="00ED31DF" w:rsidRPr="008E345E">
        <w:rPr>
          <w:i w:val="0"/>
          <w:sz w:val="20"/>
        </w:rPr>
        <w:t>Kajiado</w:t>
      </w:r>
      <w:r w:rsidR="00CF5676" w:rsidRPr="008E345E">
        <w:rPr>
          <w:i w:val="0"/>
          <w:sz w:val="20"/>
        </w:rPr>
        <w:t xml:space="preserve"> County Statistical Abstract 2015</w:t>
      </w:r>
      <w:r w:rsidR="0045183B">
        <w:rPr>
          <w:i w:val="0"/>
          <w:sz w:val="20"/>
        </w:rPr>
        <w:t>.</w:t>
      </w:r>
    </w:p>
    <w:p w14:paraId="7777B069" w14:textId="274FAF18" w:rsidR="00CF5676" w:rsidRPr="005849E4" w:rsidRDefault="00811752" w:rsidP="00EF7789">
      <w:pPr>
        <w:spacing w:after="240"/>
        <w:rPr>
          <w:sz w:val="22"/>
        </w:rPr>
      </w:pPr>
      <w:r w:rsidRPr="005849E4">
        <w:rPr>
          <w:sz w:val="22"/>
        </w:rPr>
        <w:t>Kajiado County is located in the Rift Valley in the southern part of Kenya</w:t>
      </w:r>
      <w:r w:rsidR="00773F0B">
        <w:rPr>
          <w:sz w:val="22"/>
        </w:rPr>
        <w:t>,</w:t>
      </w:r>
      <w:r w:rsidRPr="005849E4">
        <w:rPr>
          <w:sz w:val="22"/>
        </w:rPr>
        <w:t xml:space="preserve"> covering an area of 21,900.9 km</w:t>
      </w:r>
      <w:r w:rsidR="00773F0B" w:rsidRPr="001412E3">
        <w:rPr>
          <w:sz w:val="22"/>
          <w:vertAlign w:val="superscript"/>
        </w:rPr>
        <w:t>2</w:t>
      </w:r>
      <w:r w:rsidRPr="005849E4">
        <w:rPr>
          <w:sz w:val="22"/>
        </w:rPr>
        <w:t>. According to the Kenya National Bureau of Statistics (2013), the county had an estimated population of 807,069 in 2012</w:t>
      </w:r>
      <w:r w:rsidR="00773F0B">
        <w:rPr>
          <w:sz w:val="22"/>
        </w:rPr>
        <w:t>,</w:t>
      </w:r>
      <w:r w:rsidRPr="005849E4">
        <w:rPr>
          <w:sz w:val="22"/>
        </w:rPr>
        <w:t xml:space="preserve"> with a population growth rate of 5 per cent (Table 2.1).</w:t>
      </w:r>
      <w:r w:rsidR="00ED31DF" w:rsidRPr="005849E4">
        <w:rPr>
          <w:sz w:val="22"/>
        </w:rPr>
        <w:t xml:space="preserve"> The main economic activities undertaken in the county are</w:t>
      </w:r>
      <w:r w:rsidR="00ED31DF" w:rsidRPr="005849E4">
        <w:rPr>
          <w:color w:val="000000"/>
          <w:sz w:val="22"/>
        </w:rPr>
        <w:t xml:space="preserve"> </w:t>
      </w:r>
      <w:r w:rsidR="00773F0B">
        <w:rPr>
          <w:color w:val="000000"/>
          <w:sz w:val="22"/>
        </w:rPr>
        <w:t>p</w:t>
      </w:r>
      <w:r w:rsidR="00ED31DF" w:rsidRPr="005849E4">
        <w:rPr>
          <w:color w:val="000000"/>
          <w:sz w:val="22"/>
        </w:rPr>
        <w:t>astoralism, agriculture, livestock trading, tourism</w:t>
      </w:r>
      <w:r w:rsidR="00773F0B">
        <w:rPr>
          <w:color w:val="000000"/>
          <w:sz w:val="22"/>
        </w:rPr>
        <w:t>,</w:t>
      </w:r>
      <w:r w:rsidR="00ED31DF" w:rsidRPr="005849E4">
        <w:rPr>
          <w:color w:val="000000"/>
          <w:sz w:val="22"/>
        </w:rPr>
        <w:t xml:space="preserve"> and mining</w:t>
      </w:r>
      <w:r w:rsidR="00ED31DF" w:rsidRPr="005849E4">
        <w:rPr>
          <w:sz w:val="22"/>
        </w:rPr>
        <w:t xml:space="preserve">. </w:t>
      </w:r>
      <w:r w:rsidR="00773F0B">
        <w:rPr>
          <w:sz w:val="22"/>
        </w:rPr>
        <w:t>The h</w:t>
      </w:r>
      <w:r w:rsidR="00ED31DF" w:rsidRPr="005849E4">
        <w:rPr>
          <w:sz w:val="22"/>
        </w:rPr>
        <w:t xml:space="preserve">ealth sector requires </w:t>
      </w:r>
      <w:r w:rsidR="0094205A" w:rsidRPr="005849E4">
        <w:rPr>
          <w:sz w:val="22"/>
        </w:rPr>
        <w:t>hiring of more medical staff</w:t>
      </w:r>
      <w:r w:rsidR="00913048">
        <w:rPr>
          <w:sz w:val="22"/>
        </w:rPr>
        <w:t>,</w:t>
      </w:r>
      <w:r w:rsidR="0094205A" w:rsidRPr="005849E4">
        <w:rPr>
          <w:sz w:val="22"/>
        </w:rPr>
        <w:t xml:space="preserve"> as reflected by the high doctor</w:t>
      </w:r>
      <w:r w:rsidR="00913048">
        <w:rPr>
          <w:sz w:val="22"/>
        </w:rPr>
        <w:t>-to-</w:t>
      </w:r>
      <w:r w:rsidR="0094205A" w:rsidRPr="005849E4">
        <w:rPr>
          <w:sz w:val="22"/>
        </w:rPr>
        <w:t xml:space="preserve">population ratio. </w:t>
      </w:r>
    </w:p>
    <w:p w14:paraId="2FEEC004" w14:textId="77777777" w:rsidR="00CA52CE" w:rsidRPr="00890A84" w:rsidRDefault="00CA52CE" w:rsidP="00776E84">
      <w:pPr>
        <w:pStyle w:val="Heading2"/>
      </w:pPr>
      <w:bookmarkStart w:id="39" w:name="_Toc532426028"/>
      <w:r w:rsidRPr="00890A84">
        <w:t>Fiscal and budgetary trends</w:t>
      </w:r>
      <w:bookmarkEnd w:id="39"/>
    </w:p>
    <w:p w14:paraId="10A6DF6F" w14:textId="36FCF9CB" w:rsidR="0092523B" w:rsidRPr="005849E4" w:rsidRDefault="0092523B" w:rsidP="00EF7789">
      <w:pPr>
        <w:spacing w:after="240"/>
        <w:rPr>
          <w:sz w:val="22"/>
        </w:rPr>
      </w:pPr>
      <w:r w:rsidRPr="005849E4">
        <w:rPr>
          <w:sz w:val="22"/>
        </w:rPr>
        <w:t xml:space="preserve">The county government operates on a balanced budget as per the provisional projections. However, in the case of any unforeseen budget deficit, the county government must take efficient austerity measures to reduce expenditures prudently and to increase revenue collection to enhance </w:t>
      </w:r>
      <w:r w:rsidR="00CC5BC5" w:rsidRPr="005849E4">
        <w:rPr>
          <w:sz w:val="22"/>
        </w:rPr>
        <w:t>the b</w:t>
      </w:r>
      <w:r w:rsidRPr="005849E4">
        <w:rPr>
          <w:sz w:val="22"/>
        </w:rPr>
        <w:t xml:space="preserve">udget implementation. </w:t>
      </w:r>
    </w:p>
    <w:p w14:paraId="78D122D8" w14:textId="1F1A8C52" w:rsidR="003F1AC8" w:rsidRPr="005849E4" w:rsidRDefault="003F1AC8" w:rsidP="00EF7789">
      <w:pPr>
        <w:spacing w:after="240"/>
        <w:rPr>
          <w:sz w:val="22"/>
        </w:rPr>
      </w:pPr>
      <w:r w:rsidRPr="005849E4">
        <w:rPr>
          <w:sz w:val="22"/>
        </w:rPr>
        <w:t xml:space="preserve">The 2015/16 fiscal performance in the </w:t>
      </w:r>
      <w:r w:rsidR="009D494D" w:rsidRPr="005849E4">
        <w:rPr>
          <w:sz w:val="22"/>
        </w:rPr>
        <w:t xml:space="preserve">County Budget and Review Outlook Paper </w:t>
      </w:r>
      <w:r w:rsidR="009D494D">
        <w:rPr>
          <w:sz w:val="22"/>
        </w:rPr>
        <w:t>(</w:t>
      </w:r>
      <w:r w:rsidRPr="005849E4">
        <w:rPr>
          <w:sz w:val="22"/>
        </w:rPr>
        <w:t>CBROP</w:t>
      </w:r>
      <w:r w:rsidR="009D494D">
        <w:rPr>
          <w:sz w:val="22"/>
        </w:rPr>
        <w:t>)</w:t>
      </w:r>
      <w:r w:rsidRPr="005849E4">
        <w:rPr>
          <w:sz w:val="22"/>
        </w:rPr>
        <w:t xml:space="preserve"> states that local revenue collection amounted only 52 </w:t>
      </w:r>
      <w:r w:rsidR="000C3B27" w:rsidRPr="005849E4">
        <w:rPr>
          <w:sz w:val="22"/>
        </w:rPr>
        <w:t>per cent</w:t>
      </w:r>
      <w:r w:rsidRPr="005849E4">
        <w:rPr>
          <w:sz w:val="22"/>
        </w:rPr>
        <w:t xml:space="preserve"> of the FY2015/16 target</w:t>
      </w:r>
      <w:r w:rsidR="00913048">
        <w:rPr>
          <w:sz w:val="22"/>
        </w:rPr>
        <w:t>,</w:t>
      </w:r>
      <w:r w:rsidRPr="005849E4">
        <w:rPr>
          <w:sz w:val="22"/>
        </w:rPr>
        <w:t xml:space="preserve"> reflecting an under collection of </w:t>
      </w:r>
      <w:r w:rsidR="00E73ED7">
        <w:rPr>
          <w:sz w:val="22"/>
        </w:rPr>
        <w:t>Ksh</w:t>
      </w:r>
      <w:r w:rsidR="00913048">
        <w:rPr>
          <w:sz w:val="22"/>
        </w:rPr>
        <w:t xml:space="preserve"> </w:t>
      </w:r>
      <w:r w:rsidRPr="005849E4">
        <w:rPr>
          <w:sz w:val="22"/>
        </w:rPr>
        <w:t xml:space="preserve">0.61 billion. This </w:t>
      </w:r>
      <w:r w:rsidR="0092523B" w:rsidRPr="005849E4">
        <w:rPr>
          <w:sz w:val="22"/>
        </w:rPr>
        <w:t>was</w:t>
      </w:r>
      <w:r w:rsidRPr="005849E4">
        <w:rPr>
          <w:sz w:val="22"/>
        </w:rPr>
        <w:t xml:space="preserve"> also a </w:t>
      </w:r>
      <w:r w:rsidR="00582ACA" w:rsidRPr="005849E4">
        <w:rPr>
          <w:sz w:val="22"/>
        </w:rPr>
        <w:t>drop</w:t>
      </w:r>
      <w:r w:rsidR="00913048">
        <w:rPr>
          <w:sz w:val="22"/>
        </w:rPr>
        <w:t xml:space="preserve"> </w:t>
      </w:r>
      <w:r w:rsidR="00582ACA" w:rsidRPr="005849E4">
        <w:rPr>
          <w:sz w:val="22"/>
        </w:rPr>
        <w:t>in</w:t>
      </w:r>
      <w:r w:rsidRPr="005849E4">
        <w:rPr>
          <w:sz w:val="22"/>
        </w:rPr>
        <w:t xml:space="preserve"> performance by 16.2 percent compared to the actual revenue collected in FY2014/15.</w:t>
      </w:r>
    </w:p>
    <w:p w14:paraId="56D7F0BF" w14:textId="7A9DEAF5" w:rsidR="00E16C7C" w:rsidRPr="005849E4" w:rsidRDefault="003F1AC8" w:rsidP="00EF7789">
      <w:pPr>
        <w:spacing w:after="240"/>
        <w:rPr>
          <w:sz w:val="22"/>
        </w:rPr>
      </w:pPr>
      <w:r w:rsidRPr="005849E4">
        <w:rPr>
          <w:sz w:val="22"/>
        </w:rPr>
        <w:t xml:space="preserve">On the revenue side, </w:t>
      </w:r>
      <w:r w:rsidR="00E16C7C" w:rsidRPr="005849E4">
        <w:rPr>
          <w:sz w:val="22"/>
        </w:rPr>
        <w:t>overall actual expenditure</w:t>
      </w:r>
      <w:r w:rsidRPr="005849E4">
        <w:rPr>
          <w:sz w:val="22"/>
        </w:rPr>
        <w:t xml:space="preserve"> </w:t>
      </w:r>
      <w:r w:rsidR="00582ACA" w:rsidRPr="005849E4">
        <w:rPr>
          <w:sz w:val="22"/>
        </w:rPr>
        <w:t>indicates</w:t>
      </w:r>
      <w:r w:rsidRPr="005849E4">
        <w:rPr>
          <w:sz w:val="22"/>
        </w:rPr>
        <w:t xml:space="preserve"> a level of 75</w:t>
      </w:r>
      <w:r w:rsidR="00913048">
        <w:rPr>
          <w:sz w:val="22"/>
        </w:rPr>
        <w:t xml:space="preserve"> percent</w:t>
      </w:r>
      <w:r w:rsidR="004E6B38" w:rsidRPr="005849E4">
        <w:rPr>
          <w:sz w:val="22"/>
        </w:rPr>
        <w:t xml:space="preserve"> </w:t>
      </w:r>
      <w:r w:rsidRPr="005849E4">
        <w:rPr>
          <w:sz w:val="22"/>
        </w:rPr>
        <w:t>absorption, of which r</w:t>
      </w:r>
      <w:r w:rsidR="00E16C7C" w:rsidRPr="005849E4">
        <w:rPr>
          <w:sz w:val="22"/>
        </w:rPr>
        <w:t>ecurrent expenditure represent</w:t>
      </w:r>
      <w:r w:rsidR="00913048">
        <w:rPr>
          <w:sz w:val="22"/>
        </w:rPr>
        <w:t>s</w:t>
      </w:r>
      <w:r w:rsidR="00E16C7C" w:rsidRPr="005849E4">
        <w:rPr>
          <w:sz w:val="22"/>
        </w:rPr>
        <w:t xml:space="preserve"> 88 </w:t>
      </w:r>
      <w:r w:rsidR="000C3B27" w:rsidRPr="005849E4">
        <w:rPr>
          <w:sz w:val="22"/>
        </w:rPr>
        <w:t xml:space="preserve">percent </w:t>
      </w:r>
      <w:r w:rsidR="00E16C7C" w:rsidRPr="005849E4">
        <w:rPr>
          <w:sz w:val="22"/>
        </w:rPr>
        <w:t xml:space="preserve">absorption rate </w:t>
      </w:r>
      <w:r w:rsidR="00913048">
        <w:rPr>
          <w:sz w:val="22"/>
        </w:rPr>
        <w:t xml:space="preserve">and </w:t>
      </w:r>
      <w:r w:rsidR="00E16C7C" w:rsidRPr="005849E4">
        <w:rPr>
          <w:sz w:val="22"/>
        </w:rPr>
        <w:t xml:space="preserve">development expenditure </w:t>
      </w:r>
      <w:r w:rsidRPr="005849E4">
        <w:rPr>
          <w:sz w:val="22"/>
        </w:rPr>
        <w:t>accounted</w:t>
      </w:r>
      <w:r w:rsidR="00E16C7C" w:rsidRPr="005849E4">
        <w:rPr>
          <w:sz w:val="22"/>
        </w:rPr>
        <w:t xml:space="preserve"> for 57</w:t>
      </w:r>
      <w:r w:rsidR="00913048">
        <w:rPr>
          <w:sz w:val="22"/>
        </w:rPr>
        <w:t xml:space="preserve"> percent</w:t>
      </w:r>
      <w:r w:rsidR="00CF5676" w:rsidRPr="005849E4">
        <w:rPr>
          <w:sz w:val="22"/>
        </w:rPr>
        <w:t xml:space="preserve"> a</w:t>
      </w:r>
      <w:r w:rsidR="00E16C7C" w:rsidRPr="005849E4">
        <w:rPr>
          <w:sz w:val="22"/>
        </w:rPr>
        <w:t xml:space="preserve">bsorption. </w:t>
      </w:r>
    </w:p>
    <w:p w14:paraId="504A600A" w14:textId="1825BA30" w:rsidR="0092523B" w:rsidRPr="005849E4" w:rsidRDefault="00913048" w:rsidP="00EF7789">
      <w:pPr>
        <w:spacing w:after="240"/>
        <w:rPr>
          <w:sz w:val="22"/>
        </w:rPr>
      </w:pPr>
      <w:r>
        <w:rPr>
          <w:sz w:val="22"/>
        </w:rPr>
        <w:t>Table 2.2</w:t>
      </w:r>
      <w:r w:rsidR="003F1AC8" w:rsidRPr="005849E4">
        <w:rPr>
          <w:sz w:val="22"/>
        </w:rPr>
        <w:t xml:space="preserve"> presents the breakdown of resource and expenditure for the </w:t>
      </w:r>
      <w:r>
        <w:rPr>
          <w:sz w:val="22"/>
        </w:rPr>
        <w:t>c</w:t>
      </w:r>
      <w:r w:rsidR="003F1AC8" w:rsidRPr="005849E4">
        <w:rPr>
          <w:sz w:val="22"/>
        </w:rPr>
        <w:t xml:space="preserve">ounty government in </w:t>
      </w:r>
      <w:r w:rsidR="000C3B27" w:rsidRPr="005849E4">
        <w:rPr>
          <w:sz w:val="22"/>
        </w:rPr>
        <w:t>percent</w:t>
      </w:r>
      <w:r w:rsidR="003F1AC8" w:rsidRPr="005849E4">
        <w:rPr>
          <w:sz w:val="22"/>
        </w:rPr>
        <w:t>age of the GDP calculated for Kajiado. Only budget data is included as resources and expenditure outside the budget are not reported (see PI-6)</w:t>
      </w:r>
      <w:r w:rsidR="0092523B" w:rsidRPr="005849E4">
        <w:rPr>
          <w:sz w:val="22"/>
        </w:rPr>
        <w:t>.</w:t>
      </w:r>
    </w:p>
    <w:p w14:paraId="23DF07FC" w14:textId="7B975C26" w:rsidR="00325489" w:rsidRDefault="00FE07C0" w:rsidP="00590C8E">
      <w:pPr>
        <w:pStyle w:val="TableStyle"/>
      </w:pPr>
      <w:bookmarkStart w:id="40" w:name="_Toc532418100"/>
      <w:r w:rsidRPr="00890A84">
        <w:t>Table 2.</w:t>
      </w:r>
      <w:r w:rsidR="00426456" w:rsidRPr="00890A84">
        <w:fldChar w:fldCharType="begin"/>
      </w:r>
      <w:r w:rsidRPr="00890A84">
        <w:instrText xml:space="preserve"> SEQ Table_2. \* ARABIC </w:instrText>
      </w:r>
      <w:r w:rsidR="00426456" w:rsidRPr="00890A84">
        <w:fldChar w:fldCharType="separate"/>
      </w:r>
      <w:r w:rsidR="00D00E7B">
        <w:rPr>
          <w:noProof/>
        </w:rPr>
        <w:t>2</w:t>
      </w:r>
      <w:r w:rsidR="00426456" w:rsidRPr="00890A84">
        <w:fldChar w:fldCharType="end"/>
      </w:r>
      <w:r w:rsidRPr="00890A84">
        <w:t xml:space="preserve">: Aggregate fiscal </w:t>
      </w:r>
      <w:r w:rsidR="00F36DE9" w:rsidRPr="00890A84">
        <w:t xml:space="preserve">performance </w:t>
      </w:r>
      <w:r w:rsidRPr="00890A84">
        <w:t xml:space="preserve">data for </w:t>
      </w:r>
      <w:r w:rsidR="00F36DE9" w:rsidRPr="00890A84">
        <w:t xml:space="preserve">the last </w:t>
      </w:r>
      <w:r w:rsidR="00913048">
        <w:t>three</w:t>
      </w:r>
      <w:r w:rsidR="00913048" w:rsidRPr="00890A84">
        <w:t xml:space="preserve"> </w:t>
      </w:r>
      <w:r w:rsidR="00F36DE9" w:rsidRPr="00890A84">
        <w:t>FY</w:t>
      </w:r>
      <w:r w:rsidR="00275C4E">
        <w:t>s</w:t>
      </w:r>
      <w:r w:rsidR="00F36DE9" w:rsidRPr="00890A84">
        <w:t xml:space="preserve"> (in </w:t>
      </w:r>
      <w:r w:rsidR="00913048">
        <w:t>percentage</w:t>
      </w:r>
      <w:r w:rsidR="00913048" w:rsidRPr="00890A84">
        <w:t xml:space="preserve"> </w:t>
      </w:r>
      <w:r w:rsidR="00F36DE9" w:rsidRPr="00890A84">
        <w:t>of total revenues)</w:t>
      </w:r>
      <w:bookmarkEnd w:id="40"/>
    </w:p>
    <w:tbl>
      <w:tblPr>
        <w:tblW w:w="9180" w:type="dxa"/>
        <w:tblBorders>
          <w:top w:val="single" w:sz="6" w:space="0" w:color="006DB6"/>
          <w:left w:val="single" w:sz="6" w:space="0" w:color="006DB6"/>
          <w:bottom w:val="single" w:sz="6" w:space="0" w:color="006DB6"/>
          <w:right w:val="single" w:sz="6" w:space="0" w:color="006DB6"/>
          <w:insideV w:val="single" w:sz="6" w:space="0" w:color="006DB6"/>
        </w:tblBorders>
        <w:tblLook w:val="04A0" w:firstRow="1" w:lastRow="0" w:firstColumn="1" w:lastColumn="0" w:noHBand="0" w:noVBand="1"/>
      </w:tblPr>
      <w:tblGrid>
        <w:gridCol w:w="3690"/>
        <w:gridCol w:w="2070"/>
        <w:gridCol w:w="1460"/>
        <w:gridCol w:w="1960"/>
      </w:tblGrid>
      <w:tr w:rsidR="0037470C" w:rsidRPr="00C87C03" w14:paraId="344E9BF3" w14:textId="77777777" w:rsidTr="00913048">
        <w:trPr>
          <w:tblHeader/>
        </w:trPr>
        <w:tc>
          <w:tcPr>
            <w:tcW w:w="3690" w:type="dxa"/>
            <w:tcBorders>
              <w:top w:val="nil"/>
              <w:left w:val="nil"/>
              <w:bottom w:val="nil"/>
              <w:right w:val="nil"/>
              <w:tl2br w:val="nil"/>
              <w:tr2bl w:val="nil"/>
            </w:tcBorders>
            <w:shd w:val="pct70" w:color="4E93CA" w:fill="4E93CA"/>
            <w:hideMark/>
          </w:tcPr>
          <w:p w14:paraId="07EC73FB" w14:textId="77777777" w:rsidR="00325489" w:rsidRPr="00C87C03" w:rsidRDefault="00325489" w:rsidP="00C87C03">
            <w:pPr>
              <w:jc w:val="left"/>
              <w:rPr>
                <w:b/>
                <w:color w:val="FFFFFF" w:themeColor="background1"/>
                <w:sz w:val="20"/>
                <w:szCs w:val="20"/>
              </w:rPr>
            </w:pPr>
            <w:r w:rsidRPr="00C87C03">
              <w:rPr>
                <w:b/>
                <w:color w:val="FFFFFF" w:themeColor="background1"/>
                <w:sz w:val="20"/>
                <w:szCs w:val="20"/>
              </w:rPr>
              <w:t> </w:t>
            </w:r>
          </w:p>
        </w:tc>
        <w:tc>
          <w:tcPr>
            <w:tcW w:w="2070" w:type="dxa"/>
            <w:tcBorders>
              <w:top w:val="nil"/>
              <w:left w:val="nil"/>
              <w:bottom w:val="nil"/>
              <w:right w:val="nil"/>
              <w:tl2br w:val="nil"/>
              <w:tr2bl w:val="nil"/>
            </w:tcBorders>
            <w:shd w:val="pct70" w:color="4E93CA" w:fill="4E93CA"/>
            <w:hideMark/>
          </w:tcPr>
          <w:p w14:paraId="152A1E55" w14:textId="77B842F0" w:rsidR="00325489" w:rsidRPr="00C87C03" w:rsidRDefault="00325489" w:rsidP="00400265">
            <w:pPr>
              <w:jc w:val="center"/>
              <w:rPr>
                <w:b/>
                <w:color w:val="FFFFFF" w:themeColor="background1"/>
                <w:sz w:val="20"/>
                <w:szCs w:val="20"/>
              </w:rPr>
            </w:pPr>
            <w:r w:rsidRPr="00C87C03">
              <w:rPr>
                <w:b/>
                <w:color w:val="FFFFFF" w:themeColor="background1"/>
                <w:sz w:val="20"/>
                <w:szCs w:val="20"/>
              </w:rPr>
              <w:t>2013</w:t>
            </w:r>
            <w:r w:rsidR="00913048">
              <w:rPr>
                <w:b/>
                <w:color w:val="FFFFFF" w:themeColor="background1"/>
                <w:sz w:val="20"/>
                <w:szCs w:val="20"/>
              </w:rPr>
              <w:t>–</w:t>
            </w:r>
            <w:r w:rsidRPr="00C87C03">
              <w:rPr>
                <w:b/>
                <w:color w:val="FFFFFF" w:themeColor="background1"/>
                <w:sz w:val="20"/>
                <w:szCs w:val="20"/>
              </w:rPr>
              <w:t>2014</w:t>
            </w:r>
          </w:p>
        </w:tc>
        <w:tc>
          <w:tcPr>
            <w:tcW w:w="1460" w:type="dxa"/>
            <w:tcBorders>
              <w:top w:val="nil"/>
              <w:left w:val="nil"/>
              <w:bottom w:val="nil"/>
              <w:right w:val="nil"/>
              <w:tl2br w:val="nil"/>
              <w:tr2bl w:val="nil"/>
            </w:tcBorders>
            <w:shd w:val="pct70" w:color="4E93CA" w:fill="4E93CA"/>
            <w:hideMark/>
          </w:tcPr>
          <w:p w14:paraId="0BDA548F" w14:textId="72ECF98E" w:rsidR="00325489" w:rsidRPr="00C87C03" w:rsidRDefault="00325489" w:rsidP="00400265">
            <w:pPr>
              <w:jc w:val="center"/>
              <w:rPr>
                <w:b/>
                <w:color w:val="FFFFFF" w:themeColor="background1"/>
                <w:sz w:val="20"/>
                <w:szCs w:val="20"/>
              </w:rPr>
            </w:pPr>
            <w:r w:rsidRPr="00C87C03">
              <w:rPr>
                <w:b/>
                <w:color w:val="FFFFFF" w:themeColor="background1"/>
                <w:sz w:val="20"/>
                <w:szCs w:val="20"/>
              </w:rPr>
              <w:t>2014</w:t>
            </w:r>
            <w:r w:rsidR="00913048">
              <w:rPr>
                <w:b/>
                <w:color w:val="FFFFFF" w:themeColor="background1"/>
                <w:sz w:val="20"/>
                <w:szCs w:val="20"/>
              </w:rPr>
              <w:t>–</w:t>
            </w:r>
            <w:r w:rsidRPr="00C87C03">
              <w:rPr>
                <w:b/>
                <w:color w:val="FFFFFF" w:themeColor="background1"/>
                <w:sz w:val="20"/>
                <w:szCs w:val="20"/>
              </w:rPr>
              <w:t>2015</w:t>
            </w:r>
          </w:p>
        </w:tc>
        <w:tc>
          <w:tcPr>
            <w:tcW w:w="1960" w:type="dxa"/>
            <w:tcBorders>
              <w:top w:val="nil"/>
              <w:left w:val="nil"/>
              <w:bottom w:val="nil"/>
              <w:right w:val="nil"/>
              <w:tl2br w:val="nil"/>
              <w:tr2bl w:val="nil"/>
            </w:tcBorders>
            <w:shd w:val="pct70" w:color="4E93CA" w:fill="4E93CA"/>
            <w:hideMark/>
          </w:tcPr>
          <w:p w14:paraId="51EAB5D5" w14:textId="082EACE8" w:rsidR="00325489" w:rsidRPr="00C87C03" w:rsidRDefault="00325489" w:rsidP="00400265">
            <w:pPr>
              <w:jc w:val="center"/>
              <w:rPr>
                <w:b/>
                <w:color w:val="FFFFFF" w:themeColor="background1"/>
                <w:sz w:val="20"/>
                <w:szCs w:val="20"/>
              </w:rPr>
            </w:pPr>
            <w:r w:rsidRPr="00C87C03">
              <w:rPr>
                <w:b/>
                <w:color w:val="FFFFFF" w:themeColor="background1"/>
                <w:sz w:val="20"/>
                <w:szCs w:val="20"/>
              </w:rPr>
              <w:t>2015</w:t>
            </w:r>
            <w:r w:rsidR="00913048">
              <w:rPr>
                <w:b/>
                <w:color w:val="FFFFFF" w:themeColor="background1"/>
                <w:sz w:val="20"/>
                <w:szCs w:val="20"/>
              </w:rPr>
              <w:t>–</w:t>
            </w:r>
            <w:r w:rsidRPr="00C87C03">
              <w:rPr>
                <w:b/>
                <w:color w:val="FFFFFF" w:themeColor="background1"/>
                <w:sz w:val="20"/>
                <w:szCs w:val="20"/>
              </w:rPr>
              <w:t>2016</w:t>
            </w:r>
          </w:p>
        </w:tc>
      </w:tr>
      <w:tr w:rsidR="00325489" w:rsidRPr="00C87C03" w14:paraId="6A8721B7" w14:textId="77777777" w:rsidTr="00913048">
        <w:tc>
          <w:tcPr>
            <w:tcW w:w="3690" w:type="dxa"/>
            <w:tcBorders>
              <w:top w:val="single" w:sz="6" w:space="0" w:color="A6A6A6"/>
            </w:tcBorders>
            <w:shd w:val="clear" w:color="auto" w:fill="auto"/>
            <w:hideMark/>
          </w:tcPr>
          <w:p w14:paraId="46C17E83" w14:textId="77777777" w:rsidR="00325489" w:rsidRPr="00913048" w:rsidRDefault="00325489" w:rsidP="00C87C03">
            <w:pPr>
              <w:jc w:val="left"/>
              <w:rPr>
                <w:b/>
                <w:sz w:val="20"/>
                <w:szCs w:val="20"/>
              </w:rPr>
            </w:pPr>
            <w:r w:rsidRPr="00913048">
              <w:rPr>
                <w:b/>
                <w:sz w:val="20"/>
                <w:szCs w:val="20"/>
              </w:rPr>
              <w:t>RECEIPTS</w:t>
            </w:r>
          </w:p>
        </w:tc>
        <w:tc>
          <w:tcPr>
            <w:tcW w:w="2070" w:type="dxa"/>
            <w:tcBorders>
              <w:top w:val="single" w:sz="6" w:space="0" w:color="A6A6A6"/>
            </w:tcBorders>
            <w:shd w:val="clear" w:color="auto" w:fill="auto"/>
            <w:hideMark/>
          </w:tcPr>
          <w:p w14:paraId="081F3B23" w14:textId="77777777" w:rsidR="00325489" w:rsidRPr="00C87C03" w:rsidRDefault="00325489" w:rsidP="00400265">
            <w:pPr>
              <w:jc w:val="center"/>
              <w:rPr>
                <w:sz w:val="20"/>
                <w:szCs w:val="20"/>
              </w:rPr>
            </w:pPr>
          </w:p>
        </w:tc>
        <w:tc>
          <w:tcPr>
            <w:tcW w:w="1460" w:type="dxa"/>
            <w:tcBorders>
              <w:top w:val="single" w:sz="6" w:space="0" w:color="A6A6A6"/>
            </w:tcBorders>
            <w:shd w:val="clear" w:color="auto" w:fill="auto"/>
            <w:hideMark/>
          </w:tcPr>
          <w:p w14:paraId="312C757F" w14:textId="77777777" w:rsidR="00325489" w:rsidRPr="00C87C03" w:rsidRDefault="00325489" w:rsidP="00400265">
            <w:pPr>
              <w:jc w:val="center"/>
              <w:rPr>
                <w:sz w:val="20"/>
                <w:szCs w:val="20"/>
              </w:rPr>
            </w:pPr>
          </w:p>
        </w:tc>
        <w:tc>
          <w:tcPr>
            <w:tcW w:w="1960" w:type="dxa"/>
            <w:tcBorders>
              <w:top w:val="single" w:sz="6" w:space="0" w:color="A6A6A6"/>
            </w:tcBorders>
            <w:shd w:val="clear" w:color="auto" w:fill="auto"/>
            <w:hideMark/>
          </w:tcPr>
          <w:p w14:paraId="11A4636E" w14:textId="77777777" w:rsidR="00325489" w:rsidRPr="00C87C03" w:rsidRDefault="00325489" w:rsidP="00400265">
            <w:pPr>
              <w:jc w:val="center"/>
              <w:rPr>
                <w:sz w:val="20"/>
                <w:szCs w:val="20"/>
              </w:rPr>
            </w:pPr>
          </w:p>
        </w:tc>
      </w:tr>
      <w:tr w:rsidR="00325489" w:rsidRPr="00C87C03" w14:paraId="7BAD3374" w14:textId="77777777" w:rsidTr="00913048">
        <w:tc>
          <w:tcPr>
            <w:tcW w:w="3690" w:type="dxa"/>
            <w:tcBorders>
              <w:top w:val="single" w:sz="6" w:space="0" w:color="A6A6A6"/>
            </w:tcBorders>
            <w:shd w:val="clear" w:color="auto" w:fill="auto"/>
            <w:hideMark/>
          </w:tcPr>
          <w:p w14:paraId="5D255081" w14:textId="77777777" w:rsidR="00325489" w:rsidRPr="00C87C03" w:rsidRDefault="00325489" w:rsidP="00C87C03">
            <w:pPr>
              <w:jc w:val="left"/>
              <w:rPr>
                <w:sz w:val="20"/>
                <w:szCs w:val="20"/>
              </w:rPr>
            </w:pPr>
            <w:r w:rsidRPr="00C87C03">
              <w:rPr>
                <w:sz w:val="20"/>
                <w:szCs w:val="20"/>
              </w:rPr>
              <w:t>Transfers from National Treasury 4</w:t>
            </w:r>
          </w:p>
        </w:tc>
        <w:tc>
          <w:tcPr>
            <w:tcW w:w="2070" w:type="dxa"/>
            <w:tcBorders>
              <w:top w:val="single" w:sz="6" w:space="0" w:color="A6A6A6"/>
            </w:tcBorders>
            <w:shd w:val="clear" w:color="auto" w:fill="auto"/>
            <w:hideMark/>
          </w:tcPr>
          <w:p w14:paraId="7B8E5BB2" w14:textId="3E511887" w:rsidR="00325489" w:rsidRPr="00C87C03" w:rsidRDefault="00325489" w:rsidP="00913048">
            <w:pPr>
              <w:tabs>
                <w:tab w:val="decimal" w:pos="911"/>
              </w:tabs>
              <w:jc w:val="left"/>
              <w:rPr>
                <w:sz w:val="20"/>
                <w:szCs w:val="20"/>
              </w:rPr>
            </w:pPr>
            <w:r w:rsidRPr="00C87C03">
              <w:rPr>
                <w:sz w:val="20"/>
                <w:szCs w:val="20"/>
              </w:rPr>
              <w:t>98</w:t>
            </w:r>
            <w:r w:rsidR="00913048">
              <w:rPr>
                <w:sz w:val="20"/>
                <w:szCs w:val="20"/>
              </w:rPr>
              <w:t>.</w:t>
            </w:r>
            <w:r w:rsidRPr="00C87C03">
              <w:rPr>
                <w:sz w:val="20"/>
                <w:szCs w:val="20"/>
              </w:rPr>
              <w:t>1</w:t>
            </w:r>
          </w:p>
        </w:tc>
        <w:tc>
          <w:tcPr>
            <w:tcW w:w="1460" w:type="dxa"/>
            <w:tcBorders>
              <w:top w:val="single" w:sz="6" w:space="0" w:color="A6A6A6"/>
            </w:tcBorders>
            <w:shd w:val="clear" w:color="auto" w:fill="auto"/>
            <w:hideMark/>
          </w:tcPr>
          <w:p w14:paraId="1F60BF04" w14:textId="10CBC298" w:rsidR="00325489" w:rsidRPr="00C87C03" w:rsidRDefault="00325489" w:rsidP="00913048">
            <w:pPr>
              <w:tabs>
                <w:tab w:val="decimal" w:pos="702"/>
              </w:tabs>
              <w:jc w:val="left"/>
              <w:rPr>
                <w:sz w:val="20"/>
                <w:szCs w:val="20"/>
              </w:rPr>
            </w:pPr>
            <w:r w:rsidRPr="00C87C03">
              <w:rPr>
                <w:sz w:val="20"/>
                <w:szCs w:val="20"/>
              </w:rPr>
              <w:t>83</w:t>
            </w:r>
            <w:r w:rsidR="00913048">
              <w:rPr>
                <w:sz w:val="20"/>
                <w:szCs w:val="20"/>
              </w:rPr>
              <w:t>.</w:t>
            </w:r>
            <w:r w:rsidRPr="00C87C03">
              <w:rPr>
                <w:sz w:val="20"/>
                <w:szCs w:val="20"/>
              </w:rPr>
              <w:t>3</w:t>
            </w:r>
          </w:p>
        </w:tc>
        <w:tc>
          <w:tcPr>
            <w:tcW w:w="1960" w:type="dxa"/>
            <w:tcBorders>
              <w:top w:val="single" w:sz="6" w:space="0" w:color="A6A6A6"/>
            </w:tcBorders>
            <w:shd w:val="clear" w:color="auto" w:fill="auto"/>
            <w:hideMark/>
          </w:tcPr>
          <w:p w14:paraId="5D8CBFF6" w14:textId="1861B692" w:rsidR="00325489" w:rsidRPr="00C87C03" w:rsidRDefault="00325489" w:rsidP="00913048">
            <w:pPr>
              <w:tabs>
                <w:tab w:val="decimal" w:pos="862"/>
              </w:tabs>
              <w:jc w:val="left"/>
              <w:rPr>
                <w:sz w:val="20"/>
                <w:szCs w:val="20"/>
              </w:rPr>
            </w:pPr>
            <w:r w:rsidRPr="00C87C03">
              <w:rPr>
                <w:sz w:val="20"/>
                <w:szCs w:val="20"/>
              </w:rPr>
              <w:t>84</w:t>
            </w:r>
            <w:r w:rsidR="00913048">
              <w:rPr>
                <w:sz w:val="20"/>
                <w:szCs w:val="20"/>
              </w:rPr>
              <w:t>.</w:t>
            </w:r>
            <w:r w:rsidRPr="00C87C03">
              <w:rPr>
                <w:sz w:val="20"/>
                <w:szCs w:val="20"/>
              </w:rPr>
              <w:t>4</w:t>
            </w:r>
          </w:p>
        </w:tc>
      </w:tr>
      <w:tr w:rsidR="00325489" w:rsidRPr="00C87C03" w14:paraId="12D2477D" w14:textId="77777777" w:rsidTr="00913048">
        <w:tc>
          <w:tcPr>
            <w:tcW w:w="3690" w:type="dxa"/>
            <w:tcBorders>
              <w:top w:val="single" w:sz="6" w:space="0" w:color="A6A6A6"/>
            </w:tcBorders>
            <w:shd w:val="clear" w:color="auto" w:fill="auto"/>
            <w:hideMark/>
          </w:tcPr>
          <w:p w14:paraId="3E9BE958" w14:textId="77777777" w:rsidR="00325489" w:rsidRPr="00C87C03" w:rsidRDefault="00325489" w:rsidP="00C87C03">
            <w:pPr>
              <w:jc w:val="left"/>
              <w:rPr>
                <w:sz w:val="20"/>
                <w:szCs w:val="20"/>
              </w:rPr>
            </w:pPr>
            <w:r w:rsidRPr="00C87C03">
              <w:rPr>
                <w:sz w:val="20"/>
                <w:szCs w:val="20"/>
              </w:rPr>
              <w:t>Transfers from Other Government Entities</w:t>
            </w:r>
          </w:p>
        </w:tc>
        <w:tc>
          <w:tcPr>
            <w:tcW w:w="2070" w:type="dxa"/>
            <w:tcBorders>
              <w:top w:val="single" w:sz="6" w:space="0" w:color="A6A6A6"/>
            </w:tcBorders>
            <w:shd w:val="clear" w:color="auto" w:fill="auto"/>
            <w:hideMark/>
          </w:tcPr>
          <w:p w14:paraId="7E53A6B6" w14:textId="2BFA7567" w:rsidR="00325489" w:rsidRPr="00C87C03" w:rsidRDefault="00325489" w:rsidP="00913048">
            <w:pPr>
              <w:tabs>
                <w:tab w:val="decimal" w:pos="911"/>
              </w:tabs>
              <w:jc w:val="left"/>
              <w:rPr>
                <w:sz w:val="20"/>
                <w:szCs w:val="20"/>
              </w:rPr>
            </w:pPr>
            <w:r w:rsidRPr="00C87C03">
              <w:rPr>
                <w:sz w:val="20"/>
                <w:szCs w:val="20"/>
              </w:rPr>
              <w:t>1</w:t>
            </w:r>
            <w:r w:rsidR="00913048">
              <w:rPr>
                <w:sz w:val="20"/>
                <w:szCs w:val="20"/>
              </w:rPr>
              <w:t>.</w:t>
            </w:r>
            <w:r w:rsidRPr="00C87C03">
              <w:rPr>
                <w:sz w:val="20"/>
                <w:szCs w:val="20"/>
              </w:rPr>
              <w:t>9</w:t>
            </w:r>
          </w:p>
        </w:tc>
        <w:tc>
          <w:tcPr>
            <w:tcW w:w="1460" w:type="dxa"/>
            <w:tcBorders>
              <w:top w:val="single" w:sz="6" w:space="0" w:color="A6A6A6"/>
            </w:tcBorders>
            <w:shd w:val="clear" w:color="auto" w:fill="auto"/>
            <w:hideMark/>
          </w:tcPr>
          <w:p w14:paraId="6A2F9AD6" w14:textId="77777777" w:rsidR="00325489" w:rsidRPr="00C87C03" w:rsidRDefault="00325489" w:rsidP="00913048">
            <w:pPr>
              <w:tabs>
                <w:tab w:val="decimal" w:pos="702"/>
              </w:tabs>
              <w:jc w:val="left"/>
              <w:rPr>
                <w:sz w:val="20"/>
                <w:szCs w:val="20"/>
              </w:rPr>
            </w:pPr>
          </w:p>
        </w:tc>
        <w:tc>
          <w:tcPr>
            <w:tcW w:w="1960" w:type="dxa"/>
            <w:tcBorders>
              <w:top w:val="single" w:sz="6" w:space="0" w:color="A6A6A6"/>
            </w:tcBorders>
            <w:shd w:val="clear" w:color="auto" w:fill="auto"/>
            <w:hideMark/>
          </w:tcPr>
          <w:p w14:paraId="3F53F45C" w14:textId="5D774E7B" w:rsidR="00325489" w:rsidRPr="00C87C03" w:rsidRDefault="00325489" w:rsidP="00913048">
            <w:pPr>
              <w:tabs>
                <w:tab w:val="decimal" w:pos="862"/>
              </w:tabs>
              <w:jc w:val="left"/>
              <w:rPr>
                <w:sz w:val="20"/>
                <w:szCs w:val="20"/>
              </w:rPr>
            </w:pPr>
            <w:r w:rsidRPr="00C87C03">
              <w:rPr>
                <w:sz w:val="20"/>
                <w:szCs w:val="20"/>
              </w:rPr>
              <w:t>3</w:t>
            </w:r>
            <w:r w:rsidR="00913048">
              <w:rPr>
                <w:sz w:val="20"/>
                <w:szCs w:val="20"/>
              </w:rPr>
              <w:t>.</w:t>
            </w:r>
            <w:r w:rsidRPr="00C87C03">
              <w:rPr>
                <w:sz w:val="20"/>
                <w:szCs w:val="20"/>
              </w:rPr>
              <w:t>2</w:t>
            </w:r>
          </w:p>
        </w:tc>
      </w:tr>
      <w:tr w:rsidR="00325489" w:rsidRPr="00C87C03" w14:paraId="0219EAC1" w14:textId="77777777" w:rsidTr="00913048">
        <w:tc>
          <w:tcPr>
            <w:tcW w:w="3690" w:type="dxa"/>
            <w:tcBorders>
              <w:top w:val="single" w:sz="6" w:space="0" w:color="A6A6A6"/>
            </w:tcBorders>
            <w:shd w:val="clear" w:color="auto" w:fill="auto"/>
            <w:hideMark/>
          </w:tcPr>
          <w:p w14:paraId="280D46A0" w14:textId="77777777" w:rsidR="00325489" w:rsidRPr="00C87C03" w:rsidRDefault="00325489" w:rsidP="00C87C03">
            <w:pPr>
              <w:jc w:val="left"/>
              <w:rPr>
                <w:sz w:val="20"/>
                <w:szCs w:val="20"/>
              </w:rPr>
            </w:pPr>
            <w:r w:rsidRPr="00C87C03">
              <w:rPr>
                <w:sz w:val="20"/>
                <w:szCs w:val="20"/>
              </w:rPr>
              <w:t>Other Revenues</w:t>
            </w:r>
          </w:p>
        </w:tc>
        <w:tc>
          <w:tcPr>
            <w:tcW w:w="2070" w:type="dxa"/>
            <w:tcBorders>
              <w:top w:val="single" w:sz="6" w:space="0" w:color="A6A6A6"/>
            </w:tcBorders>
            <w:shd w:val="clear" w:color="auto" w:fill="auto"/>
            <w:hideMark/>
          </w:tcPr>
          <w:p w14:paraId="205B3527" w14:textId="77777777" w:rsidR="00325489" w:rsidRPr="00C87C03" w:rsidRDefault="00325489" w:rsidP="00913048">
            <w:pPr>
              <w:tabs>
                <w:tab w:val="decimal" w:pos="911"/>
              </w:tabs>
              <w:jc w:val="left"/>
              <w:rPr>
                <w:sz w:val="20"/>
                <w:szCs w:val="20"/>
              </w:rPr>
            </w:pPr>
          </w:p>
        </w:tc>
        <w:tc>
          <w:tcPr>
            <w:tcW w:w="1460" w:type="dxa"/>
            <w:tcBorders>
              <w:top w:val="single" w:sz="6" w:space="0" w:color="A6A6A6"/>
            </w:tcBorders>
            <w:shd w:val="clear" w:color="auto" w:fill="auto"/>
            <w:hideMark/>
          </w:tcPr>
          <w:p w14:paraId="6612E884" w14:textId="4683E8EB" w:rsidR="00325489" w:rsidRPr="00C87C03" w:rsidRDefault="00325489" w:rsidP="00913048">
            <w:pPr>
              <w:tabs>
                <w:tab w:val="decimal" w:pos="702"/>
              </w:tabs>
              <w:jc w:val="left"/>
              <w:rPr>
                <w:sz w:val="20"/>
                <w:szCs w:val="20"/>
              </w:rPr>
            </w:pPr>
            <w:r w:rsidRPr="00C87C03">
              <w:rPr>
                <w:sz w:val="20"/>
                <w:szCs w:val="20"/>
              </w:rPr>
              <w:t>16</w:t>
            </w:r>
            <w:r w:rsidR="00913048">
              <w:rPr>
                <w:sz w:val="20"/>
                <w:szCs w:val="20"/>
              </w:rPr>
              <w:t>.</w:t>
            </w:r>
            <w:r w:rsidRPr="00C87C03">
              <w:rPr>
                <w:sz w:val="20"/>
                <w:szCs w:val="20"/>
              </w:rPr>
              <w:t>7</w:t>
            </w:r>
          </w:p>
        </w:tc>
        <w:tc>
          <w:tcPr>
            <w:tcW w:w="1960" w:type="dxa"/>
            <w:tcBorders>
              <w:top w:val="single" w:sz="6" w:space="0" w:color="A6A6A6"/>
            </w:tcBorders>
            <w:shd w:val="clear" w:color="auto" w:fill="auto"/>
            <w:hideMark/>
          </w:tcPr>
          <w:p w14:paraId="7E6EF780" w14:textId="735ADBC6" w:rsidR="00325489" w:rsidRPr="00C87C03" w:rsidRDefault="00325489" w:rsidP="00913048">
            <w:pPr>
              <w:tabs>
                <w:tab w:val="decimal" w:pos="862"/>
              </w:tabs>
              <w:jc w:val="left"/>
              <w:rPr>
                <w:sz w:val="20"/>
                <w:szCs w:val="20"/>
              </w:rPr>
            </w:pPr>
            <w:r w:rsidRPr="00C87C03">
              <w:rPr>
                <w:sz w:val="20"/>
                <w:szCs w:val="20"/>
              </w:rPr>
              <w:t>12</w:t>
            </w:r>
            <w:r w:rsidR="00913048">
              <w:rPr>
                <w:sz w:val="20"/>
                <w:szCs w:val="20"/>
              </w:rPr>
              <w:t>.</w:t>
            </w:r>
            <w:r w:rsidRPr="00C87C03">
              <w:rPr>
                <w:sz w:val="20"/>
                <w:szCs w:val="20"/>
              </w:rPr>
              <w:t>4</w:t>
            </w:r>
          </w:p>
        </w:tc>
      </w:tr>
      <w:tr w:rsidR="0037470C" w:rsidRPr="00C87C03" w14:paraId="1DFAFD24" w14:textId="77777777" w:rsidTr="00913048">
        <w:tc>
          <w:tcPr>
            <w:tcW w:w="3690" w:type="dxa"/>
            <w:tcBorders>
              <w:top w:val="single" w:sz="6" w:space="0" w:color="A6A6A6"/>
            </w:tcBorders>
            <w:shd w:val="clear" w:color="auto" w:fill="auto"/>
            <w:hideMark/>
          </w:tcPr>
          <w:p w14:paraId="374FAE54" w14:textId="77777777" w:rsidR="0037470C" w:rsidRPr="00913048" w:rsidRDefault="0037470C" w:rsidP="00C87C03">
            <w:pPr>
              <w:jc w:val="left"/>
              <w:rPr>
                <w:b/>
                <w:sz w:val="20"/>
                <w:szCs w:val="20"/>
              </w:rPr>
            </w:pPr>
            <w:r w:rsidRPr="00913048">
              <w:rPr>
                <w:b/>
                <w:sz w:val="20"/>
                <w:szCs w:val="20"/>
              </w:rPr>
              <w:t>TOTAL REVENUES</w:t>
            </w:r>
          </w:p>
        </w:tc>
        <w:tc>
          <w:tcPr>
            <w:tcW w:w="2070" w:type="dxa"/>
            <w:tcBorders>
              <w:top w:val="single" w:sz="6" w:space="0" w:color="A6A6A6"/>
            </w:tcBorders>
            <w:shd w:val="clear" w:color="auto" w:fill="auto"/>
            <w:hideMark/>
          </w:tcPr>
          <w:p w14:paraId="06DF998C" w14:textId="7FAE2733" w:rsidR="0037470C" w:rsidRPr="00C87C03" w:rsidRDefault="0037470C" w:rsidP="00913048">
            <w:pPr>
              <w:tabs>
                <w:tab w:val="decimal" w:pos="911"/>
              </w:tabs>
              <w:jc w:val="left"/>
              <w:rPr>
                <w:sz w:val="20"/>
                <w:szCs w:val="20"/>
              </w:rPr>
            </w:pPr>
            <w:r w:rsidRPr="00C87C03">
              <w:rPr>
                <w:sz w:val="20"/>
                <w:szCs w:val="20"/>
              </w:rPr>
              <w:t>100</w:t>
            </w:r>
            <w:r w:rsidR="00913048">
              <w:rPr>
                <w:sz w:val="20"/>
                <w:szCs w:val="20"/>
              </w:rPr>
              <w:t>.0</w:t>
            </w:r>
          </w:p>
        </w:tc>
        <w:tc>
          <w:tcPr>
            <w:tcW w:w="1460" w:type="dxa"/>
            <w:tcBorders>
              <w:top w:val="single" w:sz="6" w:space="0" w:color="A6A6A6"/>
            </w:tcBorders>
            <w:shd w:val="clear" w:color="auto" w:fill="auto"/>
            <w:hideMark/>
          </w:tcPr>
          <w:p w14:paraId="4B124FD9" w14:textId="5722BB7F" w:rsidR="0037470C" w:rsidRPr="00C87C03" w:rsidRDefault="0037470C" w:rsidP="00913048">
            <w:pPr>
              <w:tabs>
                <w:tab w:val="decimal" w:pos="702"/>
              </w:tabs>
              <w:jc w:val="left"/>
              <w:rPr>
                <w:sz w:val="20"/>
                <w:szCs w:val="20"/>
              </w:rPr>
            </w:pPr>
            <w:r w:rsidRPr="00C87C03">
              <w:rPr>
                <w:sz w:val="20"/>
                <w:szCs w:val="20"/>
              </w:rPr>
              <w:t>100</w:t>
            </w:r>
            <w:r w:rsidR="00913048">
              <w:rPr>
                <w:sz w:val="20"/>
                <w:szCs w:val="20"/>
              </w:rPr>
              <w:t>.0</w:t>
            </w:r>
          </w:p>
        </w:tc>
        <w:tc>
          <w:tcPr>
            <w:tcW w:w="1960" w:type="dxa"/>
            <w:tcBorders>
              <w:top w:val="single" w:sz="6" w:space="0" w:color="A6A6A6"/>
            </w:tcBorders>
            <w:shd w:val="clear" w:color="auto" w:fill="auto"/>
            <w:hideMark/>
          </w:tcPr>
          <w:p w14:paraId="188E1652" w14:textId="6A7FED99" w:rsidR="0037470C" w:rsidRPr="00C87C03" w:rsidRDefault="0037470C" w:rsidP="00913048">
            <w:pPr>
              <w:tabs>
                <w:tab w:val="decimal" w:pos="862"/>
              </w:tabs>
              <w:jc w:val="left"/>
              <w:rPr>
                <w:sz w:val="20"/>
                <w:szCs w:val="20"/>
              </w:rPr>
            </w:pPr>
            <w:r w:rsidRPr="00C87C03">
              <w:rPr>
                <w:sz w:val="20"/>
                <w:szCs w:val="20"/>
              </w:rPr>
              <w:t>100</w:t>
            </w:r>
            <w:r w:rsidR="00913048">
              <w:rPr>
                <w:sz w:val="20"/>
                <w:szCs w:val="20"/>
              </w:rPr>
              <w:t>.0</w:t>
            </w:r>
          </w:p>
        </w:tc>
      </w:tr>
      <w:tr w:rsidR="00325489" w:rsidRPr="00C87C03" w14:paraId="0D710B9F" w14:textId="77777777" w:rsidTr="00913048">
        <w:tc>
          <w:tcPr>
            <w:tcW w:w="3690" w:type="dxa"/>
            <w:tcBorders>
              <w:top w:val="single" w:sz="6" w:space="0" w:color="A6A6A6"/>
            </w:tcBorders>
            <w:shd w:val="clear" w:color="auto" w:fill="auto"/>
            <w:hideMark/>
          </w:tcPr>
          <w:p w14:paraId="40CE0E24" w14:textId="77777777" w:rsidR="00325489" w:rsidRPr="00913048" w:rsidRDefault="00325489" w:rsidP="00C87C03">
            <w:pPr>
              <w:jc w:val="left"/>
              <w:rPr>
                <w:b/>
                <w:sz w:val="20"/>
                <w:szCs w:val="20"/>
              </w:rPr>
            </w:pPr>
            <w:r w:rsidRPr="00913048">
              <w:rPr>
                <w:b/>
                <w:sz w:val="20"/>
                <w:szCs w:val="20"/>
              </w:rPr>
              <w:t>PAYMENTS</w:t>
            </w:r>
          </w:p>
        </w:tc>
        <w:tc>
          <w:tcPr>
            <w:tcW w:w="2070" w:type="dxa"/>
            <w:tcBorders>
              <w:top w:val="single" w:sz="6" w:space="0" w:color="A6A6A6"/>
            </w:tcBorders>
            <w:shd w:val="clear" w:color="auto" w:fill="auto"/>
            <w:hideMark/>
          </w:tcPr>
          <w:p w14:paraId="3C016088" w14:textId="77777777" w:rsidR="00325489" w:rsidRPr="00C87C03" w:rsidRDefault="00325489" w:rsidP="00400265">
            <w:pPr>
              <w:jc w:val="center"/>
              <w:rPr>
                <w:sz w:val="20"/>
                <w:szCs w:val="20"/>
              </w:rPr>
            </w:pPr>
          </w:p>
        </w:tc>
        <w:tc>
          <w:tcPr>
            <w:tcW w:w="1460" w:type="dxa"/>
            <w:tcBorders>
              <w:top w:val="single" w:sz="6" w:space="0" w:color="A6A6A6"/>
            </w:tcBorders>
            <w:shd w:val="clear" w:color="auto" w:fill="auto"/>
            <w:hideMark/>
          </w:tcPr>
          <w:p w14:paraId="1BE11900" w14:textId="77777777" w:rsidR="00325489" w:rsidRPr="00C87C03" w:rsidRDefault="00325489" w:rsidP="00400265">
            <w:pPr>
              <w:jc w:val="center"/>
              <w:rPr>
                <w:sz w:val="20"/>
                <w:szCs w:val="20"/>
              </w:rPr>
            </w:pPr>
          </w:p>
        </w:tc>
        <w:tc>
          <w:tcPr>
            <w:tcW w:w="1960" w:type="dxa"/>
            <w:tcBorders>
              <w:top w:val="single" w:sz="6" w:space="0" w:color="A6A6A6"/>
            </w:tcBorders>
            <w:shd w:val="clear" w:color="auto" w:fill="auto"/>
            <w:hideMark/>
          </w:tcPr>
          <w:p w14:paraId="2588D571" w14:textId="77777777" w:rsidR="00325489" w:rsidRPr="00C87C03" w:rsidRDefault="00325489" w:rsidP="00400265">
            <w:pPr>
              <w:jc w:val="center"/>
              <w:rPr>
                <w:sz w:val="20"/>
                <w:szCs w:val="20"/>
              </w:rPr>
            </w:pPr>
          </w:p>
        </w:tc>
      </w:tr>
      <w:tr w:rsidR="00325489" w:rsidRPr="00C87C03" w14:paraId="057996E2" w14:textId="77777777" w:rsidTr="00913048">
        <w:tc>
          <w:tcPr>
            <w:tcW w:w="3690" w:type="dxa"/>
            <w:tcBorders>
              <w:top w:val="single" w:sz="6" w:space="0" w:color="A6A6A6"/>
            </w:tcBorders>
            <w:shd w:val="clear" w:color="auto" w:fill="auto"/>
            <w:hideMark/>
          </w:tcPr>
          <w:p w14:paraId="44D795BF" w14:textId="77777777" w:rsidR="00325489" w:rsidRPr="00C87C03" w:rsidRDefault="00325489" w:rsidP="00C87C03">
            <w:pPr>
              <w:jc w:val="left"/>
              <w:rPr>
                <w:sz w:val="20"/>
                <w:szCs w:val="20"/>
              </w:rPr>
            </w:pPr>
            <w:r w:rsidRPr="00C87C03">
              <w:rPr>
                <w:sz w:val="20"/>
                <w:szCs w:val="20"/>
              </w:rPr>
              <w:t>Compensation of Employees</w:t>
            </w:r>
          </w:p>
        </w:tc>
        <w:tc>
          <w:tcPr>
            <w:tcW w:w="2070" w:type="dxa"/>
            <w:tcBorders>
              <w:top w:val="single" w:sz="6" w:space="0" w:color="A6A6A6"/>
            </w:tcBorders>
            <w:shd w:val="clear" w:color="auto" w:fill="auto"/>
            <w:hideMark/>
          </w:tcPr>
          <w:p w14:paraId="1D98A910" w14:textId="2B103566" w:rsidR="00325489" w:rsidRPr="00C87C03" w:rsidRDefault="00325489" w:rsidP="00913048">
            <w:pPr>
              <w:tabs>
                <w:tab w:val="decimal" w:pos="911"/>
              </w:tabs>
              <w:jc w:val="left"/>
              <w:rPr>
                <w:sz w:val="20"/>
                <w:szCs w:val="20"/>
              </w:rPr>
            </w:pPr>
            <w:r w:rsidRPr="00C87C03">
              <w:rPr>
                <w:sz w:val="20"/>
                <w:szCs w:val="20"/>
              </w:rPr>
              <w:t>30</w:t>
            </w:r>
            <w:r w:rsidR="00913048">
              <w:rPr>
                <w:sz w:val="20"/>
                <w:szCs w:val="20"/>
              </w:rPr>
              <w:t>.</w:t>
            </w:r>
            <w:r w:rsidRPr="00C87C03">
              <w:rPr>
                <w:sz w:val="20"/>
                <w:szCs w:val="20"/>
              </w:rPr>
              <w:t>6</w:t>
            </w:r>
          </w:p>
        </w:tc>
        <w:tc>
          <w:tcPr>
            <w:tcW w:w="1460" w:type="dxa"/>
            <w:tcBorders>
              <w:top w:val="single" w:sz="6" w:space="0" w:color="A6A6A6"/>
            </w:tcBorders>
            <w:shd w:val="clear" w:color="auto" w:fill="auto"/>
            <w:hideMark/>
          </w:tcPr>
          <w:p w14:paraId="049A9B24" w14:textId="7003DFC1" w:rsidR="00325489" w:rsidRPr="00C87C03" w:rsidRDefault="00325489" w:rsidP="00913048">
            <w:pPr>
              <w:tabs>
                <w:tab w:val="decimal" w:pos="702"/>
              </w:tabs>
              <w:jc w:val="left"/>
              <w:rPr>
                <w:sz w:val="20"/>
                <w:szCs w:val="20"/>
              </w:rPr>
            </w:pPr>
            <w:r w:rsidRPr="00C87C03">
              <w:rPr>
                <w:sz w:val="20"/>
                <w:szCs w:val="20"/>
              </w:rPr>
              <w:t>32</w:t>
            </w:r>
            <w:r w:rsidR="00913048">
              <w:rPr>
                <w:sz w:val="20"/>
                <w:szCs w:val="20"/>
              </w:rPr>
              <w:t>.</w:t>
            </w:r>
            <w:r w:rsidRPr="00C87C03">
              <w:rPr>
                <w:sz w:val="20"/>
                <w:szCs w:val="20"/>
              </w:rPr>
              <w:t>2</w:t>
            </w:r>
          </w:p>
        </w:tc>
        <w:tc>
          <w:tcPr>
            <w:tcW w:w="1960" w:type="dxa"/>
            <w:tcBorders>
              <w:top w:val="single" w:sz="6" w:space="0" w:color="A6A6A6"/>
            </w:tcBorders>
            <w:shd w:val="clear" w:color="auto" w:fill="auto"/>
            <w:hideMark/>
          </w:tcPr>
          <w:p w14:paraId="3A3E5CC4" w14:textId="5EF24BA9" w:rsidR="00325489" w:rsidRPr="00C87C03" w:rsidRDefault="00325489" w:rsidP="00913048">
            <w:pPr>
              <w:tabs>
                <w:tab w:val="decimal" w:pos="862"/>
              </w:tabs>
              <w:jc w:val="left"/>
              <w:rPr>
                <w:sz w:val="20"/>
                <w:szCs w:val="20"/>
              </w:rPr>
            </w:pPr>
            <w:r w:rsidRPr="00C87C03">
              <w:rPr>
                <w:sz w:val="20"/>
                <w:szCs w:val="20"/>
              </w:rPr>
              <w:t>29</w:t>
            </w:r>
            <w:r w:rsidR="00913048">
              <w:rPr>
                <w:sz w:val="20"/>
                <w:szCs w:val="20"/>
              </w:rPr>
              <w:t>.</w:t>
            </w:r>
            <w:r w:rsidRPr="00C87C03">
              <w:rPr>
                <w:sz w:val="20"/>
                <w:szCs w:val="20"/>
              </w:rPr>
              <w:t>2</w:t>
            </w:r>
          </w:p>
        </w:tc>
      </w:tr>
      <w:tr w:rsidR="00325489" w:rsidRPr="00C87C03" w14:paraId="49286EDF" w14:textId="77777777" w:rsidTr="00913048">
        <w:tc>
          <w:tcPr>
            <w:tcW w:w="3690" w:type="dxa"/>
            <w:tcBorders>
              <w:top w:val="single" w:sz="6" w:space="0" w:color="A6A6A6"/>
            </w:tcBorders>
            <w:shd w:val="clear" w:color="auto" w:fill="auto"/>
            <w:hideMark/>
          </w:tcPr>
          <w:p w14:paraId="249E211D" w14:textId="77777777" w:rsidR="00325489" w:rsidRPr="00C87C03" w:rsidRDefault="00325489" w:rsidP="00C87C03">
            <w:pPr>
              <w:jc w:val="left"/>
              <w:rPr>
                <w:sz w:val="20"/>
                <w:szCs w:val="20"/>
              </w:rPr>
            </w:pPr>
            <w:r w:rsidRPr="00C87C03">
              <w:rPr>
                <w:sz w:val="20"/>
                <w:szCs w:val="20"/>
              </w:rPr>
              <w:t>Use of goods and services</w:t>
            </w:r>
          </w:p>
        </w:tc>
        <w:tc>
          <w:tcPr>
            <w:tcW w:w="2070" w:type="dxa"/>
            <w:tcBorders>
              <w:top w:val="single" w:sz="6" w:space="0" w:color="A6A6A6"/>
            </w:tcBorders>
            <w:shd w:val="clear" w:color="auto" w:fill="auto"/>
            <w:hideMark/>
          </w:tcPr>
          <w:p w14:paraId="6169142C" w14:textId="0849086D" w:rsidR="00325489" w:rsidRPr="00C87C03" w:rsidRDefault="00325489" w:rsidP="00913048">
            <w:pPr>
              <w:tabs>
                <w:tab w:val="decimal" w:pos="911"/>
              </w:tabs>
              <w:jc w:val="left"/>
              <w:rPr>
                <w:sz w:val="20"/>
                <w:szCs w:val="20"/>
              </w:rPr>
            </w:pPr>
            <w:r w:rsidRPr="00C87C03">
              <w:rPr>
                <w:sz w:val="20"/>
                <w:szCs w:val="20"/>
              </w:rPr>
              <w:t>34</w:t>
            </w:r>
            <w:r w:rsidR="00913048">
              <w:rPr>
                <w:sz w:val="20"/>
                <w:szCs w:val="20"/>
              </w:rPr>
              <w:t>.</w:t>
            </w:r>
            <w:r w:rsidRPr="00C87C03">
              <w:rPr>
                <w:sz w:val="20"/>
                <w:szCs w:val="20"/>
              </w:rPr>
              <w:t>3</w:t>
            </w:r>
          </w:p>
        </w:tc>
        <w:tc>
          <w:tcPr>
            <w:tcW w:w="1460" w:type="dxa"/>
            <w:tcBorders>
              <w:top w:val="single" w:sz="6" w:space="0" w:color="A6A6A6"/>
            </w:tcBorders>
            <w:shd w:val="clear" w:color="auto" w:fill="auto"/>
            <w:hideMark/>
          </w:tcPr>
          <w:p w14:paraId="1737D67F" w14:textId="277C1FB9" w:rsidR="00325489" w:rsidRPr="00C87C03" w:rsidRDefault="00325489" w:rsidP="00913048">
            <w:pPr>
              <w:tabs>
                <w:tab w:val="decimal" w:pos="702"/>
              </w:tabs>
              <w:jc w:val="left"/>
              <w:rPr>
                <w:sz w:val="20"/>
                <w:szCs w:val="20"/>
              </w:rPr>
            </w:pPr>
            <w:r w:rsidRPr="00C87C03">
              <w:rPr>
                <w:sz w:val="20"/>
                <w:szCs w:val="20"/>
              </w:rPr>
              <w:t>31</w:t>
            </w:r>
            <w:r w:rsidR="00913048">
              <w:rPr>
                <w:sz w:val="20"/>
                <w:szCs w:val="20"/>
              </w:rPr>
              <w:t>.</w:t>
            </w:r>
            <w:r w:rsidRPr="00C87C03">
              <w:rPr>
                <w:sz w:val="20"/>
                <w:szCs w:val="20"/>
              </w:rPr>
              <w:t>4</w:t>
            </w:r>
          </w:p>
        </w:tc>
        <w:tc>
          <w:tcPr>
            <w:tcW w:w="1960" w:type="dxa"/>
            <w:tcBorders>
              <w:top w:val="single" w:sz="6" w:space="0" w:color="A6A6A6"/>
            </w:tcBorders>
            <w:shd w:val="clear" w:color="auto" w:fill="auto"/>
            <w:hideMark/>
          </w:tcPr>
          <w:p w14:paraId="542C78F0" w14:textId="4190EC11" w:rsidR="00325489" w:rsidRPr="00C87C03" w:rsidRDefault="00325489" w:rsidP="00913048">
            <w:pPr>
              <w:tabs>
                <w:tab w:val="decimal" w:pos="862"/>
              </w:tabs>
              <w:jc w:val="left"/>
              <w:rPr>
                <w:sz w:val="20"/>
                <w:szCs w:val="20"/>
              </w:rPr>
            </w:pPr>
            <w:r w:rsidRPr="00C87C03">
              <w:rPr>
                <w:sz w:val="20"/>
                <w:szCs w:val="20"/>
              </w:rPr>
              <w:t>20</w:t>
            </w:r>
            <w:r w:rsidR="00913048">
              <w:rPr>
                <w:sz w:val="20"/>
                <w:szCs w:val="20"/>
              </w:rPr>
              <w:t>.</w:t>
            </w:r>
            <w:r w:rsidRPr="00C87C03">
              <w:rPr>
                <w:sz w:val="20"/>
                <w:szCs w:val="20"/>
              </w:rPr>
              <w:t>3</w:t>
            </w:r>
          </w:p>
        </w:tc>
      </w:tr>
      <w:tr w:rsidR="00325489" w:rsidRPr="00C87C03" w14:paraId="7DD0B72F" w14:textId="77777777" w:rsidTr="00913048">
        <w:tc>
          <w:tcPr>
            <w:tcW w:w="3690" w:type="dxa"/>
            <w:tcBorders>
              <w:top w:val="single" w:sz="6" w:space="0" w:color="A6A6A6"/>
            </w:tcBorders>
            <w:shd w:val="clear" w:color="auto" w:fill="auto"/>
            <w:hideMark/>
          </w:tcPr>
          <w:p w14:paraId="2F323921" w14:textId="77777777" w:rsidR="00325489" w:rsidRPr="00C87C03" w:rsidRDefault="00325489" w:rsidP="00C87C03">
            <w:pPr>
              <w:jc w:val="left"/>
              <w:rPr>
                <w:sz w:val="20"/>
                <w:szCs w:val="20"/>
              </w:rPr>
            </w:pPr>
            <w:r w:rsidRPr="00C87C03">
              <w:rPr>
                <w:sz w:val="20"/>
                <w:szCs w:val="20"/>
              </w:rPr>
              <w:t>Subsidies</w:t>
            </w:r>
          </w:p>
        </w:tc>
        <w:tc>
          <w:tcPr>
            <w:tcW w:w="2070" w:type="dxa"/>
            <w:tcBorders>
              <w:top w:val="single" w:sz="6" w:space="0" w:color="A6A6A6"/>
            </w:tcBorders>
            <w:shd w:val="clear" w:color="auto" w:fill="auto"/>
            <w:hideMark/>
          </w:tcPr>
          <w:p w14:paraId="34C671D8" w14:textId="77777777" w:rsidR="00325489" w:rsidRPr="00C87C03" w:rsidRDefault="00325489" w:rsidP="00913048">
            <w:pPr>
              <w:tabs>
                <w:tab w:val="decimal" w:pos="911"/>
              </w:tabs>
              <w:jc w:val="left"/>
              <w:rPr>
                <w:sz w:val="20"/>
                <w:szCs w:val="20"/>
              </w:rPr>
            </w:pPr>
          </w:p>
        </w:tc>
        <w:tc>
          <w:tcPr>
            <w:tcW w:w="1460" w:type="dxa"/>
            <w:tcBorders>
              <w:top w:val="single" w:sz="6" w:space="0" w:color="A6A6A6"/>
            </w:tcBorders>
            <w:shd w:val="clear" w:color="auto" w:fill="auto"/>
            <w:hideMark/>
          </w:tcPr>
          <w:p w14:paraId="3C0A308E" w14:textId="77777777" w:rsidR="00325489" w:rsidRPr="00C87C03" w:rsidRDefault="00325489" w:rsidP="00913048">
            <w:pPr>
              <w:tabs>
                <w:tab w:val="decimal" w:pos="702"/>
              </w:tabs>
              <w:jc w:val="left"/>
              <w:rPr>
                <w:sz w:val="20"/>
                <w:szCs w:val="20"/>
              </w:rPr>
            </w:pPr>
          </w:p>
        </w:tc>
        <w:tc>
          <w:tcPr>
            <w:tcW w:w="1960" w:type="dxa"/>
            <w:tcBorders>
              <w:top w:val="single" w:sz="6" w:space="0" w:color="A6A6A6"/>
            </w:tcBorders>
            <w:shd w:val="clear" w:color="auto" w:fill="auto"/>
            <w:hideMark/>
          </w:tcPr>
          <w:p w14:paraId="6DF57D31" w14:textId="77777777" w:rsidR="00325489" w:rsidRPr="00C87C03" w:rsidRDefault="00325489" w:rsidP="00913048">
            <w:pPr>
              <w:tabs>
                <w:tab w:val="decimal" w:pos="862"/>
              </w:tabs>
              <w:jc w:val="left"/>
              <w:rPr>
                <w:sz w:val="20"/>
                <w:szCs w:val="20"/>
              </w:rPr>
            </w:pPr>
          </w:p>
        </w:tc>
      </w:tr>
      <w:tr w:rsidR="00325489" w:rsidRPr="00C87C03" w14:paraId="0C017265" w14:textId="77777777" w:rsidTr="00913048">
        <w:tc>
          <w:tcPr>
            <w:tcW w:w="3690" w:type="dxa"/>
            <w:tcBorders>
              <w:top w:val="single" w:sz="6" w:space="0" w:color="A6A6A6"/>
            </w:tcBorders>
            <w:shd w:val="clear" w:color="auto" w:fill="auto"/>
            <w:hideMark/>
          </w:tcPr>
          <w:p w14:paraId="4B1085FA" w14:textId="77777777" w:rsidR="00325489" w:rsidRPr="00C87C03" w:rsidRDefault="00325489" w:rsidP="00C87C03">
            <w:pPr>
              <w:jc w:val="left"/>
              <w:rPr>
                <w:sz w:val="20"/>
                <w:szCs w:val="20"/>
              </w:rPr>
            </w:pPr>
            <w:r w:rsidRPr="00C87C03">
              <w:rPr>
                <w:sz w:val="20"/>
                <w:szCs w:val="20"/>
              </w:rPr>
              <w:t>Transfers to Other Government Units</w:t>
            </w:r>
          </w:p>
        </w:tc>
        <w:tc>
          <w:tcPr>
            <w:tcW w:w="2070" w:type="dxa"/>
            <w:tcBorders>
              <w:top w:val="single" w:sz="6" w:space="0" w:color="A6A6A6"/>
            </w:tcBorders>
            <w:shd w:val="clear" w:color="auto" w:fill="auto"/>
            <w:hideMark/>
          </w:tcPr>
          <w:p w14:paraId="53F0A40E" w14:textId="77777777" w:rsidR="00325489" w:rsidRPr="00C87C03" w:rsidRDefault="00325489" w:rsidP="00913048">
            <w:pPr>
              <w:tabs>
                <w:tab w:val="decimal" w:pos="911"/>
              </w:tabs>
              <w:jc w:val="left"/>
              <w:rPr>
                <w:sz w:val="20"/>
                <w:szCs w:val="20"/>
              </w:rPr>
            </w:pPr>
          </w:p>
        </w:tc>
        <w:tc>
          <w:tcPr>
            <w:tcW w:w="1460" w:type="dxa"/>
            <w:tcBorders>
              <w:top w:val="single" w:sz="6" w:space="0" w:color="A6A6A6"/>
            </w:tcBorders>
            <w:shd w:val="clear" w:color="auto" w:fill="auto"/>
            <w:hideMark/>
          </w:tcPr>
          <w:p w14:paraId="51D29DED" w14:textId="4794F0B1" w:rsidR="00325489" w:rsidRPr="00C87C03" w:rsidRDefault="00325489" w:rsidP="00913048">
            <w:pPr>
              <w:tabs>
                <w:tab w:val="decimal" w:pos="702"/>
              </w:tabs>
              <w:jc w:val="left"/>
              <w:rPr>
                <w:sz w:val="20"/>
                <w:szCs w:val="20"/>
              </w:rPr>
            </w:pPr>
            <w:r w:rsidRPr="00C87C03">
              <w:rPr>
                <w:sz w:val="20"/>
                <w:szCs w:val="20"/>
              </w:rPr>
              <w:t>4</w:t>
            </w:r>
            <w:r w:rsidR="00913048">
              <w:rPr>
                <w:sz w:val="20"/>
                <w:szCs w:val="20"/>
              </w:rPr>
              <w:t>.</w:t>
            </w:r>
            <w:r w:rsidRPr="00C87C03">
              <w:rPr>
                <w:sz w:val="20"/>
                <w:szCs w:val="20"/>
              </w:rPr>
              <w:t>1</w:t>
            </w:r>
          </w:p>
        </w:tc>
        <w:tc>
          <w:tcPr>
            <w:tcW w:w="1960" w:type="dxa"/>
            <w:tcBorders>
              <w:top w:val="single" w:sz="6" w:space="0" w:color="A6A6A6"/>
            </w:tcBorders>
            <w:shd w:val="clear" w:color="auto" w:fill="auto"/>
            <w:hideMark/>
          </w:tcPr>
          <w:p w14:paraId="18017C12" w14:textId="09D785B8" w:rsidR="00325489" w:rsidRPr="00C87C03" w:rsidRDefault="00325489" w:rsidP="00913048">
            <w:pPr>
              <w:tabs>
                <w:tab w:val="decimal" w:pos="862"/>
              </w:tabs>
              <w:jc w:val="left"/>
              <w:rPr>
                <w:sz w:val="20"/>
                <w:szCs w:val="20"/>
              </w:rPr>
            </w:pPr>
            <w:r w:rsidRPr="00C87C03">
              <w:rPr>
                <w:sz w:val="20"/>
                <w:szCs w:val="20"/>
              </w:rPr>
              <w:t>12</w:t>
            </w:r>
            <w:r w:rsidR="00913048">
              <w:rPr>
                <w:sz w:val="20"/>
                <w:szCs w:val="20"/>
              </w:rPr>
              <w:t>.</w:t>
            </w:r>
            <w:r w:rsidRPr="00C87C03">
              <w:rPr>
                <w:sz w:val="20"/>
                <w:szCs w:val="20"/>
              </w:rPr>
              <w:t>4</w:t>
            </w:r>
          </w:p>
        </w:tc>
      </w:tr>
      <w:tr w:rsidR="00325489" w:rsidRPr="00C87C03" w14:paraId="7724C13D" w14:textId="77777777" w:rsidTr="00913048">
        <w:tc>
          <w:tcPr>
            <w:tcW w:w="3690" w:type="dxa"/>
            <w:tcBorders>
              <w:top w:val="single" w:sz="6" w:space="0" w:color="A6A6A6"/>
            </w:tcBorders>
            <w:shd w:val="clear" w:color="auto" w:fill="auto"/>
            <w:hideMark/>
          </w:tcPr>
          <w:p w14:paraId="2E8E347B" w14:textId="77777777" w:rsidR="00325489" w:rsidRPr="00C87C03" w:rsidRDefault="00325489" w:rsidP="00C87C03">
            <w:pPr>
              <w:jc w:val="left"/>
              <w:rPr>
                <w:sz w:val="20"/>
                <w:szCs w:val="20"/>
              </w:rPr>
            </w:pPr>
            <w:r w:rsidRPr="00C87C03">
              <w:rPr>
                <w:sz w:val="20"/>
                <w:szCs w:val="20"/>
              </w:rPr>
              <w:t>Other grants and transfers</w:t>
            </w:r>
          </w:p>
        </w:tc>
        <w:tc>
          <w:tcPr>
            <w:tcW w:w="2070" w:type="dxa"/>
            <w:tcBorders>
              <w:top w:val="single" w:sz="6" w:space="0" w:color="A6A6A6"/>
            </w:tcBorders>
            <w:shd w:val="clear" w:color="auto" w:fill="auto"/>
            <w:hideMark/>
          </w:tcPr>
          <w:p w14:paraId="20801778" w14:textId="0644ADEE" w:rsidR="00325489" w:rsidRPr="00C87C03" w:rsidRDefault="00325489" w:rsidP="00913048">
            <w:pPr>
              <w:tabs>
                <w:tab w:val="decimal" w:pos="911"/>
              </w:tabs>
              <w:jc w:val="left"/>
              <w:rPr>
                <w:sz w:val="20"/>
                <w:szCs w:val="20"/>
              </w:rPr>
            </w:pPr>
            <w:r w:rsidRPr="00C87C03">
              <w:rPr>
                <w:sz w:val="20"/>
                <w:szCs w:val="20"/>
              </w:rPr>
              <w:t>5</w:t>
            </w:r>
            <w:r w:rsidR="00913048">
              <w:rPr>
                <w:sz w:val="20"/>
                <w:szCs w:val="20"/>
              </w:rPr>
              <w:t>.</w:t>
            </w:r>
            <w:r w:rsidRPr="00C87C03">
              <w:rPr>
                <w:sz w:val="20"/>
                <w:szCs w:val="20"/>
              </w:rPr>
              <w:t>4</w:t>
            </w:r>
          </w:p>
        </w:tc>
        <w:tc>
          <w:tcPr>
            <w:tcW w:w="1460" w:type="dxa"/>
            <w:tcBorders>
              <w:top w:val="single" w:sz="6" w:space="0" w:color="A6A6A6"/>
            </w:tcBorders>
            <w:shd w:val="clear" w:color="auto" w:fill="auto"/>
            <w:hideMark/>
          </w:tcPr>
          <w:p w14:paraId="6D1126B1" w14:textId="5B9FED95" w:rsidR="00325489" w:rsidRPr="00C87C03" w:rsidRDefault="00325489" w:rsidP="00913048">
            <w:pPr>
              <w:tabs>
                <w:tab w:val="decimal" w:pos="702"/>
              </w:tabs>
              <w:jc w:val="left"/>
              <w:rPr>
                <w:sz w:val="20"/>
                <w:szCs w:val="20"/>
              </w:rPr>
            </w:pPr>
            <w:r w:rsidRPr="00C87C03">
              <w:rPr>
                <w:sz w:val="20"/>
                <w:szCs w:val="20"/>
              </w:rPr>
              <w:t>3</w:t>
            </w:r>
            <w:r w:rsidR="00913048">
              <w:rPr>
                <w:sz w:val="20"/>
                <w:szCs w:val="20"/>
              </w:rPr>
              <w:t>.</w:t>
            </w:r>
            <w:r w:rsidRPr="00C87C03">
              <w:rPr>
                <w:sz w:val="20"/>
                <w:szCs w:val="20"/>
              </w:rPr>
              <w:t>2</w:t>
            </w:r>
          </w:p>
        </w:tc>
        <w:tc>
          <w:tcPr>
            <w:tcW w:w="1960" w:type="dxa"/>
            <w:tcBorders>
              <w:top w:val="single" w:sz="6" w:space="0" w:color="A6A6A6"/>
            </w:tcBorders>
            <w:shd w:val="clear" w:color="auto" w:fill="auto"/>
            <w:hideMark/>
          </w:tcPr>
          <w:p w14:paraId="460634CF" w14:textId="087E83BF" w:rsidR="00325489" w:rsidRPr="00C87C03" w:rsidRDefault="00325489" w:rsidP="00913048">
            <w:pPr>
              <w:tabs>
                <w:tab w:val="decimal" w:pos="862"/>
              </w:tabs>
              <w:jc w:val="left"/>
              <w:rPr>
                <w:sz w:val="20"/>
                <w:szCs w:val="20"/>
              </w:rPr>
            </w:pPr>
            <w:r w:rsidRPr="00C87C03">
              <w:rPr>
                <w:sz w:val="20"/>
                <w:szCs w:val="20"/>
              </w:rPr>
              <w:t>2</w:t>
            </w:r>
            <w:r w:rsidR="00913048">
              <w:rPr>
                <w:sz w:val="20"/>
                <w:szCs w:val="20"/>
              </w:rPr>
              <w:t>.</w:t>
            </w:r>
            <w:r w:rsidRPr="00C87C03">
              <w:rPr>
                <w:sz w:val="20"/>
                <w:szCs w:val="20"/>
              </w:rPr>
              <w:t>3</w:t>
            </w:r>
          </w:p>
        </w:tc>
      </w:tr>
      <w:tr w:rsidR="00325489" w:rsidRPr="00C87C03" w14:paraId="016E37EB" w14:textId="77777777" w:rsidTr="00913048">
        <w:tc>
          <w:tcPr>
            <w:tcW w:w="3690" w:type="dxa"/>
            <w:tcBorders>
              <w:top w:val="single" w:sz="6" w:space="0" w:color="A6A6A6"/>
            </w:tcBorders>
            <w:shd w:val="clear" w:color="auto" w:fill="auto"/>
            <w:hideMark/>
          </w:tcPr>
          <w:p w14:paraId="58162B68" w14:textId="77777777" w:rsidR="00325489" w:rsidRPr="00C87C03" w:rsidRDefault="00325489" w:rsidP="00C87C03">
            <w:pPr>
              <w:jc w:val="left"/>
              <w:rPr>
                <w:sz w:val="20"/>
                <w:szCs w:val="20"/>
              </w:rPr>
            </w:pPr>
            <w:r w:rsidRPr="00C87C03">
              <w:rPr>
                <w:sz w:val="20"/>
                <w:szCs w:val="20"/>
              </w:rPr>
              <w:t>Social Security Benefits</w:t>
            </w:r>
          </w:p>
        </w:tc>
        <w:tc>
          <w:tcPr>
            <w:tcW w:w="2070" w:type="dxa"/>
            <w:tcBorders>
              <w:top w:val="single" w:sz="6" w:space="0" w:color="A6A6A6"/>
            </w:tcBorders>
            <w:shd w:val="clear" w:color="auto" w:fill="auto"/>
            <w:hideMark/>
          </w:tcPr>
          <w:p w14:paraId="658C247F" w14:textId="77777777" w:rsidR="00325489" w:rsidRPr="00C87C03" w:rsidRDefault="00325489" w:rsidP="00913048">
            <w:pPr>
              <w:tabs>
                <w:tab w:val="decimal" w:pos="911"/>
              </w:tabs>
              <w:jc w:val="left"/>
              <w:rPr>
                <w:sz w:val="20"/>
                <w:szCs w:val="20"/>
              </w:rPr>
            </w:pPr>
          </w:p>
        </w:tc>
        <w:tc>
          <w:tcPr>
            <w:tcW w:w="1460" w:type="dxa"/>
            <w:tcBorders>
              <w:top w:val="single" w:sz="6" w:space="0" w:color="A6A6A6"/>
            </w:tcBorders>
            <w:shd w:val="clear" w:color="auto" w:fill="auto"/>
            <w:hideMark/>
          </w:tcPr>
          <w:p w14:paraId="4C6115AC" w14:textId="77777777" w:rsidR="00325489" w:rsidRPr="00C87C03" w:rsidRDefault="00325489" w:rsidP="00913048">
            <w:pPr>
              <w:tabs>
                <w:tab w:val="decimal" w:pos="702"/>
              </w:tabs>
              <w:jc w:val="left"/>
              <w:rPr>
                <w:sz w:val="20"/>
                <w:szCs w:val="20"/>
              </w:rPr>
            </w:pPr>
          </w:p>
        </w:tc>
        <w:tc>
          <w:tcPr>
            <w:tcW w:w="1960" w:type="dxa"/>
            <w:tcBorders>
              <w:top w:val="single" w:sz="6" w:space="0" w:color="A6A6A6"/>
            </w:tcBorders>
            <w:shd w:val="clear" w:color="auto" w:fill="auto"/>
            <w:hideMark/>
          </w:tcPr>
          <w:p w14:paraId="438932CA" w14:textId="77777777" w:rsidR="00325489" w:rsidRPr="00C87C03" w:rsidRDefault="00325489" w:rsidP="00913048">
            <w:pPr>
              <w:tabs>
                <w:tab w:val="decimal" w:pos="862"/>
              </w:tabs>
              <w:jc w:val="left"/>
              <w:rPr>
                <w:sz w:val="20"/>
                <w:szCs w:val="20"/>
              </w:rPr>
            </w:pPr>
          </w:p>
        </w:tc>
      </w:tr>
      <w:tr w:rsidR="00325489" w:rsidRPr="00C87C03" w14:paraId="6E0EEE8C" w14:textId="77777777" w:rsidTr="00913048">
        <w:tc>
          <w:tcPr>
            <w:tcW w:w="3690" w:type="dxa"/>
            <w:tcBorders>
              <w:top w:val="single" w:sz="6" w:space="0" w:color="A6A6A6"/>
            </w:tcBorders>
            <w:shd w:val="clear" w:color="auto" w:fill="auto"/>
            <w:hideMark/>
          </w:tcPr>
          <w:p w14:paraId="7C63DF40" w14:textId="77777777" w:rsidR="00325489" w:rsidRPr="00C87C03" w:rsidRDefault="00325489" w:rsidP="00C87C03">
            <w:pPr>
              <w:jc w:val="left"/>
              <w:rPr>
                <w:sz w:val="20"/>
                <w:szCs w:val="20"/>
              </w:rPr>
            </w:pPr>
            <w:r w:rsidRPr="00C87C03">
              <w:rPr>
                <w:sz w:val="20"/>
                <w:szCs w:val="20"/>
              </w:rPr>
              <w:t>Acquisition of Assets</w:t>
            </w:r>
          </w:p>
        </w:tc>
        <w:tc>
          <w:tcPr>
            <w:tcW w:w="2070" w:type="dxa"/>
            <w:tcBorders>
              <w:top w:val="single" w:sz="6" w:space="0" w:color="A6A6A6"/>
            </w:tcBorders>
            <w:shd w:val="clear" w:color="auto" w:fill="auto"/>
            <w:hideMark/>
          </w:tcPr>
          <w:p w14:paraId="1E7892E3" w14:textId="6CBE7A0E" w:rsidR="00325489" w:rsidRPr="00C87C03" w:rsidRDefault="00325489" w:rsidP="00913048">
            <w:pPr>
              <w:tabs>
                <w:tab w:val="decimal" w:pos="911"/>
              </w:tabs>
              <w:jc w:val="left"/>
              <w:rPr>
                <w:sz w:val="20"/>
                <w:szCs w:val="20"/>
              </w:rPr>
            </w:pPr>
            <w:r w:rsidRPr="00C87C03">
              <w:rPr>
                <w:sz w:val="20"/>
                <w:szCs w:val="20"/>
              </w:rPr>
              <w:t>30</w:t>
            </w:r>
            <w:r w:rsidR="00913048">
              <w:rPr>
                <w:sz w:val="20"/>
                <w:szCs w:val="20"/>
              </w:rPr>
              <w:t>.</w:t>
            </w:r>
            <w:r w:rsidRPr="00C87C03">
              <w:rPr>
                <w:sz w:val="20"/>
                <w:szCs w:val="20"/>
              </w:rPr>
              <w:t>2</w:t>
            </w:r>
          </w:p>
        </w:tc>
        <w:tc>
          <w:tcPr>
            <w:tcW w:w="1460" w:type="dxa"/>
            <w:tcBorders>
              <w:top w:val="single" w:sz="6" w:space="0" w:color="A6A6A6"/>
            </w:tcBorders>
            <w:shd w:val="clear" w:color="auto" w:fill="auto"/>
            <w:hideMark/>
          </w:tcPr>
          <w:p w14:paraId="12A7DE6B" w14:textId="32E45EE9" w:rsidR="00325489" w:rsidRPr="00C87C03" w:rsidRDefault="00325489" w:rsidP="00913048">
            <w:pPr>
              <w:tabs>
                <w:tab w:val="decimal" w:pos="702"/>
              </w:tabs>
              <w:jc w:val="left"/>
              <w:rPr>
                <w:sz w:val="20"/>
                <w:szCs w:val="20"/>
              </w:rPr>
            </w:pPr>
            <w:r w:rsidRPr="00C87C03">
              <w:rPr>
                <w:sz w:val="20"/>
                <w:szCs w:val="20"/>
              </w:rPr>
              <w:t>32</w:t>
            </w:r>
            <w:r w:rsidR="00913048">
              <w:rPr>
                <w:sz w:val="20"/>
                <w:szCs w:val="20"/>
              </w:rPr>
              <w:t>.</w:t>
            </w:r>
            <w:r w:rsidRPr="00C87C03">
              <w:rPr>
                <w:sz w:val="20"/>
                <w:szCs w:val="20"/>
              </w:rPr>
              <w:t>6</w:t>
            </w:r>
          </w:p>
        </w:tc>
        <w:tc>
          <w:tcPr>
            <w:tcW w:w="1960" w:type="dxa"/>
            <w:tcBorders>
              <w:top w:val="single" w:sz="6" w:space="0" w:color="A6A6A6"/>
            </w:tcBorders>
            <w:shd w:val="clear" w:color="auto" w:fill="auto"/>
            <w:hideMark/>
          </w:tcPr>
          <w:p w14:paraId="4D0C5B14" w14:textId="406E2970" w:rsidR="00325489" w:rsidRPr="00C87C03" w:rsidRDefault="00325489" w:rsidP="00913048">
            <w:pPr>
              <w:tabs>
                <w:tab w:val="decimal" w:pos="862"/>
              </w:tabs>
              <w:jc w:val="left"/>
              <w:rPr>
                <w:sz w:val="20"/>
                <w:szCs w:val="20"/>
              </w:rPr>
            </w:pPr>
            <w:r w:rsidRPr="00C87C03">
              <w:rPr>
                <w:sz w:val="20"/>
                <w:szCs w:val="20"/>
              </w:rPr>
              <w:t>31</w:t>
            </w:r>
            <w:r w:rsidR="00913048">
              <w:rPr>
                <w:sz w:val="20"/>
                <w:szCs w:val="20"/>
              </w:rPr>
              <w:t>.</w:t>
            </w:r>
            <w:r w:rsidRPr="00C87C03">
              <w:rPr>
                <w:sz w:val="20"/>
                <w:szCs w:val="20"/>
              </w:rPr>
              <w:t>2</w:t>
            </w:r>
          </w:p>
        </w:tc>
      </w:tr>
      <w:tr w:rsidR="00325489" w:rsidRPr="00C87C03" w14:paraId="2356E3B3" w14:textId="77777777" w:rsidTr="00913048">
        <w:tc>
          <w:tcPr>
            <w:tcW w:w="3690" w:type="dxa"/>
            <w:tcBorders>
              <w:top w:val="single" w:sz="6" w:space="0" w:color="A6A6A6"/>
            </w:tcBorders>
            <w:shd w:val="clear" w:color="auto" w:fill="auto"/>
            <w:hideMark/>
          </w:tcPr>
          <w:p w14:paraId="4DE25A5C" w14:textId="77777777" w:rsidR="00325489" w:rsidRPr="00C87C03" w:rsidRDefault="00325489" w:rsidP="00C87C03">
            <w:pPr>
              <w:jc w:val="left"/>
              <w:rPr>
                <w:sz w:val="20"/>
                <w:szCs w:val="20"/>
              </w:rPr>
            </w:pPr>
            <w:r w:rsidRPr="00C87C03">
              <w:rPr>
                <w:sz w:val="20"/>
                <w:szCs w:val="20"/>
              </w:rPr>
              <w:t>Finance Costs, including Loan Interest</w:t>
            </w:r>
          </w:p>
        </w:tc>
        <w:tc>
          <w:tcPr>
            <w:tcW w:w="2070" w:type="dxa"/>
            <w:tcBorders>
              <w:top w:val="single" w:sz="6" w:space="0" w:color="A6A6A6"/>
            </w:tcBorders>
            <w:shd w:val="clear" w:color="auto" w:fill="auto"/>
            <w:hideMark/>
          </w:tcPr>
          <w:p w14:paraId="7FB14BAB" w14:textId="5DAB4C97" w:rsidR="00325489" w:rsidRPr="00C87C03" w:rsidRDefault="00325489" w:rsidP="00913048">
            <w:pPr>
              <w:tabs>
                <w:tab w:val="decimal" w:pos="911"/>
              </w:tabs>
              <w:jc w:val="left"/>
              <w:rPr>
                <w:sz w:val="20"/>
                <w:szCs w:val="20"/>
              </w:rPr>
            </w:pPr>
            <w:r w:rsidRPr="00C87C03">
              <w:rPr>
                <w:sz w:val="20"/>
                <w:szCs w:val="20"/>
              </w:rPr>
              <w:t>3</w:t>
            </w:r>
            <w:r w:rsidR="00913048">
              <w:rPr>
                <w:sz w:val="20"/>
                <w:szCs w:val="20"/>
              </w:rPr>
              <w:t>.</w:t>
            </w:r>
            <w:r w:rsidRPr="00C87C03">
              <w:rPr>
                <w:sz w:val="20"/>
                <w:szCs w:val="20"/>
              </w:rPr>
              <w:t>5</w:t>
            </w:r>
          </w:p>
        </w:tc>
        <w:tc>
          <w:tcPr>
            <w:tcW w:w="1460" w:type="dxa"/>
            <w:tcBorders>
              <w:top w:val="single" w:sz="6" w:space="0" w:color="A6A6A6"/>
            </w:tcBorders>
            <w:shd w:val="clear" w:color="auto" w:fill="auto"/>
            <w:hideMark/>
          </w:tcPr>
          <w:p w14:paraId="4FB0CD91" w14:textId="76114AAC" w:rsidR="00325489" w:rsidRPr="00C87C03" w:rsidRDefault="00325489" w:rsidP="00913048">
            <w:pPr>
              <w:tabs>
                <w:tab w:val="decimal" w:pos="702"/>
              </w:tabs>
              <w:jc w:val="left"/>
              <w:rPr>
                <w:sz w:val="20"/>
                <w:szCs w:val="20"/>
              </w:rPr>
            </w:pPr>
            <w:r w:rsidRPr="00C87C03">
              <w:rPr>
                <w:sz w:val="20"/>
                <w:szCs w:val="20"/>
              </w:rPr>
              <w:t>0</w:t>
            </w:r>
            <w:r w:rsidR="00913048">
              <w:rPr>
                <w:sz w:val="20"/>
                <w:szCs w:val="20"/>
              </w:rPr>
              <w:t>.</w:t>
            </w:r>
            <w:r w:rsidRPr="00C87C03">
              <w:rPr>
                <w:sz w:val="20"/>
                <w:szCs w:val="20"/>
              </w:rPr>
              <w:t>4</w:t>
            </w:r>
          </w:p>
        </w:tc>
        <w:tc>
          <w:tcPr>
            <w:tcW w:w="1960" w:type="dxa"/>
            <w:tcBorders>
              <w:top w:val="single" w:sz="6" w:space="0" w:color="A6A6A6"/>
            </w:tcBorders>
            <w:shd w:val="clear" w:color="auto" w:fill="auto"/>
            <w:hideMark/>
          </w:tcPr>
          <w:p w14:paraId="4CCB03A0" w14:textId="65550B03" w:rsidR="00325489" w:rsidRPr="00C87C03" w:rsidRDefault="00325489" w:rsidP="00913048">
            <w:pPr>
              <w:tabs>
                <w:tab w:val="decimal" w:pos="862"/>
              </w:tabs>
              <w:jc w:val="left"/>
              <w:rPr>
                <w:sz w:val="20"/>
                <w:szCs w:val="20"/>
              </w:rPr>
            </w:pPr>
            <w:r w:rsidRPr="00C87C03">
              <w:rPr>
                <w:sz w:val="20"/>
                <w:szCs w:val="20"/>
              </w:rPr>
              <w:t>0</w:t>
            </w:r>
            <w:r w:rsidR="00913048">
              <w:rPr>
                <w:sz w:val="20"/>
                <w:szCs w:val="20"/>
              </w:rPr>
              <w:t>.</w:t>
            </w:r>
            <w:r w:rsidRPr="00C87C03">
              <w:rPr>
                <w:sz w:val="20"/>
                <w:szCs w:val="20"/>
              </w:rPr>
              <w:t>7</w:t>
            </w:r>
          </w:p>
        </w:tc>
      </w:tr>
      <w:tr w:rsidR="00325489" w:rsidRPr="00C87C03" w14:paraId="658385E5" w14:textId="77777777" w:rsidTr="00913048">
        <w:tc>
          <w:tcPr>
            <w:tcW w:w="3690" w:type="dxa"/>
            <w:tcBorders>
              <w:top w:val="single" w:sz="6" w:space="0" w:color="A6A6A6"/>
            </w:tcBorders>
            <w:shd w:val="clear" w:color="auto" w:fill="auto"/>
            <w:hideMark/>
          </w:tcPr>
          <w:p w14:paraId="576A03F2" w14:textId="77777777" w:rsidR="00325489" w:rsidRPr="00C87C03" w:rsidRDefault="00325489" w:rsidP="00C87C03">
            <w:pPr>
              <w:jc w:val="left"/>
              <w:rPr>
                <w:sz w:val="20"/>
                <w:szCs w:val="20"/>
              </w:rPr>
            </w:pPr>
            <w:r w:rsidRPr="00C87C03">
              <w:rPr>
                <w:sz w:val="20"/>
                <w:szCs w:val="20"/>
              </w:rPr>
              <w:t>Repayment of principal on Domestic and Foreign borrowing</w:t>
            </w:r>
          </w:p>
        </w:tc>
        <w:tc>
          <w:tcPr>
            <w:tcW w:w="2070" w:type="dxa"/>
            <w:tcBorders>
              <w:top w:val="single" w:sz="6" w:space="0" w:color="A6A6A6"/>
            </w:tcBorders>
            <w:shd w:val="clear" w:color="auto" w:fill="auto"/>
            <w:hideMark/>
          </w:tcPr>
          <w:p w14:paraId="1926446A" w14:textId="77777777" w:rsidR="00325489" w:rsidRPr="00C87C03" w:rsidRDefault="00325489" w:rsidP="00913048">
            <w:pPr>
              <w:tabs>
                <w:tab w:val="decimal" w:pos="911"/>
              </w:tabs>
              <w:jc w:val="left"/>
              <w:rPr>
                <w:sz w:val="20"/>
                <w:szCs w:val="20"/>
              </w:rPr>
            </w:pPr>
          </w:p>
        </w:tc>
        <w:tc>
          <w:tcPr>
            <w:tcW w:w="1460" w:type="dxa"/>
            <w:tcBorders>
              <w:top w:val="single" w:sz="6" w:space="0" w:color="A6A6A6"/>
            </w:tcBorders>
            <w:shd w:val="clear" w:color="auto" w:fill="auto"/>
            <w:hideMark/>
          </w:tcPr>
          <w:p w14:paraId="6C1B66C1" w14:textId="77777777" w:rsidR="00325489" w:rsidRPr="00C87C03" w:rsidRDefault="00325489" w:rsidP="00913048">
            <w:pPr>
              <w:tabs>
                <w:tab w:val="decimal" w:pos="702"/>
              </w:tabs>
              <w:jc w:val="left"/>
              <w:rPr>
                <w:sz w:val="20"/>
                <w:szCs w:val="20"/>
              </w:rPr>
            </w:pPr>
          </w:p>
        </w:tc>
        <w:tc>
          <w:tcPr>
            <w:tcW w:w="1960" w:type="dxa"/>
            <w:tcBorders>
              <w:top w:val="single" w:sz="6" w:space="0" w:color="A6A6A6"/>
            </w:tcBorders>
            <w:shd w:val="clear" w:color="auto" w:fill="auto"/>
            <w:hideMark/>
          </w:tcPr>
          <w:p w14:paraId="7241E88E" w14:textId="77777777" w:rsidR="00325489" w:rsidRPr="00C87C03" w:rsidRDefault="00325489" w:rsidP="00913048">
            <w:pPr>
              <w:tabs>
                <w:tab w:val="decimal" w:pos="862"/>
              </w:tabs>
              <w:jc w:val="left"/>
              <w:rPr>
                <w:sz w:val="20"/>
                <w:szCs w:val="20"/>
              </w:rPr>
            </w:pPr>
          </w:p>
        </w:tc>
      </w:tr>
      <w:tr w:rsidR="00325489" w:rsidRPr="00C87C03" w14:paraId="3064DF04" w14:textId="77777777" w:rsidTr="00913048">
        <w:tc>
          <w:tcPr>
            <w:tcW w:w="3690" w:type="dxa"/>
            <w:tcBorders>
              <w:top w:val="single" w:sz="6" w:space="0" w:color="A6A6A6"/>
            </w:tcBorders>
            <w:shd w:val="clear" w:color="auto" w:fill="auto"/>
            <w:hideMark/>
          </w:tcPr>
          <w:p w14:paraId="01B49B34" w14:textId="77777777" w:rsidR="00325489" w:rsidRPr="00C87C03" w:rsidRDefault="00325489" w:rsidP="00C87C03">
            <w:pPr>
              <w:jc w:val="left"/>
              <w:rPr>
                <w:sz w:val="20"/>
                <w:szCs w:val="20"/>
              </w:rPr>
            </w:pPr>
            <w:r w:rsidRPr="00C87C03">
              <w:rPr>
                <w:sz w:val="20"/>
                <w:szCs w:val="20"/>
              </w:rPr>
              <w:t>Other Expenses</w:t>
            </w:r>
          </w:p>
        </w:tc>
        <w:tc>
          <w:tcPr>
            <w:tcW w:w="2070" w:type="dxa"/>
            <w:tcBorders>
              <w:top w:val="single" w:sz="6" w:space="0" w:color="A6A6A6"/>
            </w:tcBorders>
            <w:shd w:val="clear" w:color="auto" w:fill="auto"/>
            <w:hideMark/>
          </w:tcPr>
          <w:p w14:paraId="08B2DAC8" w14:textId="797075C1" w:rsidR="00325489" w:rsidRPr="00C87C03" w:rsidRDefault="00325489" w:rsidP="00913048">
            <w:pPr>
              <w:tabs>
                <w:tab w:val="decimal" w:pos="911"/>
              </w:tabs>
              <w:jc w:val="left"/>
              <w:rPr>
                <w:sz w:val="20"/>
                <w:szCs w:val="20"/>
              </w:rPr>
            </w:pPr>
            <w:r w:rsidRPr="00C87C03">
              <w:rPr>
                <w:sz w:val="20"/>
                <w:szCs w:val="20"/>
              </w:rPr>
              <w:t>0</w:t>
            </w:r>
            <w:r w:rsidR="00913048">
              <w:rPr>
                <w:sz w:val="20"/>
                <w:szCs w:val="20"/>
              </w:rPr>
              <w:t>.</w:t>
            </w:r>
            <w:r w:rsidRPr="00C87C03">
              <w:rPr>
                <w:sz w:val="20"/>
                <w:szCs w:val="20"/>
              </w:rPr>
              <w:t>3</w:t>
            </w:r>
          </w:p>
        </w:tc>
        <w:tc>
          <w:tcPr>
            <w:tcW w:w="1460" w:type="dxa"/>
            <w:tcBorders>
              <w:top w:val="single" w:sz="6" w:space="0" w:color="A6A6A6"/>
            </w:tcBorders>
            <w:shd w:val="clear" w:color="auto" w:fill="auto"/>
            <w:hideMark/>
          </w:tcPr>
          <w:p w14:paraId="507FE9AC" w14:textId="77777777" w:rsidR="00325489" w:rsidRPr="00C87C03" w:rsidRDefault="00325489" w:rsidP="00913048">
            <w:pPr>
              <w:tabs>
                <w:tab w:val="decimal" w:pos="702"/>
              </w:tabs>
              <w:jc w:val="left"/>
              <w:rPr>
                <w:sz w:val="20"/>
                <w:szCs w:val="20"/>
              </w:rPr>
            </w:pPr>
          </w:p>
        </w:tc>
        <w:tc>
          <w:tcPr>
            <w:tcW w:w="1960" w:type="dxa"/>
            <w:tcBorders>
              <w:top w:val="single" w:sz="6" w:space="0" w:color="A6A6A6"/>
            </w:tcBorders>
            <w:shd w:val="clear" w:color="auto" w:fill="auto"/>
            <w:hideMark/>
          </w:tcPr>
          <w:p w14:paraId="5634531A" w14:textId="77777777" w:rsidR="00325489" w:rsidRPr="00C87C03" w:rsidRDefault="00325489" w:rsidP="00913048">
            <w:pPr>
              <w:tabs>
                <w:tab w:val="decimal" w:pos="862"/>
              </w:tabs>
              <w:jc w:val="left"/>
              <w:rPr>
                <w:sz w:val="20"/>
                <w:szCs w:val="20"/>
              </w:rPr>
            </w:pPr>
          </w:p>
        </w:tc>
      </w:tr>
      <w:tr w:rsidR="00325489" w:rsidRPr="00C87C03" w14:paraId="63C168A9" w14:textId="77777777" w:rsidTr="00913048">
        <w:tc>
          <w:tcPr>
            <w:tcW w:w="3690" w:type="dxa"/>
            <w:tcBorders>
              <w:top w:val="single" w:sz="6" w:space="0" w:color="A6A6A6"/>
            </w:tcBorders>
            <w:shd w:val="clear" w:color="auto" w:fill="auto"/>
            <w:hideMark/>
          </w:tcPr>
          <w:p w14:paraId="28CC7CBD" w14:textId="77777777" w:rsidR="00325489" w:rsidRPr="00913048" w:rsidRDefault="00325489" w:rsidP="00C87C03">
            <w:pPr>
              <w:jc w:val="left"/>
              <w:rPr>
                <w:b/>
                <w:sz w:val="20"/>
                <w:szCs w:val="20"/>
              </w:rPr>
            </w:pPr>
            <w:r w:rsidRPr="00913048">
              <w:rPr>
                <w:b/>
                <w:sz w:val="20"/>
                <w:szCs w:val="20"/>
              </w:rPr>
              <w:t>TOTAL PAYMENTS</w:t>
            </w:r>
          </w:p>
        </w:tc>
        <w:tc>
          <w:tcPr>
            <w:tcW w:w="2070" w:type="dxa"/>
            <w:tcBorders>
              <w:top w:val="single" w:sz="6" w:space="0" w:color="A6A6A6"/>
            </w:tcBorders>
            <w:shd w:val="clear" w:color="auto" w:fill="auto"/>
            <w:hideMark/>
          </w:tcPr>
          <w:p w14:paraId="47DA21CC" w14:textId="5CB531FF" w:rsidR="00325489" w:rsidRPr="00C87C03" w:rsidRDefault="00325489" w:rsidP="00913048">
            <w:pPr>
              <w:tabs>
                <w:tab w:val="decimal" w:pos="911"/>
              </w:tabs>
              <w:jc w:val="left"/>
              <w:rPr>
                <w:sz w:val="20"/>
                <w:szCs w:val="20"/>
              </w:rPr>
            </w:pPr>
            <w:r w:rsidRPr="00C87C03">
              <w:rPr>
                <w:sz w:val="20"/>
                <w:szCs w:val="20"/>
              </w:rPr>
              <w:t>104</w:t>
            </w:r>
            <w:r w:rsidR="00913048">
              <w:rPr>
                <w:sz w:val="20"/>
                <w:szCs w:val="20"/>
              </w:rPr>
              <w:t>.</w:t>
            </w:r>
            <w:r w:rsidRPr="00C87C03">
              <w:rPr>
                <w:sz w:val="20"/>
                <w:szCs w:val="20"/>
              </w:rPr>
              <w:t>2</w:t>
            </w:r>
          </w:p>
        </w:tc>
        <w:tc>
          <w:tcPr>
            <w:tcW w:w="1460" w:type="dxa"/>
            <w:tcBorders>
              <w:top w:val="single" w:sz="6" w:space="0" w:color="A6A6A6"/>
            </w:tcBorders>
            <w:shd w:val="clear" w:color="auto" w:fill="auto"/>
            <w:hideMark/>
          </w:tcPr>
          <w:p w14:paraId="164F5F5C" w14:textId="322B6416" w:rsidR="00325489" w:rsidRPr="00C87C03" w:rsidRDefault="00325489" w:rsidP="00913048">
            <w:pPr>
              <w:tabs>
                <w:tab w:val="decimal" w:pos="702"/>
              </w:tabs>
              <w:jc w:val="left"/>
              <w:rPr>
                <w:sz w:val="20"/>
                <w:szCs w:val="20"/>
              </w:rPr>
            </w:pPr>
            <w:r w:rsidRPr="00C87C03">
              <w:rPr>
                <w:sz w:val="20"/>
                <w:szCs w:val="20"/>
              </w:rPr>
              <w:t>103</w:t>
            </w:r>
            <w:r w:rsidR="00913048">
              <w:rPr>
                <w:sz w:val="20"/>
                <w:szCs w:val="20"/>
              </w:rPr>
              <w:t>.</w:t>
            </w:r>
            <w:r w:rsidRPr="00C87C03">
              <w:rPr>
                <w:sz w:val="20"/>
                <w:szCs w:val="20"/>
              </w:rPr>
              <w:t>9</w:t>
            </w:r>
          </w:p>
        </w:tc>
        <w:tc>
          <w:tcPr>
            <w:tcW w:w="1960" w:type="dxa"/>
            <w:tcBorders>
              <w:top w:val="single" w:sz="6" w:space="0" w:color="A6A6A6"/>
            </w:tcBorders>
            <w:shd w:val="clear" w:color="auto" w:fill="auto"/>
            <w:hideMark/>
          </w:tcPr>
          <w:p w14:paraId="7E0A1480" w14:textId="5A7CBF71" w:rsidR="00325489" w:rsidRPr="00C87C03" w:rsidRDefault="00325489" w:rsidP="00913048">
            <w:pPr>
              <w:tabs>
                <w:tab w:val="decimal" w:pos="862"/>
              </w:tabs>
              <w:jc w:val="left"/>
              <w:rPr>
                <w:sz w:val="20"/>
                <w:szCs w:val="20"/>
              </w:rPr>
            </w:pPr>
            <w:r w:rsidRPr="00C87C03">
              <w:rPr>
                <w:sz w:val="20"/>
                <w:szCs w:val="20"/>
              </w:rPr>
              <w:t>96</w:t>
            </w:r>
            <w:r w:rsidR="00913048">
              <w:rPr>
                <w:sz w:val="20"/>
                <w:szCs w:val="20"/>
              </w:rPr>
              <w:t>.</w:t>
            </w:r>
            <w:r w:rsidRPr="00C87C03">
              <w:rPr>
                <w:sz w:val="20"/>
                <w:szCs w:val="20"/>
              </w:rPr>
              <w:t>2</w:t>
            </w:r>
          </w:p>
        </w:tc>
      </w:tr>
      <w:tr w:rsidR="00325489" w:rsidRPr="00C87C03" w14:paraId="1321278E" w14:textId="77777777" w:rsidTr="00913048">
        <w:tc>
          <w:tcPr>
            <w:tcW w:w="3690" w:type="dxa"/>
            <w:tcBorders>
              <w:top w:val="single" w:sz="6" w:space="0" w:color="A6A6A6"/>
            </w:tcBorders>
            <w:shd w:val="clear" w:color="auto" w:fill="auto"/>
            <w:hideMark/>
          </w:tcPr>
          <w:p w14:paraId="0DD90678" w14:textId="77777777" w:rsidR="00325489" w:rsidRPr="00913048" w:rsidRDefault="00325489" w:rsidP="00C87C03">
            <w:pPr>
              <w:jc w:val="left"/>
              <w:rPr>
                <w:b/>
                <w:sz w:val="20"/>
                <w:szCs w:val="20"/>
              </w:rPr>
            </w:pPr>
            <w:r w:rsidRPr="00913048">
              <w:rPr>
                <w:b/>
                <w:sz w:val="20"/>
                <w:szCs w:val="20"/>
              </w:rPr>
              <w:t>SURPLUS/DEFICIT</w:t>
            </w:r>
          </w:p>
        </w:tc>
        <w:tc>
          <w:tcPr>
            <w:tcW w:w="2070" w:type="dxa"/>
            <w:tcBorders>
              <w:top w:val="single" w:sz="6" w:space="0" w:color="A6A6A6"/>
            </w:tcBorders>
            <w:shd w:val="clear" w:color="auto" w:fill="auto"/>
            <w:hideMark/>
          </w:tcPr>
          <w:p w14:paraId="59D9F2B9" w14:textId="0AA20D98" w:rsidR="00325489" w:rsidRPr="00C87C03" w:rsidRDefault="00913048" w:rsidP="00913048">
            <w:pPr>
              <w:tabs>
                <w:tab w:val="decimal" w:pos="911"/>
              </w:tabs>
              <w:jc w:val="left"/>
              <w:rPr>
                <w:sz w:val="20"/>
                <w:szCs w:val="20"/>
              </w:rPr>
            </w:pPr>
            <w:r w:rsidRPr="00913048">
              <w:rPr>
                <w:sz w:val="20"/>
                <w:szCs w:val="20"/>
              </w:rPr>
              <w:t>−</w:t>
            </w:r>
            <w:r w:rsidR="00325489" w:rsidRPr="00C87C03">
              <w:rPr>
                <w:sz w:val="20"/>
                <w:szCs w:val="20"/>
              </w:rPr>
              <w:t>4</w:t>
            </w:r>
            <w:r>
              <w:rPr>
                <w:sz w:val="20"/>
                <w:szCs w:val="20"/>
              </w:rPr>
              <w:t>.</w:t>
            </w:r>
            <w:r w:rsidR="00325489" w:rsidRPr="00C87C03">
              <w:rPr>
                <w:sz w:val="20"/>
                <w:szCs w:val="20"/>
              </w:rPr>
              <w:t>2</w:t>
            </w:r>
          </w:p>
        </w:tc>
        <w:tc>
          <w:tcPr>
            <w:tcW w:w="1460" w:type="dxa"/>
            <w:tcBorders>
              <w:top w:val="single" w:sz="6" w:space="0" w:color="A6A6A6"/>
            </w:tcBorders>
            <w:shd w:val="clear" w:color="auto" w:fill="auto"/>
            <w:hideMark/>
          </w:tcPr>
          <w:p w14:paraId="194187D7" w14:textId="6A274EE7" w:rsidR="00325489" w:rsidRPr="00C87C03" w:rsidRDefault="00325489" w:rsidP="00913048">
            <w:pPr>
              <w:tabs>
                <w:tab w:val="decimal" w:pos="702"/>
              </w:tabs>
              <w:jc w:val="left"/>
              <w:rPr>
                <w:sz w:val="20"/>
                <w:szCs w:val="20"/>
              </w:rPr>
            </w:pPr>
            <w:r w:rsidRPr="00C87C03">
              <w:rPr>
                <w:sz w:val="20"/>
                <w:szCs w:val="20"/>
              </w:rPr>
              <w:t>3</w:t>
            </w:r>
            <w:r w:rsidR="00913048">
              <w:rPr>
                <w:sz w:val="20"/>
                <w:szCs w:val="20"/>
              </w:rPr>
              <w:t>.</w:t>
            </w:r>
            <w:r w:rsidRPr="00C87C03">
              <w:rPr>
                <w:sz w:val="20"/>
                <w:szCs w:val="20"/>
              </w:rPr>
              <w:t>9</w:t>
            </w:r>
          </w:p>
        </w:tc>
        <w:tc>
          <w:tcPr>
            <w:tcW w:w="1960" w:type="dxa"/>
            <w:tcBorders>
              <w:top w:val="single" w:sz="6" w:space="0" w:color="A6A6A6"/>
            </w:tcBorders>
            <w:shd w:val="clear" w:color="auto" w:fill="auto"/>
            <w:hideMark/>
          </w:tcPr>
          <w:p w14:paraId="0204F46A" w14:textId="1BE81F13" w:rsidR="00325489" w:rsidRPr="00C87C03" w:rsidRDefault="00325489" w:rsidP="00913048">
            <w:pPr>
              <w:tabs>
                <w:tab w:val="decimal" w:pos="862"/>
              </w:tabs>
              <w:jc w:val="left"/>
              <w:rPr>
                <w:sz w:val="20"/>
                <w:szCs w:val="20"/>
              </w:rPr>
            </w:pPr>
            <w:r w:rsidRPr="00C87C03">
              <w:rPr>
                <w:sz w:val="20"/>
                <w:szCs w:val="20"/>
              </w:rPr>
              <w:t>3</w:t>
            </w:r>
            <w:r w:rsidR="00913048">
              <w:rPr>
                <w:sz w:val="20"/>
                <w:szCs w:val="20"/>
              </w:rPr>
              <w:t>.</w:t>
            </w:r>
            <w:r w:rsidRPr="00C87C03">
              <w:rPr>
                <w:sz w:val="20"/>
                <w:szCs w:val="20"/>
              </w:rPr>
              <w:t>8</w:t>
            </w:r>
          </w:p>
        </w:tc>
      </w:tr>
    </w:tbl>
    <w:p w14:paraId="1A1475A3" w14:textId="7D1FAD12" w:rsidR="003F1AC8" w:rsidRPr="00C87C03" w:rsidRDefault="003F1AC8" w:rsidP="0045183B">
      <w:pPr>
        <w:pStyle w:val="Italic"/>
        <w:spacing w:after="240"/>
        <w:rPr>
          <w:i w:val="0"/>
          <w:sz w:val="20"/>
        </w:rPr>
      </w:pPr>
      <w:r w:rsidRPr="00C87C03">
        <w:rPr>
          <w:sz w:val="20"/>
        </w:rPr>
        <w:t>Source</w:t>
      </w:r>
      <w:r w:rsidRPr="00C87C03">
        <w:rPr>
          <w:i w:val="0"/>
          <w:sz w:val="20"/>
        </w:rPr>
        <w:t xml:space="preserve">: </w:t>
      </w:r>
      <w:r w:rsidR="00221A40" w:rsidRPr="00221A40">
        <w:rPr>
          <w:i w:val="0"/>
          <w:sz w:val="20"/>
          <w:lang w:val="en-US"/>
        </w:rPr>
        <w:t>Annual Financial Statements</w:t>
      </w:r>
      <w:r w:rsidR="00221A40">
        <w:rPr>
          <w:i w:val="0"/>
          <w:sz w:val="20"/>
          <w:lang w:val="en-US"/>
        </w:rPr>
        <w:t xml:space="preserve"> (</w:t>
      </w:r>
      <w:r w:rsidRPr="00C87C03">
        <w:rPr>
          <w:i w:val="0"/>
          <w:sz w:val="20"/>
        </w:rPr>
        <w:t>A</w:t>
      </w:r>
      <w:r w:rsidR="00275C4E" w:rsidRPr="00C87C03">
        <w:rPr>
          <w:i w:val="0"/>
          <w:sz w:val="20"/>
        </w:rPr>
        <w:t>FS</w:t>
      </w:r>
      <w:r w:rsidR="00514BAE" w:rsidRPr="00C87C03">
        <w:rPr>
          <w:i w:val="0"/>
          <w:sz w:val="20"/>
        </w:rPr>
        <w:t>s</w:t>
      </w:r>
      <w:r w:rsidR="00221A40">
        <w:rPr>
          <w:i w:val="0"/>
          <w:sz w:val="20"/>
        </w:rPr>
        <w:t>)</w:t>
      </w:r>
      <w:r w:rsidR="0045183B">
        <w:rPr>
          <w:i w:val="0"/>
          <w:sz w:val="20"/>
        </w:rPr>
        <w:t>.</w:t>
      </w:r>
    </w:p>
    <w:p w14:paraId="5A30D0D5" w14:textId="32FCDFB7" w:rsidR="00D543DD" w:rsidRPr="005849E4" w:rsidRDefault="00D543DD" w:rsidP="006D24AF">
      <w:pPr>
        <w:rPr>
          <w:sz w:val="22"/>
        </w:rPr>
      </w:pPr>
      <w:r w:rsidRPr="005849E4">
        <w:rPr>
          <w:sz w:val="20"/>
        </w:rPr>
        <w:t>I</w:t>
      </w:r>
      <w:r w:rsidR="00CA52CE" w:rsidRPr="005849E4">
        <w:rPr>
          <w:sz w:val="20"/>
        </w:rPr>
        <w:t>nformation</w:t>
      </w:r>
      <w:r w:rsidR="00CA52CE" w:rsidRPr="005849E4">
        <w:rPr>
          <w:sz w:val="22"/>
        </w:rPr>
        <w:t xml:space="preserve"> on the trends in sectoral and economic allocation of </w:t>
      </w:r>
      <w:r w:rsidR="00A61A7D" w:rsidRPr="005849E4">
        <w:rPr>
          <w:sz w:val="22"/>
        </w:rPr>
        <w:t>resources is</w:t>
      </w:r>
      <w:r w:rsidRPr="005849E4">
        <w:rPr>
          <w:sz w:val="22"/>
        </w:rPr>
        <w:t xml:space="preserve"> provided in </w:t>
      </w:r>
      <w:r w:rsidR="00CF5676" w:rsidRPr="005849E4">
        <w:rPr>
          <w:sz w:val="22"/>
        </w:rPr>
        <w:t>T</w:t>
      </w:r>
      <w:r w:rsidRPr="005849E4">
        <w:rPr>
          <w:sz w:val="22"/>
        </w:rPr>
        <w:t xml:space="preserve">ables </w:t>
      </w:r>
      <w:r w:rsidR="00CF5676" w:rsidRPr="005849E4">
        <w:rPr>
          <w:sz w:val="22"/>
        </w:rPr>
        <w:t>2.3 and 2.4</w:t>
      </w:r>
      <w:r w:rsidR="00CA52CE" w:rsidRPr="005849E4">
        <w:rPr>
          <w:sz w:val="22"/>
        </w:rPr>
        <w:t xml:space="preserve">. </w:t>
      </w:r>
    </w:p>
    <w:p w14:paraId="2CA4B28C" w14:textId="2A1F3D38" w:rsidR="00FE07C0" w:rsidRDefault="00FE07C0" w:rsidP="00590C8E">
      <w:pPr>
        <w:pStyle w:val="TableStyle"/>
      </w:pPr>
      <w:bookmarkStart w:id="41" w:name="_Toc532418101"/>
      <w:r w:rsidRPr="00890A84">
        <w:t>Table 2.</w:t>
      </w:r>
      <w:r w:rsidR="00426456" w:rsidRPr="00890A84">
        <w:fldChar w:fldCharType="begin"/>
      </w:r>
      <w:r w:rsidRPr="00890A84">
        <w:instrText xml:space="preserve"> SEQ Table_2. \* ARABIC </w:instrText>
      </w:r>
      <w:r w:rsidR="00426456" w:rsidRPr="00890A84">
        <w:fldChar w:fldCharType="separate"/>
      </w:r>
      <w:r w:rsidR="00D00E7B">
        <w:rPr>
          <w:noProof/>
        </w:rPr>
        <w:t>3</w:t>
      </w:r>
      <w:r w:rsidR="00426456" w:rsidRPr="00890A84">
        <w:fldChar w:fldCharType="end"/>
      </w:r>
      <w:r w:rsidRPr="00890A84">
        <w:t xml:space="preserve">: </w:t>
      </w:r>
      <w:r w:rsidR="00514BAE">
        <w:t>B</w:t>
      </w:r>
      <w:r w:rsidRPr="00890A84">
        <w:t xml:space="preserve">udget allocations by sectors (as a </w:t>
      </w:r>
      <w:r w:rsidR="00221A40">
        <w:t>percentage</w:t>
      </w:r>
      <w:r w:rsidRPr="00890A84">
        <w:t xml:space="preserve"> of total expenditures)</w:t>
      </w:r>
      <w:bookmarkEnd w:id="41"/>
    </w:p>
    <w:tbl>
      <w:tblPr>
        <w:tblW w:w="8392" w:type="dxa"/>
        <w:tblBorders>
          <w:top w:val="single" w:sz="6" w:space="0" w:color="006DB6"/>
          <w:left w:val="single" w:sz="6" w:space="0" w:color="006DB6"/>
          <w:bottom w:val="single" w:sz="6" w:space="0" w:color="006DB6"/>
          <w:right w:val="single" w:sz="6" w:space="0" w:color="006DB6"/>
          <w:insideV w:val="single" w:sz="6" w:space="0" w:color="006DB6"/>
        </w:tblBorders>
        <w:tblLook w:val="04A0" w:firstRow="1" w:lastRow="0" w:firstColumn="1" w:lastColumn="0" w:noHBand="0" w:noVBand="1"/>
      </w:tblPr>
      <w:tblGrid>
        <w:gridCol w:w="5245"/>
        <w:gridCol w:w="1049"/>
        <w:gridCol w:w="1049"/>
        <w:gridCol w:w="1049"/>
      </w:tblGrid>
      <w:tr w:rsidR="00400265" w:rsidRPr="00C87C03" w14:paraId="4F365934" w14:textId="77777777" w:rsidTr="00221A40">
        <w:trPr>
          <w:trHeight w:val="255"/>
          <w:tblHeader/>
        </w:trPr>
        <w:tc>
          <w:tcPr>
            <w:tcW w:w="5245" w:type="dxa"/>
            <w:tcBorders>
              <w:top w:val="nil"/>
              <w:left w:val="nil"/>
              <w:bottom w:val="nil"/>
              <w:right w:val="nil"/>
              <w:tl2br w:val="nil"/>
              <w:tr2bl w:val="nil"/>
            </w:tcBorders>
            <w:shd w:val="pct70" w:color="4E93CA" w:fill="4E93CA"/>
            <w:noWrap/>
            <w:hideMark/>
          </w:tcPr>
          <w:p w14:paraId="6CE2FEDF" w14:textId="77777777" w:rsidR="00E16C7C" w:rsidRPr="00C87C03" w:rsidRDefault="00514BAE" w:rsidP="00221A40">
            <w:pPr>
              <w:jc w:val="center"/>
              <w:rPr>
                <w:b/>
                <w:color w:val="FFFFFF" w:themeColor="background1"/>
                <w:sz w:val="20"/>
                <w:szCs w:val="20"/>
              </w:rPr>
            </w:pPr>
            <w:r w:rsidRPr="00C87C03">
              <w:rPr>
                <w:b/>
                <w:color w:val="FFFFFF" w:themeColor="background1"/>
                <w:sz w:val="20"/>
                <w:szCs w:val="20"/>
              </w:rPr>
              <w:t>F</w:t>
            </w:r>
            <w:r w:rsidR="00E16C7C" w:rsidRPr="00C87C03">
              <w:rPr>
                <w:b/>
                <w:color w:val="FFFFFF" w:themeColor="background1"/>
                <w:sz w:val="20"/>
                <w:szCs w:val="20"/>
              </w:rPr>
              <w:t>unctional head</w:t>
            </w:r>
          </w:p>
        </w:tc>
        <w:tc>
          <w:tcPr>
            <w:tcW w:w="1049" w:type="dxa"/>
            <w:tcBorders>
              <w:top w:val="nil"/>
              <w:left w:val="nil"/>
              <w:bottom w:val="nil"/>
              <w:right w:val="nil"/>
              <w:tl2br w:val="nil"/>
              <w:tr2bl w:val="nil"/>
            </w:tcBorders>
            <w:shd w:val="pct70" w:color="4E93CA" w:fill="4E93CA"/>
            <w:noWrap/>
            <w:hideMark/>
          </w:tcPr>
          <w:p w14:paraId="5B58A779" w14:textId="77777777" w:rsidR="00E16C7C" w:rsidRPr="00C87C03" w:rsidRDefault="00E16C7C" w:rsidP="00221A40">
            <w:pPr>
              <w:jc w:val="center"/>
              <w:rPr>
                <w:b/>
                <w:color w:val="FFFFFF" w:themeColor="background1"/>
                <w:sz w:val="20"/>
                <w:szCs w:val="20"/>
              </w:rPr>
            </w:pPr>
            <w:r w:rsidRPr="00C87C03">
              <w:rPr>
                <w:b/>
                <w:color w:val="FFFFFF" w:themeColor="background1"/>
                <w:sz w:val="20"/>
                <w:szCs w:val="20"/>
              </w:rPr>
              <w:t>2013/14</w:t>
            </w:r>
          </w:p>
        </w:tc>
        <w:tc>
          <w:tcPr>
            <w:tcW w:w="1049" w:type="dxa"/>
            <w:tcBorders>
              <w:top w:val="nil"/>
              <w:left w:val="nil"/>
              <w:bottom w:val="nil"/>
              <w:right w:val="nil"/>
              <w:tl2br w:val="nil"/>
              <w:tr2bl w:val="nil"/>
            </w:tcBorders>
            <w:shd w:val="pct70" w:color="4E93CA" w:fill="4E93CA"/>
            <w:noWrap/>
            <w:hideMark/>
          </w:tcPr>
          <w:p w14:paraId="731DAD89" w14:textId="77777777" w:rsidR="00E16C7C" w:rsidRPr="00C87C03" w:rsidRDefault="00E16C7C" w:rsidP="00221A40">
            <w:pPr>
              <w:jc w:val="center"/>
              <w:rPr>
                <w:b/>
                <w:color w:val="FFFFFF" w:themeColor="background1"/>
                <w:sz w:val="20"/>
                <w:szCs w:val="20"/>
              </w:rPr>
            </w:pPr>
            <w:r w:rsidRPr="00C87C03">
              <w:rPr>
                <w:b/>
                <w:color w:val="FFFFFF" w:themeColor="background1"/>
                <w:sz w:val="20"/>
                <w:szCs w:val="20"/>
              </w:rPr>
              <w:t>2014/15</w:t>
            </w:r>
          </w:p>
        </w:tc>
        <w:tc>
          <w:tcPr>
            <w:tcW w:w="1049" w:type="dxa"/>
            <w:tcBorders>
              <w:top w:val="nil"/>
              <w:left w:val="nil"/>
              <w:bottom w:val="nil"/>
              <w:right w:val="nil"/>
              <w:tl2br w:val="nil"/>
              <w:tr2bl w:val="nil"/>
            </w:tcBorders>
            <w:shd w:val="pct70" w:color="4E93CA" w:fill="4E93CA"/>
            <w:noWrap/>
            <w:hideMark/>
          </w:tcPr>
          <w:p w14:paraId="54976624" w14:textId="77777777" w:rsidR="00E16C7C" w:rsidRPr="00C87C03" w:rsidRDefault="00E16C7C" w:rsidP="00221A40">
            <w:pPr>
              <w:jc w:val="center"/>
              <w:rPr>
                <w:b/>
                <w:color w:val="FFFFFF" w:themeColor="background1"/>
                <w:sz w:val="20"/>
                <w:szCs w:val="20"/>
              </w:rPr>
            </w:pPr>
            <w:r w:rsidRPr="00C87C03">
              <w:rPr>
                <w:b/>
                <w:color w:val="FFFFFF" w:themeColor="background1"/>
                <w:sz w:val="20"/>
                <w:szCs w:val="20"/>
              </w:rPr>
              <w:t>2015/16</w:t>
            </w:r>
          </w:p>
        </w:tc>
      </w:tr>
      <w:tr w:rsidR="00E16C7C" w:rsidRPr="00C87C03" w14:paraId="55A1051C" w14:textId="77777777" w:rsidTr="00221A40">
        <w:trPr>
          <w:trHeight w:val="255"/>
        </w:trPr>
        <w:tc>
          <w:tcPr>
            <w:tcW w:w="5245" w:type="dxa"/>
            <w:tcBorders>
              <w:top w:val="single" w:sz="6" w:space="0" w:color="A6A6A6"/>
            </w:tcBorders>
            <w:shd w:val="clear" w:color="auto" w:fill="auto"/>
            <w:noWrap/>
            <w:hideMark/>
          </w:tcPr>
          <w:p w14:paraId="73090FD5" w14:textId="77777777" w:rsidR="00E16C7C" w:rsidRPr="00C87C03" w:rsidRDefault="00E16C7C" w:rsidP="001E3161">
            <w:pPr>
              <w:rPr>
                <w:sz w:val="20"/>
                <w:szCs w:val="20"/>
              </w:rPr>
            </w:pPr>
            <w:r w:rsidRPr="00C87C03">
              <w:rPr>
                <w:sz w:val="20"/>
                <w:szCs w:val="20"/>
              </w:rPr>
              <w:t>County Assembly</w:t>
            </w:r>
          </w:p>
        </w:tc>
        <w:tc>
          <w:tcPr>
            <w:tcW w:w="1049" w:type="dxa"/>
            <w:tcBorders>
              <w:top w:val="single" w:sz="6" w:space="0" w:color="A6A6A6"/>
            </w:tcBorders>
            <w:shd w:val="clear" w:color="auto" w:fill="auto"/>
            <w:noWrap/>
            <w:hideMark/>
          </w:tcPr>
          <w:p w14:paraId="3DB14674" w14:textId="77777777" w:rsidR="00E16C7C" w:rsidRPr="00C87C03" w:rsidRDefault="00E16C7C" w:rsidP="00221A40">
            <w:pPr>
              <w:tabs>
                <w:tab w:val="decimal" w:pos="500"/>
              </w:tabs>
              <w:jc w:val="left"/>
              <w:rPr>
                <w:sz w:val="20"/>
                <w:szCs w:val="20"/>
              </w:rPr>
            </w:pPr>
            <w:r w:rsidRPr="00C87C03">
              <w:rPr>
                <w:sz w:val="20"/>
                <w:szCs w:val="20"/>
              </w:rPr>
              <w:t>15.1</w:t>
            </w:r>
          </w:p>
        </w:tc>
        <w:tc>
          <w:tcPr>
            <w:tcW w:w="1049" w:type="dxa"/>
            <w:tcBorders>
              <w:top w:val="single" w:sz="6" w:space="0" w:color="A6A6A6"/>
            </w:tcBorders>
            <w:shd w:val="clear" w:color="auto" w:fill="auto"/>
            <w:noWrap/>
            <w:hideMark/>
          </w:tcPr>
          <w:p w14:paraId="54E8B585" w14:textId="77777777" w:rsidR="00E16C7C" w:rsidRPr="00C87C03" w:rsidRDefault="00E16C7C" w:rsidP="00221A40">
            <w:pPr>
              <w:tabs>
                <w:tab w:val="decimal" w:pos="500"/>
              </w:tabs>
              <w:jc w:val="left"/>
              <w:rPr>
                <w:sz w:val="20"/>
                <w:szCs w:val="20"/>
              </w:rPr>
            </w:pPr>
            <w:r w:rsidRPr="00C87C03">
              <w:rPr>
                <w:sz w:val="20"/>
                <w:szCs w:val="20"/>
              </w:rPr>
              <w:t>18.9</w:t>
            </w:r>
          </w:p>
        </w:tc>
        <w:tc>
          <w:tcPr>
            <w:tcW w:w="1049" w:type="dxa"/>
            <w:tcBorders>
              <w:top w:val="single" w:sz="6" w:space="0" w:color="A6A6A6"/>
            </w:tcBorders>
            <w:shd w:val="clear" w:color="auto" w:fill="auto"/>
            <w:noWrap/>
            <w:hideMark/>
          </w:tcPr>
          <w:p w14:paraId="7E887FF0" w14:textId="77777777" w:rsidR="00E16C7C" w:rsidRPr="00C87C03" w:rsidRDefault="00E16C7C" w:rsidP="00221A40">
            <w:pPr>
              <w:tabs>
                <w:tab w:val="decimal" w:pos="500"/>
              </w:tabs>
              <w:jc w:val="left"/>
              <w:rPr>
                <w:sz w:val="20"/>
                <w:szCs w:val="20"/>
              </w:rPr>
            </w:pPr>
            <w:r w:rsidRPr="00C87C03">
              <w:rPr>
                <w:sz w:val="20"/>
                <w:szCs w:val="20"/>
              </w:rPr>
              <w:t>15.8</w:t>
            </w:r>
          </w:p>
        </w:tc>
      </w:tr>
      <w:tr w:rsidR="00E16C7C" w:rsidRPr="00C87C03" w14:paraId="7C097185" w14:textId="77777777" w:rsidTr="00221A40">
        <w:trPr>
          <w:trHeight w:val="255"/>
        </w:trPr>
        <w:tc>
          <w:tcPr>
            <w:tcW w:w="5245" w:type="dxa"/>
            <w:tcBorders>
              <w:top w:val="single" w:sz="6" w:space="0" w:color="A6A6A6"/>
            </w:tcBorders>
            <w:shd w:val="clear" w:color="auto" w:fill="auto"/>
            <w:noWrap/>
            <w:hideMark/>
          </w:tcPr>
          <w:p w14:paraId="1D4DE4CE" w14:textId="77777777" w:rsidR="00E16C7C" w:rsidRPr="00C87C03" w:rsidRDefault="00E16C7C" w:rsidP="001E3161">
            <w:pPr>
              <w:rPr>
                <w:sz w:val="20"/>
                <w:szCs w:val="20"/>
              </w:rPr>
            </w:pPr>
            <w:r w:rsidRPr="00C87C03">
              <w:rPr>
                <w:sz w:val="20"/>
                <w:szCs w:val="20"/>
              </w:rPr>
              <w:t>County Executive</w:t>
            </w:r>
          </w:p>
        </w:tc>
        <w:tc>
          <w:tcPr>
            <w:tcW w:w="1049" w:type="dxa"/>
            <w:tcBorders>
              <w:top w:val="single" w:sz="6" w:space="0" w:color="A6A6A6"/>
            </w:tcBorders>
            <w:shd w:val="clear" w:color="auto" w:fill="auto"/>
            <w:noWrap/>
            <w:hideMark/>
          </w:tcPr>
          <w:p w14:paraId="504F8050" w14:textId="77777777" w:rsidR="00E16C7C" w:rsidRPr="00C87C03" w:rsidRDefault="00E16C7C" w:rsidP="00221A40">
            <w:pPr>
              <w:tabs>
                <w:tab w:val="decimal" w:pos="500"/>
              </w:tabs>
              <w:jc w:val="left"/>
              <w:rPr>
                <w:sz w:val="20"/>
                <w:szCs w:val="20"/>
              </w:rPr>
            </w:pPr>
            <w:r w:rsidRPr="00C87C03">
              <w:rPr>
                <w:sz w:val="20"/>
                <w:szCs w:val="20"/>
              </w:rPr>
              <w:t>28.8</w:t>
            </w:r>
          </w:p>
        </w:tc>
        <w:tc>
          <w:tcPr>
            <w:tcW w:w="1049" w:type="dxa"/>
            <w:tcBorders>
              <w:top w:val="single" w:sz="6" w:space="0" w:color="A6A6A6"/>
            </w:tcBorders>
            <w:shd w:val="clear" w:color="auto" w:fill="auto"/>
            <w:noWrap/>
            <w:hideMark/>
          </w:tcPr>
          <w:p w14:paraId="14FA4FDC" w14:textId="77777777" w:rsidR="00E16C7C" w:rsidRPr="00C87C03" w:rsidRDefault="00E16C7C" w:rsidP="00221A40">
            <w:pPr>
              <w:tabs>
                <w:tab w:val="decimal" w:pos="500"/>
              </w:tabs>
              <w:jc w:val="left"/>
              <w:rPr>
                <w:sz w:val="20"/>
                <w:szCs w:val="20"/>
              </w:rPr>
            </w:pPr>
            <w:r w:rsidRPr="00C87C03">
              <w:rPr>
                <w:sz w:val="20"/>
                <w:szCs w:val="20"/>
              </w:rPr>
              <w:t>42.8</w:t>
            </w:r>
          </w:p>
        </w:tc>
        <w:tc>
          <w:tcPr>
            <w:tcW w:w="1049" w:type="dxa"/>
            <w:tcBorders>
              <w:top w:val="single" w:sz="6" w:space="0" w:color="A6A6A6"/>
            </w:tcBorders>
            <w:shd w:val="clear" w:color="auto" w:fill="auto"/>
            <w:noWrap/>
            <w:hideMark/>
          </w:tcPr>
          <w:p w14:paraId="61D679BF" w14:textId="77777777" w:rsidR="00E16C7C" w:rsidRPr="00C87C03" w:rsidRDefault="00E16C7C" w:rsidP="00221A40">
            <w:pPr>
              <w:tabs>
                <w:tab w:val="decimal" w:pos="500"/>
              </w:tabs>
              <w:jc w:val="left"/>
              <w:rPr>
                <w:sz w:val="20"/>
                <w:szCs w:val="20"/>
              </w:rPr>
            </w:pPr>
            <w:r w:rsidRPr="00C87C03">
              <w:rPr>
                <w:sz w:val="20"/>
                <w:szCs w:val="20"/>
              </w:rPr>
              <w:t>19.8</w:t>
            </w:r>
          </w:p>
        </w:tc>
      </w:tr>
      <w:tr w:rsidR="00E16C7C" w:rsidRPr="00C87C03" w14:paraId="3CA1CFFE" w14:textId="77777777" w:rsidTr="00221A40">
        <w:trPr>
          <w:trHeight w:val="255"/>
        </w:trPr>
        <w:tc>
          <w:tcPr>
            <w:tcW w:w="5245" w:type="dxa"/>
            <w:tcBorders>
              <w:top w:val="single" w:sz="6" w:space="0" w:color="A6A6A6"/>
            </w:tcBorders>
            <w:shd w:val="clear" w:color="auto" w:fill="auto"/>
            <w:noWrap/>
            <w:hideMark/>
          </w:tcPr>
          <w:p w14:paraId="1154F30E" w14:textId="77777777" w:rsidR="00E16C7C" w:rsidRPr="00C87C03" w:rsidRDefault="00E16C7C" w:rsidP="001E3161">
            <w:pPr>
              <w:rPr>
                <w:sz w:val="20"/>
                <w:szCs w:val="20"/>
              </w:rPr>
            </w:pPr>
            <w:r w:rsidRPr="00C87C03">
              <w:rPr>
                <w:sz w:val="20"/>
                <w:szCs w:val="20"/>
              </w:rPr>
              <w:t>Finance and Economic Planning</w:t>
            </w:r>
          </w:p>
        </w:tc>
        <w:tc>
          <w:tcPr>
            <w:tcW w:w="1049" w:type="dxa"/>
            <w:tcBorders>
              <w:top w:val="single" w:sz="6" w:space="0" w:color="A6A6A6"/>
            </w:tcBorders>
            <w:shd w:val="clear" w:color="auto" w:fill="auto"/>
            <w:noWrap/>
            <w:hideMark/>
          </w:tcPr>
          <w:p w14:paraId="02FD1DC2" w14:textId="77777777" w:rsidR="00E16C7C" w:rsidRPr="00C87C03" w:rsidRDefault="00E16C7C" w:rsidP="00221A40">
            <w:pPr>
              <w:tabs>
                <w:tab w:val="decimal" w:pos="500"/>
              </w:tabs>
              <w:jc w:val="left"/>
              <w:rPr>
                <w:sz w:val="20"/>
                <w:szCs w:val="20"/>
              </w:rPr>
            </w:pPr>
            <w:r w:rsidRPr="00C87C03">
              <w:rPr>
                <w:sz w:val="20"/>
                <w:szCs w:val="20"/>
              </w:rPr>
              <w:t>5.7</w:t>
            </w:r>
          </w:p>
        </w:tc>
        <w:tc>
          <w:tcPr>
            <w:tcW w:w="1049" w:type="dxa"/>
            <w:tcBorders>
              <w:top w:val="single" w:sz="6" w:space="0" w:color="A6A6A6"/>
            </w:tcBorders>
            <w:shd w:val="clear" w:color="auto" w:fill="auto"/>
            <w:noWrap/>
            <w:hideMark/>
          </w:tcPr>
          <w:p w14:paraId="436B3B65" w14:textId="77777777" w:rsidR="00E16C7C" w:rsidRPr="00C87C03" w:rsidRDefault="00E16C7C" w:rsidP="00221A40">
            <w:pPr>
              <w:tabs>
                <w:tab w:val="decimal" w:pos="500"/>
              </w:tabs>
              <w:jc w:val="left"/>
              <w:rPr>
                <w:sz w:val="20"/>
                <w:szCs w:val="20"/>
              </w:rPr>
            </w:pPr>
            <w:r w:rsidRPr="00C87C03">
              <w:rPr>
                <w:sz w:val="20"/>
                <w:szCs w:val="20"/>
              </w:rPr>
              <w:t>17.6</w:t>
            </w:r>
          </w:p>
        </w:tc>
        <w:tc>
          <w:tcPr>
            <w:tcW w:w="1049" w:type="dxa"/>
            <w:tcBorders>
              <w:top w:val="single" w:sz="6" w:space="0" w:color="A6A6A6"/>
            </w:tcBorders>
            <w:shd w:val="clear" w:color="auto" w:fill="auto"/>
            <w:noWrap/>
            <w:hideMark/>
          </w:tcPr>
          <w:p w14:paraId="03D27A13" w14:textId="77777777" w:rsidR="00E16C7C" w:rsidRPr="00C87C03" w:rsidRDefault="00E16C7C" w:rsidP="00221A40">
            <w:pPr>
              <w:tabs>
                <w:tab w:val="decimal" w:pos="500"/>
              </w:tabs>
              <w:jc w:val="left"/>
              <w:rPr>
                <w:sz w:val="20"/>
                <w:szCs w:val="20"/>
              </w:rPr>
            </w:pPr>
            <w:r w:rsidRPr="00C87C03">
              <w:rPr>
                <w:sz w:val="20"/>
                <w:szCs w:val="20"/>
              </w:rPr>
              <w:t>11.0</w:t>
            </w:r>
          </w:p>
        </w:tc>
      </w:tr>
      <w:tr w:rsidR="00E16C7C" w:rsidRPr="00C87C03" w14:paraId="58C1E2C5" w14:textId="77777777" w:rsidTr="00221A40">
        <w:trPr>
          <w:trHeight w:val="255"/>
        </w:trPr>
        <w:tc>
          <w:tcPr>
            <w:tcW w:w="5245" w:type="dxa"/>
            <w:tcBorders>
              <w:top w:val="single" w:sz="6" w:space="0" w:color="A6A6A6"/>
            </w:tcBorders>
            <w:shd w:val="clear" w:color="auto" w:fill="auto"/>
            <w:noWrap/>
            <w:hideMark/>
          </w:tcPr>
          <w:p w14:paraId="26B519BE" w14:textId="77777777" w:rsidR="00E16C7C" w:rsidRPr="00C87C03" w:rsidRDefault="00E16C7C" w:rsidP="001E3161">
            <w:pPr>
              <w:rPr>
                <w:sz w:val="20"/>
                <w:szCs w:val="20"/>
              </w:rPr>
            </w:pPr>
            <w:r w:rsidRPr="00C87C03">
              <w:rPr>
                <w:sz w:val="20"/>
                <w:szCs w:val="20"/>
              </w:rPr>
              <w:t>Agriculture</w:t>
            </w:r>
          </w:p>
        </w:tc>
        <w:tc>
          <w:tcPr>
            <w:tcW w:w="1049" w:type="dxa"/>
            <w:tcBorders>
              <w:top w:val="single" w:sz="6" w:space="0" w:color="A6A6A6"/>
            </w:tcBorders>
            <w:shd w:val="clear" w:color="auto" w:fill="auto"/>
            <w:noWrap/>
            <w:hideMark/>
          </w:tcPr>
          <w:p w14:paraId="0CA95908" w14:textId="77777777" w:rsidR="00E16C7C" w:rsidRPr="00C87C03" w:rsidRDefault="00E16C7C" w:rsidP="00221A40">
            <w:pPr>
              <w:tabs>
                <w:tab w:val="decimal" w:pos="500"/>
              </w:tabs>
              <w:jc w:val="left"/>
              <w:rPr>
                <w:sz w:val="20"/>
                <w:szCs w:val="20"/>
              </w:rPr>
            </w:pPr>
            <w:r w:rsidRPr="00C87C03">
              <w:rPr>
                <w:sz w:val="20"/>
                <w:szCs w:val="20"/>
              </w:rPr>
              <w:t>5.3</w:t>
            </w:r>
          </w:p>
        </w:tc>
        <w:tc>
          <w:tcPr>
            <w:tcW w:w="1049" w:type="dxa"/>
            <w:tcBorders>
              <w:top w:val="single" w:sz="6" w:space="0" w:color="A6A6A6"/>
            </w:tcBorders>
            <w:shd w:val="clear" w:color="auto" w:fill="auto"/>
            <w:noWrap/>
            <w:hideMark/>
          </w:tcPr>
          <w:p w14:paraId="57C93490" w14:textId="77777777" w:rsidR="00E16C7C" w:rsidRPr="00C87C03" w:rsidRDefault="00E16C7C" w:rsidP="00221A40">
            <w:pPr>
              <w:tabs>
                <w:tab w:val="decimal" w:pos="500"/>
              </w:tabs>
              <w:jc w:val="left"/>
              <w:rPr>
                <w:sz w:val="20"/>
                <w:szCs w:val="20"/>
              </w:rPr>
            </w:pPr>
            <w:r w:rsidRPr="00C87C03">
              <w:rPr>
                <w:sz w:val="20"/>
                <w:szCs w:val="20"/>
              </w:rPr>
              <w:t>4.0</w:t>
            </w:r>
          </w:p>
        </w:tc>
        <w:tc>
          <w:tcPr>
            <w:tcW w:w="1049" w:type="dxa"/>
            <w:tcBorders>
              <w:top w:val="single" w:sz="6" w:space="0" w:color="A6A6A6"/>
            </w:tcBorders>
            <w:shd w:val="clear" w:color="auto" w:fill="auto"/>
            <w:noWrap/>
            <w:hideMark/>
          </w:tcPr>
          <w:p w14:paraId="5CF25C0A" w14:textId="77777777" w:rsidR="00E16C7C" w:rsidRPr="00C87C03" w:rsidRDefault="00E16C7C" w:rsidP="00221A40">
            <w:pPr>
              <w:tabs>
                <w:tab w:val="decimal" w:pos="500"/>
              </w:tabs>
              <w:jc w:val="left"/>
              <w:rPr>
                <w:sz w:val="20"/>
                <w:szCs w:val="20"/>
              </w:rPr>
            </w:pPr>
            <w:r w:rsidRPr="00C87C03">
              <w:rPr>
                <w:sz w:val="20"/>
                <w:szCs w:val="20"/>
              </w:rPr>
              <w:t>6.9</w:t>
            </w:r>
          </w:p>
        </w:tc>
      </w:tr>
      <w:tr w:rsidR="00E16C7C" w:rsidRPr="00C87C03" w14:paraId="5B32D297" w14:textId="77777777" w:rsidTr="00221A40">
        <w:trPr>
          <w:trHeight w:val="255"/>
        </w:trPr>
        <w:tc>
          <w:tcPr>
            <w:tcW w:w="5245" w:type="dxa"/>
            <w:tcBorders>
              <w:top w:val="single" w:sz="6" w:space="0" w:color="A6A6A6"/>
            </w:tcBorders>
            <w:shd w:val="clear" w:color="auto" w:fill="auto"/>
            <w:noWrap/>
            <w:hideMark/>
          </w:tcPr>
          <w:p w14:paraId="21257211" w14:textId="77777777" w:rsidR="00E16C7C" w:rsidRPr="00C87C03" w:rsidRDefault="00E16C7C" w:rsidP="001E3161">
            <w:pPr>
              <w:rPr>
                <w:sz w:val="20"/>
                <w:szCs w:val="20"/>
              </w:rPr>
            </w:pPr>
            <w:r w:rsidRPr="00C87C03">
              <w:rPr>
                <w:sz w:val="20"/>
                <w:szCs w:val="20"/>
              </w:rPr>
              <w:t xml:space="preserve">Environment </w:t>
            </w:r>
            <w:r w:rsidR="00A61A7D" w:rsidRPr="00C87C03">
              <w:rPr>
                <w:sz w:val="20"/>
                <w:szCs w:val="20"/>
              </w:rPr>
              <w:t>and</w:t>
            </w:r>
            <w:r w:rsidRPr="00C87C03">
              <w:rPr>
                <w:sz w:val="20"/>
                <w:szCs w:val="20"/>
              </w:rPr>
              <w:t xml:space="preserve"> Natural Resources</w:t>
            </w:r>
          </w:p>
        </w:tc>
        <w:tc>
          <w:tcPr>
            <w:tcW w:w="1049" w:type="dxa"/>
            <w:tcBorders>
              <w:top w:val="single" w:sz="6" w:space="0" w:color="A6A6A6"/>
            </w:tcBorders>
            <w:shd w:val="clear" w:color="auto" w:fill="auto"/>
            <w:noWrap/>
            <w:hideMark/>
          </w:tcPr>
          <w:p w14:paraId="3495A921" w14:textId="77777777" w:rsidR="00E16C7C" w:rsidRPr="00C87C03" w:rsidRDefault="00E16C7C" w:rsidP="00221A40">
            <w:pPr>
              <w:tabs>
                <w:tab w:val="decimal" w:pos="500"/>
              </w:tabs>
              <w:jc w:val="left"/>
              <w:rPr>
                <w:sz w:val="20"/>
                <w:szCs w:val="20"/>
              </w:rPr>
            </w:pPr>
            <w:r w:rsidRPr="00C87C03">
              <w:rPr>
                <w:sz w:val="20"/>
                <w:szCs w:val="20"/>
              </w:rPr>
              <w:t>8.2</w:t>
            </w:r>
          </w:p>
        </w:tc>
        <w:tc>
          <w:tcPr>
            <w:tcW w:w="1049" w:type="dxa"/>
            <w:tcBorders>
              <w:top w:val="single" w:sz="6" w:space="0" w:color="A6A6A6"/>
            </w:tcBorders>
            <w:shd w:val="clear" w:color="auto" w:fill="auto"/>
            <w:noWrap/>
            <w:hideMark/>
          </w:tcPr>
          <w:p w14:paraId="6C861E3E" w14:textId="77777777" w:rsidR="00E16C7C" w:rsidRPr="00C87C03" w:rsidRDefault="00E16C7C" w:rsidP="00221A40">
            <w:pPr>
              <w:tabs>
                <w:tab w:val="decimal" w:pos="500"/>
              </w:tabs>
              <w:jc w:val="left"/>
              <w:rPr>
                <w:sz w:val="20"/>
                <w:szCs w:val="20"/>
              </w:rPr>
            </w:pPr>
            <w:r w:rsidRPr="00C87C03">
              <w:rPr>
                <w:sz w:val="20"/>
                <w:szCs w:val="20"/>
              </w:rPr>
              <w:t>2.7</w:t>
            </w:r>
          </w:p>
        </w:tc>
        <w:tc>
          <w:tcPr>
            <w:tcW w:w="1049" w:type="dxa"/>
            <w:tcBorders>
              <w:top w:val="single" w:sz="6" w:space="0" w:color="A6A6A6"/>
            </w:tcBorders>
            <w:shd w:val="clear" w:color="auto" w:fill="auto"/>
            <w:noWrap/>
            <w:hideMark/>
          </w:tcPr>
          <w:p w14:paraId="704326C2" w14:textId="77777777" w:rsidR="00E16C7C" w:rsidRPr="00C87C03" w:rsidRDefault="00E16C7C" w:rsidP="00221A40">
            <w:pPr>
              <w:tabs>
                <w:tab w:val="decimal" w:pos="500"/>
              </w:tabs>
              <w:jc w:val="left"/>
              <w:rPr>
                <w:sz w:val="20"/>
                <w:szCs w:val="20"/>
              </w:rPr>
            </w:pPr>
            <w:r w:rsidRPr="00C87C03">
              <w:rPr>
                <w:sz w:val="20"/>
                <w:szCs w:val="20"/>
              </w:rPr>
              <w:t>6.7</w:t>
            </w:r>
          </w:p>
        </w:tc>
      </w:tr>
      <w:tr w:rsidR="00E16C7C" w:rsidRPr="00C87C03" w14:paraId="6841730C" w14:textId="77777777" w:rsidTr="00221A40">
        <w:trPr>
          <w:trHeight w:val="255"/>
        </w:trPr>
        <w:tc>
          <w:tcPr>
            <w:tcW w:w="5245" w:type="dxa"/>
            <w:tcBorders>
              <w:top w:val="single" w:sz="6" w:space="0" w:color="A6A6A6"/>
            </w:tcBorders>
            <w:shd w:val="clear" w:color="auto" w:fill="auto"/>
            <w:noWrap/>
            <w:hideMark/>
          </w:tcPr>
          <w:p w14:paraId="47C5DD45" w14:textId="6F578E4C" w:rsidR="00E16C7C" w:rsidRPr="00C87C03" w:rsidRDefault="00E16C7C" w:rsidP="001E3161">
            <w:pPr>
              <w:rPr>
                <w:sz w:val="20"/>
                <w:szCs w:val="20"/>
              </w:rPr>
            </w:pPr>
            <w:r w:rsidRPr="00C87C03">
              <w:rPr>
                <w:sz w:val="20"/>
                <w:szCs w:val="20"/>
              </w:rPr>
              <w:t>Education, Youth Affairs</w:t>
            </w:r>
            <w:r w:rsidR="00221A40">
              <w:rPr>
                <w:sz w:val="20"/>
                <w:szCs w:val="20"/>
              </w:rPr>
              <w:t>,</w:t>
            </w:r>
            <w:r w:rsidRPr="00C87C03">
              <w:rPr>
                <w:sz w:val="20"/>
                <w:szCs w:val="20"/>
              </w:rPr>
              <w:t xml:space="preserve"> </w:t>
            </w:r>
            <w:r w:rsidR="00A61A7D" w:rsidRPr="00C87C03">
              <w:rPr>
                <w:sz w:val="20"/>
                <w:szCs w:val="20"/>
              </w:rPr>
              <w:t>and</w:t>
            </w:r>
            <w:r w:rsidRPr="00C87C03">
              <w:rPr>
                <w:sz w:val="20"/>
                <w:szCs w:val="20"/>
              </w:rPr>
              <w:t xml:space="preserve"> Social Development</w:t>
            </w:r>
          </w:p>
        </w:tc>
        <w:tc>
          <w:tcPr>
            <w:tcW w:w="1049" w:type="dxa"/>
            <w:tcBorders>
              <w:top w:val="single" w:sz="6" w:space="0" w:color="A6A6A6"/>
            </w:tcBorders>
            <w:shd w:val="clear" w:color="auto" w:fill="auto"/>
            <w:noWrap/>
            <w:hideMark/>
          </w:tcPr>
          <w:p w14:paraId="0CC687EC" w14:textId="77777777" w:rsidR="00E16C7C" w:rsidRPr="00C87C03" w:rsidRDefault="00E16C7C" w:rsidP="00221A40">
            <w:pPr>
              <w:tabs>
                <w:tab w:val="decimal" w:pos="500"/>
              </w:tabs>
              <w:jc w:val="left"/>
              <w:rPr>
                <w:sz w:val="20"/>
                <w:szCs w:val="20"/>
              </w:rPr>
            </w:pPr>
            <w:r w:rsidRPr="00C87C03">
              <w:rPr>
                <w:sz w:val="20"/>
                <w:szCs w:val="20"/>
              </w:rPr>
              <w:t>14.8</w:t>
            </w:r>
          </w:p>
        </w:tc>
        <w:tc>
          <w:tcPr>
            <w:tcW w:w="1049" w:type="dxa"/>
            <w:tcBorders>
              <w:top w:val="single" w:sz="6" w:space="0" w:color="A6A6A6"/>
            </w:tcBorders>
            <w:shd w:val="clear" w:color="auto" w:fill="auto"/>
            <w:noWrap/>
            <w:hideMark/>
          </w:tcPr>
          <w:p w14:paraId="375912C5" w14:textId="77777777" w:rsidR="00E16C7C" w:rsidRPr="00C87C03" w:rsidRDefault="00E16C7C" w:rsidP="00221A40">
            <w:pPr>
              <w:tabs>
                <w:tab w:val="decimal" w:pos="500"/>
              </w:tabs>
              <w:jc w:val="left"/>
              <w:rPr>
                <w:sz w:val="20"/>
                <w:szCs w:val="20"/>
              </w:rPr>
            </w:pPr>
            <w:r w:rsidRPr="00C87C03">
              <w:rPr>
                <w:sz w:val="20"/>
                <w:szCs w:val="20"/>
              </w:rPr>
              <w:t>13.1</w:t>
            </w:r>
          </w:p>
        </w:tc>
        <w:tc>
          <w:tcPr>
            <w:tcW w:w="1049" w:type="dxa"/>
            <w:tcBorders>
              <w:top w:val="single" w:sz="6" w:space="0" w:color="A6A6A6"/>
            </w:tcBorders>
            <w:shd w:val="clear" w:color="auto" w:fill="auto"/>
            <w:noWrap/>
            <w:hideMark/>
          </w:tcPr>
          <w:p w14:paraId="6F31E595" w14:textId="77777777" w:rsidR="00E16C7C" w:rsidRPr="00C87C03" w:rsidRDefault="00E16C7C" w:rsidP="00221A40">
            <w:pPr>
              <w:tabs>
                <w:tab w:val="decimal" w:pos="500"/>
              </w:tabs>
              <w:jc w:val="left"/>
              <w:rPr>
                <w:sz w:val="20"/>
                <w:szCs w:val="20"/>
              </w:rPr>
            </w:pPr>
            <w:r w:rsidRPr="00C87C03">
              <w:rPr>
                <w:sz w:val="20"/>
                <w:szCs w:val="20"/>
              </w:rPr>
              <w:t>22.8</w:t>
            </w:r>
          </w:p>
        </w:tc>
      </w:tr>
      <w:tr w:rsidR="00E16C7C" w:rsidRPr="00C87C03" w14:paraId="39DDE2E5" w14:textId="77777777" w:rsidTr="00221A40">
        <w:trPr>
          <w:trHeight w:val="255"/>
        </w:trPr>
        <w:tc>
          <w:tcPr>
            <w:tcW w:w="5245" w:type="dxa"/>
            <w:tcBorders>
              <w:top w:val="single" w:sz="6" w:space="0" w:color="A6A6A6"/>
            </w:tcBorders>
            <w:shd w:val="clear" w:color="auto" w:fill="auto"/>
            <w:noWrap/>
            <w:hideMark/>
          </w:tcPr>
          <w:p w14:paraId="31E77F2F" w14:textId="77777777" w:rsidR="00E16C7C" w:rsidRPr="00C87C03" w:rsidRDefault="00E16C7C" w:rsidP="001E3161">
            <w:pPr>
              <w:rPr>
                <w:sz w:val="20"/>
                <w:szCs w:val="20"/>
              </w:rPr>
            </w:pPr>
            <w:r w:rsidRPr="00C87C03">
              <w:rPr>
                <w:sz w:val="20"/>
                <w:szCs w:val="20"/>
              </w:rPr>
              <w:t>County Health Services</w:t>
            </w:r>
          </w:p>
        </w:tc>
        <w:tc>
          <w:tcPr>
            <w:tcW w:w="1049" w:type="dxa"/>
            <w:tcBorders>
              <w:top w:val="single" w:sz="6" w:space="0" w:color="A6A6A6"/>
            </w:tcBorders>
            <w:shd w:val="clear" w:color="auto" w:fill="auto"/>
            <w:noWrap/>
            <w:hideMark/>
          </w:tcPr>
          <w:p w14:paraId="1906F02A" w14:textId="77777777" w:rsidR="00E16C7C" w:rsidRPr="00C87C03" w:rsidRDefault="00E16C7C" w:rsidP="00221A40">
            <w:pPr>
              <w:tabs>
                <w:tab w:val="decimal" w:pos="500"/>
              </w:tabs>
              <w:jc w:val="left"/>
              <w:rPr>
                <w:sz w:val="20"/>
                <w:szCs w:val="20"/>
              </w:rPr>
            </w:pPr>
            <w:r w:rsidRPr="00C87C03">
              <w:rPr>
                <w:sz w:val="20"/>
                <w:szCs w:val="20"/>
              </w:rPr>
              <w:t>6.1</w:t>
            </w:r>
          </w:p>
        </w:tc>
        <w:tc>
          <w:tcPr>
            <w:tcW w:w="1049" w:type="dxa"/>
            <w:tcBorders>
              <w:top w:val="single" w:sz="6" w:space="0" w:color="A6A6A6"/>
            </w:tcBorders>
            <w:shd w:val="clear" w:color="auto" w:fill="auto"/>
            <w:noWrap/>
            <w:hideMark/>
          </w:tcPr>
          <w:p w14:paraId="3A3836AD" w14:textId="77777777" w:rsidR="00E16C7C" w:rsidRPr="00C87C03" w:rsidRDefault="00E16C7C" w:rsidP="00221A40">
            <w:pPr>
              <w:tabs>
                <w:tab w:val="decimal" w:pos="500"/>
              </w:tabs>
              <w:jc w:val="left"/>
              <w:rPr>
                <w:sz w:val="20"/>
                <w:szCs w:val="20"/>
              </w:rPr>
            </w:pPr>
            <w:r w:rsidRPr="00C87C03">
              <w:rPr>
                <w:sz w:val="20"/>
                <w:szCs w:val="20"/>
              </w:rPr>
              <w:t>14.5</w:t>
            </w:r>
          </w:p>
        </w:tc>
        <w:tc>
          <w:tcPr>
            <w:tcW w:w="1049" w:type="dxa"/>
            <w:tcBorders>
              <w:top w:val="single" w:sz="6" w:space="0" w:color="A6A6A6"/>
            </w:tcBorders>
            <w:shd w:val="clear" w:color="auto" w:fill="auto"/>
            <w:noWrap/>
            <w:hideMark/>
          </w:tcPr>
          <w:p w14:paraId="19966643" w14:textId="77777777" w:rsidR="00E16C7C" w:rsidRPr="00C87C03" w:rsidRDefault="00E16C7C" w:rsidP="00221A40">
            <w:pPr>
              <w:tabs>
                <w:tab w:val="decimal" w:pos="500"/>
              </w:tabs>
              <w:jc w:val="left"/>
              <w:rPr>
                <w:sz w:val="20"/>
                <w:szCs w:val="20"/>
              </w:rPr>
            </w:pPr>
            <w:r w:rsidRPr="00C87C03">
              <w:rPr>
                <w:sz w:val="20"/>
                <w:szCs w:val="20"/>
              </w:rPr>
              <w:t>37.6</w:t>
            </w:r>
          </w:p>
        </w:tc>
      </w:tr>
      <w:tr w:rsidR="00E16C7C" w:rsidRPr="00C87C03" w14:paraId="0575A0C1" w14:textId="77777777" w:rsidTr="00221A40">
        <w:trPr>
          <w:trHeight w:val="51"/>
        </w:trPr>
        <w:tc>
          <w:tcPr>
            <w:tcW w:w="5245" w:type="dxa"/>
            <w:tcBorders>
              <w:top w:val="single" w:sz="6" w:space="0" w:color="A6A6A6"/>
            </w:tcBorders>
            <w:shd w:val="clear" w:color="auto" w:fill="auto"/>
            <w:noWrap/>
            <w:hideMark/>
          </w:tcPr>
          <w:p w14:paraId="10563AC5" w14:textId="77777777" w:rsidR="00E16C7C" w:rsidRPr="00C87C03" w:rsidRDefault="00E16C7C" w:rsidP="001E3161">
            <w:pPr>
              <w:rPr>
                <w:sz w:val="20"/>
                <w:szCs w:val="20"/>
              </w:rPr>
            </w:pPr>
            <w:r w:rsidRPr="00C87C03">
              <w:rPr>
                <w:sz w:val="20"/>
                <w:szCs w:val="20"/>
              </w:rPr>
              <w:t>Water and Irrigation</w:t>
            </w:r>
          </w:p>
        </w:tc>
        <w:tc>
          <w:tcPr>
            <w:tcW w:w="1049" w:type="dxa"/>
            <w:tcBorders>
              <w:top w:val="single" w:sz="6" w:space="0" w:color="A6A6A6"/>
            </w:tcBorders>
            <w:shd w:val="clear" w:color="auto" w:fill="auto"/>
            <w:noWrap/>
            <w:hideMark/>
          </w:tcPr>
          <w:p w14:paraId="5719474B" w14:textId="77777777" w:rsidR="00E16C7C" w:rsidRPr="00C87C03" w:rsidRDefault="00E16C7C" w:rsidP="00221A40">
            <w:pPr>
              <w:tabs>
                <w:tab w:val="decimal" w:pos="500"/>
              </w:tabs>
              <w:jc w:val="left"/>
              <w:rPr>
                <w:sz w:val="20"/>
                <w:szCs w:val="20"/>
              </w:rPr>
            </w:pPr>
            <w:r w:rsidRPr="00C87C03">
              <w:rPr>
                <w:sz w:val="20"/>
                <w:szCs w:val="20"/>
              </w:rPr>
              <w:t>0.9</w:t>
            </w:r>
          </w:p>
        </w:tc>
        <w:tc>
          <w:tcPr>
            <w:tcW w:w="1049" w:type="dxa"/>
            <w:tcBorders>
              <w:top w:val="single" w:sz="6" w:space="0" w:color="A6A6A6"/>
            </w:tcBorders>
            <w:shd w:val="clear" w:color="auto" w:fill="auto"/>
            <w:noWrap/>
            <w:hideMark/>
          </w:tcPr>
          <w:p w14:paraId="7FD0FD21" w14:textId="77777777" w:rsidR="00E16C7C" w:rsidRPr="00C87C03" w:rsidRDefault="00E16C7C" w:rsidP="00221A40">
            <w:pPr>
              <w:tabs>
                <w:tab w:val="decimal" w:pos="500"/>
              </w:tabs>
              <w:jc w:val="left"/>
              <w:rPr>
                <w:sz w:val="20"/>
                <w:szCs w:val="20"/>
              </w:rPr>
            </w:pPr>
            <w:r w:rsidRPr="00C87C03">
              <w:rPr>
                <w:sz w:val="20"/>
                <w:szCs w:val="20"/>
              </w:rPr>
              <w:t>6.0</w:t>
            </w:r>
          </w:p>
        </w:tc>
        <w:tc>
          <w:tcPr>
            <w:tcW w:w="1049" w:type="dxa"/>
            <w:tcBorders>
              <w:top w:val="single" w:sz="6" w:space="0" w:color="A6A6A6"/>
            </w:tcBorders>
            <w:shd w:val="clear" w:color="auto" w:fill="auto"/>
            <w:noWrap/>
            <w:hideMark/>
          </w:tcPr>
          <w:p w14:paraId="0F8BE8FB" w14:textId="77777777" w:rsidR="00E16C7C" w:rsidRPr="00C87C03" w:rsidRDefault="00E16C7C" w:rsidP="00221A40">
            <w:pPr>
              <w:tabs>
                <w:tab w:val="decimal" w:pos="500"/>
              </w:tabs>
              <w:jc w:val="left"/>
              <w:rPr>
                <w:sz w:val="20"/>
                <w:szCs w:val="20"/>
              </w:rPr>
            </w:pPr>
            <w:r w:rsidRPr="00C87C03">
              <w:rPr>
                <w:sz w:val="20"/>
                <w:szCs w:val="20"/>
              </w:rPr>
              <w:t>11.2</w:t>
            </w:r>
          </w:p>
        </w:tc>
      </w:tr>
      <w:tr w:rsidR="00E16C7C" w:rsidRPr="00C87C03" w14:paraId="7E589F6E" w14:textId="77777777" w:rsidTr="00221A40">
        <w:trPr>
          <w:trHeight w:val="106"/>
        </w:trPr>
        <w:tc>
          <w:tcPr>
            <w:tcW w:w="5245" w:type="dxa"/>
            <w:tcBorders>
              <w:top w:val="single" w:sz="6" w:space="0" w:color="A6A6A6"/>
            </w:tcBorders>
            <w:shd w:val="clear" w:color="auto" w:fill="auto"/>
            <w:noWrap/>
            <w:hideMark/>
          </w:tcPr>
          <w:p w14:paraId="0CA4CF1A" w14:textId="77777777" w:rsidR="00E16C7C" w:rsidRPr="00C87C03" w:rsidRDefault="00E16C7C" w:rsidP="001E3161">
            <w:pPr>
              <w:rPr>
                <w:sz w:val="20"/>
                <w:szCs w:val="20"/>
              </w:rPr>
            </w:pPr>
            <w:r w:rsidRPr="00C87C03">
              <w:rPr>
                <w:sz w:val="20"/>
                <w:szCs w:val="20"/>
              </w:rPr>
              <w:t>ICT and Gender</w:t>
            </w:r>
          </w:p>
        </w:tc>
        <w:tc>
          <w:tcPr>
            <w:tcW w:w="1049" w:type="dxa"/>
            <w:tcBorders>
              <w:top w:val="single" w:sz="6" w:space="0" w:color="A6A6A6"/>
            </w:tcBorders>
            <w:shd w:val="clear" w:color="auto" w:fill="auto"/>
            <w:noWrap/>
            <w:hideMark/>
          </w:tcPr>
          <w:p w14:paraId="29A9DAC2" w14:textId="77777777" w:rsidR="00E16C7C" w:rsidRPr="00C87C03" w:rsidRDefault="00E16C7C" w:rsidP="00221A40">
            <w:pPr>
              <w:tabs>
                <w:tab w:val="decimal" w:pos="500"/>
              </w:tabs>
              <w:jc w:val="left"/>
              <w:rPr>
                <w:sz w:val="20"/>
                <w:szCs w:val="20"/>
              </w:rPr>
            </w:pPr>
            <w:r w:rsidRPr="00C87C03">
              <w:rPr>
                <w:sz w:val="20"/>
                <w:szCs w:val="20"/>
              </w:rPr>
              <w:t>0.0</w:t>
            </w:r>
          </w:p>
        </w:tc>
        <w:tc>
          <w:tcPr>
            <w:tcW w:w="1049" w:type="dxa"/>
            <w:tcBorders>
              <w:top w:val="single" w:sz="6" w:space="0" w:color="A6A6A6"/>
            </w:tcBorders>
            <w:shd w:val="clear" w:color="auto" w:fill="auto"/>
            <w:noWrap/>
            <w:hideMark/>
          </w:tcPr>
          <w:p w14:paraId="743A14CC" w14:textId="77777777" w:rsidR="00E16C7C" w:rsidRPr="00C87C03" w:rsidRDefault="00E16C7C" w:rsidP="00221A40">
            <w:pPr>
              <w:tabs>
                <w:tab w:val="decimal" w:pos="500"/>
              </w:tabs>
              <w:jc w:val="left"/>
              <w:rPr>
                <w:sz w:val="20"/>
                <w:szCs w:val="20"/>
              </w:rPr>
            </w:pPr>
            <w:r w:rsidRPr="00C87C03">
              <w:rPr>
                <w:sz w:val="20"/>
                <w:szCs w:val="20"/>
              </w:rPr>
              <w:t>2.8</w:t>
            </w:r>
          </w:p>
        </w:tc>
        <w:tc>
          <w:tcPr>
            <w:tcW w:w="1049" w:type="dxa"/>
            <w:tcBorders>
              <w:top w:val="single" w:sz="6" w:space="0" w:color="A6A6A6"/>
            </w:tcBorders>
            <w:shd w:val="clear" w:color="auto" w:fill="auto"/>
            <w:noWrap/>
            <w:hideMark/>
          </w:tcPr>
          <w:p w14:paraId="733CCB85" w14:textId="77777777" w:rsidR="00E16C7C" w:rsidRPr="00C87C03" w:rsidRDefault="00E16C7C" w:rsidP="00221A40">
            <w:pPr>
              <w:tabs>
                <w:tab w:val="decimal" w:pos="500"/>
              </w:tabs>
              <w:jc w:val="left"/>
              <w:rPr>
                <w:sz w:val="20"/>
                <w:szCs w:val="20"/>
              </w:rPr>
            </w:pPr>
            <w:r w:rsidRPr="00C87C03">
              <w:rPr>
                <w:sz w:val="20"/>
                <w:szCs w:val="20"/>
              </w:rPr>
              <w:t>3.4</w:t>
            </w:r>
          </w:p>
        </w:tc>
      </w:tr>
      <w:tr w:rsidR="00E16C7C" w:rsidRPr="00C87C03" w14:paraId="091C4A4C" w14:textId="77777777" w:rsidTr="00221A40">
        <w:trPr>
          <w:trHeight w:val="255"/>
        </w:trPr>
        <w:tc>
          <w:tcPr>
            <w:tcW w:w="5245" w:type="dxa"/>
            <w:tcBorders>
              <w:top w:val="single" w:sz="6" w:space="0" w:color="A6A6A6"/>
            </w:tcBorders>
            <w:shd w:val="clear" w:color="auto" w:fill="auto"/>
            <w:noWrap/>
            <w:hideMark/>
          </w:tcPr>
          <w:p w14:paraId="28E93161" w14:textId="77777777" w:rsidR="00E16C7C" w:rsidRPr="00C87C03" w:rsidRDefault="00E16C7C" w:rsidP="001E3161">
            <w:pPr>
              <w:rPr>
                <w:sz w:val="20"/>
                <w:szCs w:val="20"/>
              </w:rPr>
            </w:pPr>
            <w:r w:rsidRPr="00C87C03">
              <w:rPr>
                <w:sz w:val="20"/>
                <w:szCs w:val="20"/>
              </w:rPr>
              <w:t>Public Works, Roads, Transport, And Housing </w:t>
            </w:r>
          </w:p>
        </w:tc>
        <w:tc>
          <w:tcPr>
            <w:tcW w:w="1049" w:type="dxa"/>
            <w:tcBorders>
              <w:top w:val="single" w:sz="6" w:space="0" w:color="A6A6A6"/>
            </w:tcBorders>
            <w:shd w:val="clear" w:color="auto" w:fill="auto"/>
            <w:noWrap/>
            <w:hideMark/>
          </w:tcPr>
          <w:p w14:paraId="151817CE" w14:textId="77777777" w:rsidR="00E16C7C" w:rsidRPr="00C87C03" w:rsidRDefault="00E16C7C" w:rsidP="00221A40">
            <w:pPr>
              <w:tabs>
                <w:tab w:val="decimal" w:pos="500"/>
              </w:tabs>
              <w:jc w:val="left"/>
              <w:rPr>
                <w:sz w:val="20"/>
                <w:szCs w:val="20"/>
              </w:rPr>
            </w:pPr>
            <w:r w:rsidRPr="00C87C03">
              <w:rPr>
                <w:sz w:val="20"/>
                <w:szCs w:val="20"/>
              </w:rPr>
              <w:t>12.0</w:t>
            </w:r>
          </w:p>
        </w:tc>
        <w:tc>
          <w:tcPr>
            <w:tcW w:w="1049" w:type="dxa"/>
            <w:tcBorders>
              <w:top w:val="single" w:sz="6" w:space="0" w:color="A6A6A6"/>
            </w:tcBorders>
            <w:shd w:val="clear" w:color="auto" w:fill="auto"/>
            <w:noWrap/>
            <w:hideMark/>
          </w:tcPr>
          <w:p w14:paraId="5855EAD6" w14:textId="77777777" w:rsidR="00E16C7C" w:rsidRPr="00C87C03" w:rsidRDefault="00E16C7C" w:rsidP="00221A40">
            <w:pPr>
              <w:tabs>
                <w:tab w:val="decimal" w:pos="500"/>
              </w:tabs>
              <w:jc w:val="left"/>
              <w:rPr>
                <w:sz w:val="20"/>
                <w:szCs w:val="20"/>
              </w:rPr>
            </w:pPr>
            <w:r w:rsidRPr="00C87C03">
              <w:rPr>
                <w:sz w:val="20"/>
                <w:szCs w:val="20"/>
              </w:rPr>
              <w:t>13.9</w:t>
            </w:r>
          </w:p>
        </w:tc>
        <w:tc>
          <w:tcPr>
            <w:tcW w:w="1049" w:type="dxa"/>
            <w:tcBorders>
              <w:top w:val="single" w:sz="6" w:space="0" w:color="A6A6A6"/>
            </w:tcBorders>
            <w:shd w:val="clear" w:color="auto" w:fill="auto"/>
            <w:noWrap/>
            <w:hideMark/>
          </w:tcPr>
          <w:p w14:paraId="731F0C00" w14:textId="77777777" w:rsidR="00E16C7C" w:rsidRPr="00C87C03" w:rsidRDefault="00E16C7C" w:rsidP="00221A40">
            <w:pPr>
              <w:tabs>
                <w:tab w:val="decimal" w:pos="500"/>
              </w:tabs>
              <w:jc w:val="left"/>
              <w:rPr>
                <w:sz w:val="20"/>
                <w:szCs w:val="20"/>
              </w:rPr>
            </w:pPr>
            <w:r w:rsidRPr="00C87C03">
              <w:rPr>
                <w:sz w:val="20"/>
                <w:szCs w:val="20"/>
              </w:rPr>
              <w:t>19.0</w:t>
            </w:r>
          </w:p>
        </w:tc>
      </w:tr>
      <w:tr w:rsidR="00E16C7C" w:rsidRPr="00C87C03" w14:paraId="68330A81" w14:textId="77777777" w:rsidTr="00221A40">
        <w:trPr>
          <w:trHeight w:val="115"/>
        </w:trPr>
        <w:tc>
          <w:tcPr>
            <w:tcW w:w="5245" w:type="dxa"/>
            <w:tcBorders>
              <w:top w:val="single" w:sz="6" w:space="0" w:color="A6A6A6"/>
            </w:tcBorders>
            <w:shd w:val="clear" w:color="auto" w:fill="auto"/>
            <w:noWrap/>
            <w:hideMark/>
          </w:tcPr>
          <w:p w14:paraId="1D5B0779" w14:textId="661489AF" w:rsidR="00E16C7C" w:rsidRPr="00C87C03" w:rsidRDefault="00E16C7C" w:rsidP="001E3161">
            <w:pPr>
              <w:rPr>
                <w:sz w:val="20"/>
                <w:szCs w:val="20"/>
              </w:rPr>
            </w:pPr>
            <w:r w:rsidRPr="00C87C03">
              <w:rPr>
                <w:sz w:val="20"/>
                <w:szCs w:val="20"/>
              </w:rPr>
              <w:t>Industriali</w:t>
            </w:r>
            <w:r w:rsidR="00EA0D4E" w:rsidRPr="00C87C03">
              <w:rPr>
                <w:sz w:val="20"/>
                <w:szCs w:val="20"/>
              </w:rPr>
              <w:t>s</w:t>
            </w:r>
            <w:r w:rsidRPr="00C87C03">
              <w:rPr>
                <w:sz w:val="20"/>
                <w:szCs w:val="20"/>
              </w:rPr>
              <w:t xml:space="preserve">ation </w:t>
            </w:r>
            <w:r w:rsidR="00A61A7D" w:rsidRPr="00C87C03">
              <w:rPr>
                <w:sz w:val="20"/>
                <w:szCs w:val="20"/>
              </w:rPr>
              <w:t>and</w:t>
            </w:r>
            <w:r w:rsidRPr="00C87C03">
              <w:rPr>
                <w:sz w:val="20"/>
                <w:szCs w:val="20"/>
              </w:rPr>
              <w:t xml:space="preserve"> Enterprise Development</w:t>
            </w:r>
          </w:p>
        </w:tc>
        <w:tc>
          <w:tcPr>
            <w:tcW w:w="1049" w:type="dxa"/>
            <w:tcBorders>
              <w:top w:val="single" w:sz="6" w:space="0" w:color="A6A6A6"/>
            </w:tcBorders>
            <w:shd w:val="clear" w:color="auto" w:fill="auto"/>
            <w:noWrap/>
            <w:hideMark/>
          </w:tcPr>
          <w:p w14:paraId="483A79D5" w14:textId="77777777" w:rsidR="00E16C7C" w:rsidRPr="00C87C03" w:rsidRDefault="00E16C7C" w:rsidP="00221A40">
            <w:pPr>
              <w:tabs>
                <w:tab w:val="decimal" w:pos="500"/>
              </w:tabs>
              <w:jc w:val="left"/>
              <w:rPr>
                <w:sz w:val="20"/>
                <w:szCs w:val="20"/>
              </w:rPr>
            </w:pPr>
            <w:r w:rsidRPr="00C87C03">
              <w:rPr>
                <w:sz w:val="20"/>
                <w:szCs w:val="20"/>
              </w:rPr>
              <w:t>3.1</w:t>
            </w:r>
          </w:p>
        </w:tc>
        <w:tc>
          <w:tcPr>
            <w:tcW w:w="1049" w:type="dxa"/>
            <w:tcBorders>
              <w:top w:val="single" w:sz="6" w:space="0" w:color="A6A6A6"/>
            </w:tcBorders>
            <w:shd w:val="clear" w:color="auto" w:fill="auto"/>
            <w:noWrap/>
            <w:hideMark/>
          </w:tcPr>
          <w:p w14:paraId="0660C829" w14:textId="77777777" w:rsidR="00E16C7C" w:rsidRPr="00C87C03" w:rsidRDefault="00E16C7C" w:rsidP="00221A40">
            <w:pPr>
              <w:tabs>
                <w:tab w:val="decimal" w:pos="500"/>
              </w:tabs>
              <w:jc w:val="left"/>
              <w:rPr>
                <w:sz w:val="20"/>
                <w:szCs w:val="20"/>
              </w:rPr>
            </w:pPr>
            <w:r w:rsidRPr="00C87C03">
              <w:rPr>
                <w:sz w:val="20"/>
                <w:szCs w:val="20"/>
              </w:rPr>
              <w:t>3.9</w:t>
            </w:r>
          </w:p>
        </w:tc>
        <w:tc>
          <w:tcPr>
            <w:tcW w:w="1049" w:type="dxa"/>
            <w:tcBorders>
              <w:top w:val="single" w:sz="6" w:space="0" w:color="A6A6A6"/>
            </w:tcBorders>
            <w:shd w:val="clear" w:color="auto" w:fill="auto"/>
            <w:noWrap/>
            <w:hideMark/>
          </w:tcPr>
          <w:p w14:paraId="49EB6FF6" w14:textId="77777777" w:rsidR="00E16C7C" w:rsidRPr="00C87C03" w:rsidRDefault="00E16C7C" w:rsidP="00221A40">
            <w:pPr>
              <w:tabs>
                <w:tab w:val="decimal" w:pos="500"/>
              </w:tabs>
              <w:jc w:val="left"/>
              <w:rPr>
                <w:sz w:val="20"/>
                <w:szCs w:val="20"/>
              </w:rPr>
            </w:pPr>
            <w:r w:rsidRPr="00C87C03">
              <w:rPr>
                <w:sz w:val="20"/>
                <w:szCs w:val="20"/>
              </w:rPr>
              <w:t>8.8</w:t>
            </w:r>
          </w:p>
        </w:tc>
      </w:tr>
      <w:tr w:rsidR="00E16C7C" w:rsidRPr="00C87C03" w14:paraId="56BA5FB2" w14:textId="77777777" w:rsidTr="00221A40">
        <w:trPr>
          <w:trHeight w:val="255"/>
        </w:trPr>
        <w:tc>
          <w:tcPr>
            <w:tcW w:w="5245" w:type="dxa"/>
            <w:tcBorders>
              <w:top w:val="single" w:sz="6" w:space="0" w:color="A6A6A6"/>
            </w:tcBorders>
            <w:shd w:val="clear" w:color="auto" w:fill="auto"/>
            <w:noWrap/>
            <w:hideMark/>
          </w:tcPr>
          <w:p w14:paraId="0926E46A" w14:textId="77777777" w:rsidR="00E16C7C" w:rsidRPr="00C87C03" w:rsidRDefault="00E16C7C" w:rsidP="001E3161">
            <w:pPr>
              <w:rPr>
                <w:rStyle w:val="Strong"/>
                <w:sz w:val="20"/>
                <w:szCs w:val="20"/>
              </w:rPr>
            </w:pPr>
            <w:r w:rsidRPr="00C87C03">
              <w:rPr>
                <w:rStyle w:val="Strong"/>
                <w:sz w:val="20"/>
                <w:szCs w:val="20"/>
              </w:rPr>
              <w:t>Total</w:t>
            </w:r>
          </w:p>
        </w:tc>
        <w:tc>
          <w:tcPr>
            <w:tcW w:w="1049" w:type="dxa"/>
            <w:tcBorders>
              <w:top w:val="single" w:sz="6" w:space="0" w:color="A6A6A6"/>
            </w:tcBorders>
            <w:shd w:val="clear" w:color="auto" w:fill="auto"/>
            <w:noWrap/>
            <w:hideMark/>
          </w:tcPr>
          <w:p w14:paraId="3415590D" w14:textId="77777777" w:rsidR="00E16C7C" w:rsidRPr="00C87C03" w:rsidRDefault="00E16C7C" w:rsidP="00221A40">
            <w:pPr>
              <w:tabs>
                <w:tab w:val="decimal" w:pos="500"/>
              </w:tabs>
              <w:jc w:val="left"/>
              <w:rPr>
                <w:rStyle w:val="Strong"/>
                <w:sz w:val="20"/>
                <w:szCs w:val="20"/>
              </w:rPr>
            </w:pPr>
            <w:r w:rsidRPr="00C87C03">
              <w:rPr>
                <w:rStyle w:val="Strong"/>
                <w:sz w:val="20"/>
                <w:szCs w:val="20"/>
              </w:rPr>
              <w:t>100.0</w:t>
            </w:r>
          </w:p>
        </w:tc>
        <w:tc>
          <w:tcPr>
            <w:tcW w:w="1049" w:type="dxa"/>
            <w:tcBorders>
              <w:top w:val="single" w:sz="6" w:space="0" w:color="A6A6A6"/>
            </w:tcBorders>
            <w:shd w:val="clear" w:color="auto" w:fill="auto"/>
            <w:noWrap/>
            <w:hideMark/>
          </w:tcPr>
          <w:p w14:paraId="32061773" w14:textId="77777777" w:rsidR="00E16C7C" w:rsidRPr="00C87C03" w:rsidRDefault="00E16C7C" w:rsidP="00221A40">
            <w:pPr>
              <w:tabs>
                <w:tab w:val="decimal" w:pos="500"/>
              </w:tabs>
              <w:jc w:val="left"/>
              <w:rPr>
                <w:rStyle w:val="Strong"/>
                <w:sz w:val="20"/>
                <w:szCs w:val="20"/>
              </w:rPr>
            </w:pPr>
            <w:r w:rsidRPr="00C87C03">
              <w:rPr>
                <w:rStyle w:val="Strong"/>
                <w:sz w:val="20"/>
                <w:szCs w:val="20"/>
              </w:rPr>
              <w:t>100.0</w:t>
            </w:r>
          </w:p>
        </w:tc>
        <w:tc>
          <w:tcPr>
            <w:tcW w:w="1049" w:type="dxa"/>
            <w:tcBorders>
              <w:top w:val="single" w:sz="6" w:space="0" w:color="A6A6A6"/>
            </w:tcBorders>
            <w:shd w:val="clear" w:color="auto" w:fill="auto"/>
            <w:noWrap/>
            <w:hideMark/>
          </w:tcPr>
          <w:p w14:paraId="2EBE5472" w14:textId="77777777" w:rsidR="00E16C7C" w:rsidRPr="00C87C03" w:rsidRDefault="00E16C7C" w:rsidP="00221A40">
            <w:pPr>
              <w:tabs>
                <w:tab w:val="decimal" w:pos="500"/>
              </w:tabs>
              <w:jc w:val="left"/>
              <w:rPr>
                <w:rStyle w:val="Strong"/>
                <w:sz w:val="20"/>
                <w:szCs w:val="20"/>
              </w:rPr>
            </w:pPr>
            <w:r w:rsidRPr="00C87C03">
              <w:rPr>
                <w:rStyle w:val="Strong"/>
                <w:sz w:val="20"/>
                <w:szCs w:val="20"/>
              </w:rPr>
              <w:t>100.0</w:t>
            </w:r>
          </w:p>
        </w:tc>
      </w:tr>
    </w:tbl>
    <w:p w14:paraId="46F6180A" w14:textId="089C4DB6" w:rsidR="00CA52CE" w:rsidRPr="00C87C03" w:rsidRDefault="003F1AC8" w:rsidP="0045183B">
      <w:pPr>
        <w:pStyle w:val="Italic"/>
        <w:spacing w:after="240"/>
        <w:rPr>
          <w:i w:val="0"/>
          <w:sz w:val="20"/>
          <w:szCs w:val="20"/>
        </w:rPr>
      </w:pPr>
      <w:r w:rsidRPr="00C87C03">
        <w:rPr>
          <w:sz w:val="20"/>
          <w:szCs w:val="20"/>
        </w:rPr>
        <w:t xml:space="preserve">Source: </w:t>
      </w:r>
      <w:r w:rsidRPr="00C87C03">
        <w:rPr>
          <w:i w:val="0"/>
          <w:sz w:val="20"/>
          <w:szCs w:val="20"/>
        </w:rPr>
        <w:t>A</w:t>
      </w:r>
      <w:r w:rsidR="00CC78F5" w:rsidRPr="00C87C03">
        <w:rPr>
          <w:i w:val="0"/>
          <w:sz w:val="20"/>
          <w:szCs w:val="20"/>
        </w:rPr>
        <w:t>FS</w:t>
      </w:r>
      <w:r w:rsidR="00372633" w:rsidRPr="00C87C03">
        <w:rPr>
          <w:i w:val="0"/>
          <w:sz w:val="20"/>
          <w:szCs w:val="20"/>
        </w:rPr>
        <w:t>s</w:t>
      </w:r>
      <w:r w:rsidR="0045183B">
        <w:rPr>
          <w:i w:val="0"/>
          <w:sz w:val="20"/>
          <w:szCs w:val="20"/>
        </w:rPr>
        <w:t>.</w:t>
      </w:r>
    </w:p>
    <w:p w14:paraId="5FA17EF2" w14:textId="6866F005" w:rsidR="00CA52CE" w:rsidRDefault="00FE07C0" w:rsidP="00590C8E">
      <w:pPr>
        <w:pStyle w:val="TableStyle"/>
      </w:pPr>
      <w:bookmarkStart w:id="42" w:name="_Toc532418102"/>
      <w:r w:rsidRPr="00890A84">
        <w:t>Table 2.</w:t>
      </w:r>
      <w:r w:rsidR="00426456" w:rsidRPr="00890A84">
        <w:fldChar w:fldCharType="begin"/>
      </w:r>
      <w:r w:rsidRPr="00890A84">
        <w:instrText xml:space="preserve"> SEQ Table_2. \* ARABIC </w:instrText>
      </w:r>
      <w:r w:rsidR="00426456" w:rsidRPr="00890A84">
        <w:fldChar w:fldCharType="separate"/>
      </w:r>
      <w:r w:rsidR="00D00E7B">
        <w:rPr>
          <w:noProof/>
        </w:rPr>
        <w:t>4</w:t>
      </w:r>
      <w:r w:rsidR="00426456" w:rsidRPr="00890A84">
        <w:fldChar w:fldCharType="end"/>
      </w:r>
      <w:r w:rsidRPr="00890A84">
        <w:t xml:space="preserve">: </w:t>
      </w:r>
      <w:r w:rsidR="00F16983">
        <w:t>B</w:t>
      </w:r>
      <w:r w:rsidRPr="00890A84">
        <w:t xml:space="preserve">udget allocations by economic classification (as a </w:t>
      </w:r>
      <w:r w:rsidR="00221A40">
        <w:t>percentage</w:t>
      </w:r>
      <w:r w:rsidR="00221A40" w:rsidRPr="00890A84">
        <w:t xml:space="preserve"> </w:t>
      </w:r>
      <w:r w:rsidRPr="00890A84">
        <w:t>of total expenditures)</w:t>
      </w:r>
      <w:bookmarkEnd w:id="42"/>
    </w:p>
    <w:tbl>
      <w:tblPr>
        <w:tblW w:w="6002" w:type="dxa"/>
        <w:tblBorders>
          <w:top w:val="single" w:sz="6" w:space="0" w:color="006DB6"/>
          <w:left w:val="single" w:sz="6" w:space="0" w:color="006DB6"/>
          <w:bottom w:val="single" w:sz="6" w:space="0" w:color="006DB6"/>
          <w:right w:val="single" w:sz="6" w:space="0" w:color="006DB6"/>
          <w:insideV w:val="single" w:sz="6" w:space="0" w:color="006DB6"/>
        </w:tblBorders>
        <w:tblLook w:val="04A0" w:firstRow="1" w:lastRow="0" w:firstColumn="1" w:lastColumn="0" w:noHBand="0" w:noVBand="1"/>
      </w:tblPr>
      <w:tblGrid>
        <w:gridCol w:w="2885"/>
        <w:gridCol w:w="1039"/>
        <w:gridCol w:w="1039"/>
        <w:gridCol w:w="1039"/>
      </w:tblGrid>
      <w:tr w:rsidR="00E16C7C" w:rsidRPr="00221A40" w14:paraId="0A0ABB57" w14:textId="77777777" w:rsidTr="00221A40">
        <w:trPr>
          <w:trHeight w:val="255"/>
        </w:trPr>
        <w:tc>
          <w:tcPr>
            <w:tcW w:w="2885" w:type="dxa"/>
            <w:tcBorders>
              <w:top w:val="nil"/>
              <w:left w:val="nil"/>
              <w:bottom w:val="nil"/>
              <w:right w:val="nil"/>
              <w:tl2br w:val="nil"/>
              <w:tr2bl w:val="nil"/>
            </w:tcBorders>
            <w:shd w:val="pct70" w:color="4E93CA" w:fill="4E93CA"/>
            <w:noWrap/>
            <w:hideMark/>
          </w:tcPr>
          <w:p w14:paraId="1B882D9A" w14:textId="77777777" w:rsidR="00E16C7C" w:rsidRPr="001412E3" w:rsidRDefault="00E16C7C" w:rsidP="00221A40">
            <w:pPr>
              <w:jc w:val="center"/>
              <w:rPr>
                <w:b/>
                <w:color w:val="FFFFFF" w:themeColor="background1"/>
                <w:sz w:val="20"/>
                <w:szCs w:val="20"/>
              </w:rPr>
            </w:pPr>
            <w:r w:rsidRPr="001412E3">
              <w:rPr>
                <w:b/>
                <w:color w:val="FFFFFF" w:themeColor="background1"/>
                <w:sz w:val="20"/>
                <w:szCs w:val="20"/>
              </w:rPr>
              <w:t>Economic head</w:t>
            </w:r>
          </w:p>
        </w:tc>
        <w:tc>
          <w:tcPr>
            <w:tcW w:w="1039" w:type="dxa"/>
            <w:tcBorders>
              <w:top w:val="nil"/>
              <w:left w:val="nil"/>
              <w:bottom w:val="nil"/>
              <w:right w:val="nil"/>
              <w:tl2br w:val="nil"/>
              <w:tr2bl w:val="nil"/>
            </w:tcBorders>
            <w:shd w:val="pct70" w:color="4E93CA" w:fill="4E93CA"/>
            <w:noWrap/>
            <w:hideMark/>
          </w:tcPr>
          <w:p w14:paraId="524A3147" w14:textId="77777777" w:rsidR="00E16C7C" w:rsidRPr="001412E3" w:rsidRDefault="00E16C7C" w:rsidP="00221A40">
            <w:pPr>
              <w:jc w:val="center"/>
              <w:rPr>
                <w:b/>
                <w:color w:val="FFFFFF" w:themeColor="background1"/>
                <w:sz w:val="20"/>
                <w:szCs w:val="20"/>
              </w:rPr>
            </w:pPr>
            <w:r w:rsidRPr="001412E3">
              <w:rPr>
                <w:b/>
                <w:color w:val="FFFFFF" w:themeColor="background1"/>
                <w:sz w:val="20"/>
                <w:szCs w:val="20"/>
              </w:rPr>
              <w:t>2013/14</w:t>
            </w:r>
          </w:p>
        </w:tc>
        <w:tc>
          <w:tcPr>
            <w:tcW w:w="1039" w:type="dxa"/>
            <w:tcBorders>
              <w:top w:val="nil"/>
              <w:left w:val="nil"/>
              <w:bottom w:val="nil"/>
              <w:right w:val="nil"/>
              <w:tl2br w:val="nil"/>
              <w:tr2bl w:val="nil"/>
            </w:tcBorders>
            <w:shd w:val="pct70" w:color="4E93CA" w:fill="4E93CA"/>
            <w:noWrap/>
            <w:hideMark/>
          </w:tcPr>
          <w:p w14:paraId="035163D0" w14:textId="77777777" w:rsidR="00E16C7C" w:rsidRPr="001412E3" w:rsidRDefault="00E16C7C" w:rsidP="00221A40">
            <w:pPr>
              <w:jc w:val="center"/>
              <w:rPr>
                <w:b/>
                <w:color w:val="FFFFFF" w:themeColor="background1"/>
                <w:sz w:val="20"/>
                <w:szCs w:val="20"/>
              </w:rPr>
            </w:pPr>
            <w:r w:rsidRPr="001412E3">
              <w:rPr>
                <w:b/>
                <w:color w:val="FFFFFF" w:themeColor="background1"/>
                <w:sz w:val="20"/>
                <w:szCs w:val="20"/>
              </w:rPr>
              <w:t>2014/15</w:t>
            </w:r>
          </w:p>
        </w:tc>
        <w:tc>
          <w:tcPr>
            <w:tcW w:w="1039" w:type="dxa"/>
            <w:tcBorders>
              <w:top w:val="nil"/>
              <w:left w:val="nil"/>
              <w:bottom w:val="nil"/>
              <w:right w:val="nil"/>
              <w:tl2br w:val="nil"/>
              <w:tr2bl w:val="nil"/>
            </w:tcBorders>
            <w:shd w:val="pct70" w:color="4E93CA" w:fill="4E93CA"/>
            <w:noWrap/>
            <w:hideMark/>
          </w:tcPr>
          <w:p w14:paraId="646ECF11" w14:textId="77777777" w:rsidR="00E16C7C" w:rsidRPr="001412E3" w:rsidRDefault="00E16C7C" w:rsidP="00221A40">
            <w:pPr>
              <w:jc w:val="center"/>
              <w:rPr>
                <w:b/>
                <w:color w:val="FFFFFF" w:themeColor="background1"/>
                <w:sz w:val="20"/>
                <w:szCs w:val="20"/>
              </w:rPr>
            </w:pPr>
            <w:r w:rsidRPr="001412E3">
              <w:rPr>
                <w:b/>
                <w:color w:val="FFFFFF" w:themeColor="background1"/>
                <w:sz w:val="20"/>
                <w:szCs w:val="20"/>
              </w:rPr>
              <w:t>2015/16</w:t>
            </w:r>
          </w:p>
        </w:tc>
      </w:tr>
      <w:tr w:rsidR="00E16C7C" w:rsidRPr="00C87C03" w14:paraId="70188723" w14:textId="77777777" w:rsidTr="00221A40">
        <w:trPr>
          <w:trHeight w:val="255"/>
        </w:trPr>
        <w:tc>
          <w:tcPr>
            <w:tcW w:w="2885" w:type="dxa"/>
            <w:tcBorders>
              <w:top w:val="single" w:sz="6" w:space="0" w:color="A6A6A6"/>
            </w:tcBorders>
            <w:shd w:val="clear" w:color="auto" w:fill="auto"/>
            <w:noWrap/>
            <w:hideMark/>
          </w:tcPr>
          <w:p w14:paraId="58C19BE5" w14:textId="77777777" w:rsidR="00E16C7C" w:rsidRPr="00C87C03" w:rsidRDefault="00E16C7C" w:rsidP="001E3161">
            <w:pPr>
              <w:rPr>
                <w:sz w:val="20"/>
                <w:szCs w:val="20"/>
              </w:rPr>
            </w:pPr>
            <w:r w:rsidRPr="00C87C03">
              <w:rPr>
                <w:sz w:val="20"/>
                <w:szCs w:val="20"/>
              </w:rPr>
              <w:t>Compensation of employees</w:t>
            </w:r>
          </w:p>
        </w:tc>
        <w:tc>
          <w:tcPr>
            <w:tcW w:w="1039" w:type="dxa"/>
            <w:tcBorders>
              <w:top w:val="single" w:sz="6" w:space="0" w:color="A6A6A6"/>
            </w:tcBorders>
            <w:shd w:val="clear" w:color="auto" w:fill="auto"/>
            <w:noWrap/>
            <w:hideMark/>
          </w:tcPr>
          <w:p w14:paraId="16868F3D" w14:textId="77777777" w:rsidR="00E16C7C" w:rsidRPr="00C87C03" w:rsidRDefault="00E16C7C" w:rsidP="00221A40">
            <w:pPr>
              <w:tabs>
                <w:tab w:val="decimal" w:pos="513"/>
              </w:tabs>
              <w:jc w:val="left"/>
              <w:rPr>
                <w:sz w:val="20"/>
                <w:szCs w:val="20"/>
              </w:rPr>
            </w:pPr>
            <w:r w:rsidRPr="00C87C03">
              <w:rPr>
                <w:sz w:val="20"/>
                <w:szCs w:val="20"/>
              </w:rPr>
              <w:t>36.0</w:t>
            </w:r>
          </w:p>
        </w:tc>
        <w:tc>
          <w:tcPr>
            <w:tcW w:w="1039" w:type="dxa"/>
            <w:tcBorders>
              <w:top w:val="single" w:sz="6" w:space="0" w:color="A6A6A6"/>
            </w:tcBorders>
            <w:shd w:val="clear" w:color="auto" w:fill="auto"/>
            <w:noWrap/>
            <w:hideMark/>
          </w:tcPr>
          <w:p w14:paraId="4331D1FB" w14:textId="77777777" w:rsidR="00E16C7C" w:rsidRPr="00C87C03" w:rsidRDefault="00E16C7C" w:rsidP="00221A40">
            <w:pPr>
              <w:tabs>
                <w:tab w:val="decimal" w:pos="513"/>
              </w:tabs>
              <w:jc w:val="left"/>
              <w:rPr>
                <w:sz w:val="20"/>
                <w:szCs w:val="20"/>
              </w:rPr>
            </w:pPr>
            <w:r w:rsidRPr="00C87C03">
              <w:rPr>
                <w:sz w:val="20"/>
                <w:szCs w:val="20"/>
              </w:rPr>
              <w:t>31.7</w:t>
            </w:r>
          </w:p>
        </w:tc>
        <w:tc>
          <w:tcPr>
            <w:tcW w:w="1039" w:type="dxa"/>
            <w:tcBorders>
              <w:top w:val="single" w:sz="6" w:space="0" w:color="A6A6A6"/>
            </w:tcBorders>
            <w:shd w:val="clear" w:color="auto" w:fill="auto"/>
            <w:noWrap/>
            <w:hideMark/>
          </w:tcPr>
          <w:p w14:paraId="69515436" w14:textId="77777777" w:rsidR="00E16C7C" w:rsidRPr="00C87C03" w:rsidRDefault="00E16C7C" w:rsidP="00221A40">
            <w:pPr>
              <w:tabs>
                <w:tab w:val="decimal" w:pos="513"/>
              </w:tabs>
              <w:jc w:val="left"/>
              <w:rPr>
                <w:sz w:val="20"/>
                <w:szCs w:val="20"/>
              </w:rPr>
            </w:pPr>
            <w:r w:rsidRPr="00C87C03">
              <w:rPr>
                <w:sz w:val="20"/>
                <w:szCs w:val="20"/>
              </w:rPr>
              <w:t>30.6</w:t>
            </w:r>
          </w:p>
        </w:tc>
      </w:tr>
      <w:tr w:rsidR="00E16C7C" w:rsidRPr="00C87C03" w14:paraId="57F0367B" w14:textId="77777777" w:rsidTr="00221A40">
        <w:trPr>
          <w:trHeight w:val="255"/>
        </w:trPr>
        <w:tc>
          <w:tcPr>
            <w:tcW w:w="2885" w:type="dxa"/>
            <w:tcBorders>
              <w:top w:val="single" w:sz="6" w:space="0" w:color="A6A6A6"/>
            </w:tcBorders>
            <w:shd w:val="clear" w:color="auto" w:fill="auto"/>
            <w:noWrap/>
            <w:hideMark/>
          </w:tcPr>
          <w:p w14:paraId="78053CA7" w14:textId="77777777" w:rsidR="00E16C7C" w:rsidRPr="00C87C03" w:rsidRDefault="00E16C7C" w:rsidP="001E3161">
            <w:pPr>
              <w:rPr>
                <w:sz w:val="20"/>
                <w:szCs w:val="20"/>
              </w:rPr>
            </w:pPr>
            <w:r w:rsidRPr="00C87C03">
              <w:rPr>
                <w:sz w:val="20"/>
                <w:szCs w:val="20"/>
              </w:rPr>
              <w:t>Use of goods and services</w:t>
            </w:r>
          </w:p>
        </w:tc>
        <w:tc>
          <w:tcPr>
            <w:tcW w:w="1039" w:type="dxa"/>
            <w:tcBorders>
              <w:top w:val="single" w:sz="6" w:space="0" w:color="A6A6A6"/>
            </w:tcBorders>
            <w:shd w:val="clear" w:color="auto" w:fill="auto"/>
            <w:noWrap/>
            <w:hideMark/>
          </w:tcPr>
          <w:p w14:paraId="7BF4C515" w14:textId="77777777" w:rsidR="00E16C7C" w:rsidRPr="00C87C03" w:rsidRDefault="00E16C7C" w:rsidP="00221A40">
            <w:pPr>
              <w:tabs>
                <w:tab w:val="decimal" w:pos="513"/>
              </w:tabs>
              <w:jc w:val="left"/>
              <w:rPr>
                <w:sz w:val="20"/>
                <w:szCs w:val="20"/>
              </w:rPr>
            </w:pPr>
            <w:r w:rsidRPr="00C87C03">
              <w:rPr>
                <w:sz w:val="20"/>
                <w:szCs w:val="20"/>
              </w:rPr>
              <w:t>57.5</w:t>
            </w:r>
          </w:p>
        </w:tc>
        <w:tc>
          <w:tcPr>
            <w:tcW w:w="1039" w:type="dxa"/>
            <w:tcBorders>
              <w:top w:val="single" w:sz="6" w:space="0" w:color="A6A6A6"/>
            </w:tcBorders>
            <w:shd w:val="clear" w:color="auto" w:fill="auto"/>
            <w:noWrap/>
            <w:hideMark/>
          </w:tcPr>
          <w:p w14:paraId="78399E8D" w14:textId="77777777" w:rsidR="00E16C7C" w:rsidRPr="00C87C03" w:rsidRDefault="00E16C7C" w:rsidP="00221A40">
            <w:pPr>
              <w:tabs>
                <w:tab w:val="decimal" w:pos="513"/>
              </w:tabs>
              <w:jc w:val="left"/>
              <w:rPr>
                <w:sz w:val="20"/>
                <w:szCs w:val="20"/>
              </w:rPr>
            </w:pPr>
            <w:r w:rsidRPr="00C87C03">
              <w:rPr>
                <w:sz w:val="20"/>
                <w:szCs w:val="20"/>
              </w:rPr>
              <w:t>59.1</w:t>
            </w:r>
          </w:p>
        </w:tc>
        <w:tc>
          <w:tcPr>
            <w:tcW w:w="1039" w:type="dxa"/>
            <w:tcBorders>
              <w:top w:val="single" w:sz="6" w:space="0" w:color="A6A6A6"/>
            </w:tcBorders>
            <w:shd w:val="clear" w:color="auto" w:fill="auto"/>
            <w:noWrap/>
            <w:hideMark/>
          </w:tcPr>
          <w:p w14:paraId="55848507" w14:textId="77777777" w:rsidR="00E16C7C" w:rsidRPr="00C87C03" w:rsidRDefault="00E16C7C" w:rsidP="00221A40">
            <w:pPr>
              <w:tabs>
                <w:tab w:val="decimal" w:pos="513"/>
              </w:tabs>
              <w:jc w:val="left"/>
              <w:rPr>
                <w:sz w:val="20"/>
                <w:szCs w:val="20"/>
              </w:rPr>
            </w:pPr>
            <w:r w:rsidRPr="00C87C03">
              <w:rPr>
                <w:sz w:val="20"/>
                <w:szCs w:val="20"/>
              </w:rPr>
              <w:t>56.0</w:t>
            </w:r>
          </w:p>
        </w:tc>
      </w:tr>
      <w:tr w:rsidR="00E16C7C" w:rsidRPr="00C87C03" w14:paraId="513C0FDA" w14:textId="77777777" w:rsidTr="00221A40">
        <w:trPr>
          <w:trHeight w:val="255"/>
        </w:trPr>
        <w:tc>
          <w:tcPr>
            <w:tcW w:w="2885" w:type="dxa"/>
            <w:tcBorders>
              <w:top w:val="single" w:sz="6" w:space="0" w:color="A6A6A6"/>
            </w:tcBorders>
            <w:shd w:val="clear" w:color="auto" w:fill="auto"/>
            <w:noWrap/>
            <w:hideMark/>
          </w:tcPr>
          <w:p w14:paraId="3566FDD4" w14:textId="77777777" w:rsidR="00E16C7C" w:rsidRPr="00C87C03" w:rsidRDefault="00E16C7C" w:rsidP="001E3161">
            <w:pPr>
              <w:rPr>
                <w:sz w:val="20"/>
                <w:szCs w:val="20"/>
              </w:rPr>
            </w:pPr>
            <w:r w:rsidRPr="00C87C03">
              <w:rPr>
                <w:sz w:val="20"/>
                <w:szCs w:val="20"/>
              </w:rPr>
              <w:t>Consumption of fixed capital</w:t>
            </w:r>
          </w:p>
        </w:tc>
        <w:tc>
          <w:tcPr>
            <w:tcW w:w="1039" w:type="dxa"/>
            <w:tcBorders>
              <w:top w:val="single" w:sz="6" w:space="0" w:color="A6A6A6"/>
            </w:tcBorders>
            <w:shd w:val="clear" w:color="auto" w:fill="auto"/>
            <w:noWrap/>
            <w:hideMark/>
          </w:tcPr>
          <w:p w14:paraId="4B246C21" w14:textId="77777777" w:rsidR="00E16C7C" w:rsidRPr="00C87C03" w:rsidRDefault="00E16C7C" w:rsidP="00221A40">
            <w:pPr>
              <w:tabs>
                <w:tab w:val="decimal" w:pos="513"/>
              </w:tabs>
              <w:jc w:val="left"/>
              <w:rPr>
                <w:sz w:val="20"/>
                <w:szCs w:val="20"/>
              </w:rPr>
            </w:pPr>
            <w:r w:rsidRPr="00C87C03">
              <w:rPr>
                <w:sz w:val="20"/>
                <w:szCs w:val="20"/>
              </w:rPr>
              <w:t>0.0</w:t>
            </w:r>
          </w:p>
        </w:tc>
        <w:tc>
          <w:tcPr>
            <w:tcW w:w="1039" w:type="dxa"/>
            <w:tcBorders>
              <w:top w:val="single" w:sz="6" w:space="0" w:color="A6A6A6"/>
            </w:tcBorders>
            <w:shd w:val="clear" w:color="auto" w:fill="auto"/>
            <w:noWrap/>
            <w:hideMark/>
          </w:tcPr>
          <w:p w14:paraId="4F551E15" w14:textId="77777777" w:rsidR="00E16C7C" w:rsidRPr="00C87C03" w:rsidRDefault="00E16C7C" w:rsidP="00221A40">
            <w:pPr>
              <w:tabs>
                <w:tab w:val="decimal" w:pos="513"/>
              </w:tabs>
              <w:jc w:val="left"/>
              <w:rPr>
                <w:sz w:val="20"/>
                <w:szCs w:val="20"/>
              </w:rPr>
            </w:pPr>
            <w:r w:rsidRPr="00C87C03">
              <w:rPr>
                <w:sz w:val="20"/>
                <w:szCs w:val="20"/>
              </w:rPr>
              <w:t>0.0</w:t>
            </w:r>
          </w:p>
        </w:tc>
        <w:tc>
          <w:tcPr>
            <w:tcW w:w="1039" w:type="dxa"/>
            <w:tcBorders>
              <w:top w:val="single" w:sz="6" w:space="0" w:color="A6A6A6"/>
            </w:tcBorders>
            <w:shd w:val="clear" w:color="auto" w:fill="auto"/>
            <w:noWrap/>
            <w:hideMark/>
          </w:tcPr>
          <w:p w14:paraId="0F6FDB48" w14:textId="77777777" w:rsidR="00E16C7C" w:rsidRPr="00C87C03" w:rsidRDefault="00E16C7C" w:rsidP="00221A40">
            <w:pPr>
              <w:tabs>
                <w:tab w:val="decimal" w:pos="513"/>
              </w:tabs>
              <w:jc w:val="left"/>
              <w:rPr>
                <w:sz w:val="20"/>
                <w:szCs w:val="20"/>
              </w:rPr>
            </w:pPr>
            <w:r w:rsidRPr="00C87C03">
              <w:rPr>
                <w:sz w:val="20"/>
                <w:szCs w:val="20"/>
              </w:rPr>
              <w:t>0.0</w:t>
            </w:r>
          </w:p>
        </w:tc>
      </w:tr>
      <w:tr w:rsidR="00E16C7C" w:rsidRPr="00C87C03" w14:paraId="0C83DBF6" w14:textId="77777777" w:rsidTr="00221A40">
        <w:trPr>
          <w:trHeight w:val="255"/>
        </w:trPr>
        <w:tc>
          <w:tcPr>
            <w:tcW w:w="2885" w:type="dxa"/>
            <w:tcBorders>
              <w:top w:val="single" w:sz="6" w:space="0" w:color="A6A6A6"/>
            </w:tcBorders>
            <w:shd w:val="clear" w:color="auto" w:fill="auto"/>
            <w:noWrap/>
            <w:hideMark/>
          </w:tcPr>
          <w:p w14:paraId="08390EF7" w14:textId="77777777" w:rsidR="00E16C7C" w:rsidRPr="00C87C03" w:rsidRDefault="00E16C7C" w:rsidP="001E3161">
            <w:pPr>
              <w:rPr>
                <w:sz w:val="20"/>
                <w:szCs w:val="20"/>
              </w:rPr>
            </w:pPr>
            <w:r w:rsidRPr="00C87C03">
              <w:rPr>
                <w:sz w:val="20"/>
                <w:szCs w:val="20"/>
              </w:rPr>
              <w:t>Interest</w:t>
            </w:r>
          </w:p>
        </w:tc>
        <w:tc>
          <w:tcPr>
            <w:tcW w:w="1039" w:type="dxa"/>
            <w:tcBorders>
              <w:top w:val="single" w:sz="6" w:space="0" w:color="A6A6A6"/>
            </w:tcBorders>
            <w:shd w:val="clear" w:color="auto" w:fill="auto"/>
            <w:noWrap/>
            <w:hideMark/>
          </w:tcPr>
          <w:p w14:paraId="0FFFDB5F" w14:textId="77777777" w:rsidR="00E16C7C" w:rsidRPr="00C87C03" w:rsidRDefault="00E16C7C" w:rsidP="00221A40">
            <w:pPr>
              <w:tabs>
                <w:tab w:val="decimal" w:pos="513"/>
              </w:tabs>
              <w:jc w:val="left"/>
              <w:rPr>
                <w:sz w:val="20"/>
                <w:szCs w:val="20"/>
              </w:rPr>
            </w:pPr>
            <w:r w:rsidRPr="00C87C03">
              <w:rPr>
                <w:sz w:val="20"/>
                <w:szCs w:val="20"/>
              </w:rPr>
              <w:t>0.0</w:t>
            </w:r>
          </w:p>
        </w:tc>
        <w:tc>
          <w:tcPr>
            <w:tcW w:w="1039" w:type="dxa"/>
            <w:tcBorders>
              <w:top w:val="single" w:sz="6" w:space="0" w:color="A6A6A6"/>
            </w:tcBorders>
            <w:shd w:val="clear" w:color="auto" w:fill="auto"/>
            <w:noWrap/>
            <w:hideMark/>
          </w:tcPr>
          <w:p w14:paraId="658F837B" w14:textId="77777777" w:rsidR="00E16C7C" w:rsidRPr="00C87C03" w:rsidRDefault="00E16C7C" w:rsidP="00221A40">
            <w:pPr>
              <w:tabs>
                <w:tab w:val="decimal" w:pos="513"/>
              </w:tabs>
              <w:jc w:val="left"/>
              <w:rPr>
                <w:sz w:val="20"/>
                <w:szCs w:val="20"/>
              </w:rPr>
            </w:pPr>
            <w:r w:rsidRPr="00C87C03">
              <w:rPr>
                <w:sz w:val="20"/>
                <w:szCs w:val="20"/>
              </w:rPr>
              <w:t>0.6</w:t>
            </w:r>
          </w:p>
        </w:tc>
        <w:tc>
          <w:tcPr>
            <w:tcW w:w="1039" w:type="dxa"/>
            <w:tcBorders>
              <w:top w:val="single" w:sz="6" w:space="0" w:color="A6A6A6"/>
            </w:tcBorders>
            <w:shd w:val="clear" w:color="auto" w:fill="auto"/>
            <w:noWrap/>
            <w:hideMark/>
          </w:tcPr>
          <w:p w14:paraId="4DB3F9D2" w14:textId="77777777" w:rsidR="00E16C7C" w:rsidRPr="00C87C03" w:rsidRDefault="00E16C7C" w:rsidP="00221A40">
            <w:pPr>
              <w:tabs>
                <w:tab w:val="decimal" w:pos="513"/>
              </w:tabs>
              <w:jc w:val="left"/>
              <w:rPr>
                <w:sz w:val="20"/>
                <w:szCs w:val="20"/>
              </w:rPr>
            </w:pPr>
            <w:r w:rsidRPr="00C87C03">
              <w:rPr>
                <w:sz w:val="20"/>
                <w:szCs w:val="20"/>
              </w:rPr>
              <w:t>0.6</w:t>
            </w:r>
          </w:p>
        </w:tc>
      </w:tr>
      <w:tr w:rsidR="00E16C7C" w:rsidRPr="00C87C03" w14:paraId="1212328D" w14:textId="77777777" w:rsidTr="00221A40">
        <w:trPr>
          <w:trHeight w:val="255"/>
        </w:trPr>
        <w:tc>
          <w:tcPr>
            <w:tcW w:w="2885" w:type="dxa"/>
            <w:tcBorders>
              <w:top w:val="single" w:sz="6" w:space="0" w:color="A6A6A6"/>
            </w:tcBorders>
            <w:shd w:val="clear" w:color="auto" w:fill="auto"/>
            <w:noWrap/>
            <w:hideMark/>
          </w:tcPr>
          <w:p w14:paraId="399A2AB5" w14:textId="77777777" w:rsidR="00E16C7C" w:rsidRPr="00C87C03" w:rsidRDefault="00E16C7C" w:rsidP="001E3161">
            <w:pPr>
              <w:rPr>
                <w:sz w:val="20"/>
                <w:szCs w:val="20"/>
              </w:rPr>
            </w:pPr>
            <w:r w:rsidRPr="00C87C03">
              <w:rPr>
                <w:sz w:val="20"/>
                <w:szCs w:val="20"/>
              </w:rPr>
              <w:t>Subsidies</w:t>
            </w:r>
          </w:p>
        </w:tc>
        <w:tc>
          <w:tcPr>
            <w:tcW w:w="1039" w:type="dxa"/>
            <w:tcBorders>
              <w:top w:val="single" w:sz="6" w:space="0" w:color="A6A6A6"/>
            </w:tcBorders>
            <w:shd w:val="clear" w:color="auto" w:fill="auto"/>
            <w:noWrap/>
            <w:hideMark/>
          </w:tcPr>
          <w:p w14:paraId="6A654063" w14:textId="77777777" w:rsidR="00E16C7C" w:rsidRPr="00C87C03" w:rsidRDefault="00E16C7C" w:rsidP="00221A40">
            <w:pPr>
              <w:tabs>
                <w:tab w:val="decimal" w:pos="513"/>
              </w:tabs>
              <w:jc w:val="left"/>
              <w:rPr>
                <w:sz w:val="20"/>
                <w:szCs w:val="20"/>
              </w:rPr>
            </w:pPr>
            <w:r w:rsidRPr="00C87C03">
              <w:rPr>
                <w:sz w:val="20"/>
                <w:szCs w:val="20"/>
              </w:rPr>
              <w:t>0.0</w:t>
            </w:r>
          </w:p>
        </w:tc>
        <w:tc>
          <w:tcPr>
            <w:tcW w:w="1039" w:type="dxa"/>
            <w:tcBorders>
              <w:top w:val="single" w:sz="6" w:space="0" w:color="A6A6A6"/>
            </w:tcBorders>
            <w:shd w:val="clear" w:color="auto" w:fill="auto"/>
            <w:noWrap/>
            <w:hideMark/>
          </w:tcPr>
          <w:p w14:paraId="4963FF9D" w14:textId="77777777" w:rsidR="00E16C7C" w:rsidRPr="00C87C03" w:rsidRDefault="00E16C7C" w:rsidP="00221A40">
            <w:pPr>
              <w:tabs>
                <w:tab w:val="decimal" w:pos="513"/>
              </w:tabs>
              <w:jc w:val="left"/>
              <w:rPr>
                <w:sz w:val="20"/>
                <w:szCs w:val="20"/>
              </w:rPr>
            </w:pPr>
            <w:r w:rsidRPr="00C87C03">
              <w:rPr>
                <w:sz w:val="20"/>
                <w:szCs w:val="20"/>
              </w:rPr>
              <w:t>4.1</w:t>
            </w:r>
          </w:p>
        </w:tc>
        <w:tc>
          <w:tcPr>
            <w:tcW w:w="1039" w:type="dxa"/>
            <w:tcBorders>
              <w:top w:val="single" w:sz="6" w:space="0" w:color="A6A6A6"/>
            </w:tcBorders>
            <w:shd w:val="clear" w:color="auto" w:fill="auto"/>
            <w:noWrap/>
            <w:hideMark/>
          </w:tcPr>
          <w:p w14:paraId="1C520839" w14:textId="77777777" w:rsidR="00E16C7C" w:rsidRPr="00C87C03" w:rsidRDefault="00E16C7C" w:rsidP="00221A40">
            <w:pPr>
              <w:tabs>
                <w:tab w:val="decimal" w:pos="513"/>
              </w:tabs>
              <w:jc w:val="left"/>
              <w:rPr>
                <w:sz w:val="20"/>
                <w:szCs w:val="20"/>
              </w:rPr>
            </w:pPr>
            <w:r w:rsidRPr="00C87C03">
              <w:rPr>
                <w:sz w:val="20"/>
                <w:szCs w:val="20"/>
              </w:rPr>
              <w:t>0.0</w:t>
            </w:r>
          </w:p>
        </w:tc>
      </w:tr>
      <w:tr w:rsidR="00E16C7C" w:rsidRPr="00C87C03" w14:paraId="790EF213" w14:textId="77777777" w:rsidTr="00221A40">
        <w:trPr>
          <w:trHeight w:val="255"/>
        </w:trPr>
        <w:tc>
          <w:tcPr>
            <w:tcW w:w="2885" w:type="dxa"/>
            <w:tcBorders>
              <w:top w:val="single" w:sz="6" w:space="0" w:color="A6A6A6"/>
            </w:tcBorders>
            <w:shd w:val="clear" w:color="auto" w:fill="auto"/>
            <w:noWrap/>
            <w:hideMark/>
          </w:tcPr>
          <w:p w14:paraId="5F29F568" w14:textId="77777777" w:rsidR="00E16C7C" w:rsidRPr="00C87C03" w:rsidRDefault="00E16C7C" w:rsidP="001E3161">
            <w:pPr>
              <w:rPr>
                <w:sz w:val="20"/>
                <w:szCs w:val="20"/>
              </w:rPr>
            </w:pPr>
            <w:r w:rsidRPr="00C87C03">
              <w:rPr>
                <w:sz w:val="20"/>
                <w:szCs w:val="20"/>
              </w:rPr>
              <w:t>Grants</w:t>
            </w:r>
          </w:p>
        </w:tc>
        <w:tc>
          <w:tcPr>
            <w:tcW w:w="1039" w:type="dxa"/>
            <w:tcBorders>
              <w:top w:val="single" w:sz="6" w:space="0" w:color="A6A6A6"/>
            </w:tcBorders>
            <w:shd w:val="clear" w:color="auto" w:fill="auto"/>
            <w:noWrap/>
            <w:hideMark/>
          </w:tcPr>
          <w:p w14:paraId="67B87ABC" w14:textId="77777777" w:rsidR="00E16C7C" w:rsidRPr="00C87C03" w:rsidRDefault="00E16C7C" w:rsidP="00221A40">
            <w:pPr>
              <w:tabs>
                <w:tab w:val="decimal" w:pos="513"/>
              </w:tabs>
              <w:jc w:val="left"/>
              <w:rPr>
                <w:sz w:val="20"/>
                <w:szCs w:val="20"/>
              </w:rPr>
            </w:pPr>
            <w:r w:rsidRPr="00C87C03">
              <w:rPr>
                <w:sz w:val="20"/>
                <w:szCs w:val="20"/>
              </w:rPr>
              <w:t>6.4</w:t>
            </w:r>
          </w:p>
        </w:tc>
        <w:tc>
          <w:tcPr>
            <w:tcW w:w="1039" w:type="dxa"/>
            <w:tcBorders>
              <w:top w:val="single" w:sz="6" w:space="0" w:color="A6A6A6"/>
            </w:tcBorders>
            <w:shd w:val="clear" w:color="auto" w:fill="auto"/>
            <w:noWrap/>
            <w:hideMark/>
          </w:tcPr>
          <w:p w14:paraId="2B4963FA" w14:textId="77777777" w:rsidR="00E16C7C" w:rsidRPr="00C87C03" w:rsidRDefault="00E16C7C" w:rsidP="00221A40">
            <w:pPr>
              <w:tabs>
                <w:tab w:val="decimal" w:pos="513"/>
              </w:tabs>
              <w:jc w:val="left"/>
              <w:rPr>
                <w:sz w:val="20"/>
                <w:szCs w:val="20"/>
              </w:rPr>
            </w:pPr>
            <w:r w:rsidRPr="00C87C03">
              <w:rPr>
                <w:sz w:val="20"/>
                <w:szCs w:val="20"/>
              </w:rPr>
              <w:t>3.4</w:t>
            </w:r>
          </w:p>
        </w:tc>
        <w:tc>
          <w:tcPr>
            <w:tcW w:w="1039" w:type="dxa"/>
            <w:tcBorders>
              <w:top w:val="single" w:sz="6" w:space="0" w:color="A6A6A6"/>
            </w:tcBorders>
            <w:shd w:val="clear" w:color="auto" w:fill="auto"/>
            <w:noWrap/>
            <w:hideMark/>
          </w:tcPr>
          <w:p w14:paraId="398D33F4" w14:textId="77777777" w:rsidR="00E16C7C" w:rsidRPr="00C87C03" w:rsidRDefault="00E16C7C" w:rsidP="00221A40">
            <w:pPr>
              <w:tabs>
                <w:tab w:val="decimal" w:pos="513"/>
              </w:tabs>
              <w:jc w:val="left"/>
              <w:rPr>
                <w:sz w:val="20"/>
                <w:szCs w:val="20"/>
              </w:rPr>
            </w:pPr>
            <w:r w:rsidRPr="00C87C03">
              <w:rPr>
                <w:sz w:val="20"/>
                <w:szCs w:val="20"/>
              </w:rPr>
              <w:t>11.5</w:t>
            </w:r>
          </w:p>
        </w:tc>
      </w:tr>
      <w:tr w:rsidR="00E16C7C" w:rsidRPr="00C87C03" w14:paraId="0FF24F47" w14:textId="77777777" w:rsidTr="00221A40">
        <w:trPr>
          <w:trHeight w:val="255"/>
        </w:trPr>
        <w:tc>
          <w:tcPr>
            <w:tcW w:w="2885" w:type="dxa"/>
            <w:tcBorders>
              <w:top w:val="single" w:sz="6" w:space="0" w:color="A6A6A6"/>
            </w:tcBorders>
            <w:shd w:val="clear" w:color="auto" w:fill="auto"/>
            <w:noWrap/>
            <w:hideMark/>
          </w:tcPr>
          <w:p w14:paraId="4D69CC52" w14:textId="77777777" w:rsidR="00E16C7C" w:rsidRPr="00C87C03" w:rsidRDefault="00E16C7C" w:rsidP="001E3161">
            <w:pPr>
              <w:rPr>
                <w:sz w:val="20"/>
                <w:szCs w:val="20"/>
              </w:rPr>
            </w:pPr>
            <w:r w:rsidRPr="00C87C03">
              <w:rPr>
                <w:sz w:val="20"/>
                <w:szCs w:val="20"/>
              </w:rPr>
              <w:t>Social benefits</w:t>
            </w:r>
          </w:p>
        </w:tc>
        <w:tc>
          <w:tcPr>
            <w:tcW w:w="1039" w:type="dxa"/>
            <w:tcBorders>
              <w:top w:val="single" w:sz="6" w:space="0" w:color="A6A6A6"/>
            </w:tcBorders>
            <w:shd w:val="clear" w:color="auto" w:fill="auto"/>
            <w:noWrap/>
            <w:hideMark/>
          </w:tcPr>
          <w:p w14:paraId="6ED044B8" w14:textId="77777777" w:rsidR="00E16C7C" w:rsidRPr="00C87C03" w:rsidRDefault="00E16C7C" w:rsidP="00221A40">
            <w:pPr>
              <w:tabs>
                <w:tab w:val="decimal" w:pos="513"/>
              </w:tabs>
              <w:jc w:val="left"/>
              <w:rPr>
                <w:sz w:val="20"/>
                <w:szCs w:val="20"/>
              </w:rPr>
            </w:pPr>
            <w:r w:rsidRPr="00C87C03">
              <w:rPr>
                <w:sz w:val="20"/>
                <w:szCs w:val="20"/>
              </w:rPr>
              <w:t>0.0</w:t>
            </w:r>
          </w:p>
        </w:tc>
        <w:tc>
          <w:tcPr>
            <w:tcW w:w="1039" w:type="dxa"/>
            <w:tcBorders>
              <w:top w:val="single" w:sz="6" w:space="0" w:color="A6A6A6"/>
            </w:tcBorders>
            <w:shd w:val="clear" w:color="auto" w:fill="auto"/>
            <w:noWrap/>
            <w:hideMark/>
          </w:tcPr>
          <w:p w14:paraId="46E94C5E" w14:textId="77777777" w:rsidR="00E16C7C" w:rsidRPr="00C87C03" w:rsidRDefault="00E16C7C" w:rsidP="00221A40">
            <w:pPr>
              <w:tabs>
                <w:tab w:val="decimal" w:pos="513"/>
              </w:tabs>
              <w:jc w:val="left"/>
              <w:rPr>
                <w:sz w:val="20"/>
                <w:szCs w:val="20"/>
              </w:rPr>
            </w:pPr>
            <w:r w:rsidRPr="00C87C03">
              <w:rPr>
                <w:sz w:val="20"/>
                <w:szCs w:val="20"/>
              </w:rPr>
              <w:t>1.0</w:t>
            </w:r>
          </w:p>
        </w:tc>
        <w:tc>
          <w:tcPr>
            <w:tcW w:w="1039" w:type="dxa"/>
            <w:tcBorders>
              <w:top w:val="single" w:sz="6" w:space="0" w:color="A6A6A6"/>
            </w:tcBorders>
            <w:shd w:val="clear" w:color="auto" w:fill="auto"/>
            <w:noWrap/>
            <w:hideMark/>
          </w:tcPr>
          <w:p w14:paraId="7F237FFF" w14:textId="77777777" w:rsidR="00E16C7C" w:rsidRPr="00C87C03" w:rsidRDefault="00E16C7C" w:rsidP="00221A40">
            <w:pPr>
              <w:tabs>
                <w:tab w:val="decimal" w:pos="513"/>
              </w:tabs>
              <w:jc w:val="left"/>
              <w:rPr>
                <w:sz w:val="20"/>
                <w:szCs w:val="20"/>
              </w:rPr>
            </w:pPr>
            <w:r w:rsidRPr="00C87C03">
              <w:rPr>
                <w:sz w:val="20"/>
                <w:szCs w:val="20"/>
              </w:rPr>
              <w:t>0.7</w:t>
            </w:r>
          </w:p>
        </w:tc>
      </w:tr>
      <w:tr w:rsidR="00E16C7C" w:rsidRPr="00C87C03" w14:paraId="6EC3D9FA" w14:textId="77777777" w:rsidTr="00221A40">
        <w:trPr>
          <w:trHeight w:val="255"/>
        </w:trPr>
        <w:tc>
          <w:tcPr>
            <w:tcW w:w="2885" w:type="dxa"/>
            <w:tcBorders>
              <w:top w:val="single" w:sz="6" w:space="0" w:color="A6A6A6"/>
            </w:tcBorders>
            <w:shd w:val="clear" w:color="auto" w:fill="auto"/>
            <w:noWrap/>
            <w:hideMark/>
          </w:tcPr>
          <w:p w14:paraId="5DD81129" w14:textId="77777777" w:rsidR="00E16C7C" w:rsidRPr="00C87C03" w:rsidRDefault="00E16C7C" w:rsidP="001E3161">
            <w:pPr>
              <w:rPr>
                <w:sz w:val="20"/>
                <w:szCs w:val="20"/>
              </w:rPr>
            </w:pPr>
            <w:r w:rsidRPr="00C87C03">
              <w:rPr>
                <w:sz w:val="20"/>
                <w:szCs w:val="20"/>
              </w:rPr>
              <w:t>Other expenses</w:t>
            </w:r>
          </w:p>
        </w:tc>
        <w:tc>
          <w:tcPr>
            <w:tcW w:w="1039" w:type="dxa"/>
            <w:tcBorders>
              <w:top w:val="single" w:sz="6" w:space="0" w:color="A6A6A6"/>
            </w:tcBorders>
            <w:shd w:val="clear" w:color="auto" w:fill="auto"/>
            <w:noWrap/>
            <w:hideMark/>
          </w:tcPr>
          <w:p w14:paraId="45173ED7" w14:textId="77777777" w:rsidR="00E16C7C" w:rsidRPr="00C87C03" w:rsidRDefault="00E16C7C" w:rsidP="00221A40">
            <w:pPr>
              <w:tabs>
                <w:tab w:val="decimal" w:pos="513"/>
              </w:tabs>
              <w:jc w:val="left"/>
              <w:rPr>
                <w:sz w:val="20"/>
                <w:szCs w:val="20"/>
              </w:rPr>
            </w:pPr>
            <w:r w:rsidRPr="00C87C03">
              <w:rPr>
                <w:sz w:val="20"/>
                <w:szCs w:val="20"/>
              </w:rPr>
              <w:t>0.0</w:t>
            </w:r>
          </w:p>
        </w:tc>
        <w:tc>
          <w:tcPr>
            <w:tcW w:w="1039" w:type="dxa"/>
            <w:tcBorders>
              <w:top w:val="single" w:sz="6" w:space="0" w:color="A6A6A6"/>
            </w:tcBorders>
            <w:shd w:val="clear" w:color="auto" w:fill="auto"/>
            <w:noWrap/>
            <w:hideMark/>
          </w:tcPr>
          <w:p w14:paraId="27D29BFE" w14:textId="77777777" w:rsidR="00E16C7C" w:rsidRPr="00C87C03" w:rsidRDefault="00E16C7C" w:rsidP="00221A40">
            <w:pPr>
              <w:tabs>
                <w:tab w:val="decimal" w:pos="513"/>
              </w:tabs>
              <w:jc w:val="left"/>
              <w:rPr>
                <w:sz w:val="20"/>
                <w:szCs w:val="20"/>
              </w:rPr>
            </w:pPr>
            <w:r w:rsidRPr="00C87C03">
              <w:rPr>
                <w:sz w:val="20"/>
                <w:szCs w:val="20"/>
              </w:rPr>
              <w:t>0.2</w:t>
            </w:r>
          </w:p>
        </w:tc>
        <w:tc>
          <w:tcPr>
            <w:tcW w:w="1039" w:type="dxa"/>
            <w:tcBorders>
              <w:top w:val="single" w:sz="6" w:space="0" w:color="A6A6A6"/>
            </w:tcBorders>
            <w:shd w:val="clear" w:color="auto" w:fill="auto"/>
            <w:noWrap/>
            <w:hideMark/>
          </w:tcPr>
          <w:p w14:paraId="55B7299A" w14:textId="77777777" w:rsidR="00E16C7C" w:rsidRPr="00C87C03" w:rsidRDefault="00E16C7C" w:rsidP="00221A40">
            <w:pPr>
              <w:tabs>
                <w:tab w:val="decimal" w:pos="513"/>
              </w:tabs>
              <w:jc w:val="left"/>
              <w:rPr>
                <w:sz w:val="20"/>
                <w:szCs w:val="20"/>
              </w:rPr>
            </w:pPr>
            <w:r w:rsidRPr="00C87C03">
              <w:rPr>
                <w:sz w:val="20"/>
                <w:szCs w:val="20"/>
              </w:rPr>
              <w:t>0.6</w:t>
            </w:r>
          </w:p>
        </w:tc>
      </w:tr>
      <w:tr w:rsidR="00E16C7C" w:rsidRPr="00C87C03" w14:paraId="32072C41" w14:textId="77777777" w:rsidTr="00221A40">
        <w:trPr>
          <w:trHeight w:val="255"/>
        </w:trPr>
        <w:tc>
          <w:tcPr>
            <w:tcW w:w="2885" w:type="dxa"/>
            <w:tcBorders>
              <w:top w:val="single" w:sz="6" w:space="0" w:color="A6A6A6"/>
            </w:tcBorders>
            <w:shd w:val="clear" w:color="auto" w:fill="auto"/>
            <w:noWrap/>
            <w:hideMark/>
          </w:tcPr>
          <w:p w14:paraId="6A8E2E46" w14:textId="77777777" w:rsidR="00E16C7C" w:rsidRPr="00C87C03" w:rsidRDefault="00E16C7C" w:rsidP="001E3161">
            <w:pPr>
              <w:rPr>
                <w:rStyle w:val="Strong"/>
                <w:sz w:val="20"/>
                <w:szCs w:val="20"/>
              </w:rPr>
            </w:pPr>
            <w:r w:rsidRPr="00C87C03">
              <w:rPr>
                <w:rStyle w:val="Strong"/>
                <w:sz w:val="20"/>
                <w:szCs w:val="20"/>
              </w:rPr>
              <w:t>Total expenditure</w:t>
            </w:r>
          </w:p>
        </w:tc>
        <w:tc>
          <w:tcPr>
            <w:tcW w:w="1039" w:type="dxa"/>
            <w:tcBorders>
              <w:top w:val="single" w:sz="6" w:space="0" w:color="A6A6A6"/>
            </w:tcBorders>
            <w:shd w:val="clear" w:color="auto" w:fill="auto"/>
            <w:noWrap/>
            <w:hideMark/>
          </w:tcPr>
          <w:p w14:paraId="6B922757" w14:textId="77777777" w:rsidR="00E16C7C" w:rsidRPr="00C87C03" w:rsidRDefault="00E16C7C" w:rsidP="00221A40">
            <w:pPr>
              <w:tabs>
                <w:tab w:val="decimal" w:pos="513"/>
              </w:tabs>
              <w:jc w:val="left"/>
              <w:rPr>
                <w:rStyle w:val="Strong"/>
                <w:sz w:val="20"/>
                <w:szCs w:val="20"/>
              </w:rPr>
            </w:pPr>
            <w:r w:rsidRPr="00C87C03">
              <w:rPr>
                <w:rStyle w:val="Strong"/>
                <w:sz w:val="20"/>
                <w:szCs w:val="20"/>
              </w:rPr>
              <w:t>100.0</w:t>
            </w:r>
          </w:p>
        </w:tc>
        <w:tc>
          <w:tcPr>
            <w:tcW w:w="1039" w:type="dxa"/>
            <w:tcBorders>
              <w:top w:val="single" w:sz="6" w:space="0" w:color="A6A6A6"/>
            </w:tcBorders>
            <w:shd w:val="clear" w:color="auto" w:fill="auto"/>
            <w:noWrap/>
            <w:hideMark/>
          </w:tcPr>
          <w:p w14:paraId="60FC34BB" w14:textId="77777777" w:rsidR="00E16C7C" w:rsidRPr="00C87C03" w:rsidRDefault="00E16C7C" w:rsidP="00221A40">
            <w:pPr>
              <w:tabs>
                <w:tab w:val="decimal" w:pos="513"/>
              </w:tabs>
              <w:jc w:val="left"/>
              <w:rPr>
                <w:rStyle w:val="Strong"/>
                <w:sz w:val="20"/>
                <w:szCs w:val="20"/>
              </w:rPr>
            </w:pPr>
            <w:r w:rsidRPr="00C87C03">
              <w:rPr>
                <w:rStyle w:val="Strong"/>
                <w:sz w:val="20"/>
                <w:szCs w:val="20"/>
              </w:rPr>
              <w:t>100.0</w:t>
            </w:r>
          </w:p>
        </w:tc>
        <w:tc>
          <w:tcPr>
            <w:tcW w:w="1039" w:type="dxa"/>
            <w:tcBorders>
              <w:top w:val="single" w:sz="6" w:space="0" w:color="A6A6A6"/>
            </w:tcBorders>
            <w:shd w:val="clear" w:color="auto" w:fill="auto"/>
            <w:noWrap/>
            <w:hideMark/>
          </w:tcPr>
          <w:p w14:paraId="467FDB26" w14:textId="77777777" w:rsidR="00E16C7C" w:rsidRPr="00C87C03" w:rsidRDefault="00E16C7C" w:rsidP="00221A40">
            <w:pPr>
              <w:tabs>
                <w:tab w:val="decimal" w:pos="513"/>
              </w:tabs>
              <w:jc w:val="left"/>
              <w:rPr>
                <w:rStyle w:val="Strong"/>
                <w:sz w:val="20"/>
                <w:szCs w:val="20"/>
              </w:rPr>
            </w:pPr>
            <w:r w:rsidRPr="00C87C03">
              <w:rPr>
                <w:rStyle w:val="Strong"/>
                <w:sz w:val="20"/>
                <w:szCs w:val="20"/>
              </w:rPr>
              <w:t>100.0</w:t>
            </w:r>
          </w:p>
        </w:tc>
      </w:tr>
    </w:tbl>
    <w:p w14:paraId="58397F38" w14:textId="6F5DE7CD" w:rsidR="003F1AC8" w:rsidRPr="00C87C03" w:rsidRDefault="003F1AC8" w:rsidP="00C87C03">
      <w:pPr>
        <w:pStyle w:val="Italic"/>
        <w:spacing w:after="240"/>
        <w:rPr>
          <w:i w:val="0"/>
          <w:sz w:val="20"/>
        </w:rPr>
      </w:pPr>
      <w:r w:rsidRPr="00C87C03">
        <w:rPr>
          <w:sz w:val="20"/>
        </w:rPr>
        <w:t xml:space="preserve">Source: </w:t>
      </w:r>
      <w:r w:rsidRPr="00C87C03">
        <w:rPr>
          <w:i w:val="0"/>
          <w:sz w:val="20"/>
        </w:rPr>
        <w:t>A</w:t>
      </w:r>
      <w:r w:rsidR="00CC78F5" w:rsidRPr="00C87C03">
        <w:rPr>
          <w:i w:val="0"/>
          <w:sz w:val="20"/>
        </w:rPr>
        <w:t>FS</w:t>
      </w:r>
      <w:r w:rsidR="00F16983" w:rsidRPr="00C87C03">
        <w:rPr>
          <w:i w:val="0"/>
          <w:sz w:val="20"/>
        </w:rPr>
        <w:t>s</w:t>
      </w:r>
      <w:r w:rsidR="0045183B">
        <w:rPr>
          <w:i w:val="0"/>
          <w:sz w:val="20"/>
        </w:rPr>
        <w:t>.</w:t>
      </w:r>
    </w:p>
    <w:p w14:paraId="162E487A" w14:textId="6603F811" w:rsidR="00CA52CE" w:rsidRDefault="00CA52CE" w:rsidP="00776E84">
      <w:pPr>
        <w:pStyle w:val="Heading2"/>
      </w:pPr>
      <w:bookmarkStart w:id="43" w:name="_Toc532426029"/>
      <w:r w:rsidRPr="00890A84">
        <w:t>Legal and regulatory arrangements for PFM</w:t>
      </w:r>
      <w:bookmarkEnd w:id="43"/>
    </w:p>
    <w:p w14:paraId="41509398" w14:textId="2B06789E" w:rsidR="007A7A9B" w:rsidRPr="005849E4" w:rsidRDefault="00811752" w:rsidP="007A7A9B">
      <w:pPr>
        <w:rPr>
          <w:sz w:val="22"/>
        </w:rPr>
      </w:pPr>
      <w:r w:rsidRPr="005849E4">
        <w:rPr>
          <w:sz w:val="22"/>
        </w:rPr>
        <w:t xml:space="preserve">The Constitution of Kenya 2010 introduced significant changes to the political system of governance of Kenya. There are presently two levels of government, national and county governments. The legal and regulatory framework providing support for PFM in Kajiado </w:t>
      </w:r>
      <w:r w:rsidR="00221A40">
        <w:rPr>
          <w:sz w:val="22"/>
        </w:rPr>
        <w:t>C</w:t>
      </w:r>
      <w:r w:rsidRPr="005849E4">
        <w:rPr>
          <w:sz w:val="22"/>
        </w:rPr>
        <w:t xml:space="preserve">ounty is derived from </w:t>
      </w:r>
      <w:r w:rsidR="00221A40" w:rsidRPr="005849E4">
        <w:rPr>
          <w:sz w:val="22"/>
        </w:rPr>
        <w:t xml:space="preserve">various </w:t>
      </w:r>
      <w:r w:rsidR="00221A40">
        <w:rPr>
          <w:sz w:val="22"/>
        </w:rPr>
        <w:t>a</w:t>
      </w:r>
      <w:r w:rsidR="00221A40" w:rsidRPr="005849E4">
        <w:rPr>
          <w:sz w:val="22"/>
        </w:rPr>
        <w:t xml:space="preserve">cts and </w:t>
      </w:r>
      <w:r w:rsidR="00221A40">
        <w:rPr>
          <w:sz w:val="22"/>
        </w:rPr>
        <w:t>r</w:t>
      </w:r>
      <w:r w:rsidR="00221A40" w:rsidRPr="005849E4">
        <w:rPr>
          <w:sz w:val="22"/>
        </w:rPr>
        <w:t xml:space="preserve">egulations </w:t>
      </w:r>
      <w:r w:rsidR="00221A40">
        <w:rPr>
          <w:sz w:val="22"/>
        </w:rPr>
        <w:t xml:space="preserve">of </w:t>
      </w:r>
      <w:r w:rsidRPr="005849E4">
        <w:rPr>
          <w:sz w:val="22"/>
        </w:rPr>
        <w:t>the Constitution.</w:t>
      </w:r>
    </w:p>
    <w:p w14:paraId="33439287" w14:textId="324DFE7F" w:rsidR="007A7A9B" w:rsidRPr="007A7A9B" w:rsidRDefault="00811752" w:rsidP="00796F6B">
      <w:pPr>
        <w:pStyle w:val="Heading3"/>
      </w:pPr>
      <w:bookmarkStart w:id="44" w:name="_Toc532426030"/>
      <w:r w:rsidRPr="00796F6B">
        <w:t xml:space="preserve">The </w:t>
      </w:r>
      <w:r w:rsidR="00D00E7B">
        <w:t>m</w:t>
      </w:r>
      <w:r w:rsidR="007A7A9B" w:rsidRPr="00796F6B">
        <w:t>ain features of the legislation</w:t>
      </w:r>
      <w:bookmarkEnd w:id="44"/>
    </w:p>
    <w:p w14:paraId="26C25230" w14:textId="24289C23" w:rsidR="00811752" w:rsidRPr="005849E4" w:rsidRDefault="00811752" w:rsidP="00221A40">
      <w:pPr>
        <w:pStyle w:val="ListParagraph"/>
        <w:numPr>
          <w:ilvl w:val="0"/>
          <w:numId w:val="8"/>
        </w:numPr>
        <w:spacing w:after="240"/>
        <w:ind w:left="720"/>
        <w:contextualSpacing w:val="0"/>
        <w:rPr>
          <w:sz w:val="22"/>
        </w:rPr>
      </w:pPr>
      <w:r w:rsidRPr="00BA77EE">
        <w:rPr>
          <w:b/>
          <w:sz w:val="22"/>
        </w:rPr>
        <w:t xml:space="preserve">Chapter 11 and 12 of the Constitution on devolved governments and principles of public </w:t>
      </w:r>
      <w:r w:rsidR="00221A40">
        <w:rPr>
          <w:b/>
          <w:sz w:val="22"/>
        </w:rPr>
        <w:t>f</w:t>
      </w:r>
      <w:r w:rsidRPr="00BA77EE">
        <w:rPr>
          <w:b/>
          <w:sz w:val="22"/>
        </w:rPr>
        <w:t>inance</w:t>
      </w:r>
      <w:r w:rsidR="00221A40">
        <w:rPr>
          <w:b/>
          <w:sz w:val="22"/>
        </w:rPr>
        <w:t>,</w:t>
      </w:r>
      <w:r w:rsidRPr="00BA77EE">
        <w:rPr>
          <w:b/>
          <w:sz w:val="22"/>
        </w:rPr>
        <w:t xml:space="preserve"> respectively.</w:t>
      </w:r>
      <w:r w:rsidRPr="005849E4">
        <w:rPr>
          <w:sz w:val="22"/>
        </w:rPr>
        <w:t xml:space="preserve"> Institutional arrangement</w:t>
      </w:r>
      <w:r w:rsidR="00221A40">
        <w:rPr>
          <w:sz w:val="22"/>
        </w:rPr>
        <w:t>s</w:t>
      </w:r>
      <w:r w:rsidRPr="005849E4">
        <w:rPr>
          <w:sz w:val="22"/>
        </w:rPr>
        <w:t xml:space="preserve"> for PFM includ</w:t>
      </w:r>
      <w:r w:rsidR="00221A40">
        <w:rPr>
          <w:sz w:val="22"/>
        </w:rPr>
        <w:t>e</w:t>
      </w:r>
      <w:r w:rsidRPr="005849E4">
        <w:rPr>
          <w:sz w:val="22"/>
        </w:rPr>
        <w:t xml:space="preserve"> the Commission on Revenue Allocation (Article 216), the National Treasury (Article 225(1)), Controller of Budget (Article 228), Auditor General (Article 229), Salaries and Remuneration Commission </w:t>
      </w:r>
      <w:r w:rsidR="00862F8C">
        <w:rPr>
          <w:sz w:val="22"/>
        </w:rPr>
        <w:t xml:space="preserve">(SRC) </w:t>
      </w:r>
      <w:r w:rsidRPr="005849E4">
        <w:rPr>
          <w:sz w:val="22"/>
        </w:rPr>
        <w:t>(Article 230), Central Bank of Kenya (Article 231), Parliament (Article 93)</w:t>
      </w:r>
      <w:r w:rsidR="00221A40">
        <w:rPr>
          <w:sz w:val="22"/>
        </w:rPr>
        <w:t>,</w:t>
      </w:r>
      <w:r w:rsidRPr="005849E4">
        <w:rPr>
          <w:sz w:val="22"/>
        </w:rPr>
        <w:t xml:space="preserve"> and County Assemblies (Article 176 (1)). Article 227 (2) provides for the creation of a framework for procurement and asset disposal by all public entities through an Act of Parliament. </w:t>
      </w:r>
    </w:p>
    <w:p w14:paraId="4CA204DF" w14:textId="28B5143F" w:rsidR="00D038E1" w:rsidRPr="005849E4" w:rsidRDefault="00D038E1" w:rsidP="00221A40">
      <w:pPr>
        <w:pStyle w:val="ListParagraph"/>
        <w:numPr>
          <w:ilvl w:val="0"/>
          <w:numId w:val="8"/>
        </w:numPr>
        <w:spacing w:after="240"/>
        <w:ind w:left="720"/>
        <w:contextualSpacing w:val="0"/>
        <w:rPr>
          <w:sz w:val="22"/>
        </w:rPr>
      </w:pPr>
      <w:r w:rsidRPr="00BA77EE">
        <w:rPr>
          <w:b/>
          <w:sz w:val="22"/>
        </w:rPr>
        <w:t>The PFM Act, 2012</w:t>
      </w:r>
      <w:r w:rsidR="00F57585">
        <w:rPr>
          <w:b/>
          <w:sz w:val="22"/>
        </w:rPr>
        <w:t>.</w:t>
      </w:r>
      <w:r w:rsidRPr="005849E4">
        <w:rPr>
          <w:sz w:val="22"/>
        </w:rPr>
        <w:t xml:space="preserve"> Part IV of this </w:t>
      </w:r>
      <w:r w:rsidR="00221A40">
        <w:rPr>
          <w:sz w:val="22"/>
        </w:rPr>
        <w:t>a</w:t>
      </w:r>
      <w:r w:rsidRPr="005849E4">
        <w:rPr>
          <w:sz w:val="22"/>
        </w:rPr>
        <w:t xml:space="preserve">ct details responsibilities with respect to PFM of public funds in the </w:t>
      </w:r>
      <w:r w:rsidR="00221A40">
        <w:rPr>
          <w:sz w:val="22"/>
        </w:rPr>
        <w:t>c</w:t>
      </w:r>
      <w:r w:rsidRPr="005849E4">
        <w:rPr>
          <w:sz w:val="22"/>
        </w:rPr>
        <w:t xml:space="preserve">ounties. This </w:t>
      </w:r>
      <w:r w:rsidR="00221A40">
        <w:rPr>
          <w:sz w:val="22"/>
        </w:rPr>
        <w:t>a</w:t>
      </w:r>
      <w:r w:rsidRPr="005849E4">
        <w:rPr>
          <w:sz w:val="22"/>
        </w:rPr>
        <w:t>ct covers all PFM aspects including</w:t>
      </w:r>
      <w:r w:rsidR="00221A40">
        <w:rPr>
          <w:sz w:val="22"/>
        </w:rPr>
        <w:t>,</w:t>
      </w:r>
      <w:r w:rsidRPr="005849E4">
        <w:rPr>
          <w:sz w:val="22"/>
        </w:rPr>
        <w:t xml:space="preserve"> but not limited to</w:t>
      </w:r>
      <w:r w:rsidR="00221A40">
        <w:rPr>
          <w:sz w:val="22"/>
        </w:rPr>
        <w:t>,</w:t>
      </w:r>
      <w:r w:rsidRPr="005849E4">
        <w:rPr>
          <w:sz w:val="22"/>
        </w:rPr>
        <w:t xml:space="preserve"> budget making process and public participation; Treasury Single Account (TSA); financial accounting and reporting; </w:t>
      </w:r>
      <w:r w:rsidR="00221A40">
        <w:rPr>
          <w:sz w:val="22"/>
        </w:rPr>
        <w:t xml:space="preserve">and </w:t>
      </w:r>
      <w:r w:rsidRPr="005849E4">
        <w:rPr>
          <w:sz w:val="22"/>
        </w:rPr>
        <w:t>internal auditing</w:t>
      </w:r>
      <w:r w:rsidR="00221A40">
        <w:rPr>
          <w:sz w:val="22"/>
        </w:rPr>
        <w:t>,</w:t>
      </w:r>
      <w:r w:rsidRPr="005849E4">
        <w:rPr>
          <w:sz w:val="22"/>
        </w:rPr>
        <w:t xml:space="preserve"> among others. Section 103 creates the County Treasury whose general responsibilities and powers in relation to public finance are spel</w:t>
      </w:r>
      <w:r w:rsidR="00221A40">
        <w:rPr>
          <w:sz w:val="22"/>
        </w:rPr>
        <w:t>led</w:t>
      </w:r>
      <w:r w:rsidRPr="005849E4">
        <w:rPr>
          <w:sz w:val="22"/>
        </w:rPr>
        <w:t xml:space="preserve"> out in Sections 104 and 105. According to Section 106, upon request, the National Treasury can second public officers to the County Treasury to enhance its capacity. Section 107 places the role of enforcing fiscal responsibility principles</w:t>
      </w:r>
      <w:r w:rsidR="00F57585">
        <w:rPr>
          <w:sz w:val="22"/>
        </w:rPr>
        <w:t>,</w:t>
      </w:r>
      <w:r w:rsidRPr="005849E4">
        <w:rPr>
          <w:sz w:val="22"/>
        </w:rPr>
        <w:t xml:space="preserve"> as contained in Chapter 12 of the Constitution on the County Treasury. The County Treasury is responsible for some of the key documents related to public finance such as the budget, </w:t>
      </w:r>
      <w:r w:rsidRPr="00777D7A">
        <w:rPr>
          <w:sz w:val="22"/>
        </w:rPr>
        <w:t>County Fiscal Strategy Paper (CFSP)</w:t>
      </w:r>
      <w:r w:rsidR="00F57585">
        <w:rPr>
          <w:sz w:val="22"/>
        </w:rPr>
        <w:t>,</w:t>
      </w:r>
      <w:r w:rsidRPr="005849E4">
        <w:rPr>
          <w:sz w:val="22"/>
        </w:rPr>
        <w:t xml:space="preserve"> and CBROP and </w:t>
      </w:r>
      <w:r w:rsidRPr="00F57585">
        <w:rPr>
          <w:sz w:val="22"/>
        </w:rPr>
        <w:t>thereafter present them</w:t>
      </w:r>
      <w:r w:rsidRPr="005849E4">
        <w:rPr>
          <w:sz w:val="22"/>
        </w:rPr>
        <w:t xml:space="preserve"> to the County Assembly.</w:t>
      </w:r>
    </w:p>
    <w:p w14:paraId="7EA1B0AE" w14:textId="21391CED" w:rsidR="00D038E1" w:rsidRPr="008F1990" w:rsidRDefault="00D038E1" w:rsidP="00221A40">
      <w:pPr>
        <w:pStyle w:val="ListParagraph"/>
        <w:numPr>
          <w:ilvl w:val="0"/>
          <w:numId w:val="8"/>
        </w:numPr>
        <w:spacing w:after="240"/>
        <w:ind w:left="720"/>
        <w:contextualSpacing w:val="0"/>
        <w:rPr>
          <w:sz w:val="22"/>
        </w:rPr>
      </w:pPr>
      <w:r w:rsidRPr="00BA77EE">
        <w:rPr>
          <w:b/>
          <w:sz w:val="22"/>
        </w:rPr>
        <w:t xml:space="preserve">The PFM Regulations (2015) for </w:t>
      </w:r>
      <w:r w:rsidR="00F57585">
        <w:rPr>
          <w:b/>
          <w:sz w:val="22"/>
        </w:rPr>
        <w:t>c</w:t>
      </w:r>
      <w:r w:rsidRPr="00BA77EE">
        <w:rPr>
          <w:b/>
          <w:sz w:val="22"/>
        </w:rPr>
        <w:t>ounty governments.</w:t>
      </w:r>
      <w:r w:rsidRPr="005849E4">
        <w:rPr>
          <w:sz w:val="22"/>
        </w:rPr>
        <w:t xml:space="preserve"> Some highlights include strengthening intergovernment</w:t>
      </w:r>
      <w:r w:rsidR="007274DE">
        <w:rPr>
          <w:sz w:val="22"/>
        </w:rPr>
        <w:t>al</w:t>
      </w:r>
      <w:r w:rsidRPr="005849E4">
        <w:rPr>
          <w:sz w:val="22"/>
        </w:rPr>
        <w:t xml:space="preserve"> fiscal relations</w:t>
      </w:r>
      <w:r w:rsidR="008F1990">
        <w:rPr>
          <w:sz w:val="22"/>
        </w:rPr>
        <w:t xml:space="preserve"> and</w:t>
      </w:r>
      <w:r w:rsidRPr="005849E4">
        <w:rPr>
          <w:sz w:val="22"/>
        </w:rPr>
        <w:t xml:space="preserve"> restricting wages to 35</w:t>
      </w:r>
      <w:r w:rsidR="00F57585">
        <w:rPr>
          <w:sz w:val="22"/>
        </w:rPr>
        <w:t xml:space="preserve"> percent</w:t>
      </w:r>
      <w:r w:rsidRPr="005849E4">
        <w:rPr>
          <w:sz w:val="22"/>
        </w:rPr>
        <w:t xml:space="preserve"> of reali</w:t>
      </w:r>
      <w:r w:rsidR="00F57585">
        <w:rPr>
          <w:sz w:val="22"/>
        </w:rPr>
        <w:t>z</w:t>
      </w:r>
      <w:r w:rsidRPr="005849E4">
        <w:rPr>
          <w:sz w:val="22"/>
        </w:rPr>
        <w:t xml:space="preserve">ed </w:t>
      </w:r>
      <w:r w:rsidRPr="008F1990">
        <w:rPr>
          <w:sz w:val="22"/>
        </w:rPr>
        <w:t>revenue</w:t>
      </w:r>
      <w:r w:rsidR="00F57585" w:rsidRPr="008F1990">
        <w:rPr>
          <w:sz w:val="22"/>
        </w:rPr>
        <w:t>,</w:t>
      </w:r>
      <w:r w:rsidRPr="008F1990">
        <w:rPr>
          <w:sz w:val="22"/>
        </w:rPr>
        <w:t xml:space="preserve"> </w:t>
      </w:r>
      <w:r w:rsidR="00777D7A" w:rsidRPr="008F1990">
        <w:rPr>
          <w:sz w:val="22"/>
        </w:rPr>
        <w:t xml:space="preserve">and </w:t>
      </w:r>
      <w:r w:rsidRPr="008F1990">
        <w:rPr>
          <w:sz w:val="22"/>
        </w:rPr>
        <w:t>development budget should be 30</w:t>
      </w:r>
      <w:r w:rsidR="00777D7A" w:rsidRPr="008F1990">
        <w:rPr>
          <w:sz w:val="22"/>
        </w:rPr>
        <w:t xml:space="preserve"> percent</w:t>
      </w:r>
      <w:r w:rsidRPr="008F1990">
        <w:rPr>
          <w:sz w:val="22"/>
        </w:rPr>
        <w:t xml:space="preserve"> of </w:t>
      </w:r>
      <w:r w:rsidR="00777D7A" w:rsidRPr="008F1990">
        <w:rPr>
          <w:sz w:val="22"/>
        </w:rPr>
        <w:t xml:space="preserve">the </w:t>
      </w:r>
      <w:r w:rsidRPr="008F1990">
        <w:rPr>
          <w:sz w:val="22"/>
        </w:rPr>
        <w:t>total budget.</w:t>
      </w:r>
    </w:p>
    <w:p w14:paraId="1C0402F7" w14:textId="44EC9582" w:rsidR="00D038E1" w:rsidRPr="005849E4" w:rsidRDefault="00D038E1" w:rsidP="00221A40">
      <w:pPr>
        <w:pStyle w:val="ListParagraph"/>
        <w:numPr>
          <w:ilvl w:val="0"/>
          <w:numId w:val="8"/>
        </w:numPr>
        <w:spacing w:after="240"/>
        <w:ind w:left="720"/>
        <w:contextualSpacing w:val="0"/>
        <w:rPr>
          <w:sz w:val="22"/>
        </w:rPr>
      </w:pPr>
      <w:r w:rsidRPr="00BA77EE">
        <w:rPr>
          <w:b/>
          <w:sz w:val="22"/>
        </w:rPr>
        <w:t>The Public Procurement and Disposal Act (2015)</w:t>
      </w:r>
      <w:r w:rsidR="00F57585">
        <w:rPr>
          <w:b/>
          <w:sz w:val="22"/>
        </w:rPr>
        <w:t>.</w:t>
      </w:r>
      <w:r w:rsidRPr="005849E4">
        <w:rPr>
          <w:sz w:val="22"/>
        </w:rPr>
        <w:t xml:space="preserve"> The Act provides for procedures for efficient public procurement</w:t>
      </w:r>
      <w:r w:rsidR="00777D7A">
        <w:rPr>
          <w:sz w:val="22"/>
        </w:rPr>
        <w:t xml:space="preserve"> and</w:t>
      </w:r>
      <w:r w:rsidRPr="005849E4">
        <w:rPr>
          <w:sz w:val="22"/>
        </w:rPr>
        <w:t xml:space="preserve"> procedures for asset disposal by public entities. Regulations are under development.</w:t>
      </w:r>
    </w:p>
    <w:p w14:paraId="1F6623D5" w14:textId="71D1E235" w:rsidR="004666EA" w:rsidRPr="005849E4" w:rsidRDefault="006638C2" w:rsidP="00221A40">
      <w:pPr>
        <w:pStyle w:val="ListParagraph"/>
        <w:numPr>
          <w:ilvl w:val="0"/>
          <w:numId w:val="8"/>
        </w:numPr>
        <w:spacing w:after="240"/>
        <w:ind w:left="720"/>
        <w:contextualSpacing w:val="0"/>
        <w:rPr>
          <w:sz w:val="22"/>
        </w:rPr>
      </w:pPr>
      <w:r>
        <w:rPr>
          <w:b/>
          <w:sz w:val="22"/>
        </w:rPr>
        <w:t xml:space="preserve">The </w:t>
      </w:r>
      <w:r w:rsidR="00D038E1" w:rsidRPr="00BA77EE">
        <w:rPr>
          <w:b/>
          <w:sz w:val="22"/>
        </w:rPr>
        <w:t>Public Audit Act (2015)</w:t>
      </w:r>
      <w:r w:rsidR="00D038E1" w:rsidRPr="005849E4">
        <w:rPr>
          <w:sz w:val="22"/>
        </w:rPr>
        <w:t xml:space="preserve"> provides for the organi</w:t>
      </w:r>
      <w:r w:rsidR="00777D7A">
        <w:rPr>
          <w:sz w:val="22"/>
        </w:rPr>
        <w:t>z</w:t>
      </w:r>
      <w:r w:rsidR="00D038E1" w:rsidRPr="005849E4">
        <w:rPr>
          <w:sz w:val="22"/>
        </w:rPr>
        <w:t>ation, functions</w:t>
      </w:r>
      <w:r w:rsidR="00777D7A">
        <w:rPr>
          <w:sz w:val="22"/>
        </w:rPr>
        <w:t>,</w:t>
      </w:r>
      <w:r w:rsidR="00D038E1" w:rsidRPr="005849E4">
        <w:rPr>
          <w:sz w:val="22"/>
        </w:rPr>
        <w:t xml:space="preserve"> and powers of the OAG</w:t>
      </w:r>
      <w:r>
        <w:rPr>
          <w:sz w:val="22"/>
        </w:rPr>
        <w:t>, which</w:t>
      </w:r>
      <w:r w:rsidR="00D038E1" w:rsidRPr="005849E4">
        <w:rPr>
          <w:sz w:val="22"/>
        </w:rPr>
        <w:t xml:space="preserve"> are spel</w:t>
      </w:r>
      <w:r>
        <w:rPr>
          <w:sz w:val="22"/>
        </w:rPr>
        <w:t>led</w:t>
      </w:r>
      <w:r w:rsidR="00D038E1" w:rsidRPr="005849E4">
        <w:rPr>
          <w:sz w:val="22"/>
        </w:rPr>
        <w:t xml:space="preserve"> out in accordance with the Constitution. The Auditor General is required to present audit reports to Parliament and relevant County Assemblies six months after the end of a</w:t>
      </w:r>
      <w:r w:rsidR="00777D7A">
        <w:rPr>
          <w:sz w:val="22"/>
        </w:rPr>
        <w:t>n</w:t>
      </w:r>
      <w:r w:rsidR="00D038E1" w:rsidRPr="005849E4">
        <w:rPr>
          <w:sz w:val="22"/>
        </w:rPr>
        <w:t xml:space="preserve"> FY. Under Section 4, the OAG was established, replacing the Kenya National Audit Office (KENAO). Section 10 provides explicitly for the independence of the Auditor General. Section 11 significantly reinforces the process for selecting competent persons to the position of the Auditor General in case of any vacancy. </w:t>
      </w:r>
    </w:p>
    <w:p w14:paraId="60F28C07" w14:textId="548C1BF1" w:rsidR="00D038E1" w:rsidRPr="005849E4" w:rsidRDefault="00D038E1" w:rsidP="0045183B">
      <w:pPr>
        <w:pStyle w:val="ListParagraph"/>
        <w:numPr>
          <w:ilvl w:val="0"/>
          <w:numId w:val="0"/>
        </w:numPr>
        <w:spacing w:after="240"/>
        <w:ind w:left="720"/>
        <w:contextualSpacing w:val="0"/>
        <w:rPr>
          <w:sz w:val="22"/>
        </w:rPr>
      </w:pPr>
      <w:r w:rsidRPr="005849E4">
        <w:rPr>
          <w:sz w:val="22"/>
        </w:rPr>
        <w:t xml:space="preserve">The President may nominate a candidate and submit </w:t>
      </w:r>
      <w:r w:rsidR="00777D7A">
        <w:rPr>
          <w:sz w:val="22"/>
        </w:rPr>
        <w:t>the nomination</w:t>
      </w:r>
      <w:r w:rsidR="00777D7A" w:rsidRPr="005849E4">
        <w:rPr>
          <w:sz w:val="22"/>
        </w:rPr>
        <w:t xml:space="preserve"> </w:t>
      </w:r>
      <w:r w:rsidRPr="005849E4">
        <w:rPr>
          <w:sz w:val="22"/>
        </w:rPr>
        <w:t>to Parliament for its approval. Section 24 provides for outsourcing. Section 25 provides for an Audit Advisory Board in place of the National Audit Commission (established under the 2003 Act to consider and approve the annual budget for KENAO and to determine the remuneration and other terms of appointment of staff). It affirmed that only a person registered and practi</w:t>
      </w:r>
      <w:r w:rsidR="00CC5BC5" w:rsidRPr="005849E4">
        <w:rPr>
          <w:sz w:val="22"/>
        </w:rPr>
        <w:t>s</w:t>
      </w:r>
      <w:r w:rsidRPr="005849E4">
        <w:rPr>
          <w:sz w:val="22"/>
        </w:rPr>
        <w:t>ing as an accountant under the Accountants Act, 2008, should be qualified for provision of a financial audit opinion. Sections 47</w:t>
      </w:r>
      <w:r w:rsidR="00777D7A">
        <w:rPr>
          <w:sz w:val="22"/>
        </w:rPr>
        <w:t>–</w:t>
      </w:r>
      <w:r w:rsidRPr="005849E4">
        <w:rPr>
          <w:sz w:val="22"/>
        </w:rPr>
        <w:t>48 provide for the auditing of financial statements required by the PFM Act</w:t>
      </w:r>
      <w:r w:rsidR="00777D7A">
        <w:rPr>
          <w:sz w:val="22"/>
        </w:rPr>
        <w:t>,</w:t>
      </w:r>
      <w:r w:rsidRPr="005849E4">
        <w:rPr>
          <w:sz w:val="22"/>
        </w:rPr>
        <w:t xml:space="preserve"> 2012</w:t>
      </w:r>
      <w:r w:rsidR="00777D7A">
        <w:rPr>
          <w:sz w:val="22"/>
        </w:rPr>
        <w:t>,</w:t>
      </w:r>
      <w:r w:rsidRPr="005849E4">
        <w:rPr>
          <w:sz w:val="22"/>
        </w:rPr>
        <w:t xml:space="preserve"> and the time deadlines to be adhered to.</w:t>
      </w:r>
    </w:p>
    <w:p w14:paraId="72817BED" w14:textId="5B6BF91E" w:rsidR="005D1D61" w:rsidRPr="00796F6B" w:rsidRDefault="005D1D61" w:rsidP="00796F6B">
      <w:pPr>
        <w:pStyle w:val="Heading3"/>
      </w:pPr>
      <w:bookmarkStart w:id="45" w:name="_Toc532426031"/>
      <w:bookmarkStart w:id="46" w:name="_Hlk526693697"/>
      <w:r w:rsidRPr="00796F6B">
        <w:t xml:space="preserve">Framework for the </w:t>
      </w:r>
      <w:r w:rsidR="00D00E7B" w:rsidRPr="00796F6B">
        <w:t>d</w:t>
      </w:r>
      <w:r w:rsidRPr="00796F6B">
        <w:t xml:space="preserve">evolved </w:t>
      </w:r>
      <w:r w:rsidR="00D00E7B" w:rsidRPr="00796F6B">
        <w:t>s</w:t>
      </w:r>
      <w:r w:rsidRPr="00796F6B">
        <w:t xml:space="preserve">ystem of </w:t>
      </w:r>
      <w:r w:rsidR="00D00E7B" w:rsidRPr="00796F6B">
        <w:t>g</w:t>
      </w:r>
      <w:r w:rsidRPr="00796F6B">
        <w:t>overnment</w:t>
      </w:r>
      <w:bookmarkEnd w:id="45"/>
    </w:p>
    <w:p w14:paraId="6C7C394B" w14:textId="43443E4B" w:rsidR="005D1D61" w:rsidRPr="005849E4" w:rsidRDefault="005D1D61" w:rsidP="0045183B">
      <w:pPr>
        <w:spacing w:after="240"/>
        <w:rPr>
          <w:sz w:val="22"/>
        </w:rPr>
      </w:pPr>
      <w:r w:rsidRPr="005849E4">
        <w:rPr>
          <w:sz w:val="22"/>
        </w:rPr>
        <w:t xml:space="preserve">The Constitution of Kenya 2010 introduced two levels of government, namely the national and county governments. The legal and regulatory framework providing support for PFM in the </w:t>
      </w:r>
      <w:r w:rsidR="006638C2">
        <w:rPr>
          <w:sz w:val="22"/>
        </w:rPr>
        <w:t>c</w:t>
      </w:r>
      <w:r w:rsidRPr="005849E4">
        <w:rPr>
          <w:sz w:val="22"/>
        </w:rPr>
        <w:t xml:space="preserve">ounty </w:t>
      </w:r>
      <w:r w:rsidR="006638C2">
        <w:rPr>
          <w:sz w:val="22"/>
        </w:rPr>
        <w:t>g</w:t>
      </w:r>
      <w:r w:rsidRPr="005849E4">
        <w:rPr>
          <w:sz w:val="22"/>
        </w:rPr>
        <w:t>overnment of Kajiado, specifically Chapter(s) 11 and 12</w:t>
      </w:r>
      <w:r w:rsidR="006638C2">
        <w:rPr>
          <w:sz w:val="22"/>
        </w:rPr>
        <w:t>,</w:t>
      </w:r>
      <w:r w:rsidRPr="005849E4">
        <w:rPr>
          <w:sz w:val="22"/>
        </w:rPr>
        <w:t xml:space="preserve"> devolved governments and principles of public </w:t>
      </w:r>
      <w:r w:rsidR="006638C2">
        <w:rPr>
          <w:sz w:val="22"/>
        </w:rPr>
        <w:t>f</w:t>
      </w:r>
      <w:r w:rsidRPr="005849E4">
        <w:rPr>
          <w:sz w:val="22"/>
        </w:rPr>
        <w:t>inance, respectively. A fundamental change was the major devolution of central government responsibilities to 47 newly created county governments (Chapter11, Articles 174</w:t>
      </w:r>
      <w:r w:rsidR="00604DBF">
        <w:rPr>
          <w:sz w:val="22"/>
        </w:rPr>
        <w:t>–</w:t>
      </w:r>
      <w:r w:rsidRPr="005849E4">
        <w:rPr>
          <w:sz w:val="22"/>
        </w:rPr>
        <w:t xml:space="preserve">200). Part 2 of the </w:t>
      </w:r>
      <w:r w:rsidR="00604DBF">
        <w:rPr>
          <w:sz w:val="22"/>
        </w:rPr>
        <w:t>f</w:t>
      </w:r>
      <w:r w:rsidRPr="005849E4">
        <w:rPr>
          <w:sz w:val="22"/>
        </w:rPr>
        <w:t xml:space="preserve">ourth schedule enlists 14 roles and functions of the county governments. The </w:t>
      </w:r>
      <w:r w:rsidR="00604DBF">
        <w:rPr>
          <w:sz w:val="22"/>
        </w:rPr>
        <w:t>c</w:t>
      </w:r>
      <w:r w:rsidRPr="005849E4">
        <w:rPr>
          <w:sz w:val="22"/>
        </w:rPr>
        <w:t xml:space="preserve">ounty </w:t>
      </w:r>
      <w:r w:rsidR="00604DBF">
        <w:rPr>
          <w:sz w:val="22"/>
        </w:rPr>
        <w:t>g</w:t>
      </w:r>
      <w:r w:rsidRPr="005849E4">
        <w:rPr>
          <w:sz w:val="22"/>
        </w:rPr>
        <w:t>overnments comprise the Executive, headed by elected Governors</w:t>
      </w:r>
      <w:r w:rsidR="00604DBF">
        <w:rPr>
          <w:sz w:val="22"/>
        </w:rPr>
        <w:t>,</w:t>
      </w:r>
      <w:r w:rsidRPr="005849E4">
        <w:rPr>
          <w:sz w:val="22"/>
        </w:rPr>
        <w:t xml:space="preserve"> and the county assemblies comprising elected members. The counties are also represented by Senators who are elected and constitute the Senate, which is the upper house of Parliament.</w:t>
      </w:r>
    </w:p>
    <w:p w14:paraId="72AFA487" w14:textId="2FFDE70C" w:rsidR="005D1D61" w:rsidRPr="005849E4" w:rsidRDefault="005D1D61" w:rsidP="0045183B">
      <w:pPr>
        <w:spacing w:after="240"/>
        <w:rPr>
          <w:sz w:val="22"/>
        </w:rPr>
      </w:pPr>
      <w:r w:rsidRPr="005849E4">
        <w:rPr>
          <w:sz w:val="22"/>
        </w:rPr>
        <w:t>Institutional arrangements for PFM includ</w:t>
      </w:r>
      <w:r w:rsidR="00604DBF">
        <w:rPr>
          <w:sz w:val="22"/>
        </w:rPr>
        <w:t>e</w:t>
      </w:r>
      <w:r w:rsidRPr="005849E4">
        <w:rPr>
          <w:sz w:val="22"/>
        </w:rPr>
        <w:t xml:space="preserve"> the Commission on Revenue Allocation (Article 216), the National Treasury (Article 225(1)), Controller of Budget (Article 228), Auditor General (Article 229), </w:t>
      </w:r>
      <w:r w:rsidR="00862F8C">
        <w:rPr>
          <w:sz w:val="22"/>
        </w:rPr>
        <w:t>SRC</w:t>
      </w:r>
      <w:r w:rsidRPr="005849E4">
        <w:rPr>
          <w:sz w:val="22"/>
        </w:rPr>
        <w:t xml:space="preserve"> (Article 230), Central Bank of Kenya (Article 231), Parliament (Article 93)</w:t>
      </w:r>
      <w:r w:rsidR="00604DBF">
        <w:rPr>
          <w:sz w:val="22"/>
        </w:rPr>
        <w:t>,</w:t>
      </w:r>
      <w:r w:rsidRPr="005849E4">
        <w:rPr>
          <w:sz w:val="22"/>
        </w:rPr>
        <w:t xml:space="preserve"> and County Assemblies (Article 176 (1)). Article 227 (2) provides for the creation of a framework for procurement and asset disposal by all public entities through an Act of Parliament. Generally, internal and external controls are performed at the national level. Internal control is made by the Controller of Budget (COB) through </w:t>
      </w:r>
      <w:r w:rsidR="00604DBF">
        <w:rPr>
          <w:sz w:val="22"/>
        </w:rPr>
        <w:t xml:space="preserve">the </w:t>
      </w:r>
      <w:r w:rsidR="009D494D" w:rsidRPr="009D494D">
        <w:rPr>
          <w:sz w:val="22"/>
        </w:rPr>
        <w:t>Integrated Financial Management Information System</w:t>
      </w:r>
      <w:r w:rsidR="009D494D" w:rsidRPr="005849E4">
        <w:rPr>
          <w:sz w:val="22"/>
        </w:rPr>
        <w:t xml:space="preserve"> </w:t>
      </w:r>
      <w:r w:rsidR="009D494D">
        <w:rPr>
          <w:sz w:val="22"/>
        </w:rPr>
        <w:t>(</w:t>
      </w:r>
      <w:r w:rsidRPr="005849E4">
        <w:rPr>
          <w:sz w:val="22"/>
        </w:rPr>
        <w:t>IFMIS</w:t>
      </w:r>
      <w:r w:rsidR="009D494D">
        <w:rPr>
          <w:sz w:val="22"/>
        </w:rPr>
        <w:t>)</w:t>
      </w:r>
      <w:r w:rsidRPr="005849E4">
        <w:rPr>
          <w:sz w:val="22"/>
        </w:rPr>
        <w:t xml:space="preserve"> while external control is performed by the OAG.</w:t>
      </w:r>
    </w:p>
    <w:p w14:paraId="53F2E1A0" w14:textId="4AE8C6D2" w:rsidR="00FE07C0" w:rsidRPr="005849E4" w:rsidRDefault="005D1D61" w:rsidP="0045183B">
      <w:pPr>
        <w:spacing w:after="240"/>
        <w:rPr>
          <w:sz w:val="22"/>
        </w:rPr>
      </w:pPr>
      <w:r w:rsidRPr="005849E4">
        <w:rPr>
          <w:sz w:val="22"/>
        </w:rPr>
        <w:t xml:space="preserve">The legal framework under </w:t>
      </w:r>
      <w:r w:rsidR="007274DE" w:rsidRPr="005849E4">
        <w:rPr>
          <w:sz w:val="22"/>
        </w:rPr>
        <w:t>the PFMA</w:t>
      </w:r>
      <w:r w:rsidRPr="005849E4">
        <w:rPr>
          <w:sz w:val="22"/>
        </w:rPr>
        <w:t xml:space="preserve"> </w:t>
      </w:r>
      <w:r w:rsidR="002E643A">
        <w:rPr>
          <w:sz w:val="22"/>
        </w:rPr>
        <w:t xml:space="preserve">Act, </w:t>
      </w:r>
      <w:r w:rsidR="002E643A" w:rsidRPr="005849E4">
        <w:rPr>
          <w:sz w:val="22"/>
        </w:rPr>
        <w:t>2012</w:t>
      </w:r>
      <w:r w:rsidR="002E643A">
        <w:rPr>
          <w:sz w:val="22"/>
        </w:rPr>
        <w:t xml:space="preserve">, </w:t>
      </w:r>
      <w:r w:rsidRPr="005849E4">
        <w:rPr>
          <w:sz w:val="22"/>
        </w:rPr>
        <w:t xml:space="preserve">and its </w:t>
      </w:r>
      <w:r w:rsidR="002E643A">
        <w:rPr>
          <w:sz w:val="22"/>
        </w:rPr>
        <w:t>r</w:t>
      </w:r>
      <w:r w:rsidRPr="005849E4">
        <w:rPr>
          <w:sz w:val="22"/>
        </w:rPr>
        <w:t xml:space="preserve">egulations also apply to </w:t>
      </w:r>
      <w:r w:rsidR="002E643A">
        <w:rPr>
          <w:sz w:val="22"/>
        </w:rPr>
        <w:t>c</w:t>
      </w:r>
      <w:r w:rsidRPr="005849E4">
        <w:rPr>
          <w:sz w:val="22"/>
        </w:rPr>
        <w:t xml:space="preserve">ounty </w:t>
      </w:r>
      <w:r w:rsidR="002E643A">
        <w:rPr>
          <w:sz w:val="22"/>
        </w:rPr>
        <w:t>g</w:t>
      </w:r>
      <w:r w:rsidRPr="005849E4">
        <w:rPr>
          <w:sz w:val="22"/>
        </w:rPr>
        <w:t>overnment</w:t>
      </w:r>
      <w:r w:rsidR="002E643A">
        <w:rPr>
          <w:sz w:val="22"/>
        </w:rPr>
        <w:t>s</w:t>
      </w:r>
      <w:r w:rsidRPr="005849E4">
        <w:rPr>
          <w:sz w:val="22"/>
        </w:rPr>
        <w:t>. The Policy on Devolved System of Government (2015) has identified institutional, intergovernmental</w:t>
      </w:r>
      <w:r w:rsidR="002E643A">
        <w:rPr>
          <w:sz w:val="22"/>
        </w:rPr>
        <w:t>,</w:t>
      </w:r>
      <w:r w:rsidRPr="005849E4">
        <w:rPr>
          <w:sz w:val="22"/>
        </w:rPr>
        <w:t xml:space="preserve"> and resource related challenges to be overcome to improve implementation and service delivery. </w:t>
      </w:r>
      <w:bookmarkEnd w:id="46"/>
    </w:p>
    <w:p w14:paraId="1568E3F4" w14:textId="0BE511F4" w:rsidR="00A77ED1" w:rsidRDefault="00CA52CE" w:rsidP="00776E84">
      <w:pPr>
        <w:pStyle w:val="Heading2"/>
      </w:pPr>
      <w:bookmarkStart w:id="47" w:name="_Toc532426032"/>
      <w:r w:rsidRPr="00890A84">
        <w:t>Institutional arrangements for PFM</w:t>
      </w:r>
      <w:bookmarkEnd w:id="47"/>
    </w:p>
    <w:p w14:paraId="0AC2023B" w14:textId="7A47494A" w:rsidR="00BC20F3" w:rsidRPr="00890A84" w:rsidRDefault="00E73D90" w:rsidP="005849E4">
      <w:pPr>
        <w:pStyle w:val="Heading3"/>
      </w:pPr>
      <w:bookmarkStart w:id="48" w:name="_Toc532426033"/>
      <w:r w:rsidRPr="00D00E7B">
        <w:t xml:space="preserve">Structure of </w:t>
      </w:r>
      <w:r w:rsidR="00D00E7B">
        <w:t>c</w:t>
      </w:r>
      <w:r w:rsidR="00BC20F3" w:rsidRPr="00D00E7B">
        <w:t xml:space="preserve">ounty </w:t>
      </w:r>
      <w:r w:rsidR="00D00E7B">
        <w:t>g</w:t>
      </w:r>
      <w:r w:rsidR="00BC20F3" w:rsidRPr="00D00E7B">
        <w:t>overnments</w:t>
      </w:r>
      <w:bookmarkEnd w:id="48"/>
    </w:p>
    <w:p w14:paraId="4EF93F94" w14:textId="2159B59A" w:rsidR="00BC20F3" w:rsidRPr="005849E4" w:rsidRDefault="00BC20F3" w:rsidP="0045183B">
      <w:pPr>
        <w:spacing w:after="240"/>
        <w:rPr>
          <w:sz w:val="22"/>
        </w:rPr>
      </w:pPr>
      <w:r w:rsidRPr="005849E4">
        <w:rPr>
          <w:sz w:val="22"/>
        </w:rPr>
        <w:t>According to the County Government Act, 2012, a county comprise</w:t>
      </w:r>
      <w:r w:rsidR="00BA77EE">
        <w:rPr>
          <w:sz w:val="22"/>
        </w:rPr>
        <w:t>s</w:t>
      </w:r>
      <w:r w:rsidRPr="005849E4">
        <w:rPr>
          <w:sz w:val="22"/>
        </w:rPr>
        <w:t xml:space="preserve"> the County Executive headed by a Governor and a County Assembly comprising </w:t>
      </w:r>
      <w:r w:rsidR="002E643A">
        <w:rPr>
          <w:sz w:val="22"/>
        </w:rPr>
        <w:t>m</w:t>
      </w:r>
      <w:r w:rsidRPr="005849E4">
        <w:rPr>
          <w:sz w:val="22"/>
        </w:rPr>
        <w:t xml:space="preserve">embers of the County Assembly (MCAs) representing the </w:t>
      </w:r>
      <w:r w:rsidR="002E643A">
        <w:rPr>
          <w:sz w:val="22"/>
        </w:rPr>
        <w:t>w</w:t>
      </w:r>
      <w:r w:rsidRPr="005849E4">
        <w:rPr>
          <w:sz w:val="22"/>
        </w:rPr>
        <w:t xml:space="preserve">ards. The County Governor is responsible for the general policy and strategic direction of the </w:t>
      </w:r>
      <w:r w:rsidR="002E643A">
        <w:rPr>
          <w:sz w:val="22"/>
        </w:rPr>
        <w:t>c</w:t>
      </w:r>
      <w:r w:rsidRPr="005849E4">
        <w:rPr>
          <w:sz w:val="22"/>
        </w:rPr>
        <w:t xml:space="preserve">ounty. The Constitution transferred various powers and functions (including limited fiscal authority) to the </w:t>
      </w:r>
      <w:r w:rsidR="002E643A">
        <w:rPr>
          <w:sz w:val="22"/>
        </w:rPr>
        <w:t>c</w:t>
      </w:r>
      <w:r w:rsidRPr="005849E4">
        <w:rPr>
          <w:sz w:val="22"/>
        </w:rPr>
        <w:t>ounties. This is in recognition of fiscal decentralization as a mechanism for enhancing delivery of social services at the grassroots and promoting enhanced accountability. Moreover, a central objective of the Constitution was to promote good governance in PFM through the establishment of sound institutional and regulatory environment at both national and county levels.</w:t>
      </w:r>
    </w:p>
    <w:p w14:paraId="4B08DDB7" w14:textId="43E19905" w:rsidR="00BC20F3" w:rsidRPr="005849E4" w:rsidRDefault="00BC20F3" w:rsidP="0045183B">
      <w:pPr>
        <w:spacing w:after="240"/>
        <w:rPr>
          <w:sz w:val="22"/>
        </w:rPr>
      </w:pPr>
      <w:r w:rsidRPr="005849E4">
        <w:rPr>
          <w:sz w:val="22"/>
        </w:rPr>
        <w:t xml:space="preserve">Members of the County Executive are nominated by the </w:t>
      </w:r>
      <w:r w:rsidR="00400265" w:rsidRPr="005849E4">
        <w:rPr>
          <w:sz w:val="22"/>
        </w:rPr>
        <w:t>Governor,</w:t>
      </w:r>
      <w:r w:rsidRPr="005849E4">
        <w:rPr>
          <w:sz w:val="22"/>
        </w:rPr>
        <w:t xml:space="preserve"> but their appointment has to be approved by the County Assembly. Part IV of the PFM Act, 2012</w:t>
      </w:r>
      <w:r w:rsidR="002E643A">
        <w:rPr>
          <w:sz w:val="22"/>
        </w:rPr>
        <w:t>,</w:t>
      </w:r>
      <w:r w:rsidRPr="005849E4">
        <w:rPr>
          <w:sz w:val="22"/>
        </w:rPr>
        <w:t xml:space="preserve"> gives the </w:t>
      </w:r>
      <w:r w:rsidR="002E643A">
        <w:rPr>
          <w:sz w:val="22"/>
        </w:rPr>
        <w:t>c</w:t>
      </w:r>
      <w:r w:rsidRPr="005849E4">
        <w:rPr>
          <w:sz w:val="22"/>
        </w:rPr>
        <w:t xml:space="preserve">ounty government the responsibility of managing public finances in the </w:t>
      </w:r>
      <w:r w:rsidR="002E643A">
        <w:rPr>
          <w:sz w:val="22"/>
        </w:rPr>
        <w:t>c</w:t>
      </w:r>
      <w:r w:rsidRPr="005849E4">
        <w:rPr>
          <w:sz w:val="22"/>
        </w:rPr>
        <w:t>ounty. Section 103 of PFM Act, 2012</w:t>
      </w:r>
      <w:r w:rsidR="002E643A">
        <w:rPr>
          <w:sz w:val="22"/>
        </w:rPr>
        <w:t>,</w:t>
      </w:r>
      <w:r w:rsidRPr="005849E4">
        <w:rPr>
          <w:sz w:val="22"/>
        </w:rPr>
        <w:t xml:space="preserve"> establishes the County Treasury comprising the County Executive Committee (CEC) member in charge of finance, the Chief Officer</w:t>
      </w:r>
      <w:r w:rsidR="002E643A">
        <w:rPr>
          <w:sz w:val="22"/>
        </w:rPr>
        <w:t>,</w:t>
      </w:r>
      <w:r w:rsidRPr="005849E4">
        <w:rPr>
          <w:sz w:val="22"/>
        </w:rPr>
        <w:t xml:space="preserve"> and department(s) of the County Treasury responsible for financial and fiscal matters. According to Section 103 (3), the CEC member for finance shall be the head of the County </w:t>
      </w:r>
      <w:r w:rsidR="004E6B38" w:rsidRPr="005849E4">
        <w:rPr>
          <w:sz w:val="22"/>
        </w:rPr>
        <w:t>Treasury. The C</w:t>
      </w:r>
      <w:r w:rsidR="002E643A">
        <w:rPr>
          <w:sz w:val="22"/>
        </w:rPr>
        <w:t xml:space="preserve">hief </w:t>
      </w:r>
      <w:r w:rsidR="004E6B38" w:rsidRPr="005849E4">
        <w:rPr>
          <w:sz w:val="22"/>
        </w:rPr>
        <w:t>O</w:t>
      </w:r>
      <w:r w:rsidR="002E643A">
        <w:rPr>
          <w:sz w:val="22"/>
        </w:rPr>
        <w:t>fficer</w:t>
      </w:r>
      <w:r w:rsidR="004E6B38" w:rsidRPr="005849E4">
        <w:rPr>
          <w:sz w:val="22"/>
        </w:rPr>
        <w:t xml:space="preserve">s are the </w:t>
      </w:r>
      <w:r w:rsidR="002E643A">
        <w:rPr>
          <w:sz w:val="22"/>
        </w:rPr>
        <w:t>a</w:t>
      </w:r>
      <w:r w:rsidR="004E6B38" w:rsidRPr="005849E4">
        <w:rPr>
          <w:sz w:val="22"/>
        </w:rPr>
        <w:t xml:space="preserve">ccounting </w:t>
      </w:r>
      <w:r w:rsidR="002E643A">
        <w:rPr>
          <w:sz w:val="22"/>
        </w:rPr>
        <w:t>o</w:t>
      </w:r>
      <w:r w:rsidRPr="005849E4">
        <w:rPr>
          <w:sz w:val="22"/>
        </w:rPr>
        <w:t>fficers in their respective departments.</w:t>
      </w:r>
    </w:p>
    <w:p w14:paraId="2E2EA43A" w14:textId="39140AD7" w:rsidR="00BC20F3" w:rsidRPr="005849E4" w:rsidRDefault="00BC20F3" w:rsidP="0045183B">
      <w:pPr>
        <w:spacing w:after="240"/>
        <w:rPr>
          <w:sz w:val="22"/>
        </w:rPr>
      </w:pPr>
      <w:r w:rsidRPr="005849E4">
        <w:rPr>
          <w:sz w:val="22"/>
        </w:rPr>
        <w:t xml:space="preserve">In addition to its primary function of passing legislation, the County Assembly also approves nominees to other county public service offices. Most of the MCAs are elected during a </w:t>
      </w:r>
      <w:r w:rsidR="002E643A">
        <w:rPr>
          <w:sz w:val="22"/>
        </w:rPr>
        <w:t>g</w:t>
      </w:r>
      <w:r w:rsidRPr="005849E4">
        <w:rPr>
          <w:sz w:val="22"/>
        </w:rPr>
        <w:t xml:space="preserve">eneral </w:t>
      </w:r>
      <w:r w:rsidR="002E643A">
        <w:rPr>
          <w:sz w:val="22"/>
        </w:rPr>
        <w:t>e</w:t>
      </w:r>
      <w:r w:rsidRPr="005849E4">
        <w:rPr>
          <w:sz w:val="22"/>
        </w:rPr>
        <w:t xml:space="preserve">lection but some are also nominated by political parties. The County Assembly </w:t>
      </w:r>
      <w:r w:rsidR="002E643A">
        <w:rPr>
          <w:sz w:val="22"/>
        </w:rPr>
        <w:t>oversees</w:t>
      </w:r>
      <w:r w:rsidRPr="005849E4">
        <w:rPr>
          <w:sz w:val="22"/>
        </w:rPr>
        <w:t xml:space="preserve"> the County Executive in terms of use of public finances. Key public finance documents such as the budgets, CFSP</w:t>
      </w:r>
      <w:r w:rsidR="002E643A">
        <w:rPr>
          <w:sz w:val="22"/>
        </w:rPr>
        <w:t>,</w:t>
      </w:r>
      <w:r w:rsidRPr="005849E4">
        <w:rPr>
          <w:sz w:val="22"/>
        </w:rPr>
        <w:t xml:space="preserve"> and CBROPs </w:t>
      </w:r>
      <w:r w:rsidR="00400265" w:rsidRPr="005849E4">
        <w:rPr>
          <w:sz w:val="22"/>
        </w:rPr>
        <w:t>must</w:t>
      </w:r>
      <w:r w:rsidRPr="005849E4">
        <w:rPr>
          <w:sz w:val="22"/>
        </w:rPr>
        <w:t xml:space="preserve"> be presented by the County Executive for approval. All funds including the </w:t>
      </w:r>
      <w:r w:rsidR="002E643A">
        <w:rPr>
          <w:sz w:val="22"/>
        </w:rPr>
        <w:t>e</w:t>
      </w:r>
      <w:r w:rsidRPr="005849E4">
        <w:rPr>
          <w:sz w:val="22"/>
        </w:rPr>
        <w:t xml:space="preserve">mergency </w:t>
      </w:r>
      <w:r w:rsidR="002E643A">
        <w:rPr>
          <w:sz w:val="22"/>
        </w:rPr>
        <w:t>f</w:t>
      </w:r>
      <w:r w:rsidRPr="005849E4">
        <w:rPr>
          <w:sz w:val="22"/>
        </w:rPr>
        <w:t xml:space="preserve">unds and any other by </w:t>
      </w:r>
      <w:r w:rsidR="002E643A">
        <w:rPr>
          <w:sz w:val="22"/>
        </w:rPr>
        <w:t xml:space="preserve">the </w:t>
      </w:r>
      <w:r w:rsidRPr="005849E4">
        <w:rPr>
          <w:sz w:val="22"/>
        </w:rPr>
        <w:t>County Executive must be approved by the County Assembly.</w:t>
      </w:r>
    </w:p>
    <w:p w14:paraId="28BC4372" w14:textId="50F0A482" w:rsidR="00400265" w:rsidRPr="005849E4" w:rsidRDefault="004949B1" w:rsidP="0045183B">
      <w:pPr>
        <w:spacing w:after="240"/>
        <w:rPr>
          <w:sz w:val="22"/>
        </w:rPr>
      </w:pPr>
      <w:r w:rsidRPr="005849E4">
        <w:rPr>
          <w:sz w:val="22"/>
        </w:rPr>
        <w:t xml:space="preserve">The structure of the public sector (number of entities and financial turn-over) is presented in </w:t>
      </w:r>
      <w:r w:rsidR="00BC20F3" w:rsidRPr="005849E4">
        <w:rPr>
          <w:sz w:val="22"/>
        </w:rPr>
        <w:t>T</w:t>
      </w:r>
      <w:r w:rsidRPr="005849E4">
        <w:rPr>
          <w:sz w:val="22"/>
        </w:rPr>
        <w:t xml:space="preserve">ables </w:t>
      </w:r>
      <w:r w:rsidR="00BC20F3" w:rsidRPr="005849E4">
        <w:rPr>
          <w:sz w:val="22"/>
        </w:rPr>
        <w:t>2.5 and 2.6.</w:t>
      </w:r>
    </w:p>
    <w:p w14:paraId="0C8C0699" w14:textId="3AE3F73A" w:rsidR="00FE07C0" w:rsidRPr="00890A84" w:rsidRDefault="00FE07C0" w:rsidP="00590C8E">
      <w:pPr>
        <w:pStyle w:val="TableStyle"/>
      </w:pPr>
      <w:bookmarkStart w:id="49" w:name="_Toc532418103"/>
      <w:r w:rsidRPr="00890A84">
        <w:t>Table 2.</w:t>
      </w:r>
      <w:r w:rsidR="00426456" w:rsidRPr="00890A84">
        <w:fldChar w:fldCharType="begin"/>
      </w:r>
      <w:r w:rsidRPr="00890A84">
        <w:instrText xml:space="preserve"> SEQ Table_2. \* ARABIC </w:instrText>
      </w:r>
      <w:r w:rsidR="00426456" w:rsidRPr="00890A84">
        <w:fldChar w:fldCharType="separate"/>
      </w:r>
      <w:r w:rsidR="00D00E7B">
        <w:rPr>
          <w:noProof/>
        </w:rPr>
        <w:t>5</w:t>
      </w:r>
      <w:r w:rsidR="00426456" w:rsidRPr="00890A84">
        <w:fldChar w:fldCharType="end"/>
      </w:r>
      <w:r w:rsidRPr="00890A84">
        <w:t>: Structure of the public sector (</w:t>
      </w:r>
      <w:r w:rsidR="00E73ED7">
        <w:t>Ksh</w:t>
      </w:r>
      <w:r w:rsidR="002E643A">
        <w:t>,</w:t>
      </w:r>
      <w:r w:rsidR="005D22A7">
        <w:t xml:space="preserve"> millions</w:t>
      </w:r>
      <w:r w:rsidR="00F36DE9" w:rsidRPr="00890A84">
        <w:t>)</w:t>
      </w:r>
      <w:r w:rsidR="002E643A">
        <w:t xml:space="preserve"> </w:t>
      </w:r>
      <w:r w:rsidR="00F36DE9" w:rsidRPr="00890A84">
        <w:t>-</w:t>
      </w:r>
      <w:r w:rsidR="002E643A">
        <w:t xml:space="preserve"> </w:t>
      </w:r>
      <w:r w:rsidR="00ED3BBE">
        <w:t>FY2015/</w:t>
      </w:r>
      <w:r w:rsidRPr="00890A84">
        <w:t>16</w:t>
      </w:r>
      <w:bookmarkEnd w:id="49"/>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A0" w:firstRow="1" w:lastRow="0" w:firstColumn="1" w:lastColumn="0" w:noHBand="1" w:noVBand="1"/>
      </w:tblPr>
      <w:tblGrid>
        <w:gridCol w:w="1484"/>
        <w:gridCol w:w="1244"/>
        <w:gridCol w:w="1655"/>
        <w:gridCol w:w="1517"/>
        <w:gridCol w:w="1795"/>
        <w:gridCol w:w="1655"/>
      </w:tblGrid>
      <w:tr w:rsidR="00BC20F3" w:rsidRPr="00C87C03" w14:paraId="5C87B839" w14:textId="77777777" w:rsidTr="001E3161">
        <w:trPr>
          <w:trHeight w:val="241"/>
        </w:trPr>
        <w:tc>
          <w:tcPr>
            <w:tcW w:w="794" w:type="pct"/>
            <w:tcBorders>
              <w:top w:val="single" w:sz="4" w:space="0" w:color="5B9BD5"/>
              <w:left w:val="single" w:sz="4" w:space="0" w:color="5B9BD5"/>
              <w:bottom w:val="single" w:sz="4" w:space="0" w:color="9CC2E5"/>
              <w:right w:val="nil"/>
            </w:tcBorders>
            <w:shd w:val="clear" w:color="auto" w:fill="5B9BD5"/>
          </w:tcPr>
          <w:p w14:paraId="72E5C6D0" w14:textId="77777777" w:rsidR="00CA52CE" w:rsidRPr="00C87C03" w:rsidRDefault="00CA52CE" w:rsidP="001E3161">
            <w:pPr>
              <w:rPr>
                <w:b/>
                <w:color w:val="FFFFFF" w:themeColor="background1"/>
                <w:sz w:val="20"/>
                <w:szCs w:val="20"/>
              </w:rPr>
            </w:pPr>
          </w:p>
        </w:tc>
        <w:tc>
          <w:tcPr>
            <w:tcW w:w="1550" w:type="pct"/>
            <w:gridSpan w:val="2"/>
            <w:tcBorders>
              <w:top w:val="single" w:sz="4" w:space="0" w:color="5B9BD5"/>
              <w:left w:val="nil"/>
              <w:bottom w:val="single" w:sz="4" w:space="0" w:color="9CC2E5"/>
              <w:right w:val="nil"/>
            </w:tcBorders>
            <w:shd w:val="clear" w:color="auto" w:fill="5B9BD5"/>
          </w:tcPr>
          <w:p w14:paraId="74091258" w14:textId="69F21D70" w:rsidR="00CA52CE" w:rsidRPr="00C87C03" w:rsidRDefault="00CA52CE" w:rsidP="002E643A">
            <w:pPr>
              <w:jc w:val="center"/>
              <w:rPr>
                <w:b/>
                <w:color w:val="FFFFFF" w:themeColor="background1"/>
                <w:sz w:val="20"/>
                <w:szCs w:val="20"/>
              </w:rPr>
            </w:pPr>
            <w:r w:rsidRPr="00C87C03">
              <w:rPr>
                <w:b/>
                <w:color w:val="FFFFFF" w:themeColor="background1"/>
                <w:sz w:val="20"/>
                <w:szCs w:val="20"/>
              </w:rPr>
              <w:t>Government subsector</w:t>
            </w:r>
          </w:p>
        </w:tc>
        <w:tc>
          <w:tcPr>
            <w:tcW w:w="811" w:type="pct"/>
            <w:tcBorders>
              <w:top w:val="single" w:sz="4" w:space="0" w:color="5B9BD5"/>
              <w:left w:val="nil"/>
              <w:bottom w:val="single" w:sz="4" w:space="0" w:color="9CC2E5"/>
              <w:right w:val="nil"/>
            </w:tcBorders>
            <w:shd w:val="clear" w:color="auto" w:fill="5B9BD5"/>
          </w:tcPr>
          <w:p w14:paraId="1B11B2AE" w14:textId="77777777" w:rsidR="00CA52CE" w:rsidRPr="00C87C03" w:rsidRDefault="00CA52CE" w:rsidP="002E643A">
            <w:pPr>
              <w:jc w:val="center"/>
              <w:rPr>
                <w:b/>
                <w:color w:val="FFFFFF" w:themeColor="background1"/>
                <w:sz w:val="20"/>
                <w:szCs w:val="20"/>
              </w:rPr>
            </w:pPr>
            <w:r w:rsidRPr="00C87C03">
              <w:rPr>
                <w:b/>
                <w:color w:val="FFFFFF" w:themeColor="background1"/>
                <w:sz w:val="20"/>
                <w:szCs w:val="20"/>
              </w:rPr>
              <w:t>Social security funds</w:t>
            </w:r>
          </w:p>
        </w:tc>
        <w:tc>
          <w:tcPr>
            <w:tcW w:w="1845" w:type="pct"/>
            <w:gridSpan w:val="2"/>
            <w:tcBorders>
              <w:top w:val="single" w:sz="4" w:space="0" w:color="5B9BD5"/>
              <w:left w:val="nil"/>
              <w:bottom w:val="single" w:sz="4" w:space="0" w:color="9CC2E5"/>
              <w:right w:val="single" w:sz="4" w:space="0" w:color="5B9BD5"/>
            </w:tcBorders>
            <w:shd w:val="clear" w:color="auto" w:fill="5B9BD5"/>
          </w:tcPr>
          <w:p w14:paraId="110088AB" w14:textId="77777777" w:rsidR="00CA52CE" w:rsidRPr="00C87C03" w:rsidRDefault="00CA52CE" w:rsidP="002E643A">
            <w:pPr>
              <w:jc w:val="center"/>
              <w:rPr>
                <w:b/>
                <w:color w:val="FFFFFF" w:themeColor="background1"/>
                <w:sz w:val="20"/>
                <w:szCs w:val="20"/>
              </w:rPr>
            </w:pPr>
            <w:r w:rsidRPr="00C87C03">
              <w:rPr>
                <w:b/>
                <w:color w:val="FFFFFF" w:themeColor="background1"/>
                <w:sz w:val="20"/>
                <w:szCs w:val="20"/>
              </w:rPr>
              <w:t>Public corporation</w:t>
            </w:r>
            <w:r w:rsidR="00275C4E" w:rsidRPr="00C87C03">
              <w:rPr>
                <w:b/>
                <w:color w:val="FFFFFF" w:themeColor="background1"/>
                <w:sz w:val="20"/>
                <w:szCs w:val="20"/>
              </w:rPr>
              <w:t xml:space="preserve"> </w:t>
            </w:r>
            <w:r w:rsidRPr="00C87C03">
              <w:rPr>
                <w:b/>
                <w:color w:val="FFFFFF" w:themeColor="background1"/>
                <w:sz w:val="20"/>
                <w:szCs w:val="20"/>
              </w:rPr>
              <w:t>subsector</w:t>
            </w:r>
          </w:p>
        </w:tc>
      </w:tr>
      <w:tr w:rsidR="00BC20F3" w:rsidRPr="00C87C03" w14:paraId="6FB5626A" w14:textId="77777777" w:rsidTr="001E3161">
        <w:trPr>
          <w:trHeight w:val="56"/>
        </w:trPr>
        <w:tc>
          <w:tcPr>
            <w:tcW w:w="794" w:type="pct"/>
            <w:shd w:val="clear" w:color="auto" w:fill="F2F2F2"/>
          </w:tcPr>
          <w:p w14:paraId="5DB35412" w14:textId="77777777" w:rsidR="00CA52CE" w:rsidRPr="00C87C03" w:rsidRDefault="00CA52CE" w:rsidP="001E3161">
            <w:pPr>
              <w:rPr>
                <w:b/>
                <w:sz w:val="20"/>
                <w:szCs w:val="20"/>
              </w:rPr>
            </w:pPr>
          </w:p>
        </w:tc>
        <w:tc>
          <w:tcPr>
            <w:tcW w:w="665" w:type="pct"/>
            <w:shd w:val="clear" w:color="auto" w:fill="F2F2F2"/>
          </w:tcPr>
          <w:p w14:paraId="43AD2FEC" w14:textId="77777777" w:rsidR="00CA52CE" w:rsidRPr="00C87C03" w:rsidRDefault="00CA52CE" w:rsidP="002E643A">
            <w:pPr>
              <w:jc w:val="center"/>
              <w:rPr>
                <w:b/>
                <w:sz w:val="20"/>
                <w:szCs w:val="20"/>
              </w:rPr>
            </w:pPr>
            <w:r w:rsidRPr="00C87C03">
              <w:rPr>
                <w:b/>
                <w:sz w:val="20"/>
                <w:szCs w:val="20"/>
              </w:rPr>
              <w:t>Budgetary Unit</w:t>
            </w:r>
          </w:p>
        </w:tc>
        <w:tc>
          <w:tcPr>
            <w:tcW w:w="885" w:type="pct"/>
            <w:shd w:val="clear" w:color="auto" w:fill="F2F2F2"/>
          </w:tcPr>
          <w:p w14:paraId="66145476" w14:textId="32ED858C" w:rsidR="00CA52CE" w:rsidRPr="00C87C03" w:rsidRDefault="00CA52CE" w:rsidP="002E643A">
            <w:pPr>
              <w:jc w:val="center"/>
              <w:rPr>
                <w:b/>
                <w:sz w:val="20"/>
                <w:szCs w:val="20"/>
              </w:rPr>
            </w:pPr>
            <w:r w:rsidRPr="00C87C03">
              <w:rPr>
                <w:b/>
                <w:sz w:val="20"/>
                <w:szCs w:val="20"/>
              </w:rPr>
              <w:t>Extra</w:t>
            </w:r>
            <w:r w:rsidR="002E643A">
              <w:rPr>
                <w:b/>
                <w:sz w:val="20"/>
                <w:szCs w:val="20"/>
              </w:rPr>
              <w:t xml:space="preserve"> </w:t>
            </w:r>
            <w:r w:rsidRPr="00C87C03">
              <w:rPr>
                <w:b/>
                <w:sz w:val="20"/>
                <w:szCs w:val="20"/>
              </w:rPr>
              <w:t>budgetary Units</w:t>
            </w:r>
          </w:p>
        </w:tc>
        <w:tc>
          <w:tcPr>
            <w:tcW w:w="811" w:type="pct"/>
            <w:shd w:val="clear" w:color="auto" w:fill="F2F2F2"/>
          </w:tcPr>
          <w:p w14:paraId="34F92A01" w14:textId="77777777" w:rsidR="00CA52CE" w:rsidRPr="00C87C03" w:rsidRDefault="00CA52CE" w:rsidP="002E643A">
            <w:pPr>
              <w:jc w:val="center"/>
              <w:rPr>
                <w:b/>
                <w:sz w:val="20"/>
                <w:szCs w:val="20"/>
              </w:rPr>
            </w:pPr>
          </w:p>
        </w:tc>
        <w:tc>
          <w:tcPr>
            <w:tcW w:w="960" w:type="pct"/>
            <w:shd w:val="clear" w:color="auto" w:fill="F2F2F2"/>
          </w:tcPr>
          <w:p w14:paraId="55CD3ADC" w14:textId="5D290F25" w:rsidR="00CA52CE" w:rsidRPr="00C87C03" w:rsidRDefault="005C6920" w:rsidP="002E643A">
            <w:pPr>
              <w:jc w:val="center"/>
              <w:rPr>
                <w:b/>
                <w:sz w:val="20"/>
                <w:szCs w:val="20"/>
              </w:rPr>
            </w:pPr>
            <w:r w:rsidRPr="00C87C03">
              <w:rPr>
                <w:b/>
                <w:sz w:val="20"/>
                <w:szCs w:val="20"/>
              </w:rPr>
              <w:t>Nonfinancial</w:t>
            </w:r>
            <w:r w:rsidR="00CA52CE" w:rsidRPr="00C87C03">
              <w:rPr>
                <w:b/>
                <w:sz w:val="20"/>
                <w:szCs w:val="20"/>
              </w:rPr>
              <w:t xml:space="preserve"> public corporations</w:t>
            </w:r>
          </w:p>
        </w:tc>
        <w:tc>
          <w:tcPr>
            <w:tcW w:w="886" w:type="pct"/>
            <w:shd w:val="clear" w:color="auto" w:fill="F2F2F2"/>
          </w:tcPr>
          <w:p w14:paraId="3D57E33D" w14:textId="77777777" w:rsidR="00CA52CE" w:rsidRPr="00C87C03" w:rsidRDefault="00CA52CE" w:rsidP="002E643A">
            <w:pPr>
              <w:jc w:val="center"/>
              <w:rPr>
                <w:b/>
                <w:sz w:val="20"/>
                <w:szCs w:val="20"/>
              </w:rPr>
            </w:pPr>
            <w:r w:rsidRPr="00C87C03">
              <w:rPr>
                <w:b/>
                <w:sz w:val="20"/>
                <w:szCs w:val="20"/>
              </w:rPr>
              <w:t>Financial public corporations</w:t>
            </w:r>
          </w:p>
        </w:tc>
      </w:tr>
      <w:tr w:rsidR="00BC20F3" w:rsidRPr="00C87C03" w14:paraId="632367C5" w14:textId="77777777" w:rsidTr="001E3161">
        <w:trPr>
          <w:trHeight w:val="498"/>
        </w:trPr>
        <w:tc>
          <w:tcPr>
            <w:tcW w:w="794" w:type="pct"/>
            <w:shd w:val="clear" w:color="auto" w:fill="auto"/>
          </w:tcPr>
          <w:p w14:paraId="1C8D72BF" w14:textId="77777777" w:rsidR="00BF0BF8" w:rsidRPr="00C87C03" w:rsidRDefault="00BF0BF8" w:rsidP="00D52523">
            <w:pPr>
              <w:rPr>
                <w:sz w:val="20"/>
                <w:szCs w:val="20"/>
              </w:rPr>
            </w:pPr>
            <w:r w:rsidRPr="00C87C03">
              <w:rPr>
                <w:sz w:val="20"/>
                <w:szCs w:val="20"/>
              </w:rPr>
              <w:t xml:space="preserve">County government </w:t>
            </w:r>
          </w:p>
        </w:tc>
        <w:tc>
          <w:tcPr>
            <w:tcW w:w="665" w:type="pct"/>
            <w:shd w:val="clear" w:color="auto" w:fill="auto"/>
          </w:tcPr>
          <w:p w14:paraId="7977D523" w14:textId="77777777" w:rsidR="00BF0BF8" w:rsidRPr="00C87C03" w:rsidRDefault="00BF0BF8" w:rsidP="002E643A">
            <w:pPr>
              <w:jc w:val="center"/>
              <w:rPr>
                <w:sz w:val="20"/>
                <w:szCs w:val="20"/>
              </w:rPr>
            </w:pPr>
            <w:r w:rsidRPr="00C87C03">
              <w:rPr>
                <w:sz w:val="20"/>
                <w:szCs w:val="20"/>
              </w:rPr>
              <w:t>6</w:t>
            </w:r>
            <w:r w:rsidR="00C1692D" w:rsidRPr="00C87C03">
              <w:rPr>
                <w:sz w:val="20"/>
                <w:szCs w:val="20"/>
              </w:rPr>
              <w:t>,</w:t>
            </w:r>
            <w:r w:rsidRPr="00C87C03">
              <w:rPr>
                <w:sz w:val="20"/>
                <w:szCs w:val="20"/>
              </w:rPr>
              <w:t>528.8</w:t>
            </w:r>
          </w:p>
        </w:tc>
        <w:tc>
          <w:tcPr>
            <w:tcW w:w="885" w:type="pct"/>
            <w:shd w:val="clear" w:color="auto" w:fill="auto"/>
          </w:tcPr>
          <w:p w14:paraId="0538920F" w14:textId="387B9091" w:rsidR="00BF0BF8" w:rsidRPr="00C87C03" w:rsidRDefault="00EB09D7" w:rsidP="002E643A">
            <w:pPr>
              <w:jc w:val="center"/>
              <w:rPr>
                <w:sz w:val="20"/>
                <w:szCs w:val="20"/>
              </w:rPr>
            </w:pPr>
            <w:r>
              <w:rPr>
                <w:sz w:val="20"/>
                <w:szCs w:val="20"/>
              </w:rPr>
              <w:t>N/A</w:t>
            </w:r>
          </w:p>
        </w:tc>
        <w:tc>
          <w:tcPr>
            <w:tcW w:w="811" w:type="pct"/>
            <w:shd w:val="clear" w:color="auto" w:fill="auto"/>
          </w:tcPr>
          <w:p w14:paraId="6648041E" w14:textId="1A0AF87E" w:rsidR="00BF0BF8" w:rsidRPr="00C87C03" w:rsidRDefault="00EB09D7" w:rsidP="002E643A">
            <w:pPr>
              <w:jc w:val="center"/>
              <w:rPr>
                <w:sz w:val="20"/>
                <w:szCs w:val="20"/>
              </w:rPr>
            </w:pPr>
            <w:r>
              <w:rPr>
                <w:sz w:val="20"/>
                <w:szCs w:val="20"/>
              </w:rPr>
              <w:t>N/A</w:t>
            </w:r>
          </w:p>
        </w:tc>
        <w:tc>
          <w:tcPr>
            <w:tcW w:w="960" w:type="pct"/>
            <w:shd w:val="clear" w:color="auto" w:fill="auto"/>
          </w:tcPr>
          <w:p w14:paraId="73D2D55A" w14:textId="397940E3" w:rsidR="00BF0BF8" w:rsidRPr="00C87C03" w:rsidRDefault="00EB09D7" w:rsidP="002E643A">
            <w:pPr>
              <w:jc w:val="center"/>
              <w:rPr>
                <w:sz w:val="20"/>
                <w:szCs w:val="20"/>
              </w:rPr>
            </w:pPr>
            <w:r>
              <w:rPr>
                <w:sz w:val="20"/>
                <w:szCs w:val="20"/>
              </w:rPr>
              <w:t>N/A</w:t>
            </w:r>
          </w:p>
        </w:tc>
        <w:tc>
          <w:tcPr>
            <w:tcW w:w="886" w:type="pct"/>
            <w:shd w:val="clear" w:color="auto" w:fill="auto"/>
          </w:tcPr>
          <w:p w14:paraId="7A4FD175" w14:textId="55441F79" w:rsidR="00BF0BF8" w:rsidRPr="00C87C03" w:rsidRDefault="00EB09D7" w:rsidP="002E643A">
            <w:pPr>
              <w:jc w:val="center"/>
              <w:rPr>
                <w:sz w:val="20"/>
                <w:szCs w:val="20"/>
              </w:rPr>
            </w:pPr>
            <w:r>
              <w:rPr>
                <w:sz w:val="20"/>
                <w:szCs w:val="20"/>
              </w:rPr>
              <w:t>N/A</w:t>
            </w:r>
          </w:p>
        </w:tc>
      </w:tr>
    </w:tbl>
    <w:p w14:paraId="6050CA8E" w14:textId="05845246" w:rsidR="008F73B4" w:rsidRPr="00C87C03" w:rsidRDefault="0064033B" w:rsidP="0045183B">
      <w:pPr>
        <w:spacing w:after="240"/>
        <w:rPr>
          <w:rStyle w:val="Emphasis"/>
          <w:i w:val="0"/>
          <w:color w:val="000000"/>
          <w:szCs w:val="20"/>
        </w:rPr>
      </w:pPr>
      <w:r w:rsidRPr="00C87C03">
        <w:rPr>
          <w:rStyle w:val="Emphasis"/>
          <w:color w:val="000000"/>
          <w:szCs w:val="20"/>
        </w:rPr>
        <w:t xml:space="preserve">Source: </w:t>
      </w:r>
      <w:r w:rsidR="00770BEB" w:rsidRPr="00C87C03">
        <w:rPr>
          <w:rStyle w:val="Emphasis"/>
          <w:i w:val="0"/>
          <w:szCs w:val="20"/>
        </w:rPr>
        <w:t>AFS</w:t>
      </w:r>
      <w:r w:rsidR="005D22A7" w:rsidRPr="00C87C03">
        <w:rPr>
          <w:rStyle w:val="Emphasis"/>
          <w:i w:val="0"/>
          <w:szCs w:val="20"/>
        </w:rPr>
        <w:t xml:space="preserve"> 2015/16</w:t>
      </w:r>
      <w:r w:rsidR="00C87C03">
        <w:rPr>
          <w:rStyle w:val="Emphasis"/>
          <w:i w:val="0"/>
          <w:szCs w:val="20"/>
        </w:rPr>
        <w:t>.</w:t>
      </w:r>
    </w:p>
    <w:p w14:paraId="02D71451" w14:textId="633D8310" w:rsidR="00855344" w:rsidRPr="00890A84" w:rsidRDefault="00855344" w:rsidP="00590C8E">
      <w:pPr>
        <w:pStyle w:val="TableStyle"/>
      </w:pPr>
      <w:bookmarkStart w:id="50" w:name="_Toc532418104"/>
      <w:bookmarkStart w:id="51" w:name="_Toc495332177"/>
      <w:r w:rsidRPr="00890A84">
        <w:t>Table 2.</w:t>
      </w:r>
      <w:r w:rsidR="00426456" w:rsidRPr="00890A84">
        <w:fldChar w:fldCharType="begin"/>
      </w:r>
      <w:r w:rsidRPr="00890A84">
        <w:instrText xml:space="preserve"> SEQ Table_2. \* ARABIC </w:instrText>
      </w:r>
      <w:r w:rsidR="00426456" w:rsidRPr="00890A84">
        <w:fldChar w:fldCharType="separate"/>
      </w:r>
      <w:r w:rsidR="00D00E7B">
        <w:rPr>
          <w:noProof/>
        </w:rPr>
        <w:t>6</w:t>
      </w:r>
      <w:r w:rsidR="00426456" w:rsidRPr="00890A84">
        <w:fldChar w:fldCharType="end"/>
      </w:r>
      <w:r w:rsidRPr="00890A84">
        <w:t xml:space="preserve">: Financial structure of </w:t>
      </w:r>
      <w:r w:rsidR="002E643A">
        <w:t>the c</w:t>
      </w:r>
      <w:r w:rsidRPr="00890A84">
        <w:t>ounty government</w:t>
      </w:r>
      <w:r w:rsidR="002E643A">
        <w:t xml:space="preserve"> </w:t>
      </w:r>
      <w:r w:rsidRPr="00890A84">
        <w:t>- budget estimates (</w:t>
      </w:r>
      <w:r w:rsidR="00E73ED7">
        <w:t>Ksh</w:t>
      </w:r>
      <w:r w:rsidR="002E643A">
        <w:t>,</w:t>
      </w:r>
      <w:r w:rsidRPr="00890A84">
        <w:t xml:space="preserve"> millions) </w:t>
      </w:r>
      <w:r w:rsidR="002E643A">
        <w:t>-</w:t>
      </w:r>
      <w:r w:rsidRPr="00890A84">
        <w:t xml:space="preserve"> FY2015/16</w:t>
      </w:r>
      <w:bookmarkEnd w:id="50"/>
    </w:p>
    <w:bookmarkEnd w:id="51"/>
    <w:tbl>
      <w:tblPr>
        <w:tblW w:w="4957"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A0" w:firstRow="1" w:lastRow="0" w:firstColumn="1" w:lastColumn="0" w:noHBand="1" w:noVBand="1"/>
      </w:tblPr>
      <w:tblGrid>
        <w:gridCol w:w="2737"/>
        <w:gridCol w:w="1385"/>
        <w:gridCol w:w="1828"/>
        <w:gridCol w:w="1522"/>
        <w:gridCol w:w="1798"/>
      </w:tblGrid>
      <w:tr w:rsidR="00400265" w:rsidRPr="00C87C03" w14:paraId="4707C9AD" w14:textId="77777777" w:rsidTr="00400265">
        <w:trPr>
          <w:trHeight w:val="433"/>
          <w:tblHeader/>
        </w:trPr>
        <w:tc>
          <w:tcPr>
            <w:tcW w:w="1476" w:type="pct"/>
            <w:tcBorders>
              <w:top w:val="single" w:sz="4" w:space="0" w:color="5B9BD5"/>
              <w:left w:val="single" w:sz="4" w:space="0" w:color="5B9BD5"/>
              <w:bottom w:val="single" w:sz="4" w:space="0" w:color="5B9BD5"/>
              <w:right w:val="nil"/>
            </w:tcBorders>
            <w:shd w:val="clear" w:color="auto" w:fill="5B9BD5"/>
          </w:tcPr>
          <w:p w14:paraId="1033100A" w14:textId="77777777" w:rsidR="00CA52CE" w:rsidRPr="00C87C03" w:rsidRDefault="00CA52CE" w:rsidP="00D52523">
            <w:pPr>
              <w:rPr>
                <w:b/>
                <w:color w:val="FFFFFF" w:themeColor="background1"/>
                <w:sz w:val="20"/>
                <w:szCs w:val="20"/>
              </w:rPr>
            </w:pPr>
          </w:p>
        </w:tc>
        <w:tc>
          <w:tcPr>
            <w:tcW w:w="747" w:type="pct"/>
            <w:tcBorders>
              <w:top w:val="single" w:sz="4" w:space="0" w:color="5B9BD5"/>
              <w:left w:val="nil"/>
              <w:bottom w:val="single" w:sz="4" w:space="0" w:color="5B9BD5"/>
              <w:right w:val="nil"/>
            </w:tcBorders>
            <w:shd w:val="clear" w:color="auto" w:fill="5B9BD5"/>
          </w:tcPr>
          <w:p w14:paraId="11FB1459" w14:textId="59744221" w:rsidR="00CA52CE" w:rsidRPr="00C87C03" w:rsidRDefault="00CA52CE" w:rsidP="00400265">
            <w:pPr>
              <w:jc w:val="center"/>
              <w:rPr>
                <w:b/>
                <w:color w:val="FFFFFF" w:themeColor="background1"/>
                <w:sz w:val="20"/>
                <w:szCs w:val="20"/>
              </w:rPr>
            </w:pPr>
            <w:r w:rsidRPr="00C87C03">
              <w:rPr>
                <w:b/>
                <w:color w:val="FFFFFF" w:themeColor="background1"/>
                <w:sz w:val="20"/>
                <w:szCs w:val="20"/>
              </w:rPr>
              <w:t>Budgetary unit</w:t>
            </w:r>
          </w:p>
        </w:tc>
        <w:tc>
          <w:tcPr>
            <w:tcW w:w="986" w:type="pct"/>
            <w:tcBorders>
              <w:top w:val="single" w:sz="4" w:space="0" w:color="5B9BD5"/>
              <w:left w:val="nil"/>
              <w:bottom w:val="single" w:sz="4" w:space="0" w:color="5B9BD5"/>
              <w:right w:val="nil"/>
            </w:tcBorders>
            <w:shd w:val="clear" w:color="auto" w:fill="5B9BD5"/>
          </w:tcPr>
          <w:p w14:paraId="6848541A" w14:textId="3083609B" w:rsidR="00CA52CE" w:rsidRPr="00C87C03" w:rsidRDefault="00CA52CE" w:rsidP="00400265">
            <w:pPr>
              <w:jc w:val="center"/>
              <w:rPr>
                <w:b/>
                <w:color w:val="FFFFFF" w:themeColor="background1"/>
                <w:sz w:val="20"/>
                <w:szCs w:val="20"/>
              </w:rPr>
            </w:pPr>
            <w:r w:rsidRPr="00C87C03">
              <w:rPr>
                <w:b/>
                <w:color w:val="FFFFFF" w:themeColor="background1"/>
                <w:sz w:val="20"/>
                <w:szCs w:val="20"/>
              </w:rPr>
              <w:t>Extra</w:t>
            </w:r>
            <w:r w:rsidR="00CC5BC5" w:rsidRPr="00C87C03">
              <w:rPr>
                <w:b/>
                <w:color w:val="FFFFFF" w:themeColor="background1"/>
                <w:sz w:val="20"/>
                <w:szCs w:val="20"/>
              </w:rPr>
              <w:t xml:space="preserve"> b</w:t>
            </w:r>
            <w:r w:rsidRPr="00C87C03">
              <w:rPr>
                <w:b/>
                <w:color w:val="FFFFFF" w:themeColor="background1"/>
                <w:sz w:val="20"/>
                <w:szCs w:val="20"/>
              </w:rPr>
              <w:t>udgetary units</w:t>
            </w:r>
          </w:p>
        </w:tc>
        <w:tc>
          <w:tcPr>
            <w:tcW w:w="821" w:type="pct"/>
            <w:tcBorders>
              <w:top w:val="single" w:sz="4" w:space="0" w:color="5B9BD5"/>
              <w:left w:val="nil"/>
              <w:bottom w:val="single" w:sz="4" w:space="0" w:color="5B9BD5"/>
              <w:right w:val="nil"/>
            </w:tcBorders>
            <w:shd w:val="clear" w:color="auto" w:fill="5B9BD5"/>
          </w:tcPr>
          <w:p w14:paraId="39CF4502" w14:textId="685BF2EC" w:rsidR="00CA52CE" w:rsidRPr="00C87C03" w:rsidRDefault="00CA52CE" w:rsidP="00400265">
            <w:pPr>
              <w:jc w:val="center"/>
              <w:rPr>
                <w:b/>
                <w:color w:val="FFFFFF" w:themeColor="background1"/>
                <w:sz w:val="20"/>
                <w:szCs w:val="20"/>
              </w:rPr>
            </w:pPr>
            <w:r w:rsidRPr="00C87C03">
              <w:rPr>
                <w:b/>
                <w:color w:val="FFFFFF" w:themeColor="background1"/>
                <w:sz w:val="20"/>
                <w:szCs w:val="20"/>
              </w:rPr>
              <w:t>Social security funds</w:t>
            </w:r>
          </w:p>
        </w:tc>
        <w:tc>
          <w:tcPr>
            <w:tcW w:w="970" w:type="pct"/>
            <w:tcBorders>
              <w:top w:val="single" w:sz="4" w:space="0" w:color="5B9BD5"/>
              <w:left w:val="nil"/>
              <w:bottom w:val="single" w:sz="4" w:space="0" w:color="5B9BD5"/>
              <w:right w:val="single" w:sz="4" w:space="0" w:color="5B9BD5"/>
            </w:tcBorders>
            <w:shd w:val="clear" w:color="auto" w:fill="5B9BD5"/>
          </w:tcPr>
          <w:p w14:paraId="5F973637" w14:textId="77777777" w:rsidR="00CA52CE" w:rsidRPr="00C87C03" w:rsidRDefault="00CA52CE" w:rsidP="00400265">
            <w:pPr>
              <w:jc w:val="center"/>
              <w:rPr>
                <w:b/>
                <w:color w:val="FFFFFF" w:themeColor="background1"/>
                <w:sz w:val="20"/>
                <w:szCs w:val="20"/>
              </w:rPr>
            </w:pPr>
            <w:r w:rsidRPr="00C87C03">
              <w:rPr>
                <w:b/>
                <w:color w:val="FFFFFF" w:themeColor="background1"/>
                <w:sz w:val="20"/>
                <w:szCs w:val="20"/>
              </w:rPr>
              <w:t>Total aggregated</w:t>
            </w:r>
          </w:p>
        </w:tc>
      </w:tr>
      <w:tr w:rsidR="00BC20F3" w:rsidRPr="00C87C03" w14:paraId="15E352B0" w14:textId="77777777" w:rsidTr="00400265">
        <w:trPr>
          <w:trHeight w:val="56"/>
        </w:trPr>
        <w:tc>
          <w:tcPr>
            <w:tcW w:w="1476" w:type="pct"/>
            <w:shd w:val="clear" w:color="auto" w:fill="auto"/>
          </w:tcPr>
          <w:p w14:paraId="10D0C8B1" w14:textId="77777777" w:rsidR="00275018" w:rsidRPr="00C87C03" w:rsidRDefault="00275018" w:rsidP="00D52523">
            <w:pPr>
              <w:rPr>
                <w:sz w:val="20"/>
                <w:szCs w:val="20"/>
              </w:rPr>
            </w:pPr>
            <w:r w:rsidRPr="00C87C03">
              <w:rPr>
                <w:sz w:val="20"/>
                <w:szCs w:val="20"/>
              </w:rPr>
              <w:t xml:space="preserve">Revenue </w:t>
            </w:r>
          </w:p>
        </w:tc>
        <w:tc>
          <w:tcPr>
            <w:tcW w:w="747" w:type="pct"/>
            <w:shd w:val="clear" w:color="auto" w:fill="auto"/>
          </w:tcPr>
          <w:p w14:paraId="34AFF5C9" w14:textId="77777777" w:rsidR="00275018" w:rsidRPr="00C87C03" w:rsidRDefault="00275018" w:rsidP="00D00E7B">
            <w:pPr>
              <w:tabs>
                <w:tab w:val="decimal" w:pos="752"/>
              </w:tabs>
              <w:jc w:val="left"/>
              <w:rPr>
                <w:i/>
                <w:sz w:val="20"/>
                <w:szCs w:val="20"/>
              </w:rPr>
            </w:pPr>
            <w:r w:rsidRPr="00C87C03">
              <w:rPr>
                <w:rStyle w:val="Emphasis"/>
                <w:i w:val="0"/>
                <w:color w:val="000000"/>
                <w:szCs w:val="20"/>
              </w:rPr>
              <w:t>5049.2</w:t>
            </w:r>
          </w:p>
        </w:tc>
        <w:tc>
          <w:tcPr>
            <w:tcW w:w="986" w:type="pct"/>
            <w:shd w:val="clear" w:color="auto" w:fill="auto"/>
          </w:tcPr>
          <w:p w14:paraId="5D74DE6F" w14:textId="6C787081" w:rsidR="00275018" w:rsidRPr="00C87C03" w:rsidRDefault="00EB09D7" w:rsidP="00400265">
            <w:pPr>
              <w:jc w:val="center"/>
              <w:rPr>
                <w:sz w:val="20"/>
                <w:szCs w:val="20"/>
              </w:rPr>
            </w:pPr>
            <w:r>
              <w:rPr>
                <w:sz w:val="20"/>
                <w:szCs w:val="20"/>
              </w:rPr>
              <w:t>N/A</w:t>
            </w:r>
          </w:p>
        </w:tc>
        <w:tc>
          <w:tcPr>
            <w:tcW w:w="821" w:type="pct"/>
            <w:shd w:val="clear" w:color="auto" w:fill="auto"/>
          </w:tcPr>
          <w:p w14:paraId="67862DED" w14:textId="65398B1D" w:rsidR="00275018" w:rsidRPr="00C87C03" w:rsidRDefault="00EB09D7" w:rsidP="00400265">
            <w:pPr>
              <w:jc w:val="center"/>
              <w:rPr>
                <w:sz w:val="20"/>
                <w:szCs w:val="20"/>
              </w:rPr>
            </w:pPr>
            <w:r>
              <w:rPr>
                <w:sz w:val="20"/>
                <w:szCs w:val="20"/>
              </w:rPr>
              <w:t>N/A</w:t>
            </w:r>
          </w:p>
        </w:tc>
        <w:tc>
          <w:tcPr>
            <w:tcW w:w="970" w:type="pct"/>
            <w:shd w:val="clear" w:color="auto" w:fill="auto"/>
          </w:tcPr>
          <w:p w14:paraId="219CC2A1" w14:textId="2BF4BA9F" w:rsidR="00275018" w:rsidRPr="00C87C03" w:rsidRDefault="00EB09D7" w:rsidP="00400265">
            <w:pPr>
              <w:jc w:val="center"/>
              <w:rPr>
                <w:sz w:val="20"/>
                <w:szCs w:val="20"/>
              </w:rPr>
            </w:pPr>
            <w:r>
              <w:rPr>
                <w:sz w:val="20"/>
                <w:szCs w:val="20"/>
              </w:rPr>
              <w:t>N/A</w:t>
            </w:r>
          </w:p>
        </w:tc>
      </w:tr>
      <w:tr w:rsidR="00BC20F3" w:rsidRPr="00C87C03" w14:paraId="0C15E8F0" w14:textId="77777777" w:rsidTr="00400265">
        <w:trPr>
          <w:trHeight w:val="56"/>
        </w:trPr>
        <w:tc>
          <w:tcPr>
            <w:tcW w:w="1476" w:type="pct"/>
            <w:shd w:val="clear" w:color="auto" w:fill="auto"/>
          </w:tcPr>
          <w:p w14:paraId="4CE7E641" w14:textId="77777777" w:rsidR="00275018" w:rsidRPr="00C87C03" w:rsidRDefault="00275018" w:rsidP="00D52523">
            <w:pPr>
              <w:rPr>
                <w:sz w:val="20"/>
                <w:szCs w:val="20"/>
              </w:rPr>
            </w:pPr>
            <w:r w:rsidRPr="00C87C03">
              <w:rPr>
                <w:sz w:val="20"/>
                <w:szCs w:val="20"/>
              </w:rPr>
              <w:t xml:space="preserve">Expenditure </w:t>
            </w:r>
          </w:p>
        </w:tc>
        <w:tc>
          <w:tcPr>
            <w:tcW w:w="747" w:type="pct"/>
            <w:shd w:val="clear" w:color="auto" w:fill="auto"/>
          </w:tcPr>
          <w:p w14:paraId="77792DEB" w14:textId="77777777" w:rsidR="00275018" w:rsidRPr="00C87C03" w:rsidRDefault="00275018" w:rsidP="00D00E7B">
            <w:pPr>
              <w:tabs>
                <w:tab w:val="decimal" w:pos="752"/>
              </w:tabs>
              <w:jc w:val="left"/>
              <w:rPr>
                <w:i/>
                <w:sz w:val="20"/>
                <w:szCs w:val="20"/>
              </w:rPr>
            </w:pPr>
            <w:r w:rsidRPr="00C87C03">
              <w:rPr>
                <w:rStyle w:val="Emphasis"/>
                <w:i w:val="0"/>
                <w:color w:val="000000"/>
                <w:szCs w:val="20"/>
              </w:rPr>
              <w:t>5,030.5</w:t>
            </w:r>
          </w:p>
        </w:tc>
        <w:tc>
          <w:tcPr>
            <w:tcW w:w="986" w:type="pct"/>
            <w:shd w:val="clear" w:color="auto" w:fill="auto"/>
          </w:tcPr>
          <w:p w14:paraId="7EE37632" w14:textId="5DA2DF61" w:rsidR="00275018" w:rsidRPr="00C87C03" w:rsidRDefault="00EB09D7" w:rsidP="00400265">
            <w:pPr>
              <w:jc w:val="center"/>
              <w:rPr>
                <w:sz w:val="20"/>
                <w:szCs w:val="20"/>
              </w:rPr>
            </w:pPr>
            <w:r>
              <w:rPr>
                <w:sz w:val="20"/>
                <w:szCs w:val="20"/>
              </w:rPr>
              <w:t>N/A</w:t>
            </w:r>
          </w:p>
        </w:tc>
        <w:tc>
          <w:tcPr>
            <w:tcW w:w="821" w:type="pct"/>
            <w:shd w:val="clear" w:color="auto" w:fill="auto"/>
          </w:tcPr>
          <w:p w14:paraId="773A56AB" w14:textId="289DA5EC" w:rsidR="00275018" w:rsidRPr="00C87C03" w:rsidRDefault="00EB09D7" w:rsidP="00400265">
            <w:pPr>
              <w:jc w:val="center"/>
              <w:rPr>
                <w:sz w:val="20"/>
                <w:szCs w:val="20"/>
              </w:rPr>
            </w:pPr>
            <w:r>
              <w:rPr>
                <w:sz w:val="20"/>
                <w:szCs w:val="20"/>
              </w:rPr>
              <w:t>N/A</w:t>
            </w:r>
          </w:p>
        </w:tc>
        <w:tc>
          <w:tcPr>
            <w:tcW w:w="970" w:type="pct"/>
            <w:shd w:val="clear" w:color="auto" w:fill="auto"/>
          </w:tcPr>
          <w:p w14:paraId="141BDDBA" w14:textId="0431EF0C" w:rsidR="00275018" w:rsidRPr="00C87C03" w:rsidRDefault="00EB09D7" w:rsidP="00400265">
            <w:pPr>
              <w:jc w:val="center"/>
              <w:rPr>
                <w:sz w:val="20"/>
                <w:szCs w:val="20"/>
              </w:rPr>
            </w:pPr>
            <w:r>
              <w:rPr>
                <w:sz w:val="20"/>
                <w:szCs w:val="20"/>
              </w:rPr>
              <w:t>N/A</w:t>
            </w:r>
          </w:p>
        </w:tc>
      </w:tr>
      <w:tr w:rsidR="00BC20F3" w:rsidRPr="00C87C03" w14:paraId="30EC5FFC" w14:textId="77777777" w:rsidTr="00400265">
        <w:trPr>
          <w:trHeight w:val="180"/>
        </w:trPr>
        <w:tc>
          <w:tcPr>
            <w:tcW w:w="1476" w:type="pct"/>
            <w:shd w:val="clear" w:color="auto" w:fill="auto"/>
          </w:tcPr>
          <w:p w14:paraId="3F95F3CA" w14:textId="77777777" w:rsidR="00275018" w:rsidRPr="00C87C03" w:rsidRDefault="00D11013" w:rsidP="00D52523">
            <w:pPr>
              <w:rPr>
                <w:color w:val="000000"/>
                <w:sz w:val="20"/>
                <w:szCs w:val="20"/>
              </w:rPr>
            </w:pPr>
            <w:r w:rsidRPr="00C87C03">
              <w:rPr>
                <w:sz w:val="20"/>
                <w:szCs w:val="20"/>
              </w:rPr>
              <w:t xml:space="preserve">Transfers </w:t>
            </w:r>
            <w:r w:rsidR="00AD1E34" w:rsidRPr="00C87C03">
              <w:rPr>
                <w:sz w:val="20"/>
                <w:szCs w:val="20"/>
              </w:rPr>
              <w:t xml:space="preserve">to </w:t>
            </w:r>
            <w:r w:rsidRPr="00C87C03">
              <w:rPr>
                <w:sz w:val="20"/>
                <w:szCs w:val="20"/>
              </w:rPr>
              <w:t>County Assembly</w:t>
            </w:r>
          </w:p>
        </w:tc>
        <w:tc>
          <w:tcPr>
            <w:tcW w:w="747" w:type="pct"/>
            <w:shd w:val="clear" w:color="auto" w:fill="auto"/>
          </w:tcPr>
          <w:p w14:paraId="76B6537D" w14:textId="77777777" w:rsidR="00275018" w:rsidRPr="00C87C03" w:rsidRDefault="00275018" w:rsidP="00D00E7B">
            <w:pPr>
              <w:tabs>
                <w:tab w:val="decimal" w:pos="752"/>
              </w:tabs>
              <w:jc w:val="left"/>
              <w:rPr>
                <w:i/>
                <w:sz w:val="20"/>
                <w:szCs w:val="20"/>
              </w:rPr>
            </w:pPr>
            <w:r w:rsidRPr="00C87C03">
              <w:rPr>
                <w:rStyle w:val="Emphasis"/>
                <w:i w:val="0"/>
                <w:color w:val="000000"/>
                <w:szCs w:val="20"/>
              </w:rPr>
              <w:t>649.4</w:t>
            </w:r>
          </w:p>
        </w:tc>
        <w:tc>
          <w:tcPr>
            <w:tcW w:w="986" w:type="pct"/>
            <w:shd w:val="clear" w:color="auto" w:fill="auto"/>
          </w:tcPr>
          <w:p w14:paraId="4BADCAB6" w14:textId="0D970893" w:rsidR="00275018" w:rsidRPr="00C87C03" w:rsidRDefault="00EB09D7" w:rsidP="00400265">
            <w:pPr>
              <w:jc w:val="center"/>
              <w:rPr>
                <w:sz w:val="20"/>
                <w:szCs w:val="20"/>
              </w:rPr>
            </w:pPr>
            <w:r>
              <w:rPr>
                <w:sz w:val="20"/>
                <w:szCs w:val="20"/>
              </w:rPr>
              <w:t>N/A</w:t>
            </w:r>
          </w:p>
        </w:tc>
        <w:tc>
          <w:tcPr>
            <w:tcW w:w="821" w:type="pct"/>
            <w:shd w:val="clear" w:color="auto" w:fill="auto"/>
          </w:tcPr>
          <w:p w14:paraId="65467BF6" w14:textId="460A3F33" w:rsidR="00275018" w:rsidRPr="00C87C03" w:rsidRDefault="00EB09D7" w:rsidP="00400265">
            <w:pPr>
              <w:jc w:val="center"/>
              <w:rPr>
                <w:sz w:val="20"/>
                <w:szCs w:val="20"/>
              </w:rPr>
            </w:pPr>
            <w:r>
              <w:rPr>
                <w:sz w:val="20"/>
                <w:szCs w:val="20"/>
              </w:rPr>
              <w:t>N/A</w:t>
            </w:r>
          </w:p>
        </w:tc>
        <w:tc>
          <w:tcPr>
            <w:tcW w:w="970" w:type="pct"/>
            <w:shd w:val="clear" w:color="auto" w:fill="auto"/>
          </w:tcPr>
          <w:p w14:paraId="5C0E7005" w14:textId="0B50AA84" w:rsidR="00275018" w:rsidRPr="00C87C03" w:rsidRDefault="00EB09D7" w:rsidP="00400265">
            <w:pPr>
              <w:jc w:val="center"/>
              <w:rPr>
                <w:sz w:val="20"/>
                <w:szCs w:val="20"/>
              </w:rPr>
            </w:pPr>
            <w:r>
              <w:rPr>
                <w:sz w:val="20"/>
                <w:szCs w:val="20"/>
              </w:rPr>
              <w:t>N/A</w:t>
            </w:r>
          </w:p>
        </w:tc>
      </w:tr>
      <w:tr w:rsidR="00BC20F3" w:rsidRPr="00C87C03" w14:paraId="5C7AB7E2" w14:textId="77777777" w:rsidTr="00400265">
        <w:trPr>
          <w:trHeight w:val="56"/>
        </w:trPr>
        <w:tc>
          <w:tcPr>
            <w:tcW w:w="1476" w:type="pct"/>
            <w:shd w:val="clear" w:color="auto" w:fill="auto"/>
          </w:tcPr>
          <w:p w14:paraId="772B1D29" w14:textId="77777777" w:rsidR="00275018" w:rsidRPr="00C87C03" w:rsidRDefault="00275018" w:rsidP="00D52523">
            <w:pPr>
              <w:rPr>
                <w:sz w:val="20"/>
                <w:szCs w:val="20"/>
              </w:rPr>
            </w:pPr>
            <w:r w:rsidRPr="00C87C03">
              <w:rPr>
                <w:sz w:val="20"/>
                <w:szCs w:val="20"/>
              </w:rPr>
              <w:t xml:space="preserve">Liabilities </w:t>
            </w:r>
          </w:p>
        </w:tc>
        <w:tc>
          <w:tcPr>
            <w:tcW w:w="747" w:type="pct"/>
            <w:shd w:val="clear" w:color="auto" w:fill="auto"/>
          </w:tcPr>
          <w:p w14:paraId="4C0AAD33" w14:textId="77777777" w:rsidR="00275018" w:rsidRPr="00C87C03" w:rsidRDefault="00275018" w:rsidP="00D00E7B">
            <w:pPr>
              <w:tabs>
                <w:tab w:val="decimal" w:pos="752"/>
              </w:tabs>
              <w:jc w:val="left"/>
              <w:rPr>
                <w:i/>
                <w:sz w:val="20"/>
                <w:szCs w:val="20"/>
              </w:rPr>
            </w:pPr>
            <w:r w:rsidRPr="00C87C03">
              <w:rPr>
                <w:rStyle w:val="Emphasis"/>
                <w:i w:val="0"/>
                <w:color w:val="000000"/>
                <w:szCs w:val="20"/>
              </w:rPr>
              <w:t>51.7</w:t>
            </w:r>
          </w:p>
        </w:tc>
        <w:tc>
          <w:tcPr>
            <w:tcW w:w="986" w:type="pct"/>
            <w:shd w:val="clear" w:color="auto" w:fill="auto"/>
          </w:tcPr>
          <w:p w14:paraId="50A34861" w14:textId="0C5FC985" w:rsidR="00275018" w:rsidRPr="00C87C03" w:rsidRDefault="00EB09D7" w:rsidP="00400265">
            <w:pPr>
              <w:jc w:val="center"/>
              <w:rPr>
                <w:sz w:val="20"/>
                <w:szCs w:val="20"/>
              </w:rPr>
            </w:pPr>
            <w:r>
              <w:rPr>
                <w:sz w:val="20"/>
                <w:szCs w:val="20"/>
              </w:rPr>
              <w:t>N/A</w:t>
            </w:r>
          </w:p>
        </w:tc>
        <w:tc>
          <w:tcPr>
            <w:tcW w:w="821" w:type="pct"/>
            <w:shd w:val="clear" w:color="auto" w:fill="auto"/>
          </w:tcPr>
          <w:p w14:paraId="231C9CB0" w14:textId="31A2A125" w:rsidR="00275018" w:rsidRPr="00C87C03" w:rsidRDefault="00EB09D7" w:rsidP="00400265">
            <w:pPr>
              <w:jc w:val="center"/>
              <w:rPr>
                <w:sz w:val="20"/>
                <w:szCs w:val="20"/>
              </w:rPr>
            </w:pPr>
            <w:r>
              <w:rPr>
                <w:sz w:val="20"/>
                <w:szCs w:val="20"/>
              </w:rPr>
              <w:t>N/A</w:t>
            </w:r>
          </w:p>
        </w:tc>
        <w:tc>
          <w:tcPr>
            <w:tcW w:w="970" w:type="pct"/>
            <w:shd w:val="clear" w:color="auto" w:fill="auto"/>
          </w:tcPr>
          <w:p w14:paraId="1BB3D18C" w14:textId="54857380" w:rsidR="00275018" w:rsidRPr="00C87C03" w:rsidRDefault="00EB09D7" w:rsidP="00400265">
            <w:pPr>
              <w:jc w:val="center"/>
              <w:rPr>
                <w:sz w:val="20"/>
                <w:szCs w:val="20"/>
              </w:rPr>
            </w:pPr>
            <w:r>
              <w:rPr>
                <w:sz w:val="20"/>
                <w:szCs w:val="20"/>
              </w:rPr>
              <w:t>N/A</w:t>
            </w:r>
          </w:p>
        </w:tc>
      </w:tr>
      <w:tr w:rsidR="00BC20F3" w:rsidRPr="00C87C03" w14:paraId="422AAEF9" w14:textId="77777777" w:rsidTr="00400265">
        <w:trPr>
          <w:trHeight w:val="64"/>
        </w:trPr>
        <w:tc>
          <w:tcPr>
            <w:tcW w:w="1476" w:type="pct"/>
            <w:shd w:val="clear" w:color="auto" w:fill="auto"/>
          </w:tcPr>
          <w:p w14:paraId="6AED32A3" w14:textId="77777777" w:rsidR="00275018" w:rsidRPr="00C87C03" w:rsidRDefault="00275018" w:rsidP="00D52523">
            <w:pPr>
              <w:rPr>
                <w:sz w:val="20"/>
                <w:szCs w:val="20"/>
              </w:rPr>
            </w:pPr>
            <w:r w:rsidRPr="00C87C03">
              <w:rPr>
                <w:sz w:val="20"/>
                <w:szCs w:val="20"/>
              </w:rPr>
              <w:t xml:space="preserve">Financial Assets </w:t>
            </w:r>
          </w:p>
        </w:tc>
        <w:tc>
          <w:tcPr>
            <w:tcW w:w="747" w:type="pct"/>
            <w:shd w:val="clear" w:color="auto" w:fill="auto"/>
          </w:tcPr>
          <w:p w14:paraId="28BC99BE" w14:textId="77777777" w:rsidR="00275018" w:rsidRPr="00C87C03" w:rsidRDefault="00275018" w:rsidP="00D00E7B">
            <w:pPr>
              <w:tabs>
                <w:tab w:val="decimal" w:pos="752"/>
              </w:tabs>
              <w:jc w:val="left"/>
              <w:rPr>
                <w:i/>
                <w:sz w:val="20"/>
                <w:szCs w:val="20"/>
              </w:rPr>
            </w:pPr>
            <w:r w:rsidRPr="00C87C03">
              <w:rPr>
                <w:rStyle w:val="Emphasis"/>
                <w:i w:val="0"/>
                <w:color w:val="000000"/>
                <w:szCs w:val="20"/>
              </w:rPr>
              <w:t>522.0</w:t>
            </w:r>
          </w:p>
        </w:tc>
        <w:tc>
          <w:tcPr>
            <w:tcW w:w="986" w:type="pct"/>
            <w:shd w:val="clear" w:color="auto" w:fill="auto"/>
          </w:tcPr>
          <w:p w14:paraId="6662D1AF" w14:textId="66EB8AA7" w:rsidR="00275018" w:rsidRPr="00C87C03" w:rsidRDefault="00EB09D7" w:rsidP="00400265">
            <w:pPr>
              <w:jc w:val="center"/>
              <w:rPr>
                <w:sz w:val="20"/>
                <w:szCs w:val="20"/>
              </w:rPr>
            </w:pPr>
            <w:r>
              <w:rPr>
                <w:sz w:val="20"/>
                <w:szCs w:val="20"/>
              </w:rPr>
              <w:t>N/A</w:t>
            </w:r>
          </w:p>
        </w:tc>
        <w:tc>
          <w:tcPr>
            <w:tcW w:w="821" w:type="pct"/>
            <w:shd w:val="clear" w:color="auto" w:fill="auto"/>
          </w:tcPr>
          <w:p w14:paraId="7813013C" w14:textId="469705FA" w:rsidR="00275018" w:rsidRPr="00C87C03" w:rsidRDefault="00EB09D7" w:rsidP="00400265">
            <w:pPr>
              <w:jc w:val="center"/>
              <w:rPr>
                <w:sz w:val="20"/>
                <w:szCs w:val="20"/>
              </w:rPr>
            </w:pPr>
            <w:r>
              <w:rPr>
                <w:sz w:val="20"/>
                <w:szCs w:val="20"/>
              </w:rPr>
              <w:t>N/A</w:t>
            </w:r>
          </w:p>
        </w:tc>
        <w:tc>
          <w:tcPr>
            <w:tcW w:w="970" w:type="pct"/>
            <w:shd w:val="clear" w:color="auto" w:fill="auto"/>
          </w:tcPr>
          <w:p w14:paraId="0C2352C3" w14:textId="1AED1DEE" w:rsidR="00275018" w:rsidRPr="00C87C03" w:rsidRDefault="00EB09D7" w:rsidP="00400265">
            <w:pPr>
              <w:jc w:val="center"/>
              <w:rPr>
                <w:sz w:val="20"/>
                <w:szCs w:val="20"/>
              </w:rPr>
            </w:pPr>
            <w:r>
              <w:rPr>
                <w:sz w:val="20"/>
                <w:szCs w:val="20"/>
              </w:rPr>
              <w:t>N/A</w:t>
            </w:r>
          </w:p>
        </w:tc>
      </w:tr>
      <w:tr w:rsidR="00BC20F3" w:rsidRPr="00C87C03" w14:paraId="7F906738" w14:textId="77777777" w:rsidTr="00400265">
        <w:trPr>
          <w:trHeight w:val="56"/>
        </w:trPr>
        <w:tc>
          <w:tcPr>
            <w:tcW w:w="1476" w:type="pct"/>
            <w:shd w:val="clear" w:color="auto" w:fill="auto"/>
          </w:tcPr>
          <w:p w14:paraId="7A875FC5" w14:textId="30199A21" w:rsidR="00275018" w:rsidRPr="00C87C03" w:rsidRDefault="00275018" w:rsidP="00D52523">
            <w:pPr>
              <w:rPr>
                <w:sz w:val="20"/>
                <w:szCs w:val="20"/>
              </w:rPr>
            </w:pPr>
            <w:r w:rsidRPr="00C87C03">
              <w:rPr>
                <w:sz w:val="20"/>
                <w:szCs w:val="20"/>
              </w:rPr>
              <w:t xml:space="preserve">Nonfinancial assets </w:t>
            </w:r>
          </w:p>
        </w:tc>
        <w:tc>
          <w:tcPr>
            <w:tcW w:w="747" w:type="pct"/>
            <w:shd w:val="clear" w:color="auto" w:fill="auto"/>
          </w:tcPr>
          <w:p w14:paraId="3671F630" w14:textId="07ACA486" w:rsidR="00275018" w:rsidRPr="00C87C03" w:rsidRDefault="00275018" w:rsidP="00D00E7B">
            <w:pPr>
              <w:tabs>
                <w:tab w:val="decimal" w:pos="752"/>
              </w:tabs>
              <w:jc w:val="left"/>
              <w:rPr>
                <w:i/>
                <w:sz w:val="20"/>
                <w:szCs w:val="20"/>
              </w:rPr>
            </w:pPr>
            <w:r w:rsidRPr="00C87C03">
              <w:rPr>
                <w:rStyle w:val="Emphasis"/>
                <w:i w:val="0"/>
                <w:color w:val="000000"/>
                <w:szCs w:val="20"/>
              </w:rPr>
              <w:t>1,630</w:t>
            </w:r>
            <w:r w:rsidR="00D00E7B">
              <w:rPr>
                <w:rStyle w:val="Emphasis"/>
                <w:i w:val="0"/>
                <w:color w:val="000000"/>
                <w:szCs w:val="20"/>
              </w:rPr>
              <w:t>.0</w:t>
            </w:r>
          </w:p>
        </w:tc>
        <w:tc>
          <w:tcPr>
            <w:tcW w:w="986" w:type="pct"/>
            <w:shd w:val="clear" w:color="auto" w:fill="auto"/>
          </w:tcPr>
          <w:p w14:paraId="4CFE5F63" w14:textId="024FF265" w:rsidR="00275018" w:rsidRPr="00C87C03" w:rsidRDefault="00EB09D7" w:rsidP="00400265">
            <w:pPr>
              <w:jc w:val="center"/>
              <w:rPr>
                <w:sz w:val="20"/>
                <w:szCs w:val="20"/>
              </w:rPr>
            </w:pPr>
            <w:r>
              <w:rPr>
                <w:sz w:val="20"/>
                <w:szCs w:val="20"/>
              </w:rPr>
              <w:t>N/A</w:t>
            </w:r>
          </w:p>
        </w:tc>
        <w:tc>
          <w:tcPr>
            <w:tcW w:w="821" w:type="pct"/>
            <w:shd w:val="clear" w:color="auto" w:fill="auto"/>
          </w:tcPr>
          <w:p w14:paraId="559E2B89" w14:textId="78A29778" w:rsidR="00275018" w:rsidRPr="00C87C03" w:rsidRDefault="00EB09D7" w:rsidP="00400265">
            <w:pPr>
              <w:jc w:val="center"/>
              <w:rPr>
                <w:sz w:val="20"/>
                <w:szCs w:val="20"/>
              </w:rPr>
            </w:pPr>
            <w:r>
              <w:rPr>
                <w:sz w:val="20"/>
                <w:szCs w:val="20"/>
              </w:rPr>
              <w:t>N/A</w:t>
            </w:r>
          </w:p>
        </w:tc>
        <w:tc>
          <w:tcPr>
            <w:tcW w:w="970" w:type="pct"/>
            <w:shd w:val="clear" w:color="auto" w:fill="auto"/>
          </w:tcPr>
          <w:p w14:paraId="2FF9070E" w14:textId="750F2D1A" w:rsidR="00275018" w:rsidRPr="00C87C03" w:rsidRDefault="00EB09D7" w:rsidP="00400265">
            <w:pPr>
              <w:jc w:val="center"/>
              <w:rPr>
                <w:sz w:val="20"/>
                <w:szCs w:val="20"/>
              </w:rPr>
            </w:pPr>
            <w:r>
              <w:rPr>
                <w:sz w:val="20"/>
                <w:szCs w:val="20"/>
              </w:rPr>
              <w:t>N/A</w:t>
            </w:r>
          </w:p>
        </w:tc>
      </w:tr>
    </w:tbl>
    <w:p w14:paraId="61D4C5F4" w14:textId="1C75B4A8" w:rsidR="00275018" w:rsidRPr="00C87C03" w:rsidRDefault="00275018" w:rsidP="00D52523">
      <w:pPr>
        <w:rPr>
          <w:rStyle w:val="Emphasis"/>
          <w:i w:val="0"/>
        </w:rPr>
      </w:pPr>
      <w:r w:rsidRPr="00C87C03">
        <w:rPr>
          <w:rStyle w:val="Emphasis"/>
        </w:rPr>
        <w:t xml:space="preserve">Source: </w:t>
      </w:r>
      <w:r w:rsidRPr="00C87C03">
        <w:rPr>
          <w:rStyle w:val="Emphasis"/>
          <w:i w:val="0"/>
        </w:rPr>
        <w:t>A</w:t>
      </w:r>
      <w:r w:rsidR="00275C4E" w:rsidRPr="00C87C03">
        <w:rPr>
          <w:rStyle w:val="Emphasis"/>
          <w:i w:val="0"/>
        </w:rPr>
        <w:t>FS</w:t>
      </w:r>
      <w:r w:rsidR="005D22A7" w:rsidRPr="00C87C03">
        <w:rPr>
          <w:rStyle w:val="Emphasis"/>
          <w:i w:val="0"/>
        </w:rPr>
        <w:t xml:space="preserve"> 2015/16</w:t>
      </w:r>
      <w:r w:rsidR="0045183B">
        <w:rPr>
          <w:rStyle w:val="Emphasis"/>
          <w:i w:val="0"/>
        </w:rPr>
        <w:t>.</w:t>
      </w:r>
    </w:p>
    <w:p w14:paraId="2FDE08B8" w14:textId="613AC325" w:rsidR="00E73D90" w:rsidRPr="00E73D90" w:rsidRDefault="00E73D90" w:rsidP="00BA6B2B">
      <w:pPr>
        <w:pStyle w:val="Heading5"/>
      </w:pPr>
      <w:r w:rsidRPr="00E73D90">
        <w:t xml:space="preserve">Key </w:t>
      </w:r>
      <w:r w:rsidR="00D00E7B">
        <w:t>f</w:t>
      </w:r>
      <w:r w:rsidRPr="00E73D90">
        <w:t>eatures of internal control</w:t>
      </w:r>
    </w:p>
    <w:p w14:paraId="3A9D753B" w14:textId="7EC54FF9" w:rsidR="00E73D90" w:rsidRPr="005849E4" w:rsidRDefault="001E56F7" w:rsidP="0045183B">
      <w:pPr>
        <w:spacing w:after="240"/>
        <w:rPr>
          <w:iCs/>
          <w:sz w:val="22"/>
        </w:rPr>
      </w:pPr>
      <w:r w:rsidRPr="005849E4">
        <w:rPr>
          <w:iCs/>
          <w:sz w:val="22"/>
        </w:rPr>
        <w:t xml:space="preserve">Internal control is </w:t>
      </w:r>
      <w:r w:rsidR="00E85B2F" w:rsidRPr="005849E4">
        <w:rPr>
          <w:iCs/>
          <w:sz w:val="22"/>
        </w:rPr>
        <w:t>performed</w:t>
      </w:r>
      <w:r w:rsidRPr="005849E4">
        <w:rPr>
          <w:iCs/>
          <w:sz w:val="22"/>
        </w:rPr>
        <w:t xml:space="preserve"> through </w:t>
      </w:r>
      <w:r w:rsidR="00D00E7B">
        <w:rPr>
          <w:iCs/>
          <w:sz w:val="22"/>
        </w:rPr>
        <w:t xml:space="preserve">the </w:t>
      </w:r>
      <w:r w:rsidRPr="005849E4">
        <w:rPr>
          <w:iCs/>
          <w:sz w:val="22"/>
        </w:rPr>
        <w:t>IFMIS</w:t>
      </w:r>
      <w:r w:rsidR="00D00E7B">
        <w:rPr>
          <w:iCs/>
          <w:sz w:val="22"/>
        </w:rPr>
        <w:t>,</w:t>
      </w:r>
      <w:r w:rsidRPr="005849E4">
        <w:rPr>
          <w:iCs/>
          <w:sz w:val="22"/>
        </w:rPr>
        <w:t xml:space="preserve"> and </w:t>
      </w:r>
      <w:r w:rsidR="00E85B2F" w:rsidRPr="005849E4">
        <w:rPr>
          <w:iCs/>
          <w:sz w:val="22"/>
        </w:rPr>
        <w:t>re</w:t>
      </w:r>
      <w:r w:rsidR="004E6B38" w:rsidRPr="005849E4">
        <w:rPr>
          <w:iCs/>
          <w:sz w:val="22"/>
        </w:rPr>
        <w:t>e</w:t>
      </w:r>
      <w:r w:rsidR="00E73D90" w:rsidRPr="005849E4">
        <w:rPr>
          <w:iCs/>
          <w:sz w:val="22"/>
        </w:rPr>
        <w:t xml:space="preserve">ngineering of </w:t>
      </w:r>
      <w:r w:rsidR="00D00E7B">
        <w:rPr>
          <w:iCs/>
          <w:sz w:val="22"/>
        </w:rPr>
        <w:t xml:space="preserve">the </w:t>
      </w:r>
      <w:r w:rsidR="00E73D90" w:rsidRPr="005849E4">
        <w:rPr>
          <w:iCs/>
          <w:sz w:val="22"/>
        </w:rPr>
        <w:t xml:space="preserve">IFMIS </w:t>
      </w:r>
      <w:r w:rsidR="00E85B2F" w:rsidRPr="005849E4">
        <w:rPr>
          <w:iCs/>
          <w:sz w:val="22"/>
        </w:rPr>
        <w:t>was</w:t>
      </w:r>
      <w:r w:rsidR="00E73D90" w:rsidRPr="005849E4">
        <w:rPr>
          <w:iCs/>
          <w:sz w:val="22"/>
        </w:rPr>
        <w:t xml:space="preserve"> a major </w:t>
      </w:r>
      <w:r w:rsidR="00E85B2F" w:rsidRPr="005849E4">
        <w:rPr>
          <w:iCs/>
          <w:sz w:val="22"/>
        </w:rPr>
        <w:t>improvement</w:t>
      </w:r>
      <w:r w:rsidR="00E73D90" w:rsidRPr="005849E4">
        <w:rPr>
          <w:iCs/>
          <w:sz w:val="22"/>
        </w:rPr>
        <w:t xml:space="preserve"> for </w:t>
      </w:r>
      <w:r w:rsidR="00E85B2F" w:rsidRPr="005849E4">
        <w:rPr>
          <w:iCs/>
          <w:sz w:val="22"/>
        </w:rPr>
        <w:t>reinforcing</w:t>
      </w:r>
      <w:r w:rsidR="00E73D90" w:rsidRPr="005849E4">
        <w:rPr>
          <w:iCs/>
          <w:sz w:val="22"/>
        </w:rPr>
        <w:t xml:space="preserve"> </w:t>
      </w:r>
      <w:r w:rsidR="00E85B2F" w:rsidRPr="005849E4">
        <w:rPr>
          <w:iCs/>
          <w:sz w:val="22"/>
        </w:rPr>
        <w:t>internal control</w:t>
      </w:r>
      <w:r w:rsidR="00E73D90" w:rsidRPr="005849E4">
        <w:rPr>
          <w:iCs/>
          <w:sz w:val="22"/>
        </w:rPr>
        <w:t>.</w:t>
      </w:r>
      <w:r w:rsidR="00E85B2F" w:rsidRPr="005849E4">
        <w:rPr>
          <w:iCs/>
          <w:sz w:val="22"/>
        </w:rPr>
        <w:t xml:space="preserve"> A</w:t>
      </w:r>
      <w:r w:rsidR="00E73D90" w:rsidRPr="005849E4">
        <w:rPr>
          <w:iCs/>
          <w:sz w:val="22"/>
        </w:rPr>
        <w:t xml:space="preserve">ccess to </w:t>
      </w:r>
      <w:r w:rsidR="00D00E7B">
        <w:rPr>
          <w:iCs/>
          <w:sz w:val="22"/>
        </w:rPr>
        <w:t xml:space="preserve">the </w:t>
      </w:r>
      <w:r w:rsidR="00E73D90" w:rsidRPr="005849E4">
        <w:rPr>
          <w:iCs/>
          <w:sz w:val="22"/>
        </w:rPr>
        <w:t xml:space="preserve">IFMIS is </w:t>
      </w:r>
      <w:r w:rsidR="00E85B2F" w:rsidRPr="005849E4">
        <w:rPr>
          <w:iCs/>
          <w:sz w:val="22"/>
        </w:rPr>
        <w:t>now</w:t>
      </w:r>
      <w:r w:rsidR="00E73D90" w:rsidRPr="005849E4">
        <w:rPr>
          <w:iCs/>
          <w:sz w:val="22"/>
        </w:rPr>
        <w:t xml:space="preserve"> complete</w:t>
      </w:r>
      <w:r w:rsidR="00E85B2F" w:rsidRPr="005849E4">
        <w:rPr>
          <w:iCs/>
          <w:sz w:val="22"/>
        </w:rPr>
        <w:t xml:space="preserve"> at the </w:t>
      </w:r>
      <w:r w:rsidR="00D00E7B">
        <w:rPr>
          <w:iCs/>
          <w:sz w:val="22"/>
        </w:rPr>
        <w:t>c</w:t>
      </w:r>
      <w:r w:rsidR="00E85B2F" w:rsidRPr="005849E4">
        <w:rPr>
          <w:iCs/>
          <w:sz w:val="22"/>
        </w:rPr>
        <w:t>ounty levels, but t</w:t>
      </w:r>
      <w:r w:rsidR="00E73D90" w:rsidRPr="005849E4">
        <w:rPr>
          <w:iCs/>
          <w:sz w:val="22"/>
        </w:rPr>
        <w:t xml:space="preserve">he IFMIS Office is still configuring aspects of </w:t>
      </w:r>
      <w:r w:rsidR="00D00E7B">
        <w:rPr>
          <w:iCs/>
          <w:sz w:val="22"/>
        </w:rPr>
        <w:t xml:space="preserve">the </w:t>
      </w:r>
      <w:r w:rsidR="00E73D90" w:rsidRPr="005849E4">
        <w:rPr>
          <w:iCs/>
          <w:sz w:val="22"/>
        </w:rPr>
        <w:t>IFMIS to meet specific needs</w:t>
      </w:r>
      <w:r w:rsidR="00E85B2F" w:rsidRPr="005849E4">
        <w:rPr>
          <w:iCs/>
          <w:sz w:val="22"/>
        </w:rPr>
        <w:t xml:space="preserve"> </w:t>
      </w:r>
      <w:r w:rsidR="00D00E7B">
        <w:rPr>
          <w:iCs/>
          <w:sz w:val="22"/>
        </w:rPr>
        <w:t>of</w:t>
      </w:r>
      <w:r w:rsidR="00D00E7B" w:rsidRPr="005849E4">
        <w:rPr>
          <w:iCs/>
          <w:sz w:val="22"/>
        </w:rPr>
        <w:t xml:space="preserve"> </w:t>
      </w:r>
      <w:r w:rsidR="00D00E7B" w:rsidRPr="00D00E7B">
        <w:rPr>
          <w:iCs/>
          <w:sz w:val="22"/>
          <w:lang w:val="en-US"/>
        </w:rPr>
        <w:t>ministries, departments, and agencies</w:t>
      </w:r>
      <w:r w:rsidR="00D00E7B" w:rsidRPr="00D00E7B">
        <w:rPr>
          <w:iCs/>
          <w:sz w:val="22"/>
        </w:rPr>
        <w:t xml:space="preserve"> </w:t>
      </w:r>
      <w:r w:rsidR="00D00E7B">
        <w:rPr>
          <w:iCs/>
          <w:sz w:val="22"/>
        </w:rPr>
        <w:t>(</w:t>
      </w:r>
      <w:r w:rsidR="00E85B2F" w:rsidRPr="005849E4">
        <w:rPr>
          <w:iCs/>
          <w:sz w:val="22"/>
        </w:rPr>
        <w:t>MDAs</w:t>
      </w:r>
      <w:r w:rsidR="00D00E7B">
        <w:rPr>
          <w:iCs/>
          <w:sz w:val="22"/>
        </w:rPr>
        <w:t>)</w:t>
      </w:r>
      <w:r w:rsidR="00E85B2F" w:rsidRPr="005849E4">
        <w:rPr>
          <w:iCs/>
          <w:sz w:val="22"/>
        </w:rPr>
        <w:t xml:space="preserve"> and </w:t>
      </w:r>
      <w:r w:rsidR="00D00E7B">
        <w:rPr>
          <w:iCs/>
          <w:sz w:val="22"/>
        </w:rPr>
        <w:t>c</w:t>
      </w:r>
      <w:r w:rsidR="00E85B2F" w:rsidRPr="005849E4">
        <w:rPr>
          <w:iCs/>
          <w:sz w:val="22"/>
        </w:rPr>
        <w:t>ounties.</w:t>
      </w:r>
    </w:p>
    <w:p w14:paraId="611DB502" w14:textId="0580AC92" w:rsidR="00E73D90" w:rsidRPr="005849E4" w:rsidRDefault="004671F0" w:rsidP="0045183B">
      <w:pPr>
        <w:spacing w:after="240"/>
        <w:rPr>
          <w:iCs/>
          <w:sz w:val="22"/>
        </w:rPr>
      </w:pPr>
      <w:r w:rsidRPr="005849E4">
        <w:rPr>
          <w:iCs/>
          <w:sz w:val="22"/>
        </w:rPr>
        <w:t xml:space="preserve">Presently, </w:t>
      </w:r>
      <w:r w:rsidR="00D00E7B">
        <w:rPr>
          <w:iCs/>
          <w:sz w:val="22"/>
        </w:rPr>
        <w:t xml:space="preserve">the </w:t>
      </w:r>
      <w:r w:rsidR="00E73D90" w:rsidRPr="005849E4">
        <w:rPr>
          <w:iCs/>
          <w:sz w:val="22"/>
        </w:rPr>
        <w:t xml:space="preserve">IFMIS is not </w:t>
      </w:r>
      <w:r w:rsidR="00D00E7B" w:rsidRPr="005849E4">
        <w:rPr>
          <w:iCs/>
          <w:sz w:val="22"/>
        </w:rPr>
        <w:t xml:space="preserve">being </w:t>
      </w:r>
      <w:r w:rsidR="00E73D90" w:rsidRPr="005849E4">
        <w:rPr>
          <w:iCs/>
          <w:sz w:val="22"/>
        </w:rPr>
        <w:t>comprehensively used</w:t>
      </w:r>
      <w:r w:rsidRPr="005849E4">
        <w:rPr>
          <w:iCs/>
          <w:sz w:val="22"/>
        </w:rPr>
        <w:t xml:space="preserve"> at the </w:t>
      </w:r>
      <w:r w:rsidR="00D00E7B">
        <w:rPr>
          <w:iCs/>
          <w:sz w:val="22"/>
        </w:rPr>
        <w:t>c</w:t>
      </w:r>
      <w:r w:rsidRPr="005849E4">
        <w:rPr>
          <w:iCs/>
          <w:sz w:val="22"/>
        </w:rPr>
        <w:t xml:space="preserve">ounty level. According to </w:t>
      </w:r>
      <w:r w:rsidR="00D00E7B">
        <w:rPr>
          <w:iCs/>
          <w:sz w:val="22"/>
        </w:rPr>
        <w:t xml:space="preserve">the </w:t>
      </w:r>
      <w:r w:rsidRPr="005849E4">
        <w:rPr>
          <w:iCs/>
          <w:sz w:val="22"/>
        </w:rPr>
        <w:t>OAG, m</w:t>
      </w:r>
      <w:r w:rsidR="00E73D90" w:rsidRPr="005849E4">
        <w:rPr>
          <w:iCs/>
          <w:sz w:val="22"/>
        </w:rPr>
        <w:t xml:space="preserve">anual processes </w:t>
      </w:r>
      <w:r w:rsidRPr="005849E4">
        <w:rPr>
          <w:iCs/>
          <w:sz w:val="22"/>
        </w:rPr>
        <w:t>are</w:t>
      </w:r>
      <w:r w:rsidR="00E73D90" w:rsidRPr="005849E4">
        <w:rPr>
          <w:iCs/>
          <w:sz w:val="22"/>
        </w:rPr>
        <w:t xml:space="preserve"> </w:t>
      </w:r>
      <w:r w:rsidRPr="005849E4">
        <w:rPr>
          <w:iCs/>
          <w:sz w:val="22"/>
        </w:rPr>
        <w:t xml:space="preserve">still </w:t>
      </w:r>
      <w:r w:rsidR="00E73D90" w:rsidRPr="005849E4">
        <w:rPr>
          <w:iCs/>
          <w:sz w:val="22"/>
        </w:rPr>
        <w:t>being used for preparing and approving local purchase orders (LPOs)/contracts and then load</w:t>
      </w:r>
      <w:r w:rsidRPr="005849E4">
        <w:rPr>
          <w:iCs/>
          <w:sz w:val="22"/>
        </w:rPr>
        <w:t xml:space="preserve">ed </w:t>
      </w:r>
      <w:r w:rsidR="00E73D90" w:rsidRPr="005849E4">
        <w:rPr>
          <w:iCs/>
          <w:sz w:val="22"/>
        </w:rPr>
        <w:t xml:space="preserve">into the Purchasing and Accounts Payables module of </w:t>
      </w:r>
      <w:r w:rsidR="00D00E7B">
        <w:rPr>
          <w:iCs/>
          <w:sz w:val="22"/>
        </w:rPr>
        <w:t xml:space="preserve">the </w:t>
      </w:r>
      <w:r w:rsidR="00E73D90" w:rsidRPr="005849E4">
        <w:rPr>
          <w:iCs/>
          <w:sz w:val="22"/>
        </w:rPr>
        <w:t xml:space="preserve">IFMIS. Similarly, payments vouchers </w:t>
      </w:r>
      <w:r w:rsidRPr="005849E4">
        <w:rPr>
          <w:iCs/>
          <w:sz w:val="22"/>
        </w:rPr>
        <w:t>are</w:t>
      </w:r>
      <w:r w:rsidR="00E73D90" w:rsidRPr="005849E4">
        <w:rPr>
          <w:iCs/>
          <w:sz w:val="22"/>
        </w:rPr>
        <w:t xml:space="preserve"> being prepared manually and then uploaded into </w:t>
      </w:r>
      <w:r w:rsidR="00D00E7B">
        <w:rPr>
          <w:iCs/>
          <w:sz w:val="22"/>
        </w:rPr>
        <w:t xml:space="preserve">the </w:t>
      </w:r>
      <w:r w:rsidR="00E73D90" w:rsidRPr="005849E4">
        <w:rPr>
          <w:iCs/>
          <w:sz w:val="22"/>
        </w:rPr>
        <w:t xml:space="preserve">IFMIS instead of being prepared within </w:t>
      </w:r>
      <w:r w:rsidR="00D00E7B">
        <w:rPr>
          <w:iCs/>
          <w:sz w:val="22"/>
        </w:rPr>
        <w:t xml:space="preserve">the </w:t>
      </w:r>
      <w:r w:rsidR="00E73D90" w:rsidRPr="005849E4">
        <w:rPr>
          <w:iCs/>
          <w:sz w:val="22"/>
        </w:rPr>
        <w:t xml:space="preserve">IFMIS on the basis of invoices and receipts of goods and services. </w:t>
      </w:r>
    </w:p>
    <w:p w14:paraId="4B309F00" w14:textId="0ED93935" w:rsidR="001404DB" w:rsidRPr="005849E4" w:rsidRDefault="00E73D90" w:rsidP="0045183B">
      <w:pPr>
        <w:spacing w:after="240"/>
        <w:rPr>
          <w:iCs/>
          <w:sz w:val="22"/>
        </w:rPr>
      </w:pPr>
      <w:r w:rsidRPr="005849E4">
        <w:rPr>
          <w:iCs/>
          <w:sz w:val="22"/>
        </w:rPr>
        <w:t xml:space="preserve">As a result, </w:t>
      </w:r>
      <w:r w:rsidR="00D00E7B">
        <w:rPr>
          <w:iCs/>
          <w:sz w:val="22"/>
        </w:rPr>
        <w:t xml:space="preserve">the </w:t>
      </w:r>
      <w:r w:rsidRPr="005849E4">
        <w:rPr>
          <w:iCs/>
          <w:sz w:val="22"/>
        </w:rPr>
        <w:t xml:space="preserve">OAG’s audit of the AFS is not complete </w:t>
      </w:r>
      <w:r w:rsidR="00EF6C7A" w:rsidRPr="005849E4">
        <w:rPr>
          <w:iCs/>
          <w:sz w:val="22"/>
        </w:rPr>
        <w:t>within 6 months after</w:t>
      </w:r>
      <w:r w:rsidRPr="005849E4">
        <w:rPr>
          <w:iCs/>
          <w:sz w:val="22"/>
        </w:rPr>
        <w:t xml:space="preserve"> the end of the </w:t>
      </w:r>
      <w:r w:rsidR="00EF6C7A" w:rsidRPr="005849E4">
        <w:rPr>
          <w:iCs/>
          <w:sz w:val="22"/>
        </w:rPr>
        <w:t>FY (see PI-29)</w:t>
      </w:r>
      <w:r w:rsidRPr="005849E4">
        <w:rPr>
          <w:iCs/>
          <w:sz w:val="22"/>
        </w:rPr>
        <w:t>.</w:t>
      </w:r>
      <w:r w:rsidR="001404DB" w:rsidRPr="005849E4">
        <w:rPr>
          <w:iCs/>
          <w:sz w:val="22"/>
        </w:rPr>
        <w:t xml:space="preserve"> </w:t>
      </w:r>
    </w:p>
    <w:p w14:paraId="321E10CC" w14:textId="7DEAD045" w:rsidR="001404DB" w:rsidRPr="005849E4" w:rsidRDefault="001404DB" w:rsidP="00D00E7B">
      <w:pPr>
        <w:keepNext/>
        <w:spacing w:after="240"/>
        <w:rPr>
          <w:iCs/>
          <w:sz w:val="22"/>
        </w:rPr>
      </w:pPr>
      <w:r w:rsidRPr="005849E4">
        <w:rPr>
          <w:iCs/>
          <w:sz w:val="22"/>
        </w:rPr>
        <w:t>Integration of systems within</w:t>
      </w:r>
      <w:r w:rsidR="00D00E7B">
        <w:rPr>
          <w:iCs/>
          <w:sz w:val="22"/>
        </w:rPr>
        <w:t xml:space="preserve"> the</w:t>
      </w:r>
      <w:r w:rsidRPr="005849E4">
        <w:rPr>
          <w:iCs/>
          <w:sz w:val="22"/>
        </w:rPr>
        <w:t xml:space="preserve"> IFMIS have not yet been completed for the following modules:</w:t>
      </w:r>
    </w:p>
    <w:p w14:paraId="1CF64592" w14:textId="3B65044B" w:rsidR="00E73D90" w:rsidRPr="005849E4" w:rsidRDefault="007A393A" w:rsidP="00EB09D7">
      <w:pPr>
        <w:pStyle w:val="ListParagraph"/>
        <w:numPr>
          <w:ilvl w:val="0"/>
          <w:numId w:val="11"/>
        </w:numPr>
        <w:spacing w:after="240"/>
        <w:ind w:left="720" w:hanging="360"/>
        <w:contextualSpacing w:val="0"/>
        <w:rPr>
          <w:sz w:val="22"/>
        </w:rPr>
      </w:pPr>
      <w:r w:rsidRPr="005849E4">
        <w:rPr>
          <w:b/>
          <w:sz w:val="22"/>
        </w:rPr>
        <w:t>Procurement:</w:t>
      </w:r>
      <w:r w:rsidRPr="005849E4">
        <w:rPr>
          <w:sz w:val="22"/>
        </w:rPr>
        <w:t xml:space="preserve"> The </w:t>
      </w:r>
      <w:r w:rsidR="00D00E7B">
        <w:rPr>
          <w:sz w:val="22"/>
        </w:rPr>
        <w:t>c</w:t>
      </w:r>
      <w:r w:rsidRPr="005849E4">
        <w:rPr>
          <w:sz w:val="22"/>
        </w:rPr>
        <w:t xml:space="preserve">ounty has its own system for procurement monitoring. The module </w:t>
      </w:r>
      <w:r w:rsidR="00D00E7B">
        <w:rPr>
          <w:sz w:val="22"/>
        </w:rPr>
        <w:t>‘</w:t>
      </w:r>
      <w:r w:rsidR="00E73D90" w:rsidRPr="005849E4">
        <w:rPr>
          <w:sz w:val="22"/>
        </w:rPr>
        <w:t xml:space="preserve">Procurement to </w:t>
      </w:r>
      <w:r w:rsidR="00D00E7B">
        <w:rPr>
          <w:sz w:val="22"/>
        </w:rPr>
        <w:t>P</w:t>
      </w:r>
      <w:r w:rsidR="00E73D90" w:rsidRPr="005849E4">
        <w:rPr>
          <w:sz w:val="22"/>
        </w:rPr>
        <w:t>ay</w:t>
      </w:r>
      <w:r w:rsidR="00D00E7B">
        <w:rPr>
          <w:sz w:val="22"/>
        </w:rPr>
        <w:t>’</w:t>
      </w:r>
      <w:r w:rsidR="00E73D90" w:rsidRPr="005849E4">
        <w:rPr>
          <w:sz w:val="22"/>
        </w:rPr>
        <w:t xml:space="preserve"> (P to P</w:t>
      </w:r>
      <w:r w:rsidR="00EF6C7A" w:rsidRPr="005849E4">
        <w:rPr>
          <w:sz w:val="22"/>
        </w:rPr>
        <w:t>)</w:t>
      </w:r>
      <w:r w:rsidRPr="005849E4">
        <w:rPr>
          <w:sz w:val="22"/>
        </w:rPr>
        <w:t>, which is available at the national level</w:t>
      </w:r>
      <w:r w:rsidR="00D00E7B">
        <w:rPr>
          <w:sz w:val="22"/>
        </w:rPr>
        <w:t>,</w:t>
      </w:r>
      <w:r w:rsidRPr="005849E4">
        <w:rPr>
          <w:sz w:val="22"/>
        </w:rPr>
        <w:t xml:space="preserve"> </w:t>
      </w:r>
      <w:r w:rsidR="00EF6C7A" w:rsidRPr="005849E4">
        <w:rPr>
          <w:sz w:val="22"/>
        </w:rPr>
        <w:t xml:space="preserve">is not used </w:t>
      </w:r>
      <w:r w:rsidRPr="005849E4">
        <w:rPr>
          <w:sz w:val="22"/>
        </w:rPr>
        <w:t xml:space="preserve">by </w:t>
      </w:r>
      <w:r w:rsidR="00EF6C7A" w:rsidRPr="005849E4">
        <w:rPr>
          <w:sz w:val="22"/>
        </w:rPr>
        <w:t xml:space="preserve">the </w:t>
      </w:r>
      <w:r w:rsidR="00D00E7B">
        <w:rPr>
          <w:sz w:val="22"/>
        </w:rPr>
        <w:t>c</w:t>
      </w:r>
      <w:r w:rsidR="00EF6C7A" w:rsidRPr="005849E4">
        <w:rPr>
          <w:sz w:val="22"/>
        </w:rPr>
        <w:t xml:space="preserve">ounty </w:t>
      </w:r>
      <w:r w:rsidR="00E73D90" w:rsidRPr="005849E4">
        <w:rPr>
          <w:sz w:val="22"/>
        </w:rPr>
        <w:t xml:space="preserve">(see PI-24). </w:t>
      </w:r>
    </w:p>
    <w:p w14:paraId="23D2B529" w14:textId="7C9C259E" w:rsidR="00E73D90" w:rsidRPr="005849E4" w:rsidRDefault="00E73D90" w:rsidP="00EB09D7">
      <w:pPr>
        <w:pStyle w:val="ListParagraph"/>
        <w:numPr>
          <w:ilvl w:val="0"/>
          <w:numId w:val="11"/>
        </w:numPr>
        <w:spacing w:after="240"/>
        <w:ind w:left="720" w:hanging="360"/>
        <w:contextualSpacing w:val="0"/>
        <w:rPr>
          <w:sz w:val="22"/>
        </w:rPr>
      </w:pPr>
      <w:r w:rsidRPr="005849E4">
        <w:rPr>
          <w:b/>
          <w:sz w:val="22"/>
        </w:rPr>
        <w:t>Revenue:</w:t>
      </w:r>
      <w:r w:rsidRPr="005849E4">
        <w:rPr>
          <w:sz w:val="22"/>
        </w:rPr>
        <w:t xml:space="preserve"> </w:t>
      </w:r>
      <w:r w:rsidR="00D00E7B">
        <w:rPr>
          <w:sz w:val="22"/>
        </w:rPr>
        <w:t>M</w:t>
      </w:r>
      <w:r w:rsidR="007A393A" w:rsidRPr="005849E4">
        <w:rPr>
          <w:sz w:val="22"/>
        </w:rPr>
        <w:t xml:space="preserve">ost of the </w:t>
      </w:r>
      <w:r w:rsidR="00D00E7B">
        <w:rPr>
          <w:sz w:val="22"/>
        </w:rPr>
        <w:t>c</w:t>
      </w:r>
      <w:r w:rsidR="007A393A" w:rsidRPr="005849E4">
        <w:rPr>
          <w:sz w:val="22"/>
        </w:rPr>
        <w:t xml:space="preserve">ounty’s revenues come from the central administration. </w:t>
      </w:r>
      <w:bookmarkStart w:id="52" w:name="_Hlk526598539"/>
      <w:r w:rsidR="007A393A" w:rsidRPr="005849E4">
        <w:rPr>
          <w:sz w:val="22"/>
        </w:rPr>
        <w:t>T</w:t>
      </w:r>
      <w:r w:rsidRPr="005849E4">
        <w:rPr>
          <w:sz w:val="22"/>
        </w:rPr>
        <w:t xml:space="preserve">he </w:t>
      </w:r>
      <w:r w:rsidR="00D00E7B">
        <w:rPr>
          <w:sz w:val="22"/>
        </w:rPr>
        <w:t>c</w:t>
      </w:r>
      <w:r w:rsidR="000E2D4F" w:rsidRPr="005849E4">
        <w:rPr>
          <w:sz w:val="22"/>
        </w:rPr>
        <w:t>ounty</w:t>
      </w:r>
      <w:r w:rsidRPr="005849E4">
        <w:rPr>
          <w:sz w:val="22"/>
        </w:rPr>
        <w:t xml:space="preserve"> has its own IT-based tax administration system known as </w:t>
      </w:r>
      <w:r w:rsidR="007A393A" w:rsidRPr="005849E4">
        <w:rPr>
          <w:sz w:val="22"/>
        </w:rPr>
        <w:t>LAIFOMS to collect some of the revenues</w:t>
      </w:r>
      <w:bookmarkEnd w:id="52"/>
      <w:r w:rsidR="007A393A" w:rsidRPr="005849E4">
        <w:rPr>
          <w:sz w:val="22"/>
        </w:rPr>
        <w:t>.</w:t>
      </w:r>
      <w:r w:rsidRPr="005849E4">
        <w:rPr>
          <w:sz w:val="22"/>
        </w:rPr>
        <w:t xml:space="preserve"> This </w:t>
      </w:r>
      <w:r w:rsidR="007A393A" w:rsidRPr="005849E4">
        <w:rPr>
          <w:sz w:val="22"/>
        </w:rPr>
        <w:t xml:space="preserve">system </w:t>
      </w:r>
      <w:r w:rsidRPr="005849E4">
        <w:rPr>
          <w:sz w:val="22"/>
        </w:rPr>
        <w:t xml:space="preserve">is not integrated with </w:t>
      </w:r>
      <w:r w:rsidR="00E11CFA">
        <w:rPr>
          <w:sz w:val="22"/>
        </w:rPr>
        <w:t xml:space="preserve">the </w:t>
      </w:r>
      <w:r w:rsidRPr="005849E4">
        <w:rPr>
          <w:sz w:val="22"/>
        </w:rPr>
        <w:t>IFMIS</w:t>
      </w:r>
      <w:r w:rsidR="007A393A" w:rsidRPr="005849E4">
        <w:rPr>
          <w:sz w:val="22"/>
        </w:rPr>
        <w:t xml:space="preserve"> (see PI-20).</w:t>
      </w:r>
    </w:p>
    <w:p w14:paraId="657C9F5D" w14:textId="53A9960F" w:rsidR="00E73D90" w:rsidRPr="005849E4" w:rsidRDefault="00E73D90" w:rsidP="00EB09D7">
      <w:pPr>
        <w:pStyle w:val="ListParagraph"/>
        <w:numPr>
          <w:ilvl w:val="0"/>
          <w:numId w:val="11"/>
        </w:numPr>
        <w:spacing w:after="240"/>
        <w:ind w:left="720" w:hanging="360"/>
        <w:contextualSpacing w:val="0"/>
        <w:rPr>
          <w:sz w:val="22"/>
        </w:rPr>
      </w:pPr>
      <w:r w:rsidRPr="005849E4">
        <w:rPr>
          <w:b/>
          <w:sz w:val="22"/>
        </w:rPr>
        <w:t>Payroll:</w:t>
      </w:r>
      <w:r w:rsidRPr="005849E4">
        <w:rPr>
          <w:sz w:val="22"/>
        </w:rPr>
        <w:t xml:space="preserve"> </w:t>
      </w:r>
      <w:r w:rsidR="00550954" w:rsidRPr="005849E4">
        <w:rPr>
          <w:sz w:val="22"/>
        </w:rPr>
        <w:t>The county government uses the Integrated Personnel Payment Database (IPPD) management system for human resource management and the county pays wages through</w:t>
      </w:r>
      <w:r w:rsidR="00B51264">
        <w:rPr>
          <w:sz w:val="22"/>
        </w:rPr>
        <w:t xml:space="preserve"> the</w:t>
      </w:r>
      <w:r w:rsidR="00550954" w:rsidRPr="005849E4">
        <w:rPr>
          <w:sz w:val="22"/>
        </w:rPr>
        <w:t xml:space="preserve"> IFMIS. However, </w:t>
      </w:r>
      <w:r w:rsidRPr="005849E4">
        <w:rPr>
          <w:sz w:val="22"/>
        </w:rPr>
        <w:t xml:space="preserve">the IPPD system is not yet integrated with </w:t>
      </w:r>
      <w:r w:rsidR="00B51264">
        <w:rPr>
          <w:sz w:val="22"/>
        </w:rPr>
        <w:t xml:space="preserve">the </w:t>
      </w:r>
      <w:r w:rsidRPr="005849E4">
        <w:rPr>
          <w:sz w:val="22"/>
        </w:rPr>
        <w:t>IFMIS</w:t>
      </w:r>
      <w:r w:rsidR="00550954" w:rsidRPr="005849E4">
        <w:rPr>
          <w:sz w:val="22"/>
        </w:rPr>
        <w:t xml:space="preserve">, as </w:t>
      </w:r>
      <w:r w:rsidRPr="005849E4">
        <w:rPr>
          <w:sz w:val="22"/>
        </w:rPr>
        <w:t xml:space="preserve">the payroll </w:t>
      </w:r>
      <w:r w:rsidR="00550954" w:rsidRPr="005849E4">
        <w:rPr>
          <w:sz w:val="22"/>
        </w:rPr>
        <w:t xml:space="preserve">is </w:t>
      </w:r>
      <w:r w:rsidRPr="005849E4">
        <w:rPr>
          <w:sz w:val="22"/>
        </w:rPr>
        <w:t xml:space="preserve">prepared in </w:t>
      </w:r>
      <w:r w:rsidR="00B51264">
        <w:rPr>
          <w:sz w:val="22"/>
        </w:rPr>
        <w:t xml:space="preserve">the </w:t>
      </w:r>
      <w:r w:rsidRPr="005849E4">
        <w:rPr>
          <w:sz w:val="22"/>
        </w:rPr>
        <w:t xml:space="preserve">IPPD </w:t>
      </w:r>
      <w:r w:rsidR="00550954" w:rsidRPr="005849E4">
        <w:rPr>
          <w:sz w:val="22"/>
        </w:rPr>
        <w:t>and then</w:t>
      </w:r>
      <w:r w:rsidRPr="005849E4">
        <w:rPr>
          <w:sz w:val="22"/>
        </w:rPr>
        <w:t xml:space="preserve"> manually extracted</w:t>
      </w:r>
      <w:r w:rsidR="00550954" w:rsidRPr="005849E4">
        <w:rPr>
          <w:sz w:val="22"/>
        </w:rPr>
        <w:t>.</w:t>
      </w:r>
    </w:p>
    <w:p w14:paraId="0B890351" w14:textId="20FB4013" w:rsidR="000D5995" w:rsidRPr="00796F6B" w:rsidRDefault="000D5995" w:rsidP="00796F6B">
      <w:pPr>
        <w:pStyle w:val="Heading3"/>
      </w:pPr>
      <w:bookmarkStart w:id="53" w:name="_Toc532426034"/>
      <w:r w:rsidRPr="00796F6B">
        <w:t>Other important features of PFM</w:t>
      </w:r>
      <w:bookmarkEnd w:id="53"/>
    </w:p>
    <w:p w14:paraId="6AE9790A" w14:textId="5AD1A099" w:rsidR="000D5995" w:rsidRPr="005849E4" w:rsidRDefault="000D5995" w:rsidP="000D5995">
      <w:pPr>
        <w:rPr>
          <w:rStyle w:val="SubtleEmphasis"/>
          <w:rFonts w:eastAsia="Arial"/>
          <w:i w:val="0"/>
          <w:sz w:val="20"/>
          <w:lang w:eastAsia="en-US"/>
        </w:rPr>
      </w:pPr>
      <w:r w:rsidRPr="005849E4">
        <w:rPr>
          <w:sz w:val="22"/>
        </w:rPr>
        <w:t xml:space="preserve">Public participation is a requirement of the Constitution of Kenya and is stipulated as a function of the Kajiado County Government. Kajiado legislation outlines the principles of public participation and the imperative for facilitating public participation in the work of the </w:t>
      </w:r>
      <w:r w:rsidR="00B51264">
        <w:rPr>
          <w:sz w:val="22"/>
        </w:rPr>
        <w:t>c</w:t>
      </w:r>
      <w:r w:rsidRPr="005849E4">
        <w:rPr>
          <w:sz w:val="22"/>
        </w:rPr>
        <w:t xml:space="preserve">ounty government. Invitation to public participation sector consultative forums for preparation of </w:t>
      </w:r>
      <w:r w:rsidR="008B6A0A">
        <w:rPr>
          <w:sz w:val="22"/>
        </w:rPr>
        <w:t xml:space="preserve">the </w:t>
      </w:r>
      <w:r w:rsidR="008B6A0A" w:rsidRPr="009D494D">
        <w:rPr>
          <w:sz w:val="22"/>
        </w:rPr>
        <w:t xml:space="preserve">Medium Term Expenditure Framework </w:t>
      </w:r>
      <w:r w:rsidR="00BA77EE">
        <w:rPr>
          <w:sz w:val="22"/>
        </w:rPr>
        <w:t>(</w:t>
      </w:r>
      <w:r w:rsidRPr="005849E4">
        <w:rPr>
          <w:sz w:val="22"/>
        </w:rPr>
        <w:t>MTEF</w:t>
      </w:r>
      <w:r w:rsidR="00BA77EE">
        <w:rPr>
          <w:sz w:val="22"/>
        </w:rPr>
        <w:t>)</w:t>
      </w:r>
      <w:r w:rsidRPr="005849E4">
        <w:rPr>
          <w:sz w:val="22"/>
        </w:rPr>
        <w:t xml:space="preserve"> budget is published on the website of the </w:t>
      </w:r>
      <w:r w:rsidR="00B51264">
        <w:rPr>
          <w:sz w:val="22"/>
        </w:rPr>
        <w:t>C</w:t>
      </w:r>
      <w:r w:rsidRPr="005849E4">
        <w:rPr>
          <w:sz w:val="22"/>
        </w:rPr>
        <w:t xml:space="preserve">ounty </w:t>
      </w:r>
      <w:r w:rsidR="00B51264">
        <w:rPr>
          <w:sz w:val="22"/>
        </w:rPr>
        <w:t>E</w:t>
      </w:r>
      <w:r w:rsidRPr="005849E4">
        <w:rPr>
          <w:sz w:val="22"/>
        </w:rPr>
        <w:t>xecutive.</w:t>
      </w:r>
    </w:p>
    <w:p w14:paraId="150E70BE" w14:textId="77777777" w:rsidR="000D5995" w:rsidRPr="00890A84" w:rsidRDefault="000D5995" w:rsidP="00365229">
      <w:pPr>
        <w:rPr>
          <w:rStyle w:val="Emphasis"/>
          <w:sz w:val="22"/>
        </w:rPr>
      </w:pPr>
    </w:p>
    <w:p w14:paraId="28F3B4F8" w14:textId="370AFF53" w:rsidR="00F25DF0" w:rsidRPr="00196FAE" w:rsidRDefault="00CA52CE" w:rsidP="00671E8A">
      <w:pPr>
        <w:pStyle w:val="Heading1"/>
        <w:rPr>
          <w:smallCaps w:val="0"/>
        </w:rPr>
      </w:pPr>
      <w:bookmarkStart w:id="54" w:name="_Toc150872"/>
      <w:bookmarkStart w:id="55" w:name="_Toc532426035"/>
      <w:r w:rsidRPr="00196FAE">
        <w:rPr>
          <w:smallCaps w:val="0"/>
        </w:rPr>
        <w:t xml:space="preserve">Assessment of PFM </w:t>
      </w:r>
      <w:r w:rsidR="00196FAE">
        <w:rPr>
          <w:smallCaps w:val="0"/>
        </w:rPr>
        <w:t>P</w:t>
      </w:r>
      <w:r w:rsidRPr="00196FAE">
        <w:rPr>
          <w:smallCaps w:val="0"/>
        </w:rPr>
        <w:t>erformance</w:t>
      </w:r>
      <w:bookmarkEnd w:id="54"/>
      <w:bookmarkEnd w:id="55"/>
    </w:p>
    <w:p w14:paraId="43FF3C0E" w14:textId="77777777" w:rsidR="00F25DF0" w:rsidRPr="00890A84" w:rsidRDefault="0076055C" w:rsidP="00776E84">
      <w:pPr>
        <w:pStyle w:val="Heading2"/>
      </w:pPr>
      <w:bookmarkStart w:id="56" w:name="_Toc532426036"/>
      <w:r w:rsidRPr="00890A84">
        <w:t>Sub</w:t>
      </w:r>
      <w:r>
        <w:t>national</w:t>
      </w:r>
      <w:r w:rsidR="00F25DF0">
        <w:t xml:space="preserve"> Government p</w:t>
      </w:r>
      <w:r w:rsidR="00F25DF0" w:rsidRPr="00890A84">
        <w:t>rofile</w:t>
      </w:r>
      <w:bookmarkEnd w:id="56"/>
    </w:p>
    <w:p w14:paraId="31AFB1E3" w14:textId="77777777" w:rsidR="00F25DF0" w:rsidRPr="00890A84" w:rsidRDefault="00F25DF0" w:rsidP="00BA6B2B">
      <w:pPr>
        <w:pStyle w:val="Heading5"/>
      </w:pPr>
      <w:r w:rsidRPr="00890A84">
        <w:t>Description</w:t>
      </w:r>
      <w:r w:rsidR="003D11A0">
        <w:t xml:space="preserve"> </w:t>
      </w:r>
    </w:p>
    <w:p w14:paraId="02FA6335" w14:textId="45CAD79B" w:rsidR="00171D87" w:rsidRPr="005849E4" w:rsidRDefault="00171D87" w:rsidP="0045183B">
      <w:pPr>
        <w:spacing w:after="240"/>
        <w:rPr>
          <w:sz w:val="22"/>
        </w:rPr>
      </w:pPr>
      <w:r w:rsidRPr="005849E4">
        <w:rPr>
          <w:sz w:val="22"/>
        </w:rPr>
        <w:t>The main sources of revenue for the county governments in Kenya are equitable share, conditional grants</w:t>
      </w:r>
      <w:r w:rsidR="00B02975">
        <w:rPr>
          <w:sz w:val="22"/>
        </w:rPr>
        <w:t>,</w:t>
      </w:r>
      <w:r w:rsidRPr="005849E4">
        <w:rPr>
          <w:sz w:val="22"/>
        </w:rPr>
        <w:t xml:space="preserve"> and own</w:t>
      </w:r>
      <w:r w:rsidR="00B02975">
        <w:rPr>
          <w:sz w:val="22"/>
        </w:rPr>
        <w:t>-</w:t>
      </w:r>
      <w:r w:rsidRPr="005849E4">
        <w:rPr>
          <w:sz w:val="22"/>
        </w:rPr>
        <w:t xml:space="preserve">source revenues. Revenues originating from national government are described as follows: </w:t>
      </w:r>
    </w:p>
    <w:p w14:paraId="5ABCAAF0" w14:textId="45847A76" w:rsidR="00171D87" w:rsidRPr="005849E4" w:rsidRDefault="00171D87" w:rsidP="00EB09D7">
      <w:pPr>
        <w:pStyle w:val="ListParagraph"/>
        <w:numPr>
          <w:ilvl w:val="0"/>
          <w:numId w:val="11"/>
        </w:numPr>
        <w:spacing w:after="240"/>
        <w:ind w:left="720" w:hanging="360"/>
        <w:contextualSpacing w:val="0"/>
        <w:rPr>
          <w:sz w:val="22"/>
        </w:rPr>
      </w:pPr>
      <w:r w:rsidRPr="005849E4">
        <w:rPr>
          <w:b/>
          <w:sz w:val="22"/>
        </w:rPr>
        <w:t>Equitable share:</w:t>
      </w:r>
      <w:r w:rsidRPr="005849E4">
        <w:rPr>
          <w:sz w:val="22"/>
        </w:rPr>
        <w:t xml:space="preserve"> This constitutes the revenue raised by the </w:t>
      </w:r>
      <w:r w:rsidR="00B02975">
        <w:rPr>
          <w:sz w:val="22"/>
        </w:rPr>
        <w:t>n</w:t>
      </w:r>
      <w:r w:rsidRPr="005849E4">
        <w:rPr>
          <w:sz w:val="22"/>
        </w:rPr>
        <w:t xml:space="preserve">ational </w:t>
      </w:r>
      <w:r w:rsidR="00B02975">
        <w:rPr>
          <w:sz w:val="22"/>
        </w:rPr>
        <w:t>g</w:t>
      </w:r>
      <w:r w:rsidRPr="005849E4">
        <w:rPr>
          <w:sz w:val="22"/>
        </w:rPr>
        <w:t>overnment and equitably allocated to all county governments in accordance with Article 203 of the Constitution of Kenya 2010. The allocation should be at least 15</w:t>
      </w:r>
      <w:r w:rsidR="00B02975">
        <w:rPr>
          <w:sz w:val="22"/>
        </w:rPr>
        <w:t xml:space="preserve"> percent</w:t>
      </w:r>
      <w:r w:rsidRPr="005849E4">
        <w:rPr>
          <w:sz w:val="22"/>
        </w:rPr>
        <w:t xml:space="preserve"> of national revenue based on the most recent audited accounts of revenue received, as approved by the National Assembly.</w:t>
      </w:r>
    </w:p>
    <w:p w14:paraId="33126208" w14:textId="3A0E0EB2" w:rsidR="003E5B0C" w:rsidRPr="005849E4" w:rsidRDefault="00171D87" w:rsidP="00EB09D7">
      <w:pPr>
        <w:pStyle w:val="ListParagraph"/>
        <w:numPr>
          <w:ilvl w:val="0"/>
          <w:numId w:val="11"/>
        </w:numPr>
        <w:spacing w:after="240"/>
        <w:ind w:left="720" w:hanging="360"/>
        <w:contextualSpacing w:val="0"/>
        <w:rPr>
          <w:sz w:val="22"/>
        </w:rPr>
      </w:pPr>
      <w:r w:rsidRPr="005849E4">
        <w:rPr>
          <w:b/>
          <w:sz w:val="22"/>
        </w:rPr>
        <w:t xml:space="preserve">Conditional </w:t>
      </w:r>
      <w:r w:rsidR="00B02975">
        <w:rPr>
          <w:b/>
          <w:sz w:val="22"/>
        </w:rPr>
        <w:t>g</w:t>
      </w:r>
      <w:r w:rsidRPr="005849E4">
        <w:rPr>
          <w:b/>
          <w:sz w:val="22"/>
        </w:rPr>
        <w:t>rants:</w:t>
      </w:r>
      <w:r w:rsidRPr="005849E4">
        <w:rPr>
          <w:sz w:val="22"/>
        </w:rPr>
        <w:t xml:space="preserve"> This is provided for under Article 202 of the Constitution of Kenya and constitutes additional allocations from the </w:t>
      </w:r>
      <w:r w:rsidR="00B02975">
        <w:rPr>
          <w:sz w:val="22"/>
        </w:rPr>
        <w:t>n</w:t>
      </w:r>
      <w:r w:rsidRPr="005849E4">
        <w:rPr>
          <w:sz w:val="22"/>
        </w:rPr>
        <w:t xml:space="preserve">ational </w:t>
      </w:r>
      <w:r w:rsidR="00B02975">
        <w:rPr>
          <w:sz w:val="22"/>
        </w:rPr>
        <w:t>g</w:t>
      </w:r>
      <w:r w:rsidRPr="005849E4">
        <w:rPr>
          <w:sz w:val="22"/>
        </w:rPr>
        <w:t>overnment</w:t>
      </w:r>
      <w:r w:rsidR="00B02975">
        <w:rPr>
          <w:sz w:val="22"/>
        </w:rPr>
        <w:t>’</w:t>
      </w:r>
      <w:r w:rsidRPr="005849E4">
        <w:rPr>
          <w:sz w:val="22"/>
        </w:rPr>
        <w:t xml:space="preserve">s share of revenue, either conditionally or unconditionally. </w:t>
      </w:r>
    </w:p>
    <w:p w14:paraId="52A2F1F1" w14:textId="77777777" w:rsidR="003E5B0C" w:rsidRPr="00BA6B2B" w:rsidRDefault="003E5B0C" w:rsidP="00BA6B2B">
      <w:pPr>
        <w:pStyle w:val="Heading5"/>
      </w:pPr>
      <w:r w:rsidRPr="00BA6B2B">
        <w:t>Summary of scores and performance table</w:t>
      </w:r>
    </w:p>
    <w:tbl>
      <w:tblPr>
        <w:tblW w:w="4985"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20" w:firstRow="1" w:lastRow="0" w:firstColumn="0" w:lastColumn="0" w:noHBand="1" w:noVBand="1"/>
      </w:tblPr>
      <w:tblGrid>
        <w:gridCol w:w="3270"/>
        <w:gridCol w:w="548"/>
        <w:gridCol w:w="5504"/>
      </w:tblGrid>
      <w:tr w:rsidR="003E5B0C" w:rsidRPr="00C87C03" w14:paraId="37BF0EC1" w14:textId="77777777" w:rsidTr="00B02975">
        <w:tc>
          <w:tcPr>
            <w:tcW w:w="1754" w:type="pct"/>
            <w:shd w:val="clear" w:color="auto" w:fill="5B9BD5"/>
          </w:tcPr>
          <w:p w14:paraId="50288F2E" w14:textId="77777777" w:rsidR="003E5B0C" w:rsidRPr="00C87C03" w:rsidRDefault="003E5B0C" w:rsidP="00B02975">
            <w:pPr>
              <w:jc w:val="center"/>
              <w:rPr>
                <w:b/>
                <w:color w:val="FFFFFF" w:themeColor="background1"/>
                <w:sz w:val="20"/>
                <w:szCs w:val="20"/>
              </w:rPr>
            </w:pPr>
            <w:r w:rsidRPr="00C87C03">
              <w:rPr>
                <w:b/>
                <w:color w:val="FFFFFF" w:themeColor="background1"/>
                <w:sz w:val="20"/>
                <w:szCs w:val="20"/>
              </w:rPr>
              <w:t>Performance Subnational PEFA indicators (M1)</w:t>
            </w:r>
          </w:p>
        </w:tc>
        <w:tc>
          <w:tcPr>
            <w:tcW w:w="294" w:type="pct"/>
            <w:shd w:val="clear" w:color="auto" w:fill="5B9BD5"/>
          </w:tcPr>
          <w:p w14:paraId="3F09AF61" w14:textId="77777777" w:rsidR="003E5B0C" w:rsidRPr="00C87C03" w:rsidRDefault="003E5B0C" w:rsidP="00B02975">
            <w:pPr>
              <w:jc w:val="center"/>
              <w:rPr>
                <w:b/>
                <w:color w:val="FFFFFF" w:themeColor="background1"/>
                <w:sz w:val="20"/>
                <w:szCs w:val="20"/>
              </w:rPr>
            </w:pPr>
            <w:r w:rsidRPr="00C87C03">
              <w:rPr>
                <w:b/>
                <w:color w:val="FFFFFF" w:themeColor="background1"/>
                <w:sz w:val="20"/>
                <w:szCs w:val="20"/>
              </w:rPr>
              <w:t>D+</w:t>
            </w:r>
          </w:p>
        </w:tc>
        <w:tc>
          <w:tcPr>
            <w:tcW w:w="2952" w:type="pct"/>
            <w:shd w:val="clear" w:color="auto" w:fill="5B9BD5"/>
          </w:tcPr>
          <w:p w14:paraId="7199E3A4" w14:textId="77777777" w:rsidR="003E5B0C" w:rsidRPr="00C87C03" w:rsidRDefault="003E5B0C" w:rsidP="00B02975">
            <w:pPr>
              <w:jc w:val="center"/>
              <w:rPr>
                <w:b/>
                <w:color w:val="FFFFFF" w:themeColor="background1"/>
                <w:sz w:val="20"/>
                <w:szCs w:val="20"/>
              </w:rPr>
            </w:pPr>
            <w:r w:rsidRPr="00C87C03">
              <w:rPr>
                <w:b/>
                <w:color w:val="FFFFFF" w:themeColor="background1"/>
                <w:sz w:val="20"/>
                <w:szCs w:val="20"/>
              </w:rPr>
              <w:t>Brief justification for score</w:t>
            </w:r>
          </w:p>
        </w:tc>
      </w:tr>
      <w:tr w:rsidR="003E5B0C" w:rsidRPr="00C87C03" w14:paraId="5CEF2A9C" w14:textId="77777777" w:rsidTr="00B02975">
        <w:tc>
          <w:tcPr>
            <w:tcW w:w="1754" w:type="pct"/>
            <w:shd w:val="clear" w:color="auto" w:fill="auto"/>
          </w:tcPr>
          <w:p w14:paraId="37A5C57A" w14:textId="77777777" w:rsidR="003E5B0C" w:rsidRPr="00C87C03" w:rsidRDefault="003E5B0C" w:rsidP="00B02975">
            <w:pPr>
              <w:jc w:val="left"/>
              <w:rPr>
                <w:sz w:val="20"/>
                <w:szCs w:val="20"/>
              </w:rPr>
            </w:pPr>
            <w:r w:rsidRPr="00C87C03">
              <w:rPr>
                <w:sz w:val="20"/>
                <w:szCs w:val="20"/>
              </w:rPr>
              <w:t>HLG-1.1 Outturn of transfers from higher-level government</w:t>
            </w:r>
          </w:p>
        </w:tc>
        <w:tc>
          <w:tcPr>
            <w:tcW w:w="294" w:type="pct"/>
            <w:shd w:val="clear" w:color="auto" w:fill="auto"/>
          </w:tcPr>
          <w:p w14:paraId="6D95981C" w14:textId="77777777" w:rsidR="003E5B0C" w:rsidRPr="00C87C03" w:rsidRDefault="003E5B0C" w:rsidP="003A5747">
            <w:pPr>
              <w:rPr>
                <w:sz w:val="20"/>
                <w:szCs w:val="20"/>
              </w:rPr>
            </w:pPr>
            <w:r w:rsidRPr="00C87C03">
              <w:rPr>
                <w:sz w:val="20"/>
                <w:szCs w:val="20"/>
              </w:rPr>
              <w:t>A</w:t>
            </w:r>
          </w:p>
        </w:tc>
        <w:tc>
          <w:tcPr>
            <w:tcW w:w="2952" w:type="pct"/>
            <w:shd w:val="clear" w:color="auto" w:fill="auto"/>
          </w:tcPr>
          <w:p w14:paraId="1EF94C41" w14:textId="77777777" w:rsidR="003E5B0C" w:rsidRPr="00C87C03" w:rsidRDefault="003E5B0C" w:rsidP="00B02975">
            <w:pPr>
              <w:jc w:val="left"/>
              <w:rPr>
                <w:sz w:val="20"/>
                <w:szCs w:val="20"/>
              </w:rPr>
            </w:pPr>
            <w:r w:rsidRPr="00C87C03">
              <w:rPr>
                <w:sz w:val="20"/>
                <w:szCs w:val="20"/>
              </w:rPr>
              <w:t>Transfers have been at least 95 per cent of the original budget estimate in two of the last three years.</w:t>
            </w:r>
          </w:p>
        </w:tc>
      </w:tr>
      <w:tr w:rsidR="003E5B0C" w:rsidRPr="00C87C03" w14:paraId="37ADB6DC" w14:textId="77777777" w:rsidTr="00B02975">
        <w:tc>
          <w:tcPr>
            <w:tcW w:w="1754" w:type="pct"/>
            <w:shd w:val="clear" w:color="auto" w:fill="auto"/>
          </w:tcPr>
          <w:p w14:paraId="5E428A12" w14:textId="77777777" w:rsidR="003E5B0C" w:rsidRPr="00C87C03" w:rsidRDefault="003E5B0C" w:rsidP="00B02975">
            <w:pPr>
              <w:jc w:val="left"/>
              <w:rPr>
                <w:sz w:val="20"/>
                <w:szCs w:val="20"/>
              </w:rPr>
            </w:pPr>
            <w:r w:rsidRPr="00C87C03">
              <w:rPr>
                <w:sz w:val="20"/>
                <w:szCs w:val="20"/>
              </w:rPr>
              <w:t>HLG-1.2 Earmarked grants outturn</w:t>
            </w:r>
          </w:p>
        </w:tc>
        <w:tc>
          <w:tcPr>
            <w:tcW w:w="294" w:type="pct"/>
            <w:shd w:val="clear" w:color="auto" w:fill="auto"/>
          </w:tcPr>
          <w:p w14:paraId="39B7C7DB" w14:textId="3BAC2AEB" w:rsidR="003E5B0C" w:rsidRPr="00C87C03" w:rsidRDefault="008F7B9C" w:rsidP="003A5747">
            <w:pPr>
              <w:rPr>
                <w:sz w:val="20"/>
                <w:szCs w:val="20"/>
              </w:rPr>
            </w:pPr>
            <w:r w:rsidRPr="00C87C03">
              <w:rPr>
                <w:sz w:val="20"/>
                <w:szCs w:val="20"/>
              </w:rPr>
              <w:t>B</w:t>
            </w:r>
          </w:p>
        </w:tc>
        <w:tc>
          <w:tcPr>
            <w:tcW w:w="2952" w:type="pct"/>
            <w:shd w:val="clear" w:color="auto" w:fill="auto"/>
          </w:tcPr>
          <w:p w14:paraId="5A7AE4F0" w14:textId="67F85F08" w:rsidR="003E5B0C" w:rsidRPr="00C87C03" w:rsidRDefault="008F7B9C" w:rsidP="00B02975">
            <w:pPr>
              <w:jc w:val="left"/>
              <w:rPr>
                <w:sz w:val="20"/>
                <w:szCs w:val="20"/>
              </w:rPr>
            </w:pPr>
            <w:r w:rsidRPr="00C87C03">
              <w:rPr>
                <w:sz w:val="20"/>
                <w:szCs w:val="20"/>
              </w:rPr>
              <w:t>The difference between the original budget estimate and actual transfers and grants was less than 5 percent or less in two of the last three years. The score for this component is B.</w:t>
            </w:r>
          </w:p>
        </w:tc>
      </w:tr>
      <w:tr w:rsidR="003E5B0C" w:rsidRPr="00C87C03" w14:paraId="6866143B" w14:textId="77777777" w:rsidTr="00B02975">
        <w:tc>
          <w:tcPr>
            <w:tcW w:w="1754" w:type="pct"/>
            <w:shd w:val="clear" w:color="auto" w:fill="auto"/>
          </w:tcPr>
          <w:p w14:paraId="1E4CF070" w14:textId="77777777" w:rsidR="003E5B0C" w:rsidRPr="00C87C03" w:rsidRDefault="003E5B0C" w:rsidP="00B02975">
            <w:pPr>
              <w:jc w:val="left"/>
              <w:rPr>
                <w:sz w:val="20"/>
                <w:szCs w:val="20"/>
              </w:rPr>
            </w:pPr>
            <w:r w:rsidRPr="00C87C03">
              <w:rPr>
                <w:sz w:val="20"/>
                <w:szCs w:val="20"/>
              </w:rPr>
              <w:t>HLG-1.3 Timeliness of transfers from higher-level government</w:t>
            </w:r>
          </w:p>
        </w:tc>
        <w:tc>
          <w:tcPr>
            <w:tcW w:w="294" w:type="pct"/>
            <w:shd w:val="clear" w:color="auto" w:fill="auto"/>
          </w:tcPr>
          <w:p w14:paraId="08B0BC5A" w14:textId="3ECE79E9" w:rsidR="003E5B0C" w:rsidRPr="00C87C03" w:rsidRDefault="003E5B0C" w:rsidP="003A5747">
            <w:pPr>
              <w:rPr>
                <w:sz w:val="20"/>
                <w:szCs w:val="20"/>
              </w:rPr>
            </w:pPr>
            <w:r w:rsidRPr="00C87C03">
              <w:rPr>
                <w:sz w:val="20"/>
                <w:szCs w:val="20"/>
              </w:rPr>
              <w:t>D</w:t>
            </w:r>
            <w:r w:rsidR="00130D14" w:rsidRPr="00C87C03">
              <w:rPr>
                <w:sz w:val="20"/>
                <w:szCs w:val="20"/>
              </w:rPr>
              <w:t>*</w:t>
            </w:r>
          </w:p>
        </w:tc>
        <w:tc>
          <w:tcPr>
            <w:tcW w:w="2952" w:type="pct"/>
            <w:shd w:val="clear" w:color="auto" w:fill="auto"/>
          </w:tcPr>
          <w:p w14:paraId="7F367CFE" w14:textId="5326F7E1" w:rsidR="003E5B0C" w:rsidRPr="00C87C03" w:rsidRDefault="003E5B0C" w:rsidP="00B02975">
            <w:pPr>
              <w:jc w:val="left"/>
              <w:rPr>
                <w:sz w:val="20"/>
                <w:szCs w:val="20"/>
              </w:rPr>
            </w:pPr>
            <w:r w:rsidRPr="00C87C03">
              <w:rPr>
                <w:sz w:val="20"/>
                <w:szCs w:val="20"/>
              </w:rPr>
              <w:t xml:space="preserve">Quarterly transfers should be released quarterly, </w:t>
            </w:r>
            <w:bookmarkStart w:id="57" w:name="_Hlk516327146"/>
            <w:r w:rsidRPr="00C87C03">
              <w:rPr>
                <w:sz w:val="20"/>
                <w:szCs w:val="20"/>
              </w:rPr>
              <w:t xml:space="preserve">but the effective dates were not provided and important delays were reported in </w:t>
            </w:r>
            <w:r w:rsidR="00B02975">
              <w:rPr>
                <w:sz w:val="20"/>
                <w:szCs w:val="20"/>
              </w:rPr>
              <w:t xml:space="preserve">the </w:t>
            </w:r>
            <w:r w:rsidRPr="00C87C03">
              <w:rPr>
                <w:sz w:val="20"/>
                <w:szCs w:val="20"/>
              </w:rPr>
              <w:t>CFSP and in the press.</w:t>
            </w:r>
            <w:bookmarkEnd w:id="57"/>
          </w:p>
        </w:tc>
      </w:tr>
    </w:tbl>
    <w:p w14:paraId="38BD74FB" w14:textId="77777777" w:rsidR="00F25DF0" w:rsidRPr="00890A84" w:rsidRDefault="00F25DF0" w:rsidP="00BA6B2B">
      <w:pPr>
        <w:pStyle w:val="Heading5"/>
      </w:pPr>
      <w:r w:rsidRPr="00890A84">
        <w:t xml:space="preserve">HLG-1.1. Outturn of transfers from higher-level government </w:t>
      </w:r>
    </w:p>
    <w:p w14:paraId="573D9AF2" w14:textId="05F7759F" w:rsidR="00F25DF0" w:rsidRPr="005849E4" w:rsidRDefault="00F25DF0" w:rsidP="00C87C03">
      <w:pPr>
        <w:spacing w:after="240"/>
        <w:rPr>
          <w:sz w:val="22"/>
        </w:rPr>
      </w:pPr>
      <w:r w:rsidRPr="005849E4">
        <w:rPr>
          <w:sz w:val="22"/>
        </w:rPr>
        <w:t>Article 216 mandates the Commission to make recommendations on the equitable basis for revenue sharing among county governments. Article 217 (1) mandates the Senate to determine</w:t>
      </w:r>
      <w:r w:rsidR="00B02975">
        <w:rPr>
          <w:sz w:val="22"/>
        </w:rPr>
        <w:t>,</w:t>
      </w:r>
      <w:r w:rsidRPr="005849E4">
        <w:rPr>
          <w:sz w:val="22"/>
        </w:rPr>
        <w:t xml:space="preserve"> once every five years</w:t>
      </w:r>
      <w:r w:rsidR="00B02975">
        <w:rPr>
          <w:sz w:val="22"/>
        </w:rPr>
        <w:t>,</w:t>
      </w:r>
      <w:r w:rsidRPr="005849E4">
        <w:rPr>
          <w:sz w:val="22"/>
        </w:rPr>
        <w:t xml:space="preserve"> the basis for allocating among counties the share of national revenue that is annually allocated to </w:t>
      </w:r>
      <w:r w:rsidR="00B02975">
        <w:rPr>
          <w:sz w:val="22"/>
        </w:rPr>
        <w:t xml:space="preserve">the </w:t>
      </w:r>
      <w:r w:rsidRPr="005849E4">
        <w:rPr>
          <w:sz w:val="22"/>
        </w:rPr>
        <w:t xml:space="preserve">county government. The Sixth Schedule Section 16 provides for preparation of the first and second basis of sharing revenue </w:t>
      </w:r>
      <w:r w:rsidR="00B02975">
        <w:rPr>
          <w:sz w:val="22"/>
        </w:rPr>
        <w:t xml:space="preserve">to </w:t>
      </w:r>
      <w:r w:rsidRPr="005849E4">
        <w:rPr>
          <w:sz w:val="22"/>
        </w:rPr>
        <w:t xml:space="preserve">be made at </w:t>
      </w:r>
      <w:r w:rsidR="00400265" w:rsidRPr="005849E4">
        <w:rPr>
          <w:sz w:val="22"/>
        </w:rPr>
        <w:t>three-year</w:t>
      </w:r>
      <w:r w:rsidRPr="005849E4">
        <w:rPr>
          <w:sz w:val="22"/>
        </w:rPr>
        <w:t xml:space="preserve"> intervals. The first formula was approved by </w:t>
      </w:r>
      <w:r w:rsidR="00BA6B2B" w:rsidRPr="005849E4">
        <w:rPr>
          <w:sz w:val="22"/>
        </w:rPr>
        <w:t xml:space="preserve">the 10th Parliament in November </w:t>
      </w:r>
      <w:r w:rsidRPr="005849E4">
        <w:rPr>
          <w:sz w:val="22"/>
        </w:rPr>
        <w:t>2012.</w:t>
      </w:r>
    </w:p>
    <w:p w14:paraId="29DA48B2" w14:textId="3764E3C2" w:rsidR="00F25DF0" w:rsidRPr="005849E4" w:rsidRDefault="00F25DF0" w:rsidP="00C87C03">
      <w:pPr>
        <w:spacing w:after="240"/>
        <w:rPr>
          <w:sz w:val="22"/>
        </w:rPr>
      </w:pPr>
      <w:r w:rsidRPr="005849E4">
        <w:rPr>
          <w:sz w:val="22"/>
        </w:rPr>
        <w:t xml:space="preserve">The </w:t>
      </w:r>
      <w:r w:rsidR="003E690F" w:rsidRPr="005849E4">
        <w:rPr>
          <w:sz w:val="22"/>
        </w:rPr>
        <w:t>f</w:t>
      </w:r>
      <w:r w:rsidRPr="005849E4">
        <w:rPr>
          <w:sz w:val="22"/>
        </w:rPr>
        <w:t xml:space="preserve">ormula reported in </w:t>
      </w:r>
      <w:r w:rsidR="00D95361">
        <w:rPr>
          <w:sz w:val="22"/>
        </w:rPr>
        <w:t>T</w:t>
      </w:r>
      <w:r w:rsidRPr="00D95361">
        <w:rPr>
          <w:sz w:val="22"/>
        </w:rPr>
        <w:t xml:space="preserve">able </w:t>
      </w:r>
      <w:r w:rsidR="00D95361">
        <w:rPr>
          <w:sz w:val="22"/>
        </w:rPr>
        <w:t>3.1</w:t>
      </w:r>
      <w:r w:rsidR="00D95361" w:rsidRPr="005849E4">
        <w:rPr>
          <w:sz w:val="22"/>
        </w:rPr>
        <w:t xml:space="preserve"> </w:t>
      </w:r>
      <w:r w:rsidRPr="005849E4">
        <w:rPr>
          <w:sz w:val="22"/>
        </w:rPr>
        <w:t xml:space="preserve">has been used to share revenue for </w:t>
      </w:r>
      <w:r w:rsidR="00B02975">
        <w:rPr>
          <w:sz w:val="22"/>
        </w:rPr>
        <w:t>FY</w:t>
      </w:r>
      <w:r w:rsidRPr="005849E4">
        <w:rPr>
          <w:sz w:val="22"/>
        </w:rPr>
        <w:t>2013/14</w:t>
      </w:r>
      <w:r w:rsidR="00B02975">
        <w:rPr>
          <w:sz w:val="22"/>
        </w:rPr>
        <w:t>,</w:t>
      </w:r>
      <w:r w:rsidRPr="005849E4">
        <w:rPr>
          <w:sz w:val="22"/>
        </w:rPr>
        <w:t xml:space="preserve"> </w:t>
      </w:r>
      <w:r w:rsidR="00B02975">
        <w:rPr>
          <w:sz w:val="22"/>
        </w:rPr>
        <w:t>FY</w:t>
      </w:r>
      <w:r w:rsidRPr="005849E4">
        <w:rPr>
          <w:sz w:val="22"/>
        </w:rPr>
        <w:t>2014/15</w:t>
      </w:r>
      <w:r w:rsidR="00B02975">
        <w:rPr>
          <w:sz w:val="22"/>
        </w:rPr>
        <w:t>,</w:t>
      </w:r>
      <w:r w:rsidRPr="005849E4">
        <w:rPr>
          <w:sz w:val="22"/>
        </w:rPr>
        <w:t xml:space="preserve"> and </w:t>
      </w:r>
      <w:r w:rsidR="00B02975">
        <w:rPr>
          <w:sz w:val="22"/>
        </w:rPr>
        <w:t>FY</w:t>
      </w:r>
      <w:r w:rsidRPr="005849E4">
        <w:rPr>
          <w:sz w:val="22"/>
        </w:rPr>
        <w:t xml:space="preserve">2015/16. </w:t>
      </w:r>
      <w:r w:rsidR="00A71771" w:rsidRPr="005849E4">
        <w:rPr>
          <w:sz w:val="22"/>
        </w:rPr>
        <w:t>It must be noted</w:t>
      </w:r>
      <w:r w:rsidRPr="005849E4">
        <w:rPr>
          <w:sz w:val="22"/>
        </w:rPr>
        <w:t xml:space="preserve"> that the CRA recommends </w:t>
      </w:r>
      <w:r w:rsidR="00400265" w:rsidRPr="005849E4">
        <w:rPr>
          <w:sz w:val="22"/>
        </w:rPr>
        <w:t>introducing</w:t>
      </w:r>
      <w:r w:rsidRPr="005849E4">
        <w:rPr>
          <w:sz w:val="22"/>
        </w:rPr>
        <w:t xml:space="preserve"> a </w:t>
      </w:r>
      <w:r w:rsidR="00B02975">
        <w:rPr>
          <w:sz w:val="22"/>
        </w:rPr>
        <w:t>d</w:t>
      </w:r>
      <w:r w:rsidRPr="005849E4">
        <w:rPr>
          <w:sz w:val="22"/>
        </w:rPr>
        <w:t>evelopment factor of 1</w:t>
      </w:r>
      <w:r w:rsidR="00B02975">
        <w:rPr>
          <w:sz w:val="22"/>
        </w:rPr>
        <w:t xml:space="preserve"> percent</w:t>
      </w:r>
      <w:r w:rsidRPr="005849E4">
        <w:rPr>
          <w:sz w:val="22"/>
        </w:rPr>
        <w:t xml:space="preserve"> and to reduce </w:t>
      </w:r>
      <w:r w:rsidR="00B02975">
        <w:rPr>
          <w:sz w:val="22"/>
        </w:rPr>
        <w:t>b</w:t>
      </w:r>
      <w:r w:rsidRPr="005849E4">
        <w:rPr>
          <w:sz w:val="22"/>
        </w:rPr>
        <w:t>asi</w:t>
      </w:r>
      <w:r w:rsidR="00B02975">
        <w:rPr>
          <w:sz w:val="22"/>
        </w:rPr>
        <w:t>s</w:t>
      </w:r>
      <w:r w:rsidRPr="005849E4">
        <w:rPr>
          <w:sz w:val="22"/>
        </w:rPr>
        <w:t xml:space="preserve"> equal </w:t>
      </w:r>
      <w:r w:rsidR="00B02975">
        <w:rPr>
          <w:sz w:val="22"/>
        </w:rPr>
        <w:t>s</w:t>
      </w:r>
      <w:r w:rsidRPr="005849E4">
        <w:rPr>
          <w:sz w:val="22"/>
        </w:rPr>
        <w:t>hare by the same level.</w:t>
      </w:r>
    </w:p>
    <w:p w14:paraId="2FE75505" w14:textId="4E2077F5" w:rsidR="007929DF" w:rsidRDefault="00F677C9" w:rsidP="00F677C9">
      <w:pPr>
        <w:pStyle w:val="TableStyle"/>
      </w:pPr>
      <w:bookmarkStart w:id="58" w:name="_Toc532426088"/>
      <w:r>
        <w:t xml:space="preserve">Table </w:t>
      </w:r>
      <w:r w:rsidR="008B59A7">
        <w:rPr>
          <w:noProof/>
        </w:rPr>
        <w:fldChar w:fldCharType="begin"/>
      </w:r>
      <w:r w:rsidR="008B59A7">
        <w:rPr>
          <w:noProof/>
        </w:rPr>
        <w:instrText xml:space="preserve"> STYLEREF 1 \s </w:instrText>
      </w:r>
      <w:r w:rsidR="008B59A7">
        <w:rPr>
          <w:noProof/>
        </w:rPr>
        <w:fldChar w:fldCharType="separate"/>
      </w:r>
      <w:r>
        <w:rPr>
          <w:noProof/>
        </w:rPr>
        <w:t>3</w:t>
      </w:r>
      <w:r w:rsidR="008B59A7">
        <w:rPr>
          <w:noProof/>
        </w:rPr>
        <w:fldChar w:fldCharType="end"/>
      </w:r>
      <w:r>
        <w:t>.</w:t>
      </w:r>
      <w:r w:rsidR="008B59A7">
        <w:rPr>
          <w:noProof/>
        </w:rPr>
        <w:fldChar w:fldCharType="begin"/>
      </w:r>
      <w:r w:rsidR="008B59A7">
        <w:rPr>
          <w:noProof/>
        </w:rPr>
        <w:instrText xml:space="preserve"> SEQ Table \* ARABIC \s 1 </w:instrText>
      </w:r>
      <w:r w:rsidR="008B59A7">
        <w:rPr>
          <w:noProof/>
        </w:rPr>
        <w:fldChar w:fldCharType="separate"/>
      </w:r>
      <w:r>
        <w:rPr>
          <w:noProof/>
        </w:rPr>
        <w:t>1</w:t>
      </w:r>
      <w:r w:rsidR="008B59A7">
        <w:rPr>
          <w:noProof/>
        </w:rPr>
        <w:fldChar w:fldCharType="end"/>
      </w:r>
      <w:r>
        <w:t>:</w:t>
      </w:r>
      <w:bookmarkEnd w:id="58"/>
    </w:p>
    <w:tbl>
      <w:tblPr>
        <w:tblW w:w="41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52"/>
        <w:gridCol w:w="1882"/>
      </w:tblGrid>
      <w:tr w:rsidR="00F25DF0" w:rsidRPr="00C87C03" w14:paraId="15D54BAE" w14:textId="77777777" w:rsidTr="005849E4">
        <w:trPr>
          <w:trHeight w:val="300"/>
          <w:tblHeader/>
        </w:trPr>
        <w:tc>
          <w:tcPr>
            <w:tcW w:w="2252" w:type="dxa"/>
            <w:shd w:val="pct70" w:color="4E93CA" w:fill="4E93CA"/>
            <w:noWrap/>
            <w:hideMark/>
          </w:tcPr>
          <w:p w14:paraId="101E713B" w14:textId="77777777" w:rsidR="00F25DF0" w:rsidRPr="00C87C03" w:rsidRDefault="00F25DF0" w:rsidP="005849E4">
            <w:pPr>
              <w:jc w:val="center"/>
              <w:rPr>
                <w:b/>
                <w:color w:val="FFFFFF" w:themeColor="background1"/>
                <w:sz w:val="20"/>
                <w:szCs w:val="20"/>
              </w:rPr>
            </w:pPr>
            <w:r w:rsidRPr="00C87C03">
              <w:rPr>
                <w:b/>
                <w:color w:val="FFFFFF" w:themeColor="background1"/>
                <w:sz w:val="20"/>
                <w:szCs w:val="20"/>
              </w:rPr>
              <w:t>Parameter</w:t>
            </w:r>
          </w:p>
        </w:tc>
        <w:tc>
          <w:tcPr>
            <w:tcW w:w="1882" w:type="dxa"/>
            <w:shd w:val="pct70" w:color="4E93CA" w:fill="4E93CA"/>
            <w:noWrap/>
            <w:hideMark/>
          </w:tcPr>
          <w:p w14:paraId="7AEA9EA6" w14:textId="27E49BE1" w:rsidR="00F25DF0" w:rsidRPr="00C87C03" w:rsidRDefault="00F25DF0" w:rsidP="005849E4">
            <w:pPr>
              <w:jc w:val="center"/>
              <w:rPr>
                <w:b/>
                <w:color w:val="FFFFFF" w:themeColor="background1"/>
                <w:sz w:val="20"/>
                <w:szCs w:val="20"/>
              </w:rPr>
            </w:pPr>
            <w:r w:rsidRPr="00C87C03">
              <w:rPr>
                <w:b/>
                <w:color w:val="FFFFFF" w:themeColor="background1"/>
                <w:sz w:val="20"/>
                <w:szCs w:val="20"/>
              </w:rPr>
              <w:t>Current formula</w:t>
            </w:r>
            <w:r w:rsidR="00B02975">
              <w:rPr>
                <w:b/>
                <w:color w:val="FFFFFF" w:themeColor="background1"/>
                <w:sz w:val="20"/>
                <w:szCs w:val="20"/>
              </w:rPr>
              <w:t xml:space="preserve"> (%)</w:t>
            </w:r>
          </w:p>
        </w:tc>
      </w:tr>
      <w:tr w:rsidR="00F25DF0" w:rsidRPr="00C87C03" w14:paraId="7B24CA20" w14:textId="77777777" w:rsidTr="005849E4">
        <w:trPr>
          <w:trHeight w:val="300"/>
        </w:trPr>
        <w:tc>
          <w:tcPr>
            <w:tcW w:w="2252" w:type="dxa"/>
            <w:shd w:val="clear" w:color="auto" w:fill="auto"/>
            <w:noWrap/>
            <w:hideMark/>
          </w:tcPr>
          <w:p w14:paraId="32C511FA" w14:textId="77777777" w:rsidR="00F25DF0" w:rsidRPr="00C87C03" w:rsidRDefault="00F25DF0" w:rsidP="001E3161">
            <w:pPr>
              <w:rPr>
                <w:sz w:val="20"/>
                <w:szCs w:val="20"/>
              </w:rPr>
            </w:pPr>
            <w:r w:rsidRPr="00C87C03">
              <w:rPr>
                <w:sz w:val="20"/>
                <w:szCs w:val="20"/>
              </w:rPr>
              <w:t>Population</w:t>
            </w:r>
          </w:p>
        </w:tc>
        <w:tc>
          <w:tcPr>
            <w:tcW w:w="1882" w:type="dxa"/>
            <w:shd w:val="clear" w:color="auto" w:fill="auto"/>
            <w:noWrap/>
            <w:hideMark/>
          </w:tcPr>
          <w:p w14:paraId="4D4F6D66" w14:textId="34826AE2" w:rsidR="00F25DF0" w:rsidRPr="00C87C03" w:rsidRDefault="00F25DF0" w:rsidP="00400265">
            <w:pPr>
              <w:jc w:val="center"/>
              <w:rPr>
                <w:sz w:val="20"/>
                <w:szCs w:val="20"/>
              </w:rPr>
            </w:pPr>
            <w:r w:rsidRPr="00C87C03">
              <w:rPr>
                <w:sz w:val="20"/>
                <w:szCs w:val="20"/>
              </w:rPr>
              <w:t>45</w:t>
            </w:r>
          </w:p>
        </w:tc>
      </w:tr>
      <w:tr w:rsidR="00F25DF0" w:rsidRPr="00C87C03" w14:paraId="7D125598" w14:textId="77777777" w:rsidTr="005849E4">
        <w:trPr>
          <w:trHeight w:val="300"/>
        </w:trPr>
        <w:tc>
          <w:tcPr>
            <w:tcW w:w="2252" w:type="dxa"/>
            <w:shd w:val="clear" w:color="auto" w:fill="auto"/>
            <w:noWrap/>
            <w:hideMark/>
          </w:tcPr>
          <w:p w14:paraId="4D6B394A" w14:textId="03BE1B6F" w:rsidR="00F25DF0" w:rsidRPr="00C87C03" w:rsidRDefault="00F25DF0" w:rsidP="001E3161">
            <w:pPr>
              <w:rPr>
                <w:sz w:val="20"/>
                <w:szCs w:val="20"/>
              </w:rPr>
            </w:pPr>
            <w:r w:rsidRPr="00C87C03">
              <w:rPr>
                <w:sz w:val="20"/>
                <w:szCs w:val="20"/>
              </w:rPr>
              <w:t xml:space="preserve">Basis </w:t>
            </w:r>
            <w:r w:rsidR="00B02975">
              <w:rPr>
                <w:sz w:val="20"/>
                <w:szCs w:val="20"/>
              </w:rPr>
              <w:t>e</w:t>
            </w:r>
            <w:r w:rsidRPr="00C87C03">
              <w:rPr>
                <w:sz w:val="20"/>
                <w:szCs w:val="20"/>
              </w:rPr>
              <w:t xml:space="preserve">qual </w:t>
            </w:r>
            <w:r w:rsidR="00B02975">
              <w:rPr>
                <w:sz w:val="20"/>
                <w:szCs w:val="20"/>
              </w:rPr>
              <w:t>s</w:t>
            </w:r>
            <w:r w:rsidRPr="00C87C03">
              <w:rPr>
                <w:sz w:val="20"/>
                <w:szCs w:val="20"/>
              </w:rPr>
              <w:t>hare</w:t>
            </w:r>
          </w:p>
        </w:tc>
        <w:tc>
          <w:tcPr>
            <w:tcW w:w="1882" w:type="dxa"/>
            <w:shd w:val="clear" w:color="auto" w:fill="auto"/>
            <w:noWrap/>
            <w:hideMark/>
          </w:tcPr>
          <w:p w14:paraId="2581BBE7" w14:textId="2F2F18AA" w:rsidR="00F25DF0" w:rsidRPr="00C87C03" w:rsidRDefault="00F25DF0" w:rsidP="00400265">
            <w:pPr>
              <w:jc w:val="center"/>
              <w:rPr>
                <w:sz w:val="20"/>
                <w:szCs w:val="20"/>
              </w:rPr>
            </w:pPr>
            <w:r w:rsidRPr="00C87C03">
              <w:rPr>
                <w:sz w:val="20"/>
                <w:szCs w:val="20"/>
              </w:rPr>
              <w:t>25</w:t>
            </w:r>
          </w:p>
        </w:tc>
      </w:tr>
      <w:tr w:rsidR="00F25DF0" w:rsidRPr="00C87C03" w14:paraId="7E75EED3" w14:textId="77777777" w:rsidTr="005849E4">
        <w:trPr>
          <w:trHeight w:val="300"/>
        </w:trPr>
        <w:tc>
          <w:tcPr>
            <w:tcW w:w="2252" w:type="dxa"/>
            <w:shd w:val="clear" w:color="auto" w:fill="auto"/>
            <w:noWrap/>
            <w:hideMark/>
          </w:tcPr>
          <w:p w14:paraId="436AAFC4" w14:textId="77777777" w:rsidR="00F25DF0" w:rsidRPr="00C87C03" w:rsidRDefault="00F25DF0" w:rsidP="001E3161">
            <w:pPr>
              <w:rPr>
                <w:sz w:val="20"/>
                <w:szCs w:val="20"/>
              </w:rPr>
            </w:pPr>
            <w:r w:rsidRPr="00C87C03">
              <w:rPr>
                <w:sz w:val="20"/>
                <w:szCs w:val="20"/>
              </w:rPr>
              <w:t>Poverty</w:t>
            </w:r>
          </w:p>
        </w:tc>
        <w:tc>
          <w:tcPr>
            <w:tcW w:w="1882" w:type="dxa"/>
            <w:shd w:val="clear" w:color="auto" w:fill="auto"/>
            <w:noWrap/>
            <w:hideMark/>
          </w:tcPr>
          <w:p w14:paraId="6EE5BC4E" w14:textId="3CD1F319" w:rsidR="00F25DF0" w:rsidRPr="00C87C03" w:rsidRDefault="00F25DF0" w:rsidP="00400265">
            <w:pPr>
              <w:jc w:val="center"/>
              <w:rPr>
                <w:sz w:val="20"/>
                <w:szCs w:val="20"/>
              </w:rPr>
            </w:pPr>
            <w:r w:rsidRPr="00C87C03">
              <w:rPr>
                <w:sz w:val="20"/>
                <w:szCs w:val="20"/>
              </w:rPr>
              <w:t>20</w:t>
            </w:r>
          </w:p>
        </w:tc>
      </w:tr>
      <w:tr w:rsidR="00F25DF0" w:rsidRPr="00C87C03" w14:paraId="3DFA850F" w14:textId="77777777" w:rsidTr="005849E4">
        <w:trPr>
          <w:trHeight w:val="300"/>
        </w:trPr>
        <w:tc>
          <w:tcPr>
            <w:tcW w:w="2252" w:type="dxa"/>
            <w:shd w:val="clear" w:color="auto" w:fill="auto"/>
            <w:noWrap/>
            <w:hideMark/>
          </w:tcPr>
          <w:p w14:paraId="0D58037A" w14:textId="5D67C88B" w:rsidR="00F25DF0" w:rsidRPr="00C87C03" w:rsidRDefault="00F25DF0" w:rsidP="001E3161">
            <w:pPr>
              <w:rPr>
                <w:sz w:val="20"/>
                <w:szCs w:val="20"/>
              </w:rPr>
            </w:pPr>
            <w:r w:rsidRPr="00C87C03">
              <w:rPr>
                <w:sz w:val="20"/>
                <w:szCs w:val="20"/>
              </w:rPr>
              <w:t xml:space="preserve">Land </w:t>
            </w:r>
            <w:r w:rsidR="00B02975">
              <w:rPr>
                <w:sz w:val="20"/>
                <w:szCs w:val="20"/>
              </w:rPr>
              <w:t>a</w:t>
            </w:r>
            <w:r w:rsidRPr="00C87C03">
              <w:rPr>
                <w:sz w:val="20"/>
                <w:szCs w:val="20"/>
              </w:rPr>
              <w:t>rea</w:t>
            </w:r>
          </w:p>
        </w:tc>
        <w:tc>
          <w:tcPr>
            <w:tcW w:w="1882" w:type="dxa"/>
            <w:shd w:val="clear" w:color="auto" w:fill="auto"/>
            <w:noWrap/>
            <w:hideMark/>
          </w:tcPr>
          <w:p w14:paraId="048A0550" w14:textId="71855AC1" w:rsidR="00F25DF0" w:rsidRPr="00C87C03" w:rsidRDefault="00F25DF0" w:rsidP="00400265">
            <w:pPr>
              <w:jc w:val="center"/>
              <w:rPr>
                <w:sz w:val="20"/>
                <w:szCs w:val="20"/>
              </w:rPr>
            </w:pPr>
            <w:r w:rsidRPr="00C87C03">
              <w:rPr>
                <w:sz w:val="20"/>
                <w:szCs w:val="20"/>
              </w:rPr>
              <w:t>8</w:t>
            </w:r>
          </w:p>
        </w:tc>
      </w:tr>
      <w:tr w:rsidR="00F25DF0" w:rsidRPr="00C87C03" w14:paraId="19064CD4" w14:textId="77777777" w:rsidTr="005849E4">
        <w:trPr>
          <w:trHeight w:val="300"/>
        </w:trPr>
        <w:tc>
          <w:tcPr>
            <w:tcW w:w="2252" w:type="dxa"/>
            <w:shd w:val="clear" w:color="auto" w:fill="auto"/>
            <w:noWrap/>
            <w:hideMark/>
          </w:tcPr>
          <w:p w14:paraId="4ECF76BA" w14:textId="77777777" w:rsidR="00F25DF0" w:rsidRPr="00C87C03" w:rsidRDefault="00F25DF0" w:rsidP="001E3161">
            <w:pPr>
              <w:rPr>
                <w:sz w:val="20"/>
                <w:szCs w:val="20"/>
              </w:rPr>
            </w:pPr>
            <w:r w:rsidRPr="00C87C03">
              <w:rPr>
                <w:sz w:val="20"/>
                <w:szCs w:val="20"/>
              </w:rPr>
              <w:t>Fiscal responsibility</w:t>
            </w:r>
          </w:p>
        </w:tc>
        <w:tc>
          <w:tcPr>
            <w:tcW w:w="1882" w:type="dxa"/>
            <w:shd w:val="clear" w:color="auto" w:fill="auto"/>
            <w:noWrap/>
            <w:hideMark/>
          </w:tcPr>
          <w:p w14:paraId="080A9517" w14:textId="23F78B49" w:rsidR="00F25DF0" w:rsidRPr="00C87C03" w:rsidRDefault="00F25DF0" w:rsidP="00400265">
            <w:pPr>
              <w:jc w:val="center"/>
              <w:rPr>
                <w:sz w:val="20"/>
                <w:szCs w:val="20"/>
              </w:rPr>
            </w:pPr>
            <w:r w:rsidRPr="00C87C03">
              <w:rPr>
                <w:sz w:val="20"/>
                <w:szCs w:val="20"/>
              </w:rPr>
              <w:t>2</w:t>
            </w:r>
          </w:p>
        </w:tc>
      </w:tr>
      <w:tr w:rsidR="00F25DF0" w:rsidRPr="00C87C03" w14:paraId="200B15FC" w14:textId="77777777" w:rsidTr="005849E4">
        <w:trPr>
          <w:trHeight w:val="300"/>
        </w:trPr>
        <w:tc>
          <w:tcPr>
            <w:tcW w:w="2252" w:type="dxa"/>
            <w:shd w:val="clear" w:color="auto" w:fill="auto"/>
            <w:noWrap/>
            <w:hideMark/>
          </w:tcPr>
          <w:p w14:paraId="21BE20B5" w14:textId="77777777" w:rsidR="00F25DF0" w:rsidRPr="00C87C03" w:rsidRDefault="00F25DF0" w:rsidP="001E3161">
            <w:pPr>
              <w:rPr>
                <w:b/>
                <w:sz w:val="20"/>
                <w:szCs w:val="20"/>
              </w:rPr>
            </w:pPr>
            <w:r w:rsidRPr="00C87C03">
              <w:rPr>
                <w:b/>
                <w:sz w:val="20"/>
                <w:szCs w:val="20"/>
              </w:rPr>
              <w:t>Total</w:t>
            </w:r>
          </w:p>
        </w:tc>
        <w:tc>
          <w:tcPr>
            <w:tcW w:w="1882" w:type="dxa"/>
            <w:shd w:val="clear" w:color="auto" w:fill="auto"/>
            <w:noWrap/>
            <w:hideMark/>
          </w:tcPr>
          <w:p w14:paraId="15F9825E" w14:textId="6AA73C05" w:rsidR="00F25DF0" w:rsidRPr="00C87C03" w:rsidRDefault="00F25DF0" w:rsidP="00400265">
            <w:pPr>
              <w:jc w:val="center"/>
              <w:rPr>
                <w:b/>
                <w:sz w:val="20"/>
                <w:szCs w:val="20"/>
              </w:rPr>
            </w:pPr>
            <w:r w:rsidRPr="00C87C03">
              <w:rPr>
                <w:b/>
                <w:sz w:val="20"/>
                <w:szCs w:val="20"/>
              </w:rPr>
              <w:t>100</w:t>
            </w:r>
          </w:p>
        </w:tc>
      </w:tr>
    </w:tbl>
    <w:p w14:paraId="6457231C" w14:textId="1885C64F" w:rsidR="00F25DF0" w:rsidRPr="00C87C03" w:rsidRDefault="00F25DF0" w:rsidP="00BA6B2B">
      <w:pPr>
        <w:spacing w:after="240"/>
        <w:rPr>
          <w:rStyle w:val="Emphasis"/>
        </w:rPr>
      </w:pPr>
      <w:r w:rsidRPr="00C87C03">
        <w:rPr>
          <w:rStyle w:val="Emphasis"/>
        </w:rPr>
        <w:t xml:space="preserve">Source: </w:t>
      </w:r>
      <w:r w:rsidRPr="00C87C03">
        <w:rPr>
          <w:rStyle w:val="Emphasis"/>
          <w:i w:val="0"/>
        </w:rPr>
        <w:t>CRA</w:t>
      </w:r>
      <w:r w:rsidR="00BA6B2B">
        <w:rPr>
          <w:rStyle w:val="Emphasis"/>
          <w:i w:val="0"/>
        </w:rPr>
        <w:t>.</w:t>
      </w:r>
    </w:p>
    <w:p w14:paraId="53B5C1CD" w14:textId="0D8F432B" w:rsidR="00F25DF0" w:rsidRPr="005849E4" w:rsidRDefault="00F25DF0" w:rsidP="00BA6B2B">
      <w:pPr>
        <w:spacing w:after="240"/>
        <w:rPr>
          <w:sz w:val="22"/>
        </w:rPr>
      </w:pPr>
      <w:r w:rsidRPr="005849E4">
        <w:rPr>
          <w:sz w:val="22"/>
        </w:rPr>
        <w:t>According to AFS, the main sources of revenue for the county governments in Kenya are equitable share, conditional grants</w:t>
      </w:r>
      <w:r w:rsidR="00B02975">
        <w:rPr>
          <w:sz w:val="22"/>
        </w:rPr>
        <w:t>,</w:t>
      </w:r>
      <w:r w:rsidRPr="005849E4">
        <w:rPr>
          <w:sz w:val="22"/>
        </w:rPr>
        <w:t xml:space="preserve"> and own</w:t>
      </w:r>
      <w:r w:rsidR="00B02975">
        <w:rPr>
          <w:sz w:val="22"/>
        </w:rPr>
        <w:t>-</w:t>
      </w:r>
      <w:r w:rsidRPr="005849E4">
        <w:rPr>
          <w:sz w:val="22"/>
        </w:rPr>
        <w:t xml:space="preserve">source revenues (see indicator PI-3). </w:t>
      </w:r>
      <w:r w:rsidR="00A71771" w:rsidRPr="005849E4">
        <w:rPr>
          <w:sz w:val="22"/>
        </w:rPr>
        <w:t>Globally, transfers have represented at least 95</w:t>
      </w:r>
      <w:r w:rsidR="00B02975">
        <w:rPr>
          <w:sz w:val="22"/>
        </w:rPr>
        <w:t xml:space="preserve"> percent</w:t>
      </w:r>
      <w:r w:rsidR="00A71771" w:rsidRPr="005849E4">
        <w:rPr>
          <w:sz w:val="22"/>
        </w:rPr>
        <w:t xml:space="preserve"> of the original budget estimate in two of the last three years. </w:t>
      </w:r>
      <w:r w:rsidR="00713568">
        <w:rPr>
          <w:sz w:val="22"/>
        </w:rPr>
        <w:t>T</w:t>
      </w:r>
      <w:r w:rsidRPr="005849E4">
        <w:rPr>
          <w:sz w:val="22"/>
        </w:rPr>
        <w:t xml:space="preserve">able </w:t>
      </w:r>
      <w:r w:rsidR="00713568">
        <w:rPr>
          <w:sz w:val="22"/>
        </w:rPr>
        <w:t>3.</w:t>
      </w:r>
      <w:r w:rsidR="008F1990">
        <w:rPr>
          <w:sz w:val="22"/>
        </w:rPr>
        <w:t>2</w:t>
      </w:r>
      <w:r w:rsidRPr="005849E4">
        <w:rPr>
          <w:sz w:val="22"/>
        </w:rPr>
        <w:t xml:space="preserve"> presents the breakdown of </w:t>
      </w:r>
      <w:r w:rsidR="005577A5" w:rsidRPr="005849E4">
        <w:rPr>
          <w:sz w:val="22"/>
        </w:rPr>
        <w:t xml:space="preserve">transfers </w:t>
      </w:r>
      <w:r w:rsidR="00A71771" w:rsidRPr="005849E4">
        <w:rPr>
          <w:sz w:val="22"/>
        </w:rPr>
        <w:t xml:space="preserve">to </w:t>
      </w:r>
      <w:r w:rsidR="00713568">
        <w:rPr>
          <w:sz w:val="22"/>
        </w:rPr>
        <w:t>the c</w:t>
      </w:r>
      <w:r w:rsidR="00A71771" w:rsidRPr="005849E4">
        <w:rPr>
          <w:sz w:val="22"/>
        </w:rPr>
        <w:t xml:space="preserve">ounty </w:t>
      </w:r>
      <w:r w:rsidR="005577A5" w:rsidRPr="005849E4">
        <w:rPr>
          <w:sz w:val="22"/>
        </w:rPr>
        <w:t>from the national government</w:t>
      </w:r>
      <w:r w:rsidR="00A71771" w:rsidRPr="005849E4">
        <w:rPr>
          <w:sz w:val="22"/>
        </w:rPr>
        <w:t xml:space="preserve"> based on the </w:t>
      </w:r>
      <w:r w:rsidR="008F1990">
        <w:rPr>
          <w:sz w:val="22"/>
        </w:rPr>
        <w:t>T</w:t>
      </w:r>
      <w:r w:rsidR="00A71771" w:rsidRPr="008F1990">
        <w:rPr>
          <w:sz w:val="22"/>
        </w:rPr>
        <w:t xml:space="preserve">able </w:t>
      </w:r>
      <w:r w:rsidR="008F1990">
        <w:rPr>
          <w:sz w:val="22"/>
        </w:rPr>
        <w:t>3.1</w:t>
      </w:r>
      <w:r w:rsidRPr="005849E4">
        <w:rPr>
          <w:sz w:val="22"/>
        </w:rPr>
        <w:t>.</w:t>
      </w:r>
      <w:r w:rsidR="00E56226" w:rsidRPr="005849E4">
        <w:rPr>
          <w:sz w:val="22"/>
        </w:rPr>
        <w:t xml:space="preserve"> This table indicates that actual equitable shares represented 91.5</w:t>
      </w:r>
      <w:r w:rsidR="00713568">
        <w:rPr>
          <w:sz w:val="22"/>
        </w:rPr>
        <w:t xml:space="preserve"> percent</w:t>
      </w:r>
      <w:r w:rsidR="00E56226" w:rsidRPr="005849E4">
        <w:rPr>
          <w:sz w:val="22"/>
        </w:rPr>
        <w:t xml:space="preserve"> of budget estimate in </w:t>
      </w:r>
      <w:r w:rsidR="00713568">
        <w:rPr>
          <w:sz w:val="22"/>
        </w:rPr>
        <w:t>FY</w:t>
      </w:r>
      <w:r w:rsidR="00E56226" w:rsidRPr="005849E4">
        <w:rPr>
          <w:sz w:val="22"/>
        </w:rPr>
        <w:t>2013/14, 101</w:t>
      </w:r>
      <w:r w:rsidR="00713568">
        <w:rPr>
          <w:sz w:val="22"/>
        </w:rPr>
        <w:t xml:space="preserve"> percent</w:t>
      </w:r>
      <w:r w:rsidR="00E56226" w:rsidRPr="005849E4">
        <w:rPr>
          <w:sz w:val="22"/>
        </w:rPr>
        <w:t xml:space="preserve"> in </w:t>
      </w:r>
      <w:r w:rsidR="00713568">
        <w:rPr>
          <w:sz w:val="22"/>
        </w:rPr>
        <w:t>FY</w:t>
      </w:r>
      <w:r w:rsidR="00E56226" w:rsidRPr="005849E4">
        <w:rPr>
          <w:sz w:val="22"/>
        </w:rPr>
        <w:t>2014/15</w:t>
      </w:r>
      <w:r w:rsidR="00713568">
        <w:rPr>
          <w:sz w:val="22"/>
        </w:rPr>
        <w:t>,</w:t>
      </w:r>
      <w:r w:rsidR="00E56226" w:rsidRPr="005849E4">
        <w:rPr>
          <w:sz w:val="22"/>
        </w:rPr>
        <w:t xml:space="preserve"> and </w:t>
      </w:r>
      <w:r w:rsidR="0063392B">
        <w:rPr>
          <w:sz w:val="22"/>
        </w:rPr>
        <w:t xml:space="preserve">over </w:t>
      </w:r>
      <w:r w:rsidR="00E56226" w:rsidRPr="005849E4">
        <w:rPr>
          <w:sz w:val="22"/>
        </w:rPr>
        <w:t>100</w:t>
      </w:r>
      <w:r w:rsidR="00713568">
        <w:rPr>
          <w:sz w:val="22"/>
        </w:rPr>
        <w:t xml:space="preserve"> percent</w:t>
      </w:r>
      <w:r w:rsidR="00E56226" w:rsidRPr="005849E4">
        <w:rPr>
          <w:sz w:val="22"/>
        </w:rPr>
        <w:t xml:space="preserve"> in </w:t>
      </w:r>
      <w:r w:rsidR="00713568">
        <w:rPr>
          <w:sz w:val="22"/>
        </w:rPr>
        <w:t>FY</w:t>
      </w:r>
      <w:r w:rsidR="00E56226" w:rsidRPr="005849E4">
        <w:rPr>
          <w:sz w:val="22"/>
        </w:rPr>
        <w:t xml:space="preserve">2015/16. However, the national government does not always comply with the deadlines, as reported in the CBROPs and the reports of the </w:t>
      </w:r>
      <w:r w:rsidR="00713568">
        <w:rPr>
          <w:sz w:val="22"/>
        </w:rPr>
        <w:t>A</w:t>
      </w:r>
      <w:r w:rsidR="00E56226" w:rsidRPr="005849E4">
        <w:rPr>
          <w:sz w:val="22"/>
        </w:rPr>
        <w:t xml:space="preserve">uditor </w:t>
      </w:r>
      <w:r w:rsidR="00713568">
        <w:rPr>
          <w:sz w:val="22"/>
        </w:rPr>
        <w:t>G</w:t>
      </w:r>
      <w:r w:rsidR="00E56226" w:rsidRPr="005849E4">
        <w:rPr>
          <w:sz w:val="22"/>
        </w:rPr>
        <w:t xml:space="preserve">eneral (see HLG-1.3). </w:t>
      </w:r>
    </w:p>
    <w:p w14:paraId="7ED8B813" w14:textId="737A7765" w:rsidR="00C408CF" w:rsidRPr="00E56226" w:rsidRDefault="00E56226" w:rsidP="0045183B">
      <w:pPr>
        <w:pStyle w:val="TableStyle"/>
      </w:pPr>
      <w:bookmarkStart w:id="59" w:name="_Toc532426089"/>
      <w:r>
        <w:t>Table</w:t>
      </w:r>
      <w:r w:rsidR="007929DF">
        <w:t xml:space="preserv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w:t>
      </w:r>
      <w:r w:rsidR="008B59A7">
        <w:rPr>
          <w:noProof/>
        </w:rPr>
        <w:fldChar w:fldCharType="end"/>
      </w:r>
      <w:r>
        <w:t xml:space="preserve">: </w:t>
      </w:r>
      <w:r w:rsidR="00F25DF0" w:rsidRPr="00E56226">
        <w:t xml:space="preserve">Estimate and actual revenue for the last </w:t>
      </w:r>
      <w:r w:rsidR="00F677C9">
        <w:t>three</w:t>
      </w:r>
      <w:r w:rsidR="00F677C9" w:rsidRPr="00E56226">
        <w:t xml:space="preserve"> </w:t>
      </w:r>
      <w:r w:rsidR="00F25DF0" w:rsidRPr="00E56226">
        <w:t>FY</w:t>
      </w:r>
      <w:r w:rsidR="00713568">
        <w:t>s</w:t>
      </w:r>
      <w:r w:rsidR="00F25DF0" w:rsidRPr="00E56226">
        <w:t xml:space="preserve"> (</w:t>
      </w:r>
      <w:r w:rsidR="00E73ED7">
        <w:t>Ksh</w:t>
      </w:r>
      <w:r w:rsidR="00713568">
        <w:t xml:space="preserve">, </w:t>
      </w:r>
      <w:r w:rsidR="00F25DF0" w:rsidRPr="00E56226">
        <w:t>million</w:t>
      </w:r>
      <w:r w:rsidR="00713568">
        <w:t>s</w:t>
      </w:r>
      <w:r w:rsidR="00F25DF0" w:rsidRPr="00E56226">
        <w:t xml:space="preserve"> </w:t>
      </w:r>
      <w:r w:rsidR="00F25DF0" w:rsidRPr="00F677C9">
        <w:t xml:space="preserve">and </w:t>
      </w:r>
      <w:r w:rsidR="00F677C9">
        <w:t>percentage</w:t>
      </w:r>
      <w:r w:rsidR="00F25DF0" w:rsidRPr="00F677C9">
        <w:t>)</w:t>
      </w:r>
      <w:bookmarkEnd w:id="59"/>
      <w:r w:rsidR="00F25DF0" w:rsidRPr="00E56226">
        <w:t xml:space="preserve"> </w:t>
      </w:r>
    </w:p>
    <w:tbl>
      <w:tblPr>
        <w:tblW w:w="9492" w:type="dxa"/>
        <w:tblInd w:w="-1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1843"/>
        <w:gridCol w:w="1019"/>
        <w:gridCol w:w="723"/>
        <w:gridCol w:w="806"/>
        <w:gridCol w:w="13"/>
        <w:gridCol w:w="868"/>
        <w:gridCol w:w="723"/>
        <w:gridCol w:w="917"/>
        <w:gridCol w:w="18"/>
        <w:gridCol w:w="893"/>
        <w:gridCol w:w="723"/>
        <w:gridCol w:w="917"/>
        <w:gridCol w:w="29"/>
      </w:tblGrid>
      <w:tr w:rsidR="00400265" w:rsidRPr="00BA6B2B" w14:paraId="7F1DE652" w14:textId="77777777" w:rsidTr="005849E4">
        <w:trPr>
          <w:trHeight w:val="315"/>
        </w:trPr>
        <w:tc>
          <w:tcPr>
            <w:tcW w:w="1843" w:type="dxa"/>
            <w:vMerge w:val="restart"/>
            <w:shd w:val="pct75" w:color="4E93CA" w:fill="4E93CA"/>
            <w:noWrap/>
            <w:vAlign w:val="center"/>
            <w:hideMark/>
          </w:tcPr>
          <w:p w14:paraId="5B1AB29A" w14:textId="77777777" w:rsidR="00C408CF" w:rsidRPr="00BA6B2B" w:rsidRDefault="00C408CF" w:rsidP="005849E4">
            <w:pPr>
              <w:jc w:val="center"/>
              <w:rPr>
                <w:b/>
                <w:color w:val="FFFFFF" w:themeColor="background1"/>
                <w:sz w:val="20"/>
                <w:szCs w:val="20"/>
                <w:lang w:val="fr-FR"/>
              </w:rPr>
            </w:pPr>
            <w:r w:rsidRPr="00BA6B2B">
              <w:rPr>
                <w:b/>
                <w:color w:val="FFFFFF" w:themeColor="background1"/>
                <w:sz w:val="20"/>
                <w:szCs w:val="20"/>
                <w:lang w:eastAsia="en-GB"/>
              </w:rPr>
              <w:t>Economic Head</w:t>
            </w:r>
          </w:p>
        </w:tc>
        <w:tc>
          <w:tcPr>
            <w:tcW w:w="2561" w:type="dxa"/>
            <w:gridSpan w:val="4"/>
            <w:shd w:val="pct75" w:color="4E93CA" w:fill="4E93CA"/>
            <w:noWrap/>
            <w:vAlign w:val="center"/>
            <w:hideMark/>
          </w:tcPr>
          <w:p w14:paraId="2A42A7F8" w14:textId="77777777" w:rsidR="00C408CF" w:rsidRPr="00BA6B2B" w:rsidRDefault="00C408CF" w:rsidP="005849E4">
            <w:pPr>
              <w:jc w:val="center"/>
              <w:rPr>
                <w:b/>
                <w:color w:val="FFFFFF" w:themeColor="background1"/>
                <w:sz w:val="20"/>
                <w:szCs w:val="20"/>
                <w:lang w:val="fr-FR"/>
              </w:rPr>
            </w:pPr>
            <w:r w:rsidRPr="00BA6B2B">
              <w:rPr>
                <w:b/>
                <w:color w:val="FFFFFF" w:themeColor="background1"/>
                <w:sz w:val="20"/>
                <w:szCs w:val="20"/>
                <w:lang w:eastAsia="en-GB"/>
              </w:rPr>
              <w:t>2013/14</w:t>
            </w:r>
          </w:p>
        </w:tc>
        <w:tc>
          <w:tcPr>
            <w:tcW w:w="2526" w:type="dxa"/>
            <w:gridSpan w:val="4"/>
            <w:shd w:val="pct75" w:color="4E93CA" w:fill="4E93CA"/>
            <w:noWrap/>
            <w:vAlign w:val="center"/>
            <w:hideMark/>
          </w:tcPr>
          <w:p w14:paraId="5A32AFC1" w14:textId="77777777" w:rsidR="00C408CF" w:rsidRPr="00BA6B2B" w:rsidRDefault="00C408CF" w:rsidP="005849E4">
            <w:pPr>
              <w:jc w:val="center"/>
              <w:rPr>
                <w:b/>
                <w:color w:val="FFFFFF" w:themeColor="background1"/>
                <w:sz w:val="20"/>
                <w:szCs w:val="20"/>
                <w:lang w:val="fr-FR"/>
              </w:rPr>
            </w:pPr>
            <w:r w:rsidRPr="00BA6B2B">
              <w:rPr>
                <w:b/>
                <w:color w:val="FFFFFF" w:themeColor="background1"/>
                <w:sz w:val="20"/>
                <w:szCs w:val="20"/>
                <w:lang w:eastAsia="en-GB"/>
              </w:rPr>
              <w:t>2014/15</w:t>
            </w:r>
          </w:p>
        </w:tc>
        <w:tc>
          <w:tcPr>
            <w:tcW w:w="2562" w:type="dxa"/>
            <w:gridSpan w:val="4"/>
            <w:shd w:val="pct75" w:color="4E93CA" w:fill="4E93CA"/>
            <w:noWrap/>
            <w:vAlign w:val="center"/>
            <w:hideMark/>
          </w:tcPr>
          <w:p w14:paraId="658D7712" w14:textId="77777777" w:rsidR="00C408CF" w:rsidRPr="00BA6B2B" w:rsidRDefault="00C408CF" w:rsidP="005849E4">
            <w:pPr>
              <w:jc w:val="center"/>
              <w:rPr>
                <w:b/>
                <w:color w:val="FFFFFF" w:themeColor="background1"/>
                <w:sz w:val="20"/>
                <w:szCs w:val="20"/>
                <w:lang w:val="fr-FR"/>
              </w:rPr>
            </w:pPr>
            <w:r w:rsidRPr="00BA6B2B">
              <w:rPr>
                <w:b/>
                <w:color w:val="FFFFFF" w:themeColor="background1"/>
                <w:sz w:val="20"/>
                <w:szCs w:val="20"/>
                <w:lang w:eastAsia="en-GB"/>
              </w:rPr>
              <w:t>2015/16</w:t>
            </w:r>
          </w:p>
        </w:tc>
      </w:tr>
      <w:tr w:rsidR="00C408CF" w:rsidRPr="00BA6B2B" w14:paraId="74E003E0" w14:textId="77777777" w:rsidTr="00FA6BED">
        <w:trPr>
          <w:gridAfter w:val="1"/>
          <w:wAfter w:w="29" w:type="dxa"/>
          <w:trHeight w:val="315"/>
        </w:trPr>
        <w:tc>
          <w:tcPr>
            <w:tcW w:w="1843" w:type="dxa"/>
            <w:vMerge/>
            <w:vAlign w:val="center"/>
            <w:hideMark/>
          </w:tcPr>
          <w:p w14:paraId="3919D080" w14:textId="77777777" w:rsidR="00C408CF" w:rsidRPr="00BA6B2B" w:rsidRDefault="00C408CF" w:rsidP="005849E4">
            <w:pPr>
              <w:jc w:val="center"/>
              <w:rPr>
                <w:sz w:val="20"/>
                <w:szCs w:val="20"/>
                <w:lang w:val="fr-FR"/>
              </w:rPr>
            </w:pPr>
          </w:p>
        </w:tc>
        <w:tc>
          <w:tcPr>
            <w:tcW w:w="1019" w:type="dxa"/>
            <w:shd w:val="clear" w:color="auto" w:fill="F2F2F2" w:themeFill="background1" w:themeFillShade="F2"/>
            <w:noWrap/>
            <w:vAlign w:val="center"/>
            <w:hideMark/>
          </w:tcPr>
          <w:p w14:paraId="2E6089F4" w14:textId="77777777" w:rsidR="00C408CF" w:rsidRPr="00BA6B2B" w:rsidRDefault="00C408CF" w:rsidP="005849E4">
            <w:pPr>
              <w:jc w:val="center"/>
              <w:rPr>
                <w:b/>
                <w:sz w:val="20"/>
                <w:szCs w:val="20"/>
                <w:lang w:val="fr-FR"/>
              </w:rPr>
            </w:pPr>
            <w:r w:rsidRPr="00BA6B2B">
              <w:rPr>
                <w:b/>
                <w:sz w:val="20"/>
                <w:szCs w:val="20"/>
                <w:lang w:eastAsia="en-GB"/>
              </w:rPr>
              <w:t>Budget</w:t>
            </w:r>
          </w:p>
        </w:tc>
        <w:tc>
          <w:tcPr>
            <w:tcW w:w="723" w:type="dxa"/>
            <w:shd w:val="clear" w:color="auto" w:fill="F2F2F2" w:themeFill="background1" w:themeFillShade="F2"/>
            <w:noWrap/>
            <w:vAlign w:val="center"/>
            <w:hideMark/>
          </w:tcPr>
          <w:p w14:paraId="48992C1C" w14:textId="77777777" w:rsidR="00C408CF" w:rsidRPr="00BA6B2B" w:rsidRDefault="00C408CF" w:rsidP="005849E4">
            <w:pPr>
              <w:jc w:val="center"/>
              <w:rPr>
                <w:b/>
                <w:sz w:val="20"/>
                <w:szCs w:val="20"/>
                <w:lang w:val="fr-FR"/>
              </w:rPr>
            </w:pPr>
            <w:r w:rsidRPr="00BA6B2B">
              <w:rPr>
                <w:b/>
                <w:sz w:val="20"/>
                <w:szCs w:val="20"/>
                <w:lang w:eastAsia="en-GB"/>
              </w:rPr>
              <w:t>Actual</w:t>
            </w:r>
          </w:p>
        </w:tc>
        <w:tc>
          <w:tcPr>
            <w:tcW w:w="806" w:type="dxa"/>
            <w:shd w:val="clear" w:color="auto" w:fill="F2F2F2" w:themeFill="background1" w:themeFillShade="F2"/>
            <w:noWrap/>
            <w:vAlign w:val="center"/>
            <w:hideMark/>
          </w:tcPr>
          <w:p w14:paraId="373DF92D" w14:textId="77777777" w:rsidR="00C408CF" w:rsidRPr="00BA6B2B" w:rsidRDefault="00C408CF" w:rsidP="005849E4">
            <w:pPr>
              <w:jc w:val="center"/>
              <w:rPr>
                <w:b/>
                <w:sz w:val="20"/>
                <w:szCs w:val="20"/>
                <w:lang w:val="fr-FR"/>
              </w:rPr>
            </w:pPr>
            <w:r w:rsidRPr="00BA6B2B">
              <w:rPr>
                <w:b/>
                <w:sz w:val="20"/>
                <w:szCs w:val="20"/>
                <w:lang w:eastAsia="en-GB"/>
              </w:rPr>
              <w:t>%</w:t>
            </w:r>
          </w:p>
        </w:tc>
        <w:tc>
          <w:tcPr>
            <w:tcW w:w="881" w:type="dxa"/>
            <w:gridSpan w:val="2"/>
            <w:shd w:val="clear" w:color="auto" w:fill="F2F2F2" w:themeFill="background1" w:themeFillShade="F2"/>
            <w:noWrap/>
            <w:vAlign w:val="center"/>
            <w:hideMark/>
          </w:tcPr>
          <w:p w14:paraId="5F8D065E" w14:textId="77777777" w:rsidR="00C408CF" w:rsidRPr="00BA6B2B" w:rsidRDefault="00C408CF" w:rsidP="005849E4">
            <w:pPr>
              <w:jc w:val="center"/>
              <w:rPr>
                <w:b/>
                <w:sz w:val="20"/>
                <w:szCs w:val="20"/>
                <w:lang w:val="fr-FR"/>
              </w:rPr>
            </w:pPr>
            <w:r w:rsidRPr="00BA6B2B">
              <w:rPr>
                <w:b/>
                <w:sz w:val="20"/>
                <w:szCs w:val="20"/>
                <w:lang w:eastAsia="en-GB"/>
              </w:rPr>
              <w:t>Budget</w:t>
            </w:r>
          </w:p>
        </w:tc>
        <w:tc>
          <w:tcPr>
            <w:tcW w:w="723" w:type="dxa"/>
            <w:shd w:val="clear" w:color="auto" w:fill="F2F2F2" w:themeFill="background1" w:themeFillShade="F2"/>
            <w:noWrap/>
            <w:vAlign w:val="center"/>
            <w:hideMark/>
          </w:tcPr>
          <w:p w14:paraId="403A27E1" w14:textId="77777777" w:rsidR="00C408CF" w:rsidRPr="00BA6B2B" w:rsidRDefault="00C408CF" w:rsidP="005849E4">
            <w:pPr>
              <w:jc w:val="center"/>
              <w:rPr>
                <w:b/>
                <w:sz w:val="20"/>
                <w:szCs w:val="20"/>
                <w:lang w:val="fr-FR"/>
              </w:rPr>
            </w:pPr>
            <w:r w:rsidRPr="00BA6B2B">
              <w:rPr>
                <w:b/>
                <w:sz w:val="20"/>
                <w:szCs w:val="20"/>
                <w:lang w:eastAsia="en-GB"/>
              </w:rPr>
              <w:t>Actual</w:t>
            </w:r>
          </w:p>
        </w:tc>
        <w:tc>
          <w:tcPr>
            <w:tcW w:w="917" w:type="dxa"/>
            <w:shd w:val="clear" w:color="auto" w:fill="F2F2F2" w:themeFill="background1" w:themeFillShade="F2"/>
            <w:noWrap/>
            <w:vAlign w:val="center"/>
            <w:hideMark/>
          </w:tcPr>
          <w:p w14:paraId="1218B384" w14:textId="77777777" w:rsidR="00C408CF" w:rsidRPr="00BA6B2B" w:rsidRDefault="00C408CF" w:rsidP="005849E4">
            <w:pPr>
              <w:jc w:val="center"/>
              <w:rPr>
                <w:b/>
                <w:sz w:val="20"/>
                <w:szCs w:val="20"/>
                <w:lang w:val="fr-FR"/>
              </w:rPr>
            </w:pPr>
            <w:r w:rsidRPr="00BA6B2B">
              <w:rPr>
                <w:b/>
                <w:sz w:val="20"/>
                <w:szCs w:val="20"/>
                <w:lang w:eastAsia="en-GB"/>
              </w:rPr>
              <w:t>%</w:t>
            </w:r>
          </w:p>
        </w:tc>
        <w:tc>
          <w:tcPr>
            <w:tcW w:w="911" w:type="dxa"/>
            <w:gridSpan w:val="2"/>
            <w:shd w:val="clear" w:color="auto" w:fill="F2F2F2" w:themeFill="background1" w:themeFillShade="F2"/>
            <w:noWrap/>
            <w:vAlign w:val="center"/>
            <w:hideMark/>
          </w:tcPr>
          <w:p w14:paraId="58AB7B16" w14:textId="77777777" w:rsidR="00C408CF" w:rsidRPr="00BA6B2B" w:rsidRDefault="00C408CF" w:rsidP="005849E4">
            <w:pPr>
              <w:jc w:val="center"/>
              <w:rPr>
                <w:b/>
                <w:sz w:val="20"/>
                <w:szCs w:val="20"/>
                <w:lang w:val="fr-FR"/>
              </w:rPr>
            </w:pPr>
            <w:r w:rsidRPr="00BA6B2B">
              <w:rPr>
                <w:b/>
                <w:sz w:val="20"/>
                <w:szCs w:val="20"/>
                <w:lang w:eastAsia="en-GB"/>
              </w:rPr>
              <w:t>Budget</w:t>
            </w:r>
          </w:p>
        </w:tc>
        <w:tc>
          <w:tcPr>
            <w:tcW w:w="723" w:type="dxa"/>
            <w:shd w:val="clear" w:color="auto" w:fill="F2F2F2" w:themeFill="background1" w:themeFillShade="F2"/>
            <w:noWrap/>
            <w:vAlign w:val="center"/>
            <w:hideMark/>
          </w:tcPr>
          <w:p w14:paraId="459DD44F" w14:textId="77777777" w:rsidR="00C408CF" w:rsidRPr="00BA6B2B" w:rsidRDefault="00C408CF" w:rsidP="005849E4">
            <w:pPr>
              <w:jc w:val="center"/>
              <w:rPr>
                <w:b/>
                <w:sz w:val="20"/>
                <w:szCs w:val="20"/>
                <w:lang w:val="fr-FR"/>
              </w:rPr>
            </w:pPr>
            <w:r w:rsidRPr="00BA6B2B">
              <w:rPr>
                <w:b/>
                <w:sz w:val="20"/>
                <w:szCs w:val="20"/>
                <w:lang w:eastAsia="en-GB"/>
              </w:rPr>
              <w:t>Actual</w:t>
            </w:r>
          </w:p>
        </w:tc>
        <w:tc>
          <w:tcPr>
            <w:tcW w:w="917" w:type="dxa"/>
            <w:shd w:val="clear" w:color="auto" w:fill="F2F2F2" w:themeFill="background1" w:themeFillShade="F2"/>
            <w:noWrap/>
            <w:vAlign w:val="center"/>
            <w:hideMark/>
          </w:tcPr>
          <w:p w14:paraId="52E6A1F5" w14:textId="77777777" w:rsidR="00C408CF" w:rsidRPr="00BA6B2B" w:rsidRDefault="00C408CF" w:rsidP="005849E4">
            <w:pPr>
              <w:jc w:val="center"/>
              <w:rPr>
                <w:b/>
                <w:sz w:val="20"/>
                <w:szCs w:val="20"/>
                <w:lang w:val="fr-FR"/>
              </w:rPr>
            </w:pPr>
            <w:r w:rsidRPr="00BA6B2B">
              <w:rPr>
                <w:b/>
                <w:sz w:val="20"/>
                <w:szCs w:val="20"/>
                <w:lang w:eastAsia="en-GB"/>
              </w:rPr>
              <w:t>%</w:t>
            </w:r>
          </w:p>
        </w:tc>
      </w:tr>
      <w:tr w:rsidR="00C408CF" w:rsidRPr="00BA6B2B" w14:paraId="140A6901" w14:textId="77777777" w:rsidTr="005849E4">
        <w:trPr>
          <w:gridAfter w:val="1"/>
          <w:wAfter w:w="29" w:type="dxa"/>
          <w:trHeight w:val="315"/>
        </w:trPr>
        <w:tc>
          <w:tcPr>
            <w:tcW w:w="1843" w:type="dxa"/>
            <w:shd w:val="clear" w:color="auto" w:fill="auto"/>
            <w:noWrap/>
            <w:vAlign w:val="center"/>
            <w:hideMark/>
          </w:tcPr>
          <w:p w14:paraId="51019A57" w14:textId="5C23A8A2" w:rsidR="00C408CF" w:rsidRPr="00BA6B2B" w:rsidRDefault="00EC2EEE" w:rsidP="005849E4">
            <w:pPr>
              <w:jc w:val="left"/>
              <w:rPr>
                <w:sz w:val="20"/>
                <w:szCs w:val="20"/>
              </w:rPr>
            </w:pPr>
            <w:r w:rsidRPr="00BA6B2B">
              <w:rPr>
                <w:sz w:val="20"/>
                <w:szCs w:val="20"/>
                <w:lang w:eastAsia="en-GB"/>
              </w:rPr>
              <w:t>Outturn of transfers from higher-level government</w:t>
            </w:r>
          </w:p>
        </w:tc>
        <w:tc>
          <w:tcPr>
            <w:tcW w:w="1019" w:type="dxa"/>
            <w:shd w:val="clear" w:color="auto" w:fill="auto"/>
            <w:noWrap/>
            <w:vAlign w:val="center"/>
            <w:hideMark/>
          </w:tcPr>
          <w:p w14:paraId="458AE016" w14:textId="77777777" w:rsidR="00C408CF" w:rsidRPr="00BA6B2B" w:rsidRDefault="00C408CF" w:rsidP="00A266CE">
            <w:pPr>
              <w:jc w:val="center"/>
              <w:rPr>
                <w:sz w:val="20"/>
                <w:szCs w:val="20"/>
                <w:lang w:val="fr-FR"/>
              </w:rPr>
            </w:pPr>
            <w:r w:rsidRPr="00BA6B2B">
              <w:rPr>
                <w:sz w:val="20"/>
                <w:szCs w:val="20"/>
                <w:lang w:eastAsia="en-GB"/>
              </w:rPr>
              <w:t>3,526</w:t>
            </w:r>
          </w:p>
        </w:tc>
        <w:tc>
          <w:tcPr>
            <w:tcW w:w="723" w:type="dxa"/>
            <w:shd w:val="clear" w:color="auto" w:fill="auto"/>
            <w:noWrap/>
            <w:vAlign w:val="center"/>
            <w:hideMark/>
          </w:tcPr>
          <w:p w14:paraId="7BC375B8" w14:textId="77777777" w:rsidR="00C408CF" w:rsidRPr="00BA6B2B" w:rsidRDefault="00C408CF" w:rsidP="00A266CE">
            <w:pPr>
              <w:jc w:val="center"/>
              <w:rPr>
                <w:sz w:val="20"/>
                <w:szCs w:val="20"/>
                <w:lang w:val="fr-FR"/>
              </w:rPr>
            </w:pPr>
            <w:r w:rsidRPr="00BA6B2B">
              <w:rPr>
                <w:sz w:val="20"/>
                <w:szCs w:val="20"/>
                <w:lang w:eastAsia="en-GB"/>
              </w:rPr>
              <w:t>3,227</w:t>
            </w:r>
          </w:p>
        </w:tc>
        <w:tc>
          <w:tcPr>
            <w:tcW w:w="806" w:type="dxa"/>
            <w:shd w:val="clear" w:color="auto" w:fill="auto"/>
            <w:noWrap/>
            <w:vAlign w:val="center"/>
            <w:hideMark/>
          </w:tcPr>
          <w:p w14:paraId="148809DC" w14:textId="71E18F60" w:rsidR="00C408CF" w:rsidRPr="00BA6B2B" w:rsidRDefault="00C408CF" w:rsidP="00A266CE">
            <w:pPr>
              <w:jc w:val="center"/>
              <w:rPr>
                <w:sz w:val="20"/>
                <w:szCs w:val="20"/>
                <w:lang w:val="fr-FR"/>
              </w:rPr>
            </w:pPr>
            <w:r w:rsidRPr="00BA6B2B">
              <w:rPr>
                <w:sz w:val="20"/>
                <w:szCs w:val="20"/>
                <w:lang w:eastAsia="en-GB"/>
              </w:rPr>
              <w:t>91.5</w:t>
            </w:r>
          </w:p>
        </w:tc>
        <w:tc>
          <w:tcPr>
            <w:tcW w:w="881" w:type="dxa"/>
            <w:gridSpan w:val="2"/>
            <w:shd w:val="clear" w:color="auto" w:fill="auto"/>
            <w:noWrap/>
            <w:vAlign w:val="center"/>
            <w:hideMark/>
          </w:tcPr>
          <w:p w14:paraId="41EEF3B2" w14:textId="5CBE07FF" w:rsidR="00C408CF" w:rsidRPr="00BA6B2B" w:rsidRDefault="00C408CF" w:rsidP="00A266CE">
            <w:pPr>
              <w:jc w:val="center"/>
              <w:rPr>
                <w:sz w:val="20"/>
                <w:szCs w:val="20"/>
                <w:lang w:val="fr-FR"/>
              </w:rPr>
            </w:pPr>
            <w:r w:rsidRPr="00BA6B2B">
              <w:rPr>
                <w:sz w:val="20"/>
                <w:szCs w:val="20"/>
                <w:lang w:eastAsia="en-GB"/>
              </w:rPr>
              <w:t>3,8</w:t>
            </w:r>
            <w:r w:rsidR="00FC0DD0" w:rsidRPr="00BA6B2B">
              <w:rPr>
                <w:sz w:val="20"/>
                <w:szCs w:val="20"/>
                <w:lang w:eastAsia="en-GB"/>
              </w:rPr>
              <w:t>31</w:t>
            </w:r>
          </w:p>
        </w:tc>
        <w:tc>
          <w:tcPr>
            <w:tcW w:w="723" w:type="dxa"/>
            <w:shd w:val="clear" w:color="auto" w:fill="auto"/>
            <w:noWrap/>
            <w:vAlign w:val="center"/>
            <w:hideMark/>
          </w:tcPr>
          <w:p w14:paraId="0707C50A" w14:textId="77777777" w:rsidR="00C408CF" w:rsidRPr="00BA6B2B" w:rsidRDefault="00C408CF" w:rsidP="00A266CE">
            <w:pPr>
              <w:jc w:val="center"/>
              <w:rPr>
                <w:sz w:val="20"/>
                <w:szCs w:val="20"/>
                <w:lang w:val="fr-FR"/>
              </w:rPr>
            </w:pPr>
            <w:r w:rsidRPr="00BA6B2B">
              <w:rPr>
                <w:sz w:val="20"/>
                <w:szCs w:val="20"/>
                <w:lang w:eastAsia="en-GB"/>
              </w:rPr>
              <w:t>3,865</w:t>
            </w:r>
          </w:p>
        </w:tc>
        <w:tc>
          <w:tcPr>
            <w:tcW w:w="917" w:type="dxa"/>
            <w:shd w:val="clear" w:color="auto" w:fill="auto"/>
            <w:noWrap/>
            <w:vAlign w:val="center"/>
            <w:hideMark/>
          </w:tcPr>
          <w:p w14:paraId="501ECE26" w14:textId="754647B0" w:rsidR="00C408CF" w:rsidRPr="00BA6B2B" w:rsidRDefault="00C408CF" w:rsidP="00A266CE">
            <w:pPr>
              <w:jc w:val="center"/>
              <w:rPr>
                <w:sz w:val="20"/>
                <w:szCs w:val="20"/>
                <w:lang w:val="fr-FR"/>
              </w:rPr>
            </w:pPr>
            <w:r w:rsidRPr="00BA6B2B">
              <w:rPr>
                <w:sz w:val="20"/>
                <w:szCs w:val="20"/>
                <w:lang w:eastAsia="en-GB"/>
              </w:rPr>
              <w:t>100.</w:t>
            </w:r>
            <w:r w:rsidR="00FC0DD0" w:rsidRPr="00BA6B2B">
              <w:rPr>
                <w:sz w:val="20"/>
                <w:szCs w:val="20"/>
                <w:lang w:eastAsia="en-GB"/>
              </w:rPr>
              <w:t>9</w:t>
            </w:r>
          </w:p>
        </w:tc>
        <w:tc>
          <w:tcPr>
            <w:tcW w:w="911" w:type="dxa"/>
            <w:gridSpan w:val="2"/>
            <w:shd w:val="clear" w:color="auto" w:fill="auto"/>
            <w:noWrap/>
            <w:vAlign w:val="center"/>
            <w:hideMark/>
          </w:tcPr>
          <w:p w14:paraId="48D76684" w14:textId="78CDD7C6" w:rsidR="00C408CF" w:rsidRPr="00BA6B2B" w:rsidRDefault="00C408CF" w:rsidP="00A266CE">
            <w:pPr>
              <w:jc w:val="center"/>
              <w:rPr>
                <w:sz w:val="20"/>
                <w:szCs w:val="20"/>
                <w:lang w:val="fr-FR"/>
              </w:rPr>
            </w:pPr>
            <w:r w:rsidRPr="00BA6B2B">
              <w:rPr>
                <w:sz w:val="20"/>
                <w:szCs w:val="20"/>
                <w:lang w:eastAsia="en-GB"/>
              </w:rPr>
              <w:t>4,4</w:t>
            </w:r>
            <w:r w:rsidR="00FC0DD0" w:rsidRPr="00BA6B2B">
              <w:rPr>
                <w:sz w:val="20"/>
                <w:szCs w:val="20"/>
                <w:lang w:eastAsia="en-GB"/>
              </w:rPr>
              <w:t>12</w:t>
            </w:r>
          </w:p>
        </w:tc>
        <w:tc>
          <w:tcPr>
            <w:tcW w:w="723" w:type="dxa"/>
            <w:shd w:val="clear" w:color="auto" w:fill="auto"/>
            <w:noWrap/>
            <w:vAlign w:val="center"/>
            <w:hideMark/>
          </w:tcPr>
          <w:p w14:paraId="0A84A036" w14:textId="34FD493E" w:rsidR="00C408CF" w:rsidRPr="00BA6B2B" w:rsidRDefault="00C408CF" w:rsidP="00A266CE">
            <w:pPr>
              <w:jc w:val="center"/>
              <w:rPr>
                <w:sz w:val="20"/>
                <w:szCs w:val="20"/>
                <w:lang w:val="fr-FR"/>
              </w:rPr>
            </w:pPr>
            <w:r w:rsidRPr="00BA6B2B">
              <w:rPr>
                <w:sz w:val="20"/>
                <w:szCs w:val="20"/>
                <w:lang w:eastAsia="en-GB"/>
              </w:rPr>
              <w:t>4,</w:t>
            </w:r>
            <w:r w:rsidR="00EC2EEE" w:rsidRPr="00BA6B2B">
              <w:rPr>
                <w:sz w:val="20"/>
                <w:szCs w:val="20"/>
                <w:lang w:eastAsia="en-GB"/>
              </w:rPr>
              <w:t>578</w:t>
            </w:r>
          </w:p>
        </w:tc>
        <w:tc>
          <w:tcPr>
            <w:tcW w:w="917" w:type="dxa"/>
            <w:shd w:val="clear" w:color="auto" w:fill="auto"/>
            <w:noWrap/>
            <w:vAlign w:val="center"/>
            <w:hideMark/>
          </w:tcPr>
          <w:p w14:paraId="1D02EB52" w14:textId="243927D8" w:rsidR="00C408CF" w:rsidRPr="00BA6B2B" w:rsidRDefault="00C408CF" w:rsidP="00A266CE">
            <w:pPr>
              <w:jc w:val="center"/>
              <w:rPr>
                <w:sz w:val="20"/>
                <w:szCs w:val="20"/>
                <w:lang w:val="fr-FR"/>
              </w:rPr>
            </w:pPr>
            <w:r w:rsidRPr="00BA6B2B">
              <w:rPr>
                <w:sz w:val="20"/>
                <w:szCs w:val="20"/>
                <w:lang w:eastAsia="en-GB"/>
              </w:rPr>
              <w:t>10</w:t>
            </w:r>
            <w:r w:rsidR="00EC2EEE" w:rsidRPr="00BA6B2B">
              <w:rPr>
                <w:sz w:val="20"/>
                <w:szCs w:val="20"/>
                <w:lang w:eastAsia="en-GB"/>
              </w:rPr>
              <w:t>3</w:t>
            </w:r>
            <w:r w:rsidRPr="00BA6B2B">
              <w:rPr>
                <w:sz w:val="20"/>
                <w:szCs w:val="20"/>
                <w:lang w:eastAsia="en-GB"/>
              </w:rPr>
              <w:t>.</w:t>
            </w:r>
            <w:r w:rsidR="00976A6F" w:rsidRPr="00BA6B2B">
              <w:rPr>
                <w:sz w:val="20"/>
                <w:szCs w:val="20"/>
                <w:lang w:eastAsia="en-GB"/>
              </w:rPr>
              <w:t>8</w:t>
            </w:r>
          </w:p>
        </w:tc>
      </w:tr>
    </w:tbl>
    <w:p w14:paraId="17F136A0" w14:textId="50D3D446" w:rsidR="00F25DF0" w:rsidRPr="00BA6B2B" w:rsidRDefault="00F25DF0" w:rsidP="00BA6B2B">
      <w:pPr>
        <w:spacing w:after="240"/>
        <w:rPr>
          <w:rStyle w:val="SubtleEmphasis"/>
          <w:i w:val="0"/>
          <w:color w:val="000000" w:themeColor="text1"/>
          <w:sz w:val="20"/>
          <w:szCs w:val="20"/>
        </w:rPr>
      </w:pPr>
      <w:r w:rsidRPr="00BA6B2B">
        <w:rPr>
          <w:rStyle w:val="SubtleEmphasis"/>
          <w:color w:val="000000" w:themeColor="text1"/>
          <w:sz w:val="20"/>
          <w:szCs w:val="20"/>
        </w:rPr>
        <w:t xml:space="preserve">Source: </w:t>
      </w:r>
      <w:r w:rsidRPr="00BA6B2B">
        <w:rPr>
          <w:rStyle w:val="SubtleEmphasis"/>
          <w:i w:val="0"/>
          <w:color w:val="000000" w:themeColor="text1"/>
          <w:sz w:val="20"/>
          <w:szCs w:val="20"/>
        </w:rPr>
        <w:t>AFSs</w:t>
      </w:r>
      <w:r w:rsidR="00BA6B2B" w:rsidRPr="00BA6B2B">
        <w:rPr>
          <w:rStyle w:val="SubtleEmphasis"/>
          <w:i w:val="0"/>
          <w:color w:val="000000" w:themeColor="text1"/>
          <w:sz w:val="20"/>
          <w:szCs w:val="20"/>
        </w:rPr>
        <w:t>.</w:t>
      </w:r>
    </w:p>
    <w:p w14:paraId="75406159" w14:textId="6D7F8CB0" w:rsidR="00331B71" w:rsidRPr="005849E4" w:rsidRDefault="00035673" w:rsidP="00BA6B2B">
      <w:pPr>
        <w:spacing w:after="240"/>
        <w:rPr>
          <w:sz w:val="22"/>
        </w:rPr>
      </w:pPr>
      <w:r w:rsidRPr="005849E4">
        <w:rPr>
          <w:sz w:val="22"/>
        </w:rPr>
        <w:t xml:space="preserve">In summary, </w:t>
      </w:r>
      <w:r w:rsidR="00EC2EEE" w:rsidRPr="005849E4">
        <w:rPr>
          <w:sz w:val="22"/>
        </w:rPr>
        <w:t xml:space="preserve">outturn of transfers from higher-level government </w:t>
      </w:r>
      <w:r w:rsidR="00E56226" w:rsidRPr="005849E4">
        <w:rPr>
          <w:sz w:val="22"/>
        </w:rPr>
        <w:t>ha</w:t>
      </w:r>
      <w:r w:rsidR="001E7F1A">
        <w:rPr>
          <w:sz w:val="22"/>
        </w:rPr>
        <w:t>s</w:t>
      </w:r>
      <w:r w:rsidR="00E56226" w:rsidRPr="005849E4">
        <w:rPr>
          <w:sz w:val="22"/>
        </w:rPr>
        <w:t xml:space="preserve"> been at least 95</w:t>
      </w:r>
      <w:r w:rsidR="00713568">
        <w:rPr>
          <w:sz w:val="22"/>
        </w:rPr>
        <w:t xml:space="preserve"> percent</w:t>
      </w:r>
      <w:r w:rsidR="00EC2EEE" w:rsidRPr="005849E4">
        <w:rPr>
          <w:sz w:val="22"/>
        </w:rPr>
        <w:t xml:space="preserve"> </w:t>
      </w:r>
      <w:r w:rsidR="00E56226" w:rsidRPr="005849E4">
        <w:rPr>
          <w:sz w:val="22"/>
        </w:rPr>
        <w:t>of the original budget estimate in two of the last three years.</w:t>
      </w:r>
    </w:p>
    <w:p w14:paraId="6BB01AD8" w14:textId="514524C3" w:rsidR="00331B71" w:rsidRPr="005849E4" w:rsidRDefault="00331B71" w:rsidP="00331B71">
      <w:pPr>
        <w:rPr>
          <w:b/>
          <w:sz w:val="22"/>
        </w:rPr>
      </w:pPr>
      <w:r w:rsidRPr="005849E4">
        <w:rPr>
          <w:b/>
          <w:sz w:val="22"/>
        </w:rPr>
        <w:t>Dimension rating = A</w:t>
      </w:r>
    </w:p>
    <w:p w14:paraId="13DD47F2" w14:textId="14C3DCAB" w:rsidR="00F25DF0" w:rsidRPr="00890A84" w:rsidRDefault="00F25DF0" w:rsidP="00BA6B2B">
      <w:pPr>
        <w:pStyle w:val="Heading5"/>
      </w:pPr>
      <w:r w:rsidRPr="00890A84">
        <w:t>HLG-1.2. Earmarked grant</w:t>
      </w:r>
      <w:r w:rsidR="00713568">
        <w:t>s</w:t>
      </w:r>
      <w:r w:rsidRPr="00890A84">
        <w:t xml:space="preserve"> outturn</w:t>
      </w:r>
    </w:p>
    <w:p w14:paraId="3250D6D5" w14:textId="35930088" w:rsidR="000C169B" w:rsidRPr="005849E4" w:rsidRDefault="00AE22DC" w:rsidP="00BA6B2B">
      <w:pPr>
        <w:rPr>
          <w:sz w:val="22"/>
        </w:rPr>
      </w:pPr>
      <w:r w:rsidRPr="005849E4">
        <w:rPr>
          <w:sz w:val="22"/>
        </w:rPr>
        <w:t xml:space="preserve">In addition to the transfers from the </w:t>
      </w:r>
      <w:r w:rsidR="00713568">
        <w:rPr>
          <w:sz w:val="22"/>
        </w:rPr>
        <w:t>n</w:t>
      </w:r>
      <w:r w:rsidRPr="005849E4">
        <w:rPr>
          <w:sz w:val="22"/>
        </w:rPr>
        <w:t xml:space="preserve">ational </w:t>
      </w:r>
      <w:r w:rsidR="00713568">
        <w:rPr>
          <w:sz w:val="22"/>
        </w:rPr>
        <w:t>g</w:t>
      </w:r>
      <w:r w:rsidRPr="005849E4">
        <w:rPr>
          <w:sz w:val="22"/>
        </w:rPr>
        <w:t xml:space="preserve">overnment, there are conditional allocations from </w:t>
      </w:r>
      <w:r w:rsidR="00713568">
        <w:rPr>
          <w:sz w:val="22"/>
        </w:rPr>
        <w:t>n</w:t>
      </w:r>
      <w:r w:rsidRPr="005849E4">
        <w:rPr>
          <w:sz w:val="22"/>
        </w:rPr>
        <w:t xml:space="preserve">ational </w:t>
      </w:r>
      <w:r w:rsidR="00713568">
        <w:rPr>
          <w:sz w:val="22"/>
        </w:rPr>
        <w:t>g</w:t>
      </w:r>
      <w:r w:rsidRPr="005849E4">
        <w:rPr>
          <w:sz w:val="22"/>
        </w:rPr>
        <w:t xml:space="preserve">overnment revenue to each county government to be used for specific purposes, including development expenditure, which are outlined in </w:t>
      </w:r>
      <w:r w:rsidR="00713568">
        <w:rPr>
          <w:sz w:val="22"/>
        </w:rPr>
        <w:t>t</w:t>
      </w:r>
      <w:r w:rsidRPr="005849E4">
        <w:rPr>
          <w:sz w:val="22"/>
        </w:rPr>
        <w:t>he County Allocation of Revenue Act.</w:t>
      </w:r>
      <w:r w:rsidR="00E56226" w:rsidRPr="005849E4">
        <w:rPr>
          <w:sz w:val="22"/>
        </w:rPr>
        <w:t xml:space="preserve"> </w:t>
      </w:r>
      <w:r w:rsidR="00171D87" w:rsidRPr="005849E4">
        <w:rPr>
          <w:sz w:val="22"/>
        </w:rPr>
        <w:t xml:space="preserve">Conditional allocations are tied to the implementation of specific national policies with specific objectives by the </w:t>
      </w:r>
      <w:r w:rsidR="00713568">
        <w:rPr>
          <w:sz w:val="22"/>
        </w:rPr>
        <w:t>n</w:t>
      </w:r>
      <w:r w:rsidR="00171D87" w:rsidRPr="005849E4">
        <w:rPr>
          <w:sz w:val="22"/>
        </w:rPr>
        <w:t xml:space="preserve">ational </w:t>
      </w:r>
      <w:r w:rsidR="00713568">
        <w:rPr>
          <w:sz w:val="22"/>
        </w:rPr>
        <w:t>g</w:t>
      </w:r>
      <w:r w:rsidR="00171D87" w:rsidRPr="005849E4">
        <w:rPr>
          <w:sz w:val="22"/>
        </w:rPr>
        <w:t xml:space="preserve">overnment. </w:t>
      </w:r>
      <w:r w:rsidR="00EC2EEE" w:rsidRPr="005849E4">
        <w:rPr>
          <w:sz w:val="22"/>
        </w:rPr>
        <w:t>In addition, conditional grants from international organi</w:t>
      </w:r>
      <w:r w:rsidR="00713568">
        <w:rPr>
          <w:sz w:val="22"/>
        </w:rPr>
        <w:t>z</w:t>
      </w:r>
      <w:r w:rsidR="00EC2EEE" w:rsidRPr="005849E4">
        <w:rPr>
          <w:sz w:val="22"/>
        </w:rPr>
        <w:t>ation</w:t>
      </w:r>
      <w:r w:rsidR="00713568">
        <w:rPr>
          <w:sz w:val="22"/>
        </w:rPr>
        <w:t>s</w:t>
      </w:r>
      <w:r w:rsidR="00EC2EEE" w:rsidRPr="005849E4">
        <w:rPr>
          <w:sz w:val="22"/>
        </w:rPr>
        <w:t xml:space="preserve"> have been budgeted, as reported in </w:t>
      </w:r>
      <w:r w:rsidR="00713568">
        <w:rPr>
          <w:sz w:val="22"/>
        </w:rPr>
        <w:t>Table 3.2</w:t>
      </w:r>
      <w:r w:rsidRPr="005849E4">
        <w:rPr>
          <w:sz w:val="22"/>
        </w:rPr>
        <w:t>.</w:t>
      </w:r>
    </w:p>
    <w:p w14:paraId="6EC8BF76" w14:textId="002B03DF" w:rsidR="00BB5351" w:rsidRDefault="007929DF" w:rsidP="00BA6B2B">
      <w:pPr>
        <w:pStyle w:val="TableStyle"/>
      </w:pPr>
      <w:bookmarkStart w:id="60" w:name="_Toc532426090"/>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3</w:t>
      </w:r>
      <w:r w:rsidR="008B59A7">
        <w:rPr>
          <w:noProof/>
        </w:rPr>
        <w:fldChar w:fldCharType="end"/>
      </w:r>
      <w:r w:rsidR="00BB5351">
        <w:t>: Breakdown of e</w:t>
      </w:r>
      <w:r w:rsidR="00BB5351" w:rsidRPr="00BB5351">
        <w:t xml:space="preserve">stimate and actual revenue </w:t>
      </w:r>
      <w:r w:rsidR="00BB5351">
        <w:t>by economic classification</w:t>
      </w:r>
      <w:r w:rsidR="00BB5351" w:rsidRPr="00BB5351">
        <w:t xml:space="preserve"> (</w:t>
      </w:r>
      <w:r w:rsidR="00E73ED7">
        <w:t>Ksh</w:t>
      </w:r>
      <w:r w:rsidR="00713568">
        <w:t xml:space="preserve">, </w:t>
      </w:r>
      <w:r w:rsidR="00BB5351" w:rsidRPr="00BB5351">
        <w:t>million</w:t>
      </w:r>
      <w:r w:rsidR="00713568">
        <w:t>s</w:t>
      </w:r>
      <w:r w:rsidR="00BB5351">
        <w:t>)</w:t>
      </w:r>
      <w:bookmarkEnd w:id="60"/>
    </w:p>
    <w:tbl>
      <w:tblPr>
        <w:tblStyle w:val="table-style-blauw-070-none"/>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79"/>
        <w:gridCol w:w="828"/>
        <w:gridCol w:w="828"/>
        <w:gridCol w:w="828"/>
        <w:gridCol w:w="828"/>
        <w:gridCol w:w="828"/>
        <w:gridCol w:w="828"/>
      </w:tblGrid>
      <w:tr w:rsidR="00EC2EEE" w:rsidRPr="00BA6B2B" w14:paraId="219DE8B5" w14:textId="77777777" w:rsidTr="005849E4">
        <w:trPr>
          <w:cnfStyle w:val="100000000000" w:firstRow="1" w:lastRow="0" w:firstColumn="0" w:lastColumn="0" w:oddVBand="0" w:evenVBand="0" w:oddHBand="0" w:evenHBand="0" w:firstRowFirstColumn="0" w:firstRowLastColumn="0" w:lastRowFirstColumn="0" w:lastRowLastColumn="0"/>
          <w:trHeight w:val="255"/>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3E2D830" w14:textId="77777777" w:rsidR="00EC2EEE" w:rsidRPr="00BA6B2B" w:rsidRDefault="00EC2EEE" w:rsidP="00EC2EEE">
            <w:pPr>
              <w:jc w:val="left"/>
              <w:rPr>
                <w:rFonts w:ascii="Calibri" w:hAnsi="Calibri" w:cs="Times New Roman"/>
                <w:sz w:val="20"/>
                <w:szCs w:val="20"/>
                <w:lang w:val="en-GB"/>
              </w:rPr>
            </w:pPr>
          </w:p>
        </w:tc>
        <w:tc>
          <w:tcPr>
            <w:tcW w:w="0" w:type="auto"/>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08C7F27" w14:textId="77777777" w:rsidR="00EC2EEE" w:rsidRPr="00BA6B2B" w:rsidRDefault="00EC2EEE" w:rsidP="00EC2EEE">
            <w:pPr>
              <w:jc w:val="center"/>
              <w:rPr>
                <w:rFonts w:ascii="Calibri" w:hAnsi="Calibri" w:cs="Arial"/>
                <w:sz w:val="20"/>
                <w:szCs w:val="20"/>
                <w:lang w:val="fr-FR"/>
              </w:rPr>
            </w:pPr>
            <w:r w:rsidRPr="00BA6B2B">
              <w:rPr>
                <w:rFonts w:ascii="Calibri" w:hAnsi="Calibri" w:cs="Arial"/>
                <w:sz w:val="20"/>
                <w:szCs w:val="20"/>
                <w:lang w:val="fr-FR"/>
              </w:rPr>
              <w:t>2013/14</w:t>
            </w:r>
          </w:p>
        </w:tc>
        <w:tc>
          <w:tcPr>
            <w:tcW w:w="0" w:type="auto"/>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8F6F394" w14:textId="77777777" w:rsidR="00EC2EEE" w:rsidRPr="00BA6B2B" w:rsidRDefault="00EC2EEE" w:rsidP="00EC2EEE">
            <w:pPr>
              <w:jc w:val="center"/>
              <w:rPr>
                <w:rFonts w:ascii="Calibri" w:hAnsi="Calibri" w:cs="Arial"/>
                <w:sz w:val="20"/>
                <w:szCs w:val="20"/>
                <w:lang w:val="fr-FR"/>
              </w:rPr>
            </w:pPr>
            <w:r w:rsidRPr="00BA6B2B">
              <w:rPr>
                <w:rFonts w:ascii="Calibri" w:hAnsi="Calibri" w:cs="Arial"/>
                <w:sz w:val="20"/>
                <w:szCs w:val="20"/>
                <w:lang w:val="fr-FR"/>
              </w:rPr>
              <w:t>2014/15</w:t>
            </w:r>
          </w:p>
        </w:tc>
        <w:tc>
          <w:tcPr>
            <w:tcW w:w="0" w:type="auto"/>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4EB4AB6" w14:textId="77777777" w:rsidR="00EC2EEE" w:rsidRPr="00BA6B2B" w:rsidRDefault="00EC2EEE" w:rsidP="00EC2EEE">
            <w:pPr>
              <w:jc w:val="center"/>
              <w:rPr>
                <w:rFonts w:ascii="Calibri" w:hAnsi="Calibri" w:cs="Arial"/>
                <w:sz w:val="20"/>
                <w:szCs w:val="20"/>
                <w:lang w:val="fr-FR"/>
              </w:rPr>
            </w:pPr>
            <w:r w:rsidRPr="00BA6B2B">
              <w:rPr>
                <w:rFonts w:ascii="Calibri" w:hAnsi="Calibri" w:cs="Arial"/>
                <w:sz w:val="20"/>
                <w:szCs w:val="20"/>
                <w:lang w:val="fr-FR"/>
              </w:rPr>
              <w:t>2015/16</w:t>
            </w:r>
          </w:p>
        </w:tc>
      </w:tr>
      <w:tr w:rsidR="00EC2EEE" w:rsidRPr="00BA6B2B" w14:paraId="31940D02" w14:textId="77777777" w:rsidTr="00FA6BED">
        <w:trPr>
          <w:cnfStyle w:val="000000100000" w:firstRow="0" w:lastRow="0" w:firstColumn="0" w:lastColumn="0" w:oddVBand="0" w:evenVBand="0" w:oddHBand="1" w:evenHBand="0" w:firstRowFirstColumn="0" w:firstRowLastColumn="0" w:lastRowFirstColumn="0" w:lastRowLastColumn="0"/>
          <w:trHeight w:val="255"/>
        </w:trPr>
        <w:tc>
          <w:tcPr>
            <w:tcW w:w="0" w:type="auto"/>
            <w:tcBorders>
              <w:top w:val="none" w:sz="0" w:space="0" w:color="auto"/>
            </w:tcBorders>
            <w:shd w:val="clear" w:color="auto" w:fill="F2F2F2" w:themeFill="background1" w:themeFillShade="F2"/>
            <w:noWrap/>
            <w:hideMark/>
          </w:tcPr>
          <w:p w14:paraId="41F53142" w14:textId="58C1D290" w:rsidR="00EC2EEE" w:rsidRPr="00BA6B2B" w:rsidRDefault="00EC2EEE" w:rsidP="00EC2EEE">
            <w:pPr>
              <w:jc w:val="left"/>
              <w:rPr>
                <w:rFonts w:ascii="Calibri" w:hAnsi="Calibri" w:cs="Arial"/>
                <w:b/>
                <w:sz w:val="20"/>
                <w:szCs w:val="20"/>
                <w:lang w:val="fr-FR"/>
              </w:rPr>
            </w:pPr>
            <w:r w:rsidRPr="00BA6B2B">
              <w:rPr>
                <w:rFonts w:ascii="Calibri" w:hAnsi="Calibri" w:cs="Arial"/>
                <w:b/>
                <w:sz w:val="20"/>
                <w:szCs w:val="20"/>
                <w:lang w:val="fr-FR"/>
              </w:rPr>
              <w:t xml:space="preserve">Economic </w:t>
            </w:r>
            <w:r w:rsidR="00BB5351" w:rsidRPr="00BA6B2B">
              <w:rPr>
                <w:rFonts w:ascii="Calibri" w:hAnsi="Calibri" w:cs="Arial"/>
                <w:b/>
                <w:sz w:val="20"/>
                <w:szCs w:val="20"/>
                <w:lang w:val="fr-FR"/>
              </w:rPr>
              <w:t>Head</w:t>
            </w:r>
          </w:p>
        </w:tc>
        <w:tc>
          <w:tcPr>
            <w:tcW w:w="0" w:type="auto"/>
            <w:tcBorders>
              <w:top w:val="none" w:sz="0" w:space="0" w:color="auto"/>
            </w:tcBorders>
            <w:shd w:val="clear" w:color="auto" w:fill="F2F2F2" w:themeFill="background1" w:themeFillShade="F2"/>
            <w:noWrap/>
            <w:hideMark/>
          </w:tcPr>
          <w:p w14:paraId="766F9215" w14:textId="09F543BD" w:rsidR="00EC2EEE" w:rsidRPr="00BA6B2B" w:rsidRDefault="00BB5351" w:rsidP="00EC2EEE">
            <w:pPr>
              <w:jc w:val="center"/>
              <w:rPr>
                <w:rFonts w:ascii="Calibri" w:hAnsi="Calibri" w:cs="Arial"/>
                <w:b/>
                <w:sz w:val="20"/>
                <w:szCs w:val="20"/>
                <w:lang w:val="fr-FR"/>
              </w:rPr>
            </w:pPr>
            <w:r w:rsidRPr="00BA6B2B">
              <w:rPr>
                <w:rFonts w:ascii="Calibri" w:hAnsi="Calibri" w:cs="Arial"/>
                <w:b/>
                <w:sz w:val="20"/>
                <w:szCs w:val="20"/>
                <w:lang w:val="fr-FR"/>
              </w:rPr>
              <w:t>Budget</w:t>
            </w:r>
          </w:p>
        </w:tc>
        <w:tc>
          <w:tcPr>
            <w:tcW w:w="0" w:type="auto"/>
            <w:tcBorders>
              <w:top w:val="none" w:sz="0" w:space="0" w:color="auto"/>
            </w:tcBorders>
            <w:shd w:val="clear" w:color="auto" w:fill="F2F2F2" w:themeFill="background1" w:themeFillShade="F2"/>
            <w:noWrap/>
            <w:hideMark/>
          </w:tcPr>
          <w:p w14:paraId="3144190E" w14:textId="6FEBC4A3" w:rsidR="00EC2EEE" w:rsidRPr="00BA6B2B" w:rsidRDefault="00BB5351" w:rsidP="00EC2EEE">
            <w:pPr>
              <w:jc w:val="center"/>
              <w:rPr>
                <w:rFonts w:ascii="Calibri" w:hAnsi="Calibri" w:cs="Arial"/>
                <w:b/>
                <w:sz w:val="20"/>
                <w:szCs w:val="20"/>
                <w:lang w:val="fr-FR"/>
              </w:rPr>
            </w:pPr>
            <w:r w:rsidRPr="00BA6B2B">
              <w:rPr>
                <w:rFonts w:ascii="Calibri" w:hAnsi="Calibri" w:cs="Arial"/>
                <w:b/>
                <w:sz w:val="20"/>
                <w:szCs w:val="20"/>
                <w:lang w:val="fr-FR"/>
              </w:rPr>
              <w:t>Actual</w:t>
            </w:r>
          </w:p>
        </w:tc>
        <w:tc>
          <w:tcPr>
            <w:tcW w:w="0" w:type="auto"/>
            <w:tcBorders>
              <w:top w:val="none" w:sz="0" w:space="0" w:color="auto"/>
            </w:tcBorders>
            <w:shd w:val="clear" w:color="auto" w:fill="F2F2F2" w:themeFill="background1" w:themeFillShade="F2"/>
            <w:noWrap/>
            <w:hideMark/>
          </w:tcPr>
          <w:p w14:paraId="1C81F771" w14:textId="2DE023CB" w:rsidR="00EC2EEE" w:rsidRPr="00BA6B2B" w:rsidRDefault="00BB5351" w:rsidP="00EC2EEE">
            <w:pPr>
              <w:jc w:val="center"/>
              <w:rPr>
                <w:rFonts w:ascii="Calibri" w:hAnsi="Calibri" w:cs="Arial"/>
                <w:b/>
                <w:sz w:val="20"/>
                <w:szCs w:val="20"/>
                <w:lang w:val="fr-FR"/>
              </w:rPr>
            </w:pPr>
            <w:r w:rsidRPr="00BA6B2B">
              <w:rPr>
                <w:rFonts w:ascii="Calibri" w:hAnsi="Calibri" w:cs="Arial"/>
                <w:b/>
                <w:sz w:val="20"/>
                <w:szCs w:val="20"/>
                <w:lang w:val="fr-FR"/>
              </w:rPr>
              <w:t>Budget</w:t>
            </w:r>
          </w:p>
        </w:tc>
        <w:tc>
          <w:tcPr>
            <w:tcW w:w="0" w:type="auto"/>
            <w:tcBorders>
              <w:top w:val="none" w:sz="0" w:space="0" w:color="auto"/>
            </w:tcBorders>
            <w:shd w:val="clear" w:color="auto" w:fill="F2F2F2" w:themeFill="background1" w:themeFillShade="F2"/>
            <w:noWrap/>
            <w:hideMark/>
          </w:tcPr>
          <w:p w14:paraId="40FE7D39" w14:textId="01D1F955" w:rsidR="00EC2EEE" w:rsidRPr="00BA6B2B" w:rsidRDefault="00BB5351" w:rsidP="00EC2EEE">
            <w:pPr>
              <w:jc w:val="center"/>
              <w:rPr>
                <w:rFonts w:ascii="Calibri" w:hAnsi="Calibri" w:cs="Arial"/>
                <w:b/>
                <w:sz w:val="20"/>
                <w:szCs w:val="20"/>
                <w:lang w:val="fr-FR"/>
              </w:rPr>
            </w:pPr>
            <w:r w:rsidRPr="00BA6B2B">
              <w:rPr>
                <w:rFonts w:ascii="Calibri" w:hAnsi="Calibri" w:cs="Arial"/>
                <w:b/>
                <w:sz w:val="20"/>
                <w:szCs w:val="20"/>
                <w:lang w:val="fr-FR"/>
              </w:rPr>
              <w:t>Actual</w:t>
            </w:r>
          </w:p>
        </w:tc>
        <w:tc>
          <w:tcPr>
            <w:tcW w:w="0" w:type="auto"/>
            <w:tcBorders>
              <w:top w:val="none" w:sz="0" w:space="0" w:color="auto"/>
            </w:tcBorders>
            <w:shd w:val="clear" w:color="auto" w:fill="F2F2F2" w:themeFill="background1" w:themeFillShade="F2"/>
            <w:noWrap/>
            <w:hideMark/>
          </w:tcPr>
          <w:p w14:paraId="7E16BF02" w14:textId="6BA71215" w:rsidR="00EC2EEE" w:rsidRPr="00BA6B2B" w:rsidRDefault="00BB5351" w:rsidP="00EC2EEE">
            <w:pPr>
              <w:jc w:val="center"/>
              <w:rPr>
                <w:rFonts w:ascii="Calibri" w:hAnsi="Calibri" w:cs="Arial"/>
                <w:b/>
                <w:sz w:val="20"/>
                <w:szCs w:val="20"/>
                <w:lang w:val="fr-FR"/>
              </w:rPr>
            </w:pPr>
            <w:r w:rsidRPr="00BA6B2B">
              <w:rPr>
                <w:rFonts w:ascii="Calibri" w:hAnsi="Calibri" w:cs="Arial"/>
                <w:b/>
                <w:sz w:val="20"/>
                <w:szCs w:val="20"/>
                <w:lang w:val="fr-FR"/>
              </w:rPr>
              <w:t>Budget</w:t>
            </w:r>
          </w:p>
        </w:tc>
        <w:tc>
          <w:tcPr>
            <w:tcW w:w="0" w:type="auto"/>
            <w:tcBorders>
              <w:top w:val="none" w:sz="0" w:space="0" w:color="auto"/>
            </w:tcBorders>
            <w:shd w:val="clear" w:color="auto" w:fill="F2F2F2" w:themeFill="background1" w:themeFillShade="F2"/>
            <w:noWrap/>
            <w:hideMark/>
          </w:tcPr>
          <w:p w14:paraId="49AA9E9F" w14:textId="21B1B38B" w:rsidR="00EC2EEE" w:rsidRPr="00BA6B2B" w:rsidRDefault="00BB5351" w:rsidP="00EC2EEE">
            <w:pPr>
              <w:jc w:val="center"/>
              <w:rPr>
                <w:rFonts w:ascii="Calibri" w:hAnsi="Calibri" w:cs="Arial"/>
                <w:b/>
                <w:sz w:val="20"/>
                <w:szCs w:val="20"/>
                <w:lang w:val="fr-FR"/>
              </w:rPr>
            </w:pPr>
            <w:r w:rsidRPr="00BA6B2B">
              <w:rPr>
                <w:rFonts w:ascii="Calibri" w:hAnsi="Calibri" w:cs="Arial"/>
                <w:b/>
                <w:sz w:val="20"/>
                <w:szCs w:val="20"/>
                <w:lang w:val="fr-FR"/>
              </w:rPr>
              <w:t>Actual</w:t>
            </w:r>
          </w:p>
        </w:tc>
      </w:tr>
      <w:tr w:rsidR="00713568" w:rsidRPr="00BA6B2B" w14:paraId="54C3E302" w14:textId="77777777" w:rsidTr="005849E4">
        <w:trPr>
          <w:cnfStyle w:val="000000010000" w:firstRow="0" w:lastRow="0" w:firstColumn="0" w:lastColumn="0" w:oddVBand="0" w:evenVBand="0" w:oddHBand="0" w:evenHBand="1" w:firstRowFirstColumn="0" w:firstRowLastColumn="0" w:lastRowFirstColumn="0" w:lastRowLastColumn="0"/>
          <w:trHeight w:val="255"/>
        </w:trPr>
        <w:tc>
          <w:tcPr>
            <w:tcW w:w="0" w:type="auto"/>
            <w:tcBorders>
              <w:top w:val="none" w:sz="0" w:space="0" w:color="auto"/>
            </w:tcBorders>
            <w:noWrap/>
            <w:hideMark/>
          </w:tcPr>
          <w:p w14:paraId="509F0D09" w14:textId="77777777" w:rsidR="00713568" w:rsidRPr="00BA6B2B" w:rsidRDefault="00713568" w:rsidP="00713568">
            <w:pPr>
              <w:jc w:val="left"/>
              <w:rPr>
                <w:rFonts w:ascii="Calibri" w:hAnsi="Calibri" w:cs="Arial"/>
                <w:sz w:val="20"/>
                <w:szCs w:val="20"/>
              </w:rPr>
            </w:pPr>
            <w:r w:rsidRPr="00BA6B2B">
              <w:rPr>
                <w:rFonts w:ascii="Calibri" w:hAnsi="Calibri" w:cs="Arial"/>
                <w:sz w:val="20"/>
                <w:szCs w:val="20"/>
              </w:rPr>
              <w:t>Grants from other government units</w:t>
            </w:r>
          </w:p>
        </w:tc>
        <w:tc>
          <w:tcPr>
            <w:tcW w:w="0" w:type="auto"/>
            <w:tcBorders>
              <w:top w:val="none" w:sz="0" w:space="0" w:color="auto"/>
            </w:tcBorders>
            <w:noWrap/>
            <w:hideMark/>
          </w:tcPr>
          <w:p w14:paraId="00C3EA77" w14:textId="0B64E3B6" w:rsidR="00713568" w:rsidRPr="00BA6B2B" w:rsidRDefault="00713568" w:rsidP="00713568">
            <w:pPr>
              <w:jc w:val="center"/>
              <w:rPr>
                <w:rFonts w:ascii="Calibri" w:hAnsi="Calibri" w:cs="Arial"/>
                <w:sz w:val="20"/>
                <w:szCs w:val="20"/>
              </w:rPr>
            </w:pPr>
            <w:r>
              <w:rPr>
                <w:rFonts w:ascii="Calibri" w:hAnsi="Calibri" w:cs="Arial"/>
                <w:sz w:val="20"/>
                <w:szCs w:val="20"/>
              </w:rPr>
              <w:t>—</w:t>
            </w:r>
          </w:p>
        </w:tc>
        <w:tc>
          <w:tcPr>
            <w:tcW w:w="0" w:type="auto"/>
            <w:tcBorders>
              <w:top w:val="none" w:sz="0" w:space="0" w:color="auto"/>
            </w:tcBorders>
            <w:noWrap/>
            <w:hideMark/>
          </w:tcPr>
          <w:p w14:paraId="770682B0" w14:textId="518249E6" w:rsidR="00713568" w:rsidRPr="00BA6B2B" w:rsidRDefault="00713568" w:rsidP="00713568">
            <w:pPr>
              <w:jc w:val="center"/>
              <w:rPr>
                <w:rFonts w:ascii="Calibri" w:hAnsi="Calibri" w:cs="Times New Roman"/>
                <w:sz w:val="20"/>
                <w:szCs w:val="20"/>
              </w:rPr>
            </w:pPr>
            <w:r w:rsidRPr="0009215F">
              <w:rPr>
                <w:rFonts w:ascii="Calibri" w:hAnsi="Calibri" w:cs="Arial"/>
                <w:sz w:val="20"/>
                <w:szCs w:val="20"/>
              </w:rPr>
              <w:t>—</w:t>
            </w:r>
          </w:p>
        </w:tc>
        <w:tc>
          <w:tcPr>
            <w:tcW w:w="0" w:type="auto"/>
            <w:tcBorders>
              <w:top w:val="none" w:sz="0" w:space="0" w:color="auto"/>
            </w:tcBorders>
            <w:noWrap/>
            <w:hideMark/>
          </w:tcPr>
          <w:p w14:paraId="4FD08144" w14:textId="0E59E6CE" w:rsidR="00713568" w:rsidRPr="00BA6B2B" w:rsidRDefault="00713568" w:rsidP="00713568">
            <w:pPr>
              <w:jc w:val="center"/>
              <w:rPr>
                <w:rFonts w:ascii="Calibri" w:hAnsi="Calibri" w:cs="Times New Roman"/>
                <w:sz w:val="20"/>
                <w:szCs w:val="20"/>
              </w:rPr>
            </w:pPr>
            <w:r w:rsidRPr="0009215F">
              <w:rPr>
                <w:rFonts w:ascii="Calibri" w:hAnsi="Calibri" w:cs="Arial"/>
                <w:sz w:val="20"/>
                <w:szCs w:val="20"/>
              </w:rPr>
              <w:t>—</w:t>
            </w:r>
          </w:p>
        </w:tc>
        <w:tc>
          <w:tcPr>
            <w:tcW w:w="0" w:type="auto"/>
            <w:tcBorders>
              <w:top w:val="none" w:sz="0" w:space="0" w:color="auto"/>
            </w:tcBorders>
            <w:noWrap/>
            <w:hideMark/>
          </w:tcPr>
          <w:p w14:paraId="0CFBDF4E" w14:textId="29F8360B" w:rsidR="00713568" w:rsidRPr="00BA6B2B" w:rsidRDefault="00713568" w:rsidP="00713568">
            <w:pPr>
              <w:jc w:val="center"/>
              <w:rPr>
                <w:rFonts w:ascii="Calibri" w:hAnsi="Calibri" w:cs="Times New Roman"/>
                <w:sz w:val="20"/>
                <w:szCs w:val="20"/>
              </w:rPr>
            </w:pPr>
            <w:r w:rsidRPr="0009215F">
              <w:rPr>
                <w:rFonts w:ascii="Calibri" w:hAnsi="Calibri" w:cs="Arial"/>
                <w:sz w:val="20"/>
                <w:szCs w:val="20"/>
              </w:rPr>
              <w:t>—</w:t>
            </w:r>
          </w:p>
        </w:tc>
        <w:tc>
          <w:tcPr>
            <w:tcW w:w="0" w:type="auto"/>
            <w:tcBorders>
              <w:top w:val="none" w:sz="0" w:space="0" w:color="auto"/>
            </w:tcBorders>
            <w:noWrap/>
            <w:hideMark/>
          </w:tcPr>
          <w:p w14:paraId="35B25F65" w14:textId="77777777" w:rsidR="00713568" w:rsidRPr="00BA6B2B" w:rsidRDefault="00713568" w:rsidP="00713568">
            <w:pPr>
              <w:tabs>
                <w:tab w:val="decimal" w:pos="323"/>
              </w:tabs>
              <w:jc w:val="right"/>
              <w:rPr>
                <w:rFonts w:ascii="Calibri" w:hAnsi="Calibri" w:cs="Arial"/>
                <w:sz w:val="20"/>
                <w:szCs w:val="20"/>
                <w:lang w:val="fr-FR"/>
              </w:rPr>
            </w:pPr>
            <w:r w:rsidRPr="00BA6B2B">
              <w:rPr>
                <w:rFonts w:ascii="Calibri" w:hAnsi="Calibri" w:cs="Arial"/>
                <w:sz w:val="20"/>
                <w:szCs w:val="20"/>
                <w:lang w:val="fr-FR"/>
              </w:rPr>
              <w:t>0.0</w:t>
            </w:r>
          </w:p>
        </w:tc>
        <w:tc>
          <w:tcPr>
            <w:tcW w:w="0" w:type="auto"/>
            <w:tcBorders>
              <w:top w:val="none" w:sz="0" w:space="0" w:color="auto"/>
            </w:tcBorders>
            <w:noWrap/>
            <w:hideMark/>
          </w:tcPr>
          <w:p w14:paraId="1702780A" w14:textId="77777777" w:rsidR="00713568" w:rsidRPr="00BA6B2B" w:rsidRDefault="00713568" w:rsidP="00713568">
            <w:pPr>
              <w:tabs>
                <w:tab w:val="decimal" w:pos="323"/>
              </w:tabs>
              <w:jc w:val="right"/>
              <w:rPr>
                <w:rFonts w:ascii="Calibri" w:hAnsi="Calibri" w:cs="Arial"/>
                <w:sz w:val="20"/>
                <w:szCs w:val="20"/>
                <w:lang w:val="fr-FR"/>
              </w:rPr>
            </w:pPr>
            <w:r w:rsidRPr="00BA6B2B">
              <w:rPr>
                <w:rFonts w:ascii="Calibri" w:hAnsi="Calibri" w:cs="Arial"/>
                <w:sz w:val="20"/>
                <w:szCs w:val="20"/>
                <w:lang w:val="fr-FR"/>
              </w:rPr>
              <w:t>165.7</w:t>
            </w:r>
          </w:p>
        </w:tc>
      </w:tr>
      <w:tr w:rsidR="00EC2EEE" w:rsidRPr="00BA6B2B" w14:paraId="30393414" w14:textId="77777777" w:rsidTr="005849E4">
        <w:trPr>
          <w:cnfStyle w:val="000000100000" w:firstRow="0" w:lastRow="0" w:firstColumn="0" w:lastColumn="0" w:oddVBand="0" w:evenVBand="0" w:oddHBand="1" w:evenHBand="0" w:firstRowFirstColumn="0" w:firstRowLastColumn="0" w:lastRowFirstColumn="0" w:lastRowLastColumn="0"/>
          <w:trHeight w:val="255"/>
        </w:trPr>
        <w:tc>
          <w:tcPr>
            <w:tcW w:w="0" w:type="auto"/>
            <w:tcBorders>
              <w:top w:val="none" w:sz="0" w:space="0" w:color="auto"/>
            </w:tcBorders>
            <w:noWrap/>
            <w:hideMark/>
          </w:tcPr>
          <w:p w14:paraId="79E8B996" w14:textId="14B74EF2" w:rsidR="00EC2EEE" w:rsidRPr="00BA6B2B" w:rsidRDefault="008F7B9C" w:rsidP="00EC2EEE">
            <w:pPr>
              <w:jc w:val="left"/>
              <w:rPr>
                <w:rFonts w:ascii="Calibri" w:hAnsi="Calibri" w:cs="Arial"/>
                <w:sz w:val="20"/>
                <w:szCs w:val="20"/>
                <w:lang w:val="fr-FR"/>
              </w:rPr>
            </w:pPr>
            <w:r w:rsidRPr="00BA6B2B">
              <w:rPr>
                <w:rFonts w:ascii="Calibri" w:hAnsi="Calibri" w:cs="Arial"/>
                <w:sz w:val="20"/>
                <w:szCs w:val="20"/>
                <w:lang w:val="fr-FR"/>
              </w:rPr>
              <w:t>Equitable share</w:t>
            </w:r>
          </w:p>
        </w:tc>
        <w:tc>
          <w:tcPr>
            <w:tcW w:w="0" w:type="auto"/>
            <w:tcBorders>
              <w:top w:val="none" w:sz="0" w:space="0" w:color="auto"/>
            </w:tcBorders>
            <w:noWrap/>
            <w:hideMark/>
          </w:tcPr>
          <w:p w14:paraId="7024A4FA" w14:textId="77777777" w:rsidR="00EC2EEE" w:rsidRPr="00BA6B2B" w:rsidRDefault="00EC2EEE" w:rsidP="00EC2EEE">
            <w:pPr>
              <w:jc w:val="center"/>
              <w:rPr>
                <w:rFonts w:ascii="Calibri" w:hAnsi="Calibri" w:cs="Arial"/>
                <w:sz w:val="20"/>
                <w:szCs w:val="20"/>
                <w:lang w:val="fr-FR"/>
              </w:rPr>
            </w:pPr>
            <w:r w:rsidRPr="00BA6B2B">
              <w:rPr>
                <w:rFonts w:ascii="Calibri" w:hAnsi="Calibri" w:cs="Arial"/>
                <w:sz w:val="20"/>
                <w:szCs w:val="20"/>
                <w:lang w:val="fr-FR"/>
              </w:rPr>
              <w:t>3,525.7</w:t>
            </w:r>
          </w:p>
        </w:tc>
        <w:tc>
          <w:tcPr>
            <w:tcW w:w="0" w:type="auto"/>
            <w:tcBorders>
              <w:top w:val="none" w:sz="0" w:space="0" w:color="auto"/>
            </w:tcBorders>
            <w:noWrap/>
            <w:hideMark/>
          </w:tcPr>
          <w:p w14:paraId="48DA03D4" w14:textId="77777777" w:rsidR="00EC2EEE" w:rsidRPr="00BA6B2B" w:rsidRDefault="00EC2EEE" w:rsidP="00EC2EEE">
            <w:pPr>
              <w:jc w:val="center"/>
              <w:rPr>
                <w:rFonts w:ascii="Calibri" w:hAnsi="Calibri" w:cs="Arial"/>
                <w:sz w:val="20"/>
                <w:szCs w:val="20"/>
                <w:lang w:val="fr-FR"/>
              </w:rPr>
            </w:pPr>
            <w:r w:rsidRPr="00BA6B2B">
              <w:rPr>
                <w:rFonts w:ascii="Calibri" w:hAnsi="Calibri" w:cs="Arial"/>
                <w:sz w:val="20"/>
                <w:szCs w:val="20"/>
                <w:lang w:val="fr-FR"/>
              </w:rPr>
              <w:t>3,227.4</w:t>
            </w:r>
          </w:p>
        </w:tc>
        <w:tc>
          <w:tcPr>
            <w:tcW w:w="0" w:type="auto"/>
            <w:tcBorders>
              <w:top w:val="none" w:sz="0" w:space="0" w:color="auto"/>
            </w:tcBorders>
            <w:noWrap/>
            <w:hideMark/>
          </w:tcPr>
          <w:p w14:paraId="6ED1C357" w14:textId="77777777" w:rsidR="00EC2EEE" w:rsidRPr="00BA6B2B" w:rsidRDefault="00EC2EEE" w:rsidP="00EC2EEE">
            <w:pPr>
              <w:jc w:val="center"/>
              <w:rPr>
                <w:rFonts w:ascii="Calibri" w:hAnsi="Calibri" w:cs="Arial"/>
                <w:sz w:val="20"/>
                <w:szCs w:val="20"/>
                <w:lang w:val="fr-FR"/>
              </w:rPr>
            </w:pPr>
            <w:r w:rsidRPr="00BA6B2B">
              <w:rPr>
                <w:rFonts w:ascii="Calibri" w:hAnsi="Calibri" w:cs="Arial"/>
                <w:sz w:val="20"/>
                <w:szCs w:val="20"/>
                <w:lang w:val="fr-FR"/>
              </w:rPr>
              <w:t>3,831.7</w:t>
            </w:r>
          </w:p>
        </w:tc>
        <w:tc>
          <w:tcPr>
            <w:tcW w:w="0" w:type="auto"/>
            <w:tcBorders>
              <w:top w:val="none" w:sz="0" w:space="0" w:color="auto"/>
            </w:tcBorders>
            <w:noWrap/>
            <w:hideMark/>
          </w:tcPr>
          <w:p w14:paraId="003FCCF5" w14:textId="77777777" w:rsidR="00EC2EEE" w:rsidRPr="00BA6B2B" w:rsidRDefault="00EC2EEE" w:rsidP="00EC2EEE">
            <w:pPr>
              <w:jc w:val="center"/>
              <w:rPr>
                <w:rFonts w:ascii="Calibri" w:hAnsi="Calibri" w:cs="Arial"/>
                <w:sz w:val="20"/>
                <w:szCs w:val="20"/>
                <w:lang w:val="fr-FR"/>
              </w:rPr>
            </w:pPr>
            <w:r w:rsidRPr="00BA6B2B">
              <w:rPr>
                <w:rFonts w:ascii="Calibri" w:hAnsi="Calibri" w:cs="Arial"/>
                <w:sz w:val="20"/>
                <w:szCs w:val="20"/>
                <w:lang w:val="fr-FR"/>
              </w:rPr>
              <w:t>3,865.2</w:t>
            </w:r>
          </w:p>
        </w:tc>
        <w:tc>
          <w:tcPr>
            <w:tcW w:w="0" w:type="auto"/>
            <w:tcBorders>
              <w:top w:val="none" w:sz="0" w:space="0" w:color="auto"/>
            </w:tcBorders>
            <w:noWrap/>
            <w:hideMark/>
          </w:tcPr>
          <w:p w14:paraId="2AA6794B" w14:textId="77777777" w:rsidR="00EC2EEE" w:rsidRPr="00BA6B2B" w:rsidRDefault="00EC2EEE" w:rsidP="00713568">
            <w:pPr>
              <w:tabs>
                <w:tab w:val="decimal" w:pos="323"/>
              </w:tabs>
              <w:jc w:val="right"/>
              <w:rPr>
                <w:rFonts w:ascii="Calibri" w:hAnsi="Calibri" w:cs="Arial"/>
                <w:sz w:val="20"/>
                <w:szCs w:val="20"/>
                <w:lang w:val="fr-FR"/>
              </w:rPr>
            </w:pPr>
            <w:r w:rsidRPr="00BA6B2B">
              <w:rPr>
                <w:rFonts w:ascii="Calibri" w:hAnsi="Calibri" w:cs="Arial"/>
                <w:sz w:val="20"/>
                <w:szCs w:val="20"/>
                <w:lang w:val="fr-FR"/>
              </w:rPr>
              <w:t>4,412.3</w:t>
            </w:r>
          </w:p>
        </w:tc>
        <w:tc>
          <w:tcPr>
            <w:tcW w:w="0" w:type="auto"/>
            <w:tcBorders>
              <w:top w:val="none" w:sz="0" w:space="0" w:color="auto"/>
            </w:tcBorders>
            <w:noWrap/>
            <w:hideMark/>
          </w:tcPr>
          <w:p w14:paraId="4F88051E" w14:textId="77777777" w:rsidR="00EC2EEE" w:rsidRPr="00BA6B2B" w:rsidRDefault="00EC2EEE" w:rsidP="00713568">
            <w:pPr>
              <w:tabs>
                <w:tab w:val="decimal" w:pos="323"/>
              </w:tabs>
              <w:jc w:val="right"/>
              <w:rPr>
                <w:rFonts w:ascii="Calibri" w:hAnsi="Calibri" w:cs="Arial"/>
                <w:sz w:val="20"/>
                <w:szCs w:val="20"/>
                <w:lang w:val="fr-FR"/>
              </w:rPr>
            </w:pPr>
            <w:r w:rsidRPr="00BA6B2B">
              <w:rPr>
                <w:rFonts w:ascii="Calibri" w:hAnsi="Calibri" w:cs="Arial"/>
                <w:sz w:val="20"/>
                <w:szCs w:val="20"/>
                <w:lang w:val="fr-FR"/>
              </w:rPr>
              <w:t>4,412.6</w:t>
            </w:r>
          </w:p>
        </w:tc>
      </w:tr>
      <w:tr w:rsidR="00976A6F" w:rsidRPr="00BA6B2B" w14:paraId="084AACAB" w14:textId="77777777" w:rsidTr="005849E4">
        <w:trPr>
          <w:cnfStyle w:val="000000010000" w:firstRow="0" w:lastRow="0" w:firstColumn="0" w:lastColumn="0" w:oddVBand="0" w:evenVBand="0" w:oddHBand="0" w:evenHBand="1" w:firstRowFirstColumn="0" w:firstRowLastColumn="0" w:lastRowFirstColumn="0" w:lastRowLastColumn="0"/>
          <w:trHeight w:val="255"/>
        </w:trPr>
        <w:tc>
          <w:tcPr>
            <w:tcW w:w="0" w:type="auto"/>
            <w:tcBorders>
              <w:top w:val="none" w:sz="0" w:space="0" w:color="auto"/>
            </w:tcBorders>
            <w:noWrap/>
            <w:hideMark/>
          </w:tcPr>
          <w:p w14:paraId="1D8FB77D" w14:textId="77777777" w:rsidR="00976A6F" w:rsidRPr="00BA6B2B" w:rsidRDefault="00976A6F" w:rsidP="00976A6F">
            <w:pPr>
              <w:jc w:val="left"/>
              <w:rPr>
                <w:rFonts w:ascii="Calibri" w:hAnsi="Calibri" w:cs="Arial"/>
                <w:b/>
                <w:sz w:val="20"/>
                <w:szCs w:val="20"/>
                <w:lang w:val="fr-FR"/>
              </w:rPr>
            </w:pPr>
            <w:r w:rsidRPr="00BA6B2B">
              <w:rPr>
                <w:rFonts w:ascii="Calibri" w:hAnsi="Calibri" w:cs="Arial"/>
                <w:b/>
                <w:sz w:val="20"/>
                <w:szCs w:val="20"/>
                <w:lang w:val="fr-FR"/>
              </w:rPr>
              <w:t>Total</w:t>
            </w:r>
          </w:p>
        </w:tc>
        <w:tc>
          <w:tcPr>
            <w:tcW w:w="0" w:type="auto"/>
            <w:tcBorders>
              <w:top w:val="none" w:sz="0" w:space="0" w:color="auto"/>
            </w:tcBorders>
            <w:noWrap/>
            <w:hideMark/>
          </w:tcPr>
          <w:p w14:paraId="2D7EF02E" w14:textId="084D9B0D" w:rsidR="00976A6F" w:rsidRPr="00BA6B2B" w:rsidRDefault="00976A6F" w:rsidP="00976A6F">
            <w:pPr>
              <w:jc w:val="center"/>
              <w:rPr>
                <w:rFonts w:ascii="Calibri" w:hAnsi="Calibri" w:cs="Arial"/>
                <w:b/>
                <w:sz w:val="20"/>
                <w:szCs w:val="20"/>
                <w:lang w:val="fr-FR"/>
              </w:rPr>
            </w:pPr>
            <w:r w:rsidRPr="00BA6B2B">
              <w:rPr>
                <w:rFonts w:ascii="Calibri" w:hAnsi="Calibri" w:cs="Arial"/>
                <w:b/>
                <w:sz w:val="20"/>
                <w:szCs w:val="20"/>
                <w:lang w:val="fr-FR"/>
              </w:rPr>
              <w:t>3,525.7</w:t>
            </w:r>
          </w:p>
        </w:tc>
        <w:tc>
          <w:tcPr>
            <w:tcW w:w="0" w:type="auto"/>
            <w:tcBorders>
              <w:top w:val="none" w:sz="0" w:space="0" w:color="auto"/>
            </w:tcBorders>
            <w:noWrap/>
            <w:hideMark/>
          </w:tcPr>
          <w:p w14:paraId="79D0F045" w14:textId="1085616B" w:rsidR="00976A6F" w:rsidRPr="00BA6B2B" w:rsidRDefault="00976A6F" w:rsidP="00976A6F">
            <w:pPr>
              <w:jc w:val="center"/>
              <w:rPr>
                <w:rFonts w:ascii="Calibri" w:hAnsi="Calibri" w:cs="Arial"/>
                <w:b/>
                <w:sz w:val="20"/>
                <w:szCs w:val="20"/>
                <w:lang w:val="fr-FR"/>
              </w:rPr>
            </w:pPr>
            <w:r w:rsidRPr="00BA6B2B">
              <w:rPr>
                <w:rFonts w:ascii="Calibri" w:hAnsi="Calibri" w:cs="Arial"/>
                <w:b/>
                <w:sz w:val="20"/>
                <w:szCs w:val="20"/>
                <w:lang w:val="fr-FR"/>
              </w:rPr>
              <w:t>3,227.4</w:t>
            </w:r>
          </w:p>
        </w:tc>
        <w:tc>
          <w:tcPr>
            <w:tcW w:w="0" w:type="auto"/>
            <w:tcBorders>
              <w:top w:val="none" w:sz="0" w:space="0" w:color="auto"/>
            </w:tcBorders>
            <w:noWrap/>
            <w:hideMark/>
          </w:tcPr>
          <w:p w14:paraId="5F9E85EB" w14:textId="0B831D95" w:rsidR="00976A6F" w:rsidRPr="00BA6B2B" w:rsidRDefault="00976A6F" w:rsidP="00976A6F">
            <w:pPr>
              <w:jc w:val="center"/>
              <w:rPr>
                <w:rFonts w:ascii="Calibri" w:hAnsi="Calibri" w:cs="Arial"/>
                <w:b/>
                <w:sz w:val="20"/>
                <w:szCs w:val="20"/>
                <w:lang w:val="fr-FR"/>
              </w:rPr>
            </w:pPr>
            <w:r w:rsidRPr="00BA6B2B">
              <w:rPr>
                <w:rFonts w:ascii="Calibri" w:hAnsi="Calibri" w:cs="Arial"/>
                <w:b/>
                <w:sz w:val="20"/>
                <w:szCs w:val="20"/>
                <w:lang w:val="fr-FR"/>
              </w:rPr>
              <w:t>3,831.7</w:t>
            </w:r>
          </w:p>
        </w:tc>
        <w:tc>
          <w:tcPr>
            <w:tcW w:w="0" w:type="auto"/>
            <w:tcBorders>
              <w:top w:val="none" w:sz="0" w:space="0" w:color="auto"/>
            </w:tcBorders>
            <w:noWrap/>
            <w:hideMark/>
          </w:tcPr>
          <w:p w14:paraId="5F847624" w14:textId="2298C39D" w:rsidR="00976A6F" w:rsidRPr="00BA6B2B" w:rsidRDefault="00976A6F" w:rsidP="00976A6F">
            <w:pPr>
              <w:jc w:val="center"/>
              <w:rPr>
                <w:rFonts w:ascii="Calibri" w:hAnsi="Calibri" w:cs="Arial"/>
                <w:b/>
                <w:sz w:val="20"/>
                <w:szCs w:val="20"/>
                <w:lang w:val="fr-FR"/>
              </w:rPr>
            </w:pPr>
            <w:r w:rsidRPr="00BA6B2B">
              <w:rPr>
                <w:rFonts w:ascii="Calibri" w:hAnsi="Calibri" w:cs="Arial"/>
                <w:b/>
                <w:sz w:val="20"/>
                <w:szCs w:val="20"/>
                <w:lang w:val="fr-FR"/>
              </w:rPr>
              <w:t>3,865.2</w:t>
            </w:r>
          </w:p>
        </w:tc>
        <w:tc>
          <w:tcPr>
            <w:tcW w:w="0" w:type="auto"/>
            <w:tcBorders>
              <w:top w:val="none" w:sz="0" w:space="0" w:color="auto"/>
            </w:tcBorders>
            <w:noWrap/>
            <w:hideMark/>
          </w:tcPr>
          <w:p w14:paraId="77B520E3" w14:textId="48ADAAAA" w:rsidR="00976A6F" w:rsidRPr="00BA6B2B" w:rsidRDefault="00976A6F" w:rsidP="00713568">
            <w:pPr>
              <w:tabs>
                <w:tab w:val="decimal" w:pos="323"/>
              </w:tabs>
              <w:jc w:val="right"/>
              <w:rPr>
                <w:rFonts w:ascii="Calibri" w:hAnsi="Calibri" w:cs="Arial"/>
                <w:b/>
                <w:sz w:val="20"/>
                <w:szCs w:val="20"/>
                <w:lang w:val="fr-FR"/>
              </w:rPr>
            </w:pPr>
            <w:r w:rsidRPr="00BA6B2B">
              <w:rPr>
                <w:rFonts w:ascii="Calibri" w:hAnsi="Calibri" w:cs="Arial"/>
                <w:b/>
                <w:sz w:val="20"/>
                <w:szCs w:val="20"/>
                <w:lang w:val="fr-FR"/>
              </w:rPr>
              <w:t>4,412.3</w:t>
            </w:r>
          </w:p>
        </w:tc>
        <w:tc>
          <w:tcPr>
            <w:tcW w:w="0" w:type="auto"/>
            <w:tcBorders>
              <w:top w:val="none" w:sz="0" w:space="0" w:color="auto"/>
            </w:tcBorders>
            <w:noWrap/>
            <w:hideMark/>
          </w:tcPr>
          <w:p w14:paraId="7ABB8E2F" w14:textId="77777777" w:rsidR="00976A6F" w:rsidRPr="00BA6B2B" w:rsidRDefault="00976A6F" w:rsidP="00713568">
            <w:pPr>
              <w:tabs>
                <w:tab w:val="decimal" w:pos="323"/>
              </w:tabs>
              <w:jc w:val="right"/>
              <w:rPr>
                <w:rFonts w:ascii="Calibri" w:hAnsi="Calibri" w:cs="Arial"/>
                <w:b/>
                <w:sz w:val="20"/>
                <w:szCs w:val="20"/>
                <w:lang w:val="fr-FR"/>
              </w:rPr>
            </w:pPr>
            <w:r w:rsidRPr="00BA6B2B">
              <w:rPr>
                <w:rFonts w:ascii="Calibri" w:hAnsi="Calibri" w:cs="Arial"/>
                <w:b/>
                <w:sz w:val="20"/>
                <w:szCs w:val="20"/>
                <w:lang w:val="fr-FR"/>
              </w:rPr>
              <w:t>4,578.3</w:t>
            </w:r>
          </w:p>
        </w:tc>
      </w:tr>
    </w:tbl>
    <w:p w14:paraId="28329D4A" w14:textId="110BC3D6" w:rsidR="00BB5351" w:rsidRPr="00BA6B2B" w:rsidRDefault="00BB5351" w:rsidP="00BA6B2B">
      <w:pPr>
        <w:spacing w:after="240"/>
        <w:rPr>
          <w:rStyle w:val="SubtleEmphasis"/>
          <w:i w:val="0"/>
          <w:color w:val="000000" w:themeColor="text1"/>
          <w:sz w:val="20"/>
        </w:rPr>
      </w:pPr>
      <w:r w:rsidRPr="00BA6B2B">
        <w:rPr>
          <w:rStyle w:val="SubtleEmphasis"/>
          <w:color w:val="000000" w:themeColor="text1"/>
          <w:sz w:val="20"/>
        </w:rPr>
        <w:t>Source</w:t>
      </w:r>
      <w:r w:rsidR="00713568" w:rsidRPr="00BA6B2B">
        <w:rPr>
          <w:rStyle w:val="SubtleEmphasis"/>
          <w:color w:val="000000" w:themeColor="text1"/>
          <w:sz w:val="20"/>
          <w:szCs w:val="20"/>
        </w:rPr>
        <w:t xml:space="preserve">: </w:t>
      </w:r>
      <w:r w:rsidR="00713568" w:rsidRPr="00BA6B2B">
        <w:rPr>
          <w:rStyle w:val="SubtleEmphasis"/>
          <w:i w:val="0"/>
          <w:color w:val="000000" w:themeColor="text1"/>
          <w:sz w:val="20"/>
          <w:szCs w:val="20"/>
        </w:rPr>
        <w:t>AFSs.</w:t>
      </w:r>
    </w:p>
    <w:p w14:paraId="4648A6D4" w14:textId="624384B3" w:rsidR="00EC2EEE" w:rsidRPr="005849E4" w:rsidRDefault="008F7B9C" w:rsidP="008F7B9C">
      <w:pPr>
        <w:rPr>
          <w:sz w:val="22"/>
        </w:rPr>
      </w:pPr>
      <w:r w:rsidRPr="005849E4">
        <w:rPr>
          <w:sz w:val="22"/>
        </w:rPr>
        <w:t xml:space="preserve">The Results Matrix </w:t>
      </w:r>
      <w:r w:rsidR="00A66D19">
        <w:rPr>
          <w:sz w:val="22"/>
        </w:rPr>
        <w:t xml:space="preserve">in </w:t>
      </w:r>
      <w:r w:rsidR="00F677C9">
        <w:rPr>
          <w:sz w:val="22"/>
        </w:rPr>
        <w:t>Table 3.4</w:t>
      </w:r>
      <w:r w:rsidR="00A66D19" w:rsidRPr="005849E4">
        <w:rPr>
          <w:sz w:val="22"/>
        </w:rPr>
        <w:t xml:space="preserve"> </w:t>
      </w:r>
      <w:r w:rsidRPr="005849E4">
        <w:rPr>
          <w:sz w:val="22"/>
        </w:rPr>
        <w:t>shows tha</w:t>
      </w:r>
      <w:r w:rsidR="00A66D19">
        <w:rPr>
          <w:sz w:val="22"/>
        </w:rPr>
        <w:t>t</w:t>
      </w:r>
      <w:r w:rsidRPr="005849E4">
        <w:rPr>
          <w:sz w:val="22"/>
        </w:rPr>
        <w:t xml:space="preserve"> the composition variance was very small for the two first years because equitable share was reali</w:t>
      </w:r>
      <w:r w:rsidR="009D21FC">
        <w:rPr>
          <w:sz w:val="22"/>
        </w:rPr>
        <w:t>z</w:t>
      </w:r>
      <w:r w:rsidRPr="005849E4">
        <w:rPr>
          <w:sz w:val="22"/>
        </w:rPr>
        <w:t>ed according to the estimates. The deviation for the last year is explained by the strong discrepancy between forecasting and actual disbursement of conditional grants.</w:t>
      </w:r>
    </w:p>
    <w:p w14:paraId="248F0EB1" w14:textId="5AA41324" w:rsidR="00BB5351" w:rsidRDefault="007929DF" w:rsidP="00BA6B2B">
      <w:pPr>
        <w:pStyle w:val="TableStyle"/>
      </w:pPr>
      <w:bookmarkStart w:id="61" w:name="_Toc532426091"/>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4</w:t>
      </w:r>
      <w:r w:rsidR="008B59A7">
        <w:rPr>
          <w:noProof/>
        </w:rPr>
        <w:fldChar w:fldCharType="end"/>
      </w:r>
      <w:r>
        <w:t xml:space="preserve">: </w:t>
      </w:r>
      <w:r w:rsidR="00BB5351" w:rsidRPr="00BB5351">
        <w:t>Results Matrix</w:t>
      </w:r>
      <w:r w:rsidR="00BB5351">
        <w:t xml:space="preserve"> of outturn of transfers</w:t>
      </w:r>
      <w:r w:rsidR="00BB5351" w:rsidRPr="00BB5351">
        <w:t xml:space="preserve"> (%)</w:t>
      </w:r>
      <w:bookmarkEnd w:id="61"/>
    </w:p>
    <w:tbl>
      <w:tblPr>
        <w:tblStyle w:val="table-style-blauw-070-none"/>
        <w:tblW w:w="554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380"/>
        <w:gridCol w:w="1580"/>
        <w:gridCol w:w="1580"/>
      </w:tblGrid>
      <w:tr w:rsidR="00BB5351" w:rsidRPr="00BA6B2B" w14:paraId="4D4D5E06" w14:textId="77777777" w:rsidTr="005849E4">
        <w:trPr>
          <w:cnfStyle w:val="100000000000" w:firstRow="1" w:lastRow="0" w:firstColumn="0" w:lastColumn="0" w:oddVBand="0" w:evenVBand="0" w:oddHBand="0" w:evenHBand="0" w:firstRowFirstColumn="0" w:firstRowLastColumn="0" w:lastRowFirstColumn="0" w:lastRowLastColumn="0"/>
          <w:trHeight w:val="255"/>
        </w:trPr>
        <w:tc>
          <w:tcPr>
            <w:tcW w:w="238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2DFAC9E6" w14:textId="2D4FE03C" w:rsidR="00BB5351" w:rsidRPr="00BA6B2B" w:rsidRDefault="00A30C45" w:rsidP="005849E4">
            <w:pPr>
              <w:jc w:val="center"/>
              <w:rPr>
                <w:rFonts w:ascii="Calibri" w:hAnsi="Calibri" w:cs="Arial"/>
                <w:sz w:val="20"/>
                <w:szCs w:val="20"/>
                <w:lang w:val="fr-FR"/>
              </w:rPr>
            </w:pPr>
            <w:r w:rsidRPr="00BA6B2B">
              <w:rPr>
                <w:rFonts w:ascii="Calibri" w:hAnsi="Calibri" w:cs="Arial"/>
                <w:sz w:val="20"/>
                <w:szCs w:val="20"/>
                <w:lang w:val="fr-FR"/>
              </w:rPr>
              <w:t>Y</w:t>
            </w:r>
            <w:r w:rsidR="00BB5351" w:rsidRPr="00BA6B2B">
              <w:rPr>
                <w:rFonts w:ascii="Calibri" w:hAnsi="Calibri" w:cs="Arial"/>
                <w:sz w:val="20"/>
                <w:szCs w:val="20"/>
                <w:lang w:val="fr-FR"/>
              </w:rPr>
              <w:t>ear</w:t>
            </w:r>
          </w:p>
        </w:tc>
        <w:tc>
          <w:tcPr>
            <w:tcW w:w="15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7D0D62" w14:textId="7AAD71C4" w:rsidR="00BB5351" w:rsidRPr="00BA6B2B" w:rsidRDefault="00BB5351" w:rsidP="005849E4">
            <w:pPr>
              <w:jc w:val="center"/>
              <w:rPr>
                <w:rFonts w:ascii="Calibri" w:hAnsi="Calibri" w:cs="Arial"/>
                <w:sz w:val="20"/>
                <w:szCs w:val="20"/>
                <w:lang w:val="fr-FR"/>
              </w:rPr>
            </w:pPr>
            <w:r w:rsidRPr="00BA6B2B">
              <w:rPr>
                <w:rFonts w:ascii="Calibri" w:hAnsi="Calibri" w:cs="Arial"/>
                <w:sz w:val="20"/>
                <w:szCs w:val="20"/>
                <w:lang w:val="fr-FR"/>
              </w:rPr>
              <w:t>Total revenue deviation</w:t>
            </w:r>
          </w:p>
        </w:tc>
        <w:tc>
          <w:tcPr>
            <w:tcW w:w="158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4C53EB9" w14:textId="28BAEB86" w:rsidR="00BB5351" w:rsidRPr="00BA6B2B" w:rsidRDefault="00BB5351" w:rsidP="005849E4">
            <w:pPr>
              <w:jc w:val="center"/>
              <w:rPr>
                <w:rFonts w:ascii="Calibri" w:hAnsi="Calibri" w:cs="Arial"/>
                <w:sz w:val="20"/>
                <w:szCs w:val="20"/>
                <w:lang w:val="fr-FR"/>
              </w:rPr>
            </w:pPr>
            <w:r w:rsidRPr="00BA6B2B">
              <w:rPr>
                <w:rFonts w:ascii="Calibri" w:hAnsi="Calibri" w:cs="Arial"/>
                <w:sz w:val="20"/>
                <w:szCs w:val="20"/>
                <w:lang w:val="fr-FR"/>
              </w:rPr>
              <w:t>Composition variance</w:t>
            </w:r>
          </w:p>
        </w:tc>
      </w:tr>
      <w:tr w:rsidR="00BB5351" w:rsidRPr="00BA6B2B" w14:paraId="265958B6" w14:textId="77777777" w:rsidTr="005849E4">
        <w:trPr>
          <w:cnfStyle w:val="000000100000" w:firstRow="0" w:lastRow="0" w:firstColumn="0" w:lastColumn="0" w:oddVBand="0" w:evenVBand="0" w:oddHBand="1" w:evenHBand="0" w:firstRowFirstColumn="0" w:firstRowLastColumn="0" w:lastRowFirstColumn="0" w:lastRowLastColumn="0"/>
          <w:trHeight w:val="255"/>
        </w:trPr>
        <w:tc>
          <w:tcPr>
            <w:tcW w:w="2380" w:type="dxa"/>
            <w:tcBorders>
              <w:top w:val="none" w:sz="0" w:space="0" w:color="auto"/>
            </w:tcBorders>
            <w:noWrap/>
            <w:hideMark/>
          </w:tcPr>
          <w:p w14:paraId="2C1CEA97" w14:textId="77777777" w:rsidR="00BB5351" w:rsidRPr="00BA6B2B" w:rsidRDefault="00BB5351" w:rsidP="00BB5351">
            <w:pPr>
              <w:jc w:val="left"/>
              <w:rPr>
                <w:rFonts w:ascii="Calibri" w:hAnsi="Calibri" w:cs="Arial"/>
                <w:sz w:val="20"/>
                <w:szCs w:val="20"/>
                <w:lang w:val="fr-FR"/>
              </w:rPr>
            </w:pPr>
            <w:r w:rsidRPr="00BA6B2B">
              <w:rPr>
                <w:rFonts w:ascii="Calibri" w:hAnsi="Calibri" w:cs="Arial"/>
                <w:sz w:val="20"/>
                <w:szCs w:val="20"/>
                <w:lang w:val="fr-FR"/>
              </w:rPr>
              <w:t>2013/14</w:t>
            </w:r>
          </w:p>
        </w:tc>
        <w:tc>
          <w:tcPr>
            <w:tcW w:w="1580" w:type="dxa"/>
            <w:tcBorders>
              <w:top w:val="none" w:sz="0" w:space="0" w:color="auto"/>
            </w:tcBorders>
            <w:noWrap/>
            <w:hideMark/>
          </w:tcPr>
          <w:p w14:paraId="6C607799" w14:textId="73A31CC6" w:rsidR="00BB5351" w:rsidRPr="00BA6B2B" w:rsidRDefault="00BB5351" w:rsidP="00A66D19">
            <w:pPr>
              <w:tabs>
                <w:tab w:val="decimal" w:pos="763"/>
              </w:tabs>
              <w:jc w:val="left"/>
              <w:rPr>
                <w:rFonts w:ascii="Calibri" w:hAnsi="Calibri" w:cs="Arial"/>
                <w:sz w:val="20"/>
                <w:szCs w:val="20"/>
                <w:lang w:val="fr-FR"/>
              </w:rPr>
            </w:pPr>
            <w:r w:rsidRPr="00BA6B2B">
              <w:rPr>
                <w:rFonts w:ascii="Calibri" w:hAnsi="Calibri" w:cs="Arial"/>
                <w:sz w:val="20"/>
                <w:szCs w:val="20"/>
                <w:lang w:val="fr-FR"/>
              </w:rPr>
              <w:t>91.5</w:t>
            </w:r>
          </w:p>
        </w:tc>
        <w:tc>
          <w:tcPr>
            <w:tcW w:w="1580" w:type="dxa"/>
            <w:tcBorders>
              <w:top w:val="none" w:sz="0" w:space="0" w:color="auto"/>
            </w:tcBorders>
            <w:noWrap/>
            <w:hideMark/>
          </w:tcPr>
          <w:p w14:paraId="13F12D08" w14:textId="5393DC8D" w:rsidR="00BB5351" w:rsidRPr="00BA6B2B" w:rsidRDefault="00BB5351" w:rsidP="00BB5351">
            <w:pPr>
              <w:jc w:val="center"/>
              <w:rPr>
                <w:rFonts w:ascii="Calibri" w:hAnsi="Calibri" w:cs="Arial"/>
                <w:sz w:val="20"/>
                <w:szCs w:val="20"/>
                <w:lang w:val="fr-FR"/>
              </w:rPr>
            </w:pPr>
            <w:r w:rsidRPr="00BA6B2B">
              <w:rPr>
                <w:rFonts w:ascii="Calibri" w:hAnsi="Calibri" w:cs="Arial"/>
                <w:sz w:val="20"/>
                <w:szCs w:val="20"/>
                <w:lang w:val="fr-FR"/>
              </w:rPr>
              <w:t>0.0</w:t>
            </w:r>
          </w:p>
        </w:tc>
      </w:tr>
      <w:tr w:rsidR="00BB5351" w:rsidRPr="00BA6B2B" w14:paraId="755C6CE4" w14:textId="77777777" w:rsidTr="005849E4">
        <w:trPr>
          <w:cnfStyle w:val="000000010000" w:firstRow="0" w:lastRow="0" w:firstColumn="0" w:lastColumn="0" w:oddVBand="0" w:evenVBand="0" w:oddHBand="0" w:evenHBand="1" w:firstRowFirstColumn="0" w:firstRowLastColumn="0" w:lastRowFirstColumn="0" w:lastRowLastColumn="0"/>
          <w:trHeight w:val="255"/>
        </w:trPr>
        <w:tc>
          <w:tcPr>
            <w:tcW w:w="2380" w:type="dxa"/>
            <w:tcBorders>
              <w:top w:val="none" w:sz="0" w:space="0" w:color="auto"/>
            </w:tcBorders>
            <w:noWrap/>
            <w:hideMark/>
          </w:tcPr>
          <w:p w14:paraId="4CACF890" w14:textId="77777777" w:rsidR="00BB5351" w:rsidRPr="00BA6B2B" w:rsidRDefault="00BB5351" w:rsidP="00BB5351">
            <w:pPr>
              <w:jc w:val="left"/>
              <w:rPr>
                <w:rFonts w:ascii="Calibri" w:hAnsi="Calibri" w:cs="Arial"/>
                <w:sz w:val="20"/>
                <w:szCs w:val="20"/>
                <w:lang w:val="fr-FR"/>
              </w:rPr>
            </w:pPr>
            <w:r w:rsidRPr="00BA6B2B">
              <w:rPr>
                <w:rFonts w:ascii="Calibri" w:hAnsi="Calibri" w:cs="Arial"/>
                <w:sz w:val="20"/>
                <w:szCs w:val="20"/>
                <w:lang w:val="fr-FR"/>
              </w:rPr>
              <w:t>2014/15</w:t>
            </w:r>
          </w:p>
        </w:tc>
        <w:tc>
          <w:tcPr>
            <w:tcW w:w="1580" w:type="dxa"/>
            <w:tcBorders>
              <w:top w:val="none" w:sz="0" w:space="0" w:color="auto"/>
            </w:tcBorders>
            <w:noWrap/>
            <w:hideMark/>
          </w:tcPr>
          <w:p w14:paraId="22C879DE" w14:textId="6A80FA8A" w:rsidR="00BB5351" w:rsidRPr="00BA6B2B" w:rsidRDefault="00BB5351" w:rsidP="00A66D19">
            <w:pPr>
              <w:tabs>
                <w:tab w:val="decimal" w:pos="763"/>
              </w:tabs>
              <w:jc w:val="left"/>
              <w:rPr>
                <w:rFonts w:ascii="Calibri" w:hAnsi="Calibri" w:cs="Arial"/>
                <w:sz w:val="20"/>
                <w:szCs w:val="20"/>
                <w:lang w:val="fr-FR"/>
              </w:rPr>
            </w:pPr>
            <w:r w:rsidRPr="00BA6B2B">
              <w:rPr>
                <w:rFonts w:ascii="Calibri" w:hAnsi="Calibri" w:cs="Arial"/>
                <w:sz w:val="20"/>
                <w:szCs w:val="20"/>
                <w:lang w:val="fr-FR"/>
              </w:rPr>
              <w:t>100.</w:t>
            </w:r>
            <w:r w:rsidR="00976A6F" w:rsidRPr="00BA6B2B">
              <w:rPr>
                <w:rFonts w:ascii="Calibri" w:hAnsi="Calibri" w:cs="Arial"/>
                <w:sz w:val="20"/>
                <w:szCs w:val="20"/>
                <w:lang w:val="fr-FR"/>
              </w:rPr>
              <w:t>9</w:t>
            </w:r>
          </w:p>
        </w:tc>
        <w:tc>
          <w:tcPr>
            <w:tcW w:w="1580" w:type="dxa"/>
            <w:tcBorders>
              <w:top w:val="none" w:sz="0" w:space="0" w:color="auto"/>
            </w:tcBorders>
            <w:noWrap/>
            <w:hideMark/>
          </w:tcPr>
          <w:p w14:paraId="7627F12E" w14:textId="711880DB" w:rsidR="00BB5351" w:rsidRPr="00BA6B2B" w:rsidRDefault="00BB5351" w:rsidP="00BB5351">
            <w:pPr>
              <w:jc w:val="center"/>
              <w:rPr>
                <w:rFonts w:ascii="Calibri" w:hAnsi="Calibri" w:cs="Arial"/>
                <w:sz w:val="20"/>
                <w:szCs w:val="20"/>
                <w:lang w:val="fr-FR"/>
              </w:rPr>
            </w:pPr>
            <w:r w:rsidRPr="00BA6B2B">
              <w:rPr>
                <w:rFonts w:ascii="Calibri" w:hAnsi="Calibri" w:cs="Arial"/>
                <w:sz w:val="20"/>
                <w:szCs w:val="20"/>
                <w:lang w:val="fr-FR"/>
              </w:rPr>
              <w:t>0.</w:t>
            </w:r>
            <w:r w:rsidR="00976A6F" w:rsidRPr="00BA6B2B">
              <w:rPr>
                <w:rFonts w:ascii="Calibri" w:hAnsi="Calibri" w:cs="Arial"/>
                <w:sz w:val="20"/>
                <w:szCs w:val="20"/>
                <w:lang w:val="fr-FR"/>
              </w:rPr>
              <w:t>0</w:t>
            </w:r>
          </w:p>
        </w:tc>
      </w:tr>
      <w:tr w:rsidR="00BB5351" w:rsidRPr="00BA6B2B" w14:paraId="26BF8F5D" w14:textId="77777777" w:rsidTr="005849E4">
        <w:trPr>
          <w:cnfStyle w:val="000000100000" w:firstRow="0" w:lastRow="0" w:firstColumn="0" w:lastColumn="0" w:oddVBand="0" w:evenVBand="0" w:oddHBand="1" w:evenHBand="0" w:firstRowFirstColumn="0" w:firstRowLastColumn="0" w:lastRowFirstColumn="0" w:lastRowLastColumn="0"/>
          <w:trHeight w:val="270"/>
        </w:trPr>
        <w:tc>
          <w:tcPr>
            <w:tcW w:w="2380" w:type="dxa"/>
            <w:tcBorders>
              <w:top w:val="none" w:sz="0" w:space="0" w:color="auto"/>
            </w:tcBorders>
            <w:noWrap/>
            <w:hideMark/>
          </w:tcPr>
          <w:p w14:paraId="75CA5857" w14:textId="77777777" w:rsidR="00BB5351" w:rsidRPr="00BA6B2B" w:rsidRDefault="00BB5351" w:rsidP="00BB5351">
            <w:pPr>
              <w:jc w:val="left"/>
              <w:rPr>
                <w:rFonts w:ascii="Calibri" w:hAnsi="Calibri" w:cs="Arial"/>
                <w:sz w:val="20"/>
                <w:szCs w:val="20"/>
                <w:lang w:val="fr-FR"/>
              </w:rPr>
            </w:pPr>
            <w:r w:rsidRPr="00BA6B2B">
              <w:rPr>
                <w:rFonts w:ascii="Calibri" w:hAnsi="Calibri" w:cs="Arial"/>
                <w:sz w:val="20"/>
                <w:szCs w:val="20"/>
                <w:lang w:val="fr-FR"/>
              </w:rPr>
              <w:t>2015/16</w:t>
            </w:r>
          </w:p>
        </w:tc>
        <w:tc>
          <w:tcPr>
            <w:tcW w:w="1580" w:type="dxa"/>
            <w:tcBorders>
              <w:top w:val="none" w:sz="0" w:space="0" w:color="auto"/>
            </w:tcBorders>
            <w:noWrap/>
            <w:hideMark/>
          </w:tcPr>
          <w:p w14:paraId="6EAC0900" w14:textId="54145402" w:rsidR="00BB5351" w:rsidRPr="00BA6B2B" w:rsidRDefault="00BB5351" w:rsidP="00A66D19">
            <w:pPr>
              <w:tabs>
                <w:tab w:val="decimal" w:pos="763"/>
              </w:tabs>
              <w:jc w:val="left"/>
              <w:rPr>
                <w:rFonts w:ascii="Calibri" w:hAnsi="Calibri" w:cs="Arial"/>
                <w:sz w:val="20"/>
                <w:szCs w:val="20"/>
                <w:lang w:val="fr-FR"/>
              </w:rPr>
            </w:pPr>
            <w:r w:rsidRPr="00BA6B2B">
              <w:rPr>
                <w:rFonts w:ascii="Calibri" w:hAnsi="Calibri" w:cs="Arial"/>
                <w:sz w:val="20"/>
                <w:szCs w:val="20"/>
                <w:lang w:val="fr-FR"/>
              </w:rPr>
              <w:t>103.</w:t>
            </w:r>
            <w:r w:rsidR="00976A6F" w:rsidRPr="00BA6B2B">
              <w:rPr>
                <w:rFonts w:ascii="Calibri" w:hAnsi="Calibri" w:cs="Arial"/>
                <w:sz w:val="20"/>
                <w:szCs w:val="20"/>
                <w:lang w:val="fr-FR"/>
              </w:rPr>
              <w:t>8</w:t>
            </w:r>
          </w:p>
        </w:tc>
        <w:tc>
          <w:tcPr>
            <w:tcW w:w="1580" w:type="dxa"/>
            <w:tcBorders>
              <w:top w:val="none" w:sz="0" w:space="0" w:color="auto"/>
            </w:tcBorders>
            <w:noWrap/>
            <w:hideMark/>
          </w:tcPr>
          <w:p w14:paraId="3D7759DF" w14:textId="2AE7B3B5" w:rsidR="00BB5351" w:rsidRPr="00BA6B2B" w:rsidRDefault="00BB5351" w:rsidP="00BB5351">
            <w:pPr>
              <w:jc w:val="center"/>
              <w:rPr>
                <w:rFonts w:ascii="Calibri" w:hAnsi="Calibri" w:cs="Arial"/>
                <w:sz w:val="20"/>
                <w:szCs w:val="20"/>
                <w:lang w:val="fr-FR"/>
              </w:rPr>
            </w:pPr>
            <w:r w:rsidRPr="00BA6B2B">
              <w:rPr>
                <w:rFonts w:ascii="Calibri" w:hAnsi="Calibri" w:cs="Arial"/>
                <w:sz w:val="20"/>
                <w:szCs w:val="20"/>
                <w:lang w:val="fr-FR"/>
              </w:rPr>
              <w:t>7.2</w:t>
            </w:r>
          </w:p>
        </w:tc>
      </w:tr>
    </w:tbl>
    <w:p w14:paraId="68253745" w14:textId="77777777" w:rsidR="00331B71" w:rsidRPr="005849E4" w:rsidRDefault="00035673" w:rsidP="00BA6B2B">
      <w:pPr>
        <w:spacing w:before="240" w:after="240"/>
        <w:rPr>
          <w:sz w:val="22"/>
        </w:rPr>
      </w:pPr>
      <w:r w:rsidRPr="005849E4">
        <w:rPr>
          <w:sz w:val="22"/>
        </w:rPr>
        <w:t xml:space="preserve">In summary, </w:t>
      </w:r>
      <w:r w:rsidR="008F7B9C" w:rsidRPr="005849E4">
        <w:rPr>
          <w:sz w:val="22"/>
        </w:rPr>
        <w:t xml:space="preserve">the </w:t>
      </w:r>
      <w:r w:rsidR="00976A6F" w:rsidRPr="005849E4">
        <w:rPr>
          <w:sz w:val="22"/>
        </w:rPr>
        <w:t>composition variance</w:t>
      </w:r>
      <w:r w:rsidR="008F7B9C" w:rsidRPr="005849E4">
        <w:rPr>
          <w:sz w:val="22"/>
        </w:rPr>
        <w:t xml:space="preserve"> between the original budget estimate and actual transfers and grants was less than 5 percent or less in two of the last three years</w:t>
      </w:r>
      <w:r w:rsidR="00E56226" w:rsidRPr="005849E4">
        <w:rPr>
          <w:sz w:val="22"/>
        </w:rPr>
        <w:t xml:space="preserve">. </w:t>
      </w:r>
    </w:p>
    <w:p w14:paraId="20096255" w14:textId="15E5FE93" w:rsidR="00331B71" w:rsidRPr="005849E4" w:rsidRDefault="00331B71" w:rsidP="00331B71">
      <w:pPr>
        <w:rPr>
          <w:b/>
          <w:sz w:val="22"/>
        </w:rPr>
      </w:pPr>
      <w:r w:rsidRPr="005849E4">
        <w:rPr>
          <w:b/>
          <w:sz w:val="22"/>
        </w:rPr>
        <w:t>Dimension rating = B</w:t>
      </w:r>
    </w:p>
    <w:p w14:paraId="0DCD8429" w14:textId="77777777" w:rsidR="00F25DF0" w:rsidRPr="00890A84" w:rsidRDefault="00F25DF0" w:rsidP="00BA6B2B">
      <w:pPr>
        <w:pStyle w:val="Heading5"/>
      </w:pPr>
      <w:r w:rsidRPr="00890A84">
        <w:t>HLG-1.3. Timeliness of transfers from higher-level government</w:t>
      </w:r>
    </w:p>
    <w:p w14:paraId="2053CCF9" w14:textId="096BFF81" w:rsidR="00F25DF0" w:rsidRPr="005849E4" w:rsidRDefault="00F25DF0" w:rsidP="00BA6B2B">
      <w:pPr>
        <w:spacing w:after="240"/>
        <w:rPr>
          <w:sz w:val="22"/>
        </w:rPr>
      </w:pPr>
      <w:r w:rsidRPr="005849E4">
        <w:rPr>
          <w:sz w:val="22"/>
        </w:rPr>
        <w:t xml:space="preserve">According to </w:t>
      </w:r>
      <w:r w:rsidR="00A66D19">
        <w:rPr>
          <w:sz w:val="22"/>
        </w:rPr>
        <w:t xml:space="preserve">the </w:t>
      </w:r>
      <w:r w:rsidRPr="005849E4">
        <w:rPr>
          <w:sz w:val="22"/>
        </w:rPr>
        <w:t xml:space="preserve">PFM law, equitable share estimates must be included in the Budget Policy Statement, which must be presented and adopted by Parliament in February or </w:t>
      </w:r>
      <w:r w:rsidR="00AE22DC" w:rsidRPr="005849E4">
        <w:rPr>
          <w:sz w:val="22"/>
        </w:rPr>
        <w:t>March. Transfers</w:t>
      </w:r>
      <w:r w:rsidRPr="005849E4">
        <w:rPr>
          <w:sz w:val="22"/>
        </w:rPr>
        <w:t xml:space="preserve"> have been released quarterly across the year through </w:t>
      </w:r>
      <w:r w:rsidR="00A66D19">
        <w:rPr>
          <w:sz w:val="22"/>
        </w:rPr>
        <w:t xml:space="preserve">the </w:t>
      </w:r>
      <w:r w:rsidRPr="005849E4">
        <w:rPr>
          <w:sz w:val="22"/>
        </w:rPr>
        <w:t>IFMI</w:t>
      </w:r>
      <w:r w:rsidR="00AE22DC" w:rsidRPr="005849E4">
        <w:rPr>
          <w:sz w:val="22"/>
        </w:rPr>
        <w:t xml:space="preserve">S, but </w:t>
      </w:r>
      <w:r w:rsidR="005C26CB" w:rsidRPr="005849E4">
        <w:rPr>
          <w:sz w:val="22"/>
        </w:rPr>
        <w:t xml:space="preserve">the effective dates were not provided </w:t>
      </w:r>
      <w:r w:rsidR="00AE22DC" w:rsidRPr="005849E4">
        <w:rPr>
          <w:sz w:val="22"/>
        </w:rPr>
        <w:t>while</w:t>
      </w:r>
      <w:r w:rsidR="005C26CB" w:rsidRPr="005849E4">
        <w:rPr>
          <w:sz w:val="22"/>
        </w:rPr>
        <w:t xml:space="preserve"> delays in transfers were reported in </w:t>
      </w:r>
      <w:r w:rsidR="00A66D19">
        <w:rPr>
          <w:sz w:val="22"/>
        </w:rPr>
        <w:t xml:space="preserve">the </w:t>
      </w:r>
      <w:r w:rsidR="005C26CB" w:rsidRPr="005849E4">
        <w:rPr>
          <w:sz w:val="22"/>
        </w:rPr>
        <w:t>CFSP.</w:t>
      </w:r>
    </w:p>
    <w:p w14:paraId="486D97D3" w14:textId="01DD6F1B" w:rsidR="00331B71" w:rsidRPr="005849E4" w:rsidRDefault="00035673" w:rsidP="00BA6B2B">
      <w:pPr>
        <w:spacing w:after="240"/>
        <w:rPr>
          <w:sz w:val="22"/>
        </w:rPr>
      </w:pPr>
      <w:r w:rsidRPr="005849E4">
        <w:rPr>
          <w:sz w:val="22"/>
        </w:rPr>
        <w:t>In summary, q</w:t>
      </w:r>
      <w:r w:rsidR="00E56226" w:rsidRPr="005849E4">
        <w:rPr>
          <w:sz w:val="22"/>
        </w:rPr>
        <w:t>uarterly transfers should be released quarterly, but the effective dates were not provided and important delays were reported in</w:t>
      </w:r>
      <w:r w:rsidR="00A66D19">
        <w:rPr>
          <w:sz w:val="22"/>
        </w:rPr>
        <w:t xml:space="preserve"> the</w:t>
      </w:r>
      <w:r w:rsidR="00E56226" w:rsidRPr="005849E4">
        <w:rPr>
          <w:sz w:val="22"/>
        </w:rPr>
        <w:t xml:space="preserve"> CFSP and in the press. </w:t>
      </w:r>
    </w:p>
    <w:p w14:paraId="3620BA5F" w14:textId="3363FC62" w:rsidR="00331B71" w:rsidRPr="005849E4" w:rsidRDefault="00331B71" w:rsidP="005849E4">
      <w:pPr>
        <w:spacing w:after="240"/>
        <w:rPr>
          <w:b/>
          <w:sz w:val="22"/>
        </w:rPr>
      </w:pPr>
      <w:r w:rsidRPr="005849E4">
        <w:rPr>
          <w:b/>
          <w:sz w:val="22"/>
        </w:rPr>
        <w:t>Dimension rating = D*</w:t>
      </w:r>
    </w:p>
    <w:p w14:paraId="3937B68A" w14:textId="77777777" w:rsidR="00BB1084" w:rsidRPr="00890A84" w:rsidRDefault="00BB1084" w:rsidP="00776E84">
      <w:pPr>
        <w:pStyle w:val="Heading2"/>
      </w:pPr>
      <w:bookmarkStart w:id="62" w:name="_Toc150861"/>
      <w:bookmarkStart w:id="63" w:name="_Toc532426037"/>
      <w:r w:rsidRPr="00890A84">
        <w:t>Pillar I. Budget reliability</w:t>
      </w:r>
      <w:bookmarkEnd w:id="62"/>
      <w:bookmarkEnd w:id="63"/>
    </w:p>
    <w:p w14:paraId="09F1AB69" w14:textId="6841133F" w:rsidR="009B1007" w:rsidRPr="005849E4" w:rsidRDefault="00DA5452" w:rsidP="005849E4">
      <w:pPr>
        <w:spacing w:after="240"/>
        <w:rPr>
          <w:sz w:val="22"/>
        </w:rPr>
      </w:pPr>
      <w:r w:rsidRPr="005849E4">
        <w:rPr>
          <w:sz w:val="22"/>
        </w:rPr>
        <w:t>A budget is reliable if it is implemented in accordance with the approved estimates before the beginning of the financial year. To determine the extent to which this is the case, three indicators</w:t>
      </w:r>
      <w:r w:rsidR="00A66D19">
        <w:rPr>
          <w:sz w:val="22"/>
        </w:rPr>
        <w:t>—</w:t>
      </w:r>
      <w:r w:rsidRPr="005849E4">
        <w:rPr>
          <w:sz w:val="22"/>
        </w:rPr>
        <w:t>aggregate expenditure outturn, expenditure composition outturn</w:t>
      </w:r>
      <w:r w:rsidR="00A66D19">
        <w:rPr>
          <w:sz w:val="22"/>
        </w:rPr>
        <w:t>,</w:t>
      </w:r>
      <w:r w:rsidRPr="005849E4">
        <w:rPr>
          <w:sz w:val="22"/>
        </w:rPr>
        <w:t xml:space="preserve"> and revenue outturn</w:t>
      </w:r>
      <w:r w:rsidR="00A66D19">
        <w:rPr>
          <w:sz w:val="22"/>
        </w:rPr>
        <w:t>—</w:t>
      </w:r>
      <w:r w:rsidRPr="005849E4">
        <w:rPr>
          <w:sz w:val="22"/>
        </w:rPr>
        <w:t xml:space="preserve">were examined for </w:t>
      </w:r>
      <w:r w:rsidR="00A66D19">
        <w:rPr>
          <w:sz w:val="22"/>
        </w:rPr>
        <w:t>FY</w:t>
      </w:r>
      <w:r w:rsidRPr="005849E4">
        <w:rPr>
          <w:sz w:val="22"/>
        </w:rPr>
        <w:t xml:space="preserve">2013/14, </w:t>
      </w:r>
      <w:r w:rsidR="00A66D19">
        <w:rPr>
          <w:sz w:val="22"/>
        </w:rPr>
        <w:t>FY</w:t>
      </w:r>
      <w:r w:rsidRPr="005849E4">
        <w:rPr>
          <w:sz w:val="22"/>
        </w:rPr>
        <w:t>2014/15</w:t>
      </w:r>
      <w:r w:rsidR="00A66D19">
        <w:rPr>
          <w:sz w:val="22"/>
        </w:rPr>
        <w:t>,</w:t>
      </w:r>
      <w:r w:rsidRPr="005849E4">
        <w:rPr>
          <w:sz w:val="22"/>
        </w:rPr>
        <w:t xml:space="preserve"> and 2015/16. </w:t>
      </w:r>
    </w:p>
    <w:p w14:paraId="17499824" w14:textId="166CCDE5" w:rsidR="00BB1084" w:rsidRDefault="00BB1084" w:rsidP="00590C8E">
      <w:pPr>
        <w:pStyle w:val="Heading4"/>
      </w:pPr>
      <w:r w:rsidRPr="005D22A7">
        <w:t>PI-1. Aggregate expenditure outturn</w:t>
      </w:r>
    </w:p>
    <w:p w14:paraId="12AFFD79" w14:textId="77777777" w:rsidR="003E5B0C" w:rsidRPr="00890A84" w:rsidRDefault="003E5B0C" w:rsidP="00BA6B2B">
      <w:pPr>
        <w:pStyle w:val="Heading5"/>
      </w:pPr>
      <w:bookmarkStart w:id="64" w:name="_Hlk528246483"/>
      <w:r w:rsidRPr="00890A84">
        <w:t>Summary of scores and performance table</w:t>
      </w:r>
    </w:p>
    <w:tbl>
      <w:tblPr>
        <w:tblW w:w="5000" w:type="pct"/>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20" w:firstRow="1" w:lastRow="0" w:firstColumn="0" w:lastColumn="0" w:noHBand="1" w:noVBand="1"/>
      </w:tblPr>
      <w:tblGrid>
        <w:gridCol w:w="2843"/>
        <w:gridCol w:w="426"/>
        <w:gridCol w:w="6081"/>
      </w:tblGrid>
      <w:tr w:rsidR="003E5B0C" w:rsidRPr="005849E4" w14:paraId="42A50F98" w14:textId="77777777" w:rsidTr="00A66D19">
        <w:trPr>
          <w:jc w:val="center"/>
        </w:trPr>
        <w:tc>
          <w:tcPr>
            <w:tcW w:w="1520" w:type="pct"/>
            <w:shd w:val="clear" w:color="auto" w:fill="5B9BD5"/>
          </w:tcPr>
          <w:p w14:paraId="049BCDB9" w14:textId="63F4A4B6" w:rsidR="003E5B0C" w:rsidRPr="005849E4" w:rsidRDefault="003E5B0C" w:rsidP="005849E4">
            <w:pPr>
              <w:jc w:val="center"/>
              <w:rPr>
                <w:b/>
                <w:color w:val="FFFFFF" w:themeColor="background1"/>
                <w:sz w:val="20"/>
                <w:szCs w:val="20"/>
              </w:rPr>
            </w:pPr>
            <w:r w:rsidRPr="005849E4">
              <w:rPr>
                <w:b/>
                <w:color w:val="FFFFFF" w:themeColor="background1"/>
                <w:sz w:val="20"/>
                <w:szCs w:val="20"/>
              </w:rPr>
              <w:t>PI-1</w:t>
            </w:r>
            <w:r w:rsidR="00A66D19">
              <w:rPr>
                <w:b/>
                <w:color w:val="FFFFFF" w:themeColor="background1"/>
                <w:sz w:val="20"/>
                <w:szCs w:val="20"/>
              </w:rPr>
              <w:t>.</w:t>
            </w:r>
            <w:r w:rsidRPr="005849E4">
              <w:rPr>
                <w:b/>
                <w:color w:val="FFFFFF" w:themeColor="background1"/>
                <w:sz w:val="20"/>
                <w:szCs w:val="20"/>
              </w:rPr>
              <w:t xml:space="preserve"> Aggregate expenditure outturn (M1)</w:t>
            </w:r>
          </w:p>
        </w:tc>
        <w:tc>
          <w:tcPr>
            <w:tcW w:w="228" w:type="pct"/>
            <w:shd w:val="clear" w:color="auto" w:fill="5B9BD5"/>
          </w:tcPr>
          <w:p w14:paraId="0FA266BA" w14:textId="7E943316" w:rsidR="003E5B0C" w:rsidRPr="005849E4" w:rsidRDefault="003E5B0C" w:rsidP="005849E4">
            <w:pPr>
              <w:jc w:val="center"/>
              <w:rPr>
                <w:b/>
                <w:color w:val="FFFFFF" w:themeColor="background1"/>
                <w:sz w:val="20"/>
                <w:szCs w:val="20"/>
              </w:rPr>
            </w:pPr>
            <w:r w:rsidRPr="005849E4">
              <w:rPr>
                <w:b/>
                <w:color w:val="FFFFFF" w:themeColor="background1"/>
                <w:sz w:val="20"/>
                <w:szCs w:val="20"/>
              </w:rPr>
              <w:t>D</w:t>
            </w:r>
          </w:p>
        </w:tc>
        <w:tc>
          <w:tcPr>
            <w:tcW w:w="3252" w:type="pct"/>
            <w:shd w:val="clear" w:color="auto" w:fill="5B9BD5"/>
          </w:tcPr>
          <w:p w14:paraId="644B9521" w14:textId="77777777" w:rsidR="003E5B0C" w:rsidRPr="005849E4" w:rsidRDefault="003E5B0C" w:rsidP="005849E4">
            <w:pPr>
              <w:jc w:val="center"/>
              <w:rPr>
                <w:b/>
                <w:color w:val="FFFFFF" w:themeColor="background1"/>
                <w:sz w:val="20"/>
                <w:szCs w:val="20"/>
              </w:rPr>
            </w:pPr>
            <w:r w:rsidRPr="005849E4">
              <w:rPr>
                <w:b/>
                <w:color w:val="FFFFFF" w:themeColor="background1"/>
                <w:sz w:val="20"/>
                <w:szCs w:val="20"/>
              </w:rPr>
              <w:t>Brief justification for score</w:t>
            </w:r>
          </w:p>
        </w:tc>
      </w:tr>
      <w:tr w:rsidR="003E5B0C" w:rsidRPr="005849E4" w14:paraId="4C494EFD" w14:textId="77777777" w:rsidTr="00A66D19">
        <w:trPr>
          <w:jc w:val="center"/>
        </w:trPr>
        <w:tc>
          <w:tcPr>
            <w:tcW w:w="1520" w:type="pct"/>
            <w:shd w:val="clear" w:color="auto" w:fill="auto"/>
          </w:tcPr>
          <w:p w14:paraId="515416AE" w14:textId="77777777" w:rsidR="003E5B0C" w:rsidRPr="005849E4" w:rsidRDefault="003E5B0C" w:rsidP="00BA6B2B">
            <w:pPr>
              <w:jc w:val="left"/>
              <w:rPr>
                <w:sz w:val="20"/>
                <w:szCs w:val="20"/>
              </w:rPr>
            </w:pPr>
            <w:r w:rsidRPr="005849E4">
              <w:rPr>
                <w:sz w:val="20"/>
                <w:szCs w:val="20"/>
              </w:rPr>
              <w:t xml:space="preserve">1.1 Aggregate expenditure outturn </w:t>
            </w:r>
          </w:p>
        </w:tc>
        <w:tc>
          <w:tcPr>
            <w:tcW w:w="228" w:type="pct"/>
            <w:shd w:val="clear" w:color="auto" w:fill="auto"/>
          </w:tcPr>
          <w:p w14:paraId="21F6F099" w14:textId="77777777" w:rsidR="003E5B0C" w:rsidRPr="005849E4" w:rsidRDefault="003E5B0C" w:rsidP="00BA6B2B">
            <w:pPr>
              <w:jc w:val="center"/>
              <w:rPr>
                <w:sz w:val="20"/>
                <w:szCs w:val="20"/>
              </w:rPr>
            </w:pPr>
            <w:r w:rsidRPr="005849E4">
              <w:rPr>
                <w:sz w:val="20"/>
                <w:szCs w:val="20"/>
              </w:rPr>
              <w:t>D</w:t>
            </w:r>
          </w:p>
        </w:tc>
        <w:tc>
          <w:tcPr>
            <w:tcW w:w="3252" w:type="pct"/>
            <w:shd w:val="clear" w:color="auto" w:fill="auto"/>
          </w:tcPr>
          <w:p w14:paraId="1978D9D4" w14:textId="238C52FF" w:rsidR="003E5B0C" w:rsidRPr="005849E4" w:rsidRDefault="003E5B0C" w:rsidP="00BA6B2B">
            <w:pPr>
              <w:jc w:val="left"/>
              <w:rPr>
                <w:sz w:val="20"/>
                <w:szCs w:val="20"/>
              </w:rPr>
            </w:pPr>
            <w:r w:rsidRPr="005849E4">
              <w:rPr>
                <w:sz w:val="20"/>
                <w:szCs w:val="20"/>
              </w:rPr>
              <w:t>Aggregate expenditure outturn was below 85% of the approved aggregate budgeted expenditure in the last three years.</w:t>
            </w:r>
          </w:p>
        </w:tc>
      </w:tr>
    </w:tbl>
    <w:p w14:paraId="56ABAA45" w14:textId="77777777" w:rsidR="003E5B0C" w:rsidRPr="003E5B0C" w:rsidRDefault="003E5B0C" w:rsidP="003E5B0C"/>
    <w:p w14:paraId="294C4AB9" w14:textId="5272A0BC" w:rsidR="00507C7A" w:rsidRPr="005849E4" w:rsidRDefault="00A66D19" w:rsidP="00BA6B2B">
      <w:pPr>
        <w:spacing w:after="240"/>
        <w:rPr>
          <w:sz w:val="22"/>
        </w:rPr>
      </w:pPr>
      <w:r>
        <w:rPr>
          <w:sz w:val="22"/>
        </w:rPr>
        <w:t>T</w:t>
      </w:r>
      <w:r w:rsidR="00507C7A" w:rsidRPr="005849E4">
        <w:rPr>
          <w:sz w:val="22"/>
        </w:rPr>
        <w:t xml:space="preserve">able </w:t>
      </w:r>
      <w:r w:rsidR="00F677C9">
        <w:rPr>
          <w:sz w:val="22"/>
        </w:rPr>
        <w:t>3.5</w:t>
      </w:r>
      <w:r w:rsidRPr="005849E4">
        <w:rPr>
          <w:sz w:val="22"/>
        </w:rPr>
        <w:t xml:space="preserve"> </w:t>
      </w:r>
      <w:r w:rsidR="00507C7A" w:rsidRPr="005849E4">
        <w:rPr>
          <w:sz w:val="22"/>
        </w:rPr>
        <w:t>show</w:t>
      </w:r>
      <w:r>
        <w:rPr>
          <w:sz w:val="22"/>
        </w:rPr>
        <w:t>s</w:t>
      </w:r>
      <w:r w:rsidR="00507C7A" w:rsidRPr="005849E4">
        <w:rPr>
          <w:sz w:val="22"/>
        </w:rPr>
        <w:t xml:space="preserve"> a deviation </w:t>
      </w:r>
      <w:r w:rsidR="002F76E1" w:rsidRPr="005849E4">
        <w:rPr>
          <w:sz w:val="22"/>
        </w:rPr>
        <w:t>of 75</w:t>
      </w:r>
      <w:r>
        <w:rPr>
          <w:sz w:val="22"/>
        </w:rPr>
        <w:t xml:space="preserve"> percent</w:t>
      </w:r>
      <w:r w:rsidR="00E56226" w:rsidRPr="005849E4">
        <w:rPr>
          <w:sz w:val="22"/>
        </w:rPr>
        <w:t xml:space="preserve"> </w:t>
      </w:r>
      <w:r>
        <w:rPr>
          <w:sz w:val="22"/>
        </w:rPr>
        <w:t>o</w:t>
      </w:r>
      <w:r w:rsidR="00507C7A" w:rsidRPr="005849E4">
        <w:rPr>
          <w:sz w:val="22"/>
        </w:rPr>
        <w:t xml:space="preserve">n average between initial budget and real expenditure, due to the low execution rate of the development </w:t>
      </w:r>
      <w:r w:rsidR="00A0058E" w:rsidRPr="005849E4">
        <w:rPr>
          <w:sz w:val="22"/>
        </w:rPr>
        <w:t>budget</w:t>
      </w:r>
      <w:r w:rsidR="00507C7A" w:rsidRPr="005849E4">
        <w:rPr>
          <w:sz w:val="22"/>
        </w:rPr>
        <w:t>.</w:t>
      </w:r>
      <w:r w:rsidR="00E56226" w:rsidRPr="005849E4">
        <w:rPr>
          <w:sz w:val="22"/>
        </w:rPr>
        <w:t xml:space="preserve"> </w:t>
      </w:r>
      <w:r w:rsidR="009B6FA4" w:rsidRPr="005849E4">
        <w:rPr>
          <w:sz w:val="22"/>
        </w:rPr>
        <w:t>In the implementation period, budgeted data should be available for utili</w:t>
      </w:r>
      <w:r>
        <w:rPr>
          <w:sz w:val="22"/>
        </w:rPr>
        <w:t>z</w:t>
      </w:r>
      <w:r w:rsidR="009B6FA4" w:rsidRPr="005849E4">
        <w:rPr>
          <w:sz w:val="22"/>
        </w:rPr>
        <w:t>ation in the first half of the financial year but there are usually delays in disbursement of funds by the National Treasury. This creates a mismatch between the procurement plan and the implementation. The procurement process begins in the second half of the year after the disbursement of funds</w:t>
      </w:r>
      <w:r>
        <w:rPr>
          <w:sz w:val="22"/>
        </w:rPr>
        <w:t>,</w:t>
      </w:r>
      <w:r w:rsidR="009B6FA4" w:rsidRPr="005849E4">
        <w:rPr>
          <w:sz w:val="22"/>
        </w:rPr>
        <w:t xml:space="preserve"> which shortens implementation of development expenditures.</w:t>
      </w:r>
      <w:r w:rsidR="005C26CB" w:rsidRPr="005849E4">
        <w:rPr>
          <w:sz w:val="22"/>
        </w:rPr>
        <w:t xml:space="preserve"> </w:t>
      </w:r>
    </w:p>
    <w:p w14:paraId="10009EBF" w14:textId="128D27DD" w:rsidR="00CB127D" w:rsidRPr="005849E4" w:rsidRDefault="005C26CB" w:rsidP="00BA6B2B">
      <w:pPr>
        <w:spacing w:after="240"/>
        <w:rPr>
          <w:sz w:val="22"/>
        </w:rPr>
      </w:pPr>
      <w:r w:rsidRPr="005849E4">
        <w:rPr>
          <w:sz w:val="22"/>
        </w:rPr>
        <w:t xml:space="preserve">For actual expenditure, the information on economic classifications were obtained from the </w:t>
      </w:r>
      <w:r w:rsidR="00A66D19">
        <w:rPr>
          <w:sz w:val="22"/>
        </w:rPr>
        <w:t>AFS,</w:t>
      </w:r>
      <w:r w:rsidRPr="005849E4">
        <w:rPr>
          <w:sz w:val="22"/>
        </w:rPr>
        <w:t xml:space="preserve"> specifically statement of receipts and payments.</w:t>
      </w:r>
      <w:r w:rsidR="00A0058E" w:rsidRPr="005849E4">
        <w:rPr>
          <w:sz w:val="22"/>
        </w:rPr>
        <w:t xml:space="preserve"> </w:t>
      </w:r>
      <w:r w:rsidR="00CB127D" w:rsidRPr="005849E4">
        <w:rPr>
          <w:sz w:val="22"/>
        </w:rPr>
        <w:t>Tables supporting the calculation are presented in Annex 3A.</w:t>
      </w:r>
    </w:p>
    <w:p w14:paraId="06169E94" w14:textId="3B9E42F2" w:rsidR="00FE07C0" w:rsidRPr="009B1007" w:rsidRDefault="00A66D19" w:rsidP="00590C8E">
      <w:pPr>
        <w:pStyle w:val="TableStyle"/>
      </w:pPr>
      <w:bookmarkStart w:id="65" w:name="_Toc530420885"/>
      <w:bookmarkStart w:id="66" w:name="_Toc532426092"/>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5</w:t>
      </w:r>
      <w:r w:rsidR="008B59A7">
        <w:rPr>
          <w:noProof/>
        </w:rPr>
        <w:fldChar w:fldCharType="end"/>
      </w:r>
      <w:r w:rsidR="00FE07C0" w:rsidRPr="009B1007">
        <w:t xml:space="preserve">: </w:t>
      </w:r>
      <w:bookmarkStart w:id="67" w:name="_Hlk516390987"/>
      <w:r w:rsidR="005D22A7">
        <w:t>Aggregate expenditure outturn (%)</w:t>
      </w:r>
      <w:bookmarkEnd w:id="65"/>
      <w:bookmarkEnd w:id="66"/>
      <w:bookmarkEnd w:id="67"/>
    </w:p>
    <w:tbl>
      <w:tblPr>
        <w:tblW w:w="643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954"/>
        <w:gridCol w:w="3477"/>
      </w:tblGrid>
      <w:tr w:rsidR="003F55F4" w:rsidRPr="00BA6B2B" w14:paraId="64A17886" w14:textId="77777777" w:rsidTr="005849E4">
        <w:trPr>
          <w:trHeight w:val="65"/>
        </w:trPr>
        <w:tc>
          <w:tcPr>
            <w:tcW w:w="2954" w:type="dxa"/>
            <w:tcBorders>
              <w:top w:val="single" w:sz="4" w:space="0" w:color="5B9BD5"/>
              <w:left w:val="single" w:sz="4" w:space="0" w:color="5B9BD5"/>
              <w:bottom w:val="single" w:sz="4" w:space="0" w:color="5B9BD5"/>
              <w:right w:val="nil"/>
            </w:tcBorders>
            <w:shd w:val="clear" w:color="auto" w:fill="5B9BD5"/>
            <w:noWrap/>
            <w:hideMark/>
          </w:tcPr>
          <w:p w14:paraId="2CCE3869" w14:textId="77777777" w:rsidR="003F55F4" w:rsidRPr="00BA6B2B" w:rsidRDefault="005D22A7" w:rsidP="005849E4">
            <w:pPr>
              <w:jc w:val="center"/>
              <w:rPr>
                <w:b/>
                <w:color w:val="FFFFFF" w:themeColor="background1"/>
                <w:sz w:val="20"/>
                <w:szCs w:val="20"/>
              </w:rPr>
            </w:pPr>
            <w:r w:rsidRPr="00BA6B2B">
              <w:rPr>
                <w:b/>
                <w:color w:val="FFFFFF" w:themeColor="background1"/>
                <w:sz w:val="20"/>
                <w:szCs w:val="20"/>
              </w:rPr>
              <w:t>FY</w:t>
            </w:r>
          </w:p>
        </w:tc>
        <w:tc>
          <w:tcPr>
            <w:tcW w:w="3477" w:type="dxa"/>
            <w:tcBorders>
              <w:top w:val="single" w:sz="4" w:space="0" w:color="5B9BD5"/>
              <w:left w:val="nil"/>
              <w:bottom w:val="single" w:sz="4" w:space="0" w:color="5B9BD5"/>
              <w:right w:val="single" w:sz="4" w:space="0" w:color="5B9BD5"/>
            </w:tcBorders>
            <w:shd w:val="clear" w:color="auto" w:fill="5B9BD5"/>
            <w:noWrap/>
            <w:hideMark/>
          </w:tcPr>
          <w:p w14:paraId="7E56D7CB" w14:textId="77777777" w:rsidR="003F55F4" w:rsidRPr="00BA6B2B" w:rsidRDefault="005D22A7" w:rsidP="005849E4">
            <w:pPr>
              <w:jc w:val="center"/>
              <w:rPr>
                <w:b/>
                <w:color w:val="FFFFFF" w:themeColor="background1"/>
                <w:sz w:val="20"/>
                <w:szCs w:val="20"/>
              </w:rPr>
            </w:pPr>
            <w:r w:rsidRPr="00BA6B2B">
              <w:rPr>
                <w:b/>
                <w:color w:val="FFFFFF" w:themeColor="background1"/>
                <w:sz w:val="20"/>
                <w:szCs w:val="20"/>
              </w:rPr>
              <w:t>Total expenditure deviation (%)</w:t>
            </w:r>
          </w:p>
        </w:tc>
      </w:tr>
      <w:tr w:rsidR="003F55F4" w:rsidRPr="00BA6B2B" w14:paraId="07930627" w14:textId="77777777" w:rsidTr="005849E4">
        <w:trPr>
          <w:trHeight w:val="300"/>
        </w:trPr>
        <w:tc>
          <w:tcPr>
            <w:tcW w:w="2954" w:type="dxa"/>
            <w:shd w:val="clear" w:color="auto" w:fill="auto"/>
            <w:noWrap/>
            <w:hideMark/>
          </w:tcPr>
          <w:p w14:paraId="219992F6" w14:textId="77777777" w:rsidR="003F55F4" w:rsidRPr="00BA6B2B" w:rsidRDefault="003F55F4" w:rsidP="00D52523">
            <w:pPr>
              <w:rPr>
                <w:sz w:val="20"/>
                <w:szCs w:val="20"/>
              </w:rPr>
            </w:pPr>
            <w:r w:rsidRPr="00BA6B2B">
              <w:rPr>
                <w:sz w:val="20"/>
                <w:szCs w:val="20"/>
              </w:rPr>
              <w:t xml:space="preserve">2013/14 </w:t>
            </w:r>
          </w:p>
        </w:tc>
        <w:tc>
          <w:tcPr>
            <w:tcW w:w="3477" w:type="dxa"/>
            <w:shd w:val="clear" w:color="auto" w:fill="auto"/>
            <w:noWrap/>
            <w:hideMark/>
          </w:tcPr>
          <w:p w14:paraId="1BA79886" w14:textId="4C3EFB69" w:rsidR="003F55F4" w:rsidRPr="00BA6B2B" w:rsidRDefault="003F55F4" w:rsidP="00400265">
            <w:pPr>
              <w:jc w:val="center"/>
              <w:rPr>
                <w:sz w:val="20"/>
                <w:szCs w:val="20"/>
              </w:rPr>
            </w:pPr>
            <w:r w:rsidRPr="00BA6B2B">
              <w:rPr>
                <w:sz w:val="20"/>
                <w:szCs w:val="20"/>
              </w:rPr>
              <w:t>73</w:t>
            </w:r>
          </w:p>
        </w:tc>
      </w:tr>
      <w:tr w:rsidR="003F55F4" w:rsidRPr="00BA6B2B" w14:paraId="5CFC8C9A" w14:textId="77777777" w:rsidTr="005849E4">
        <w:trPr>
          <w:trHeight w:val="300"/>
        </w:trPr>
        <w:tc>
          <w:tcPr>
            <w:tcW w:w="2954" w:type="dxa"/>
            <w:shd w:val="clear" w:color="auto" w:fill="auto"/>
            <w:noWrap/>
            <w:hideMark/>
          </w:tcPr>
          <w:p w14:paraId="2E5FC5DC" w14:textId="77777777" w:rsidR="003F55F4" w:rsidRPr="00BA6B2B" w:rsidRDefault="003F55F4" w:rsidP="00D52523">
            <w:pPr>
              <w:rPr>
                <w:sz w:val="20"/>
                <w:szCs w:val="20"/>
              </w:rPr>
            </w:pPr>
            <w:r w:rsidRPr="00BA6B2B">
              <w:rPr>
                <w:sz w:val="20"/>
                <w:szCs w:val="20"/>
              </w:rPr>
              <w:t xml:space="preserve">2014/15 </w:t>
            </w:r>
          </w:p>
        </w:tc>
        <w:tc>
          <w:tcPr>
            <w:tcW w:w="3477" w:type="dxa"/>
            <w:shd w:val="clear" w:color="auto" w:fill="auto"/>
            <w:noWrap/>
            <w:hideMark/>
          </w:tcPr>
          <w:p w14:paraId="2B364B89" w14:textId="273FD8D7" w:rsidR="003F55F4" w:rsidRPr="00BA6B2B" w:rsidRDefault="003F55F4" w:rsidP="00400265">
            <w:pPr>
              <w:jc w:val="center"/>
              <w:rPr>
                <w:sz w:val="20"/>
                <w:szCs w:val="20"/>
              </w:rPr>
            </w:pPr>
            <w:r w:rsidRPr="00BA6B2B">
              <w:rPr>
                <w:sz w:val="20"/>
                <w:szCs w:val="20"/>
              </w:rPr>
              <w:t>78</w:t>
            </w:r>
          </w:p>
        </w:tc>
      </w:tr>
      <w:tr w:rsidR="003F55F4" w:rsidRPr="00BA6B2B" w14:paraId="44929882" w14:textId="77777777" w:rsidTr="005849E4">
        <w:trPr>
          <w:trHeight w:val="300"/>
        </w:trPr>
        <w:tc>
          <w:tcPr>
            <w:tcW w:w="2954" w:type="dxa"/>
            <w:shd w:val="clear" w:color="auto" w:fill="auto"/>
            <w:noWrap/>
            <w:hideMark/>
          </w:tcPr>
          <w:p w14:paraId="5FAAD4DF" w14:textId="77777777" w:rsidR="003F55F4" w:rsidRPr="00BA6B2B" w:rsidRDefault="003F55F4" w:rsidP="00D52523">
            <w:pPr>
              <w:rPr>
                <w:sz w:val="20"/>
                <w:szCs w:val="20"/>
              </w:rPr>
            </w:pPr>
            <w:r w:rsidRPr="00BA6B2B">
              <w:rPr>
                <w:sz w:val="20"/>
                <w:szCs w:val="20"/>
              </w:rPr>
              <w:t xml:space="preserve">2015/16 </w:t>
            </w:r>
          </w:p>
        </w:tc>
        <w:tc>
          <w:tcPr>
            <w:tcW w:w="3477" w:type="dxa"/>
            <w:shd w:val="clear" w:color="auto" w:fill="auto"/>
            <w:noWrap/>
            <w:hideMark/>
          </w:tcPr>
          <w:p w14:paraId="37B5628D" w14:textId="576E86F2" w:rsidR="003F55F4" w:rsidRPr="00BA6B2B" w:rsidRDefault="003F55F4" w:rsidP="00400265">
            <w:pPr>
              <w:jc w:val="center"/>
              <w:rPr>
                <w:sz w:val="20"/>
                <w:szCs w:val="20"/>
              </w:rPr>
            </w:pPr>
            <w:r w:rsidRPr="00BA6B2B">
              <w:rPr>
                <w:sz w:val="20"/>
                <w:szCs w:val="20"/>
              </w:rPr>
              <w:t>77</w:t>
            </w:r>
          </w:p>
        </w:tc>
      </w:tr>
    </w:tbl>
    <w:p w14:paraId="46F19289" w14:textId="54245FBD" w:rsidR="003F55F4" w:rsidRPr="00BA6B2B" w:rsidRDefault="003F55F4" w:rsidP="00BA6B2B">
      <w:pPr>
        <w:pStyle w:val="Italic"/>
        <w:spacing w:after="240"/>
        <w:rPr>
          <w:i w:val="0"/>
          <w:sz w:val="20"/>
        </w:rPr>
      </w:pPr>
      <w:r w:rsidRPr="00BA6B2B">
        <w:rPr>
          <w:sz w:val="20"/>
        </w:rPr>
        <w:t xml:space="preserve">Source: </w:t>
      </w:r>
      <w:r w:rsidRPr="00BA6B2B">
        <w:rPr>
          <w:i w:val="0"/>
          <w:sz w:val="20"/>
        </w:rPr>
        <w:t>C</w:t>
      </w:r>
      <w:r w:rsidR="00A66D19">
        <w:rPr>
          <w:i w:val="0"/>
          <w:sz w:val="20"/>
        </w:rPr>
        <w:t>B</w:t>
      </w:r>
      <w:r w:rsidRPr="00BA6B2B">
        <w:rPr>
          <w:i w:val="0"/>
          <w:sz w:val="20"/>
        </w:rPr>
        <w:t>ROPs</w:t>
      </w:r>
      <w:r w:rsidR="00BA6B2B">
        <w:rPr>
          <w:i w:val="0"/>
          <w:sz w:val="20"/>
        </w:rPr>
        <w:t>.</w:t>
      </w:r>
      <w:r w:rsidRPr="00BA6B2B">
        <w:rPr>
          <w:i w:val="0"/>
          <w:sz w:val="20"/>
        </w:rPr>
        <w:t xml:space="preserve"> </w:t>
      </w:r>
    </w:p>
    <w:p w14:paraId="6FF3C510" w14:textId="463BDFC2" w:rsidR="00627BB3" w:rsidRPr="005849E4" w:rsidRDefault="00A0058E" w:rsidP="00BA6B2B">
      <w:pPr>
        <w:spacing w:after="240"/>
        <w:rPr>
          <w:sz w:val="22"/>
        </w:rPr>
      </w:pPr>
      <w:r w:rsidRPr="005849E4">
        <w:rPr>
          <w:sz w:val="22"/>
        </w:rPr>
        <w:t>In summary, a</w:t>
      </w:r>
      <w:r w:rsidR="00CB127D" w:rsidRPr="005849E4">
        <w:rPr>
          <w:sz w:val="22"/>
        </w:rPr>
        <w:t>ggregate expenditure outturn was below 85% of the approved aggregate budgeted expenditure in the last three years.</w:t>
      </w:r>
      <w:r w:rsidR="002277B6" w:rsidRPr="005849E4">
        <w:rPr>
          <w:sz w:val="22"/>
        </w:rPr>
        <w:t xml:space="preserve"> </w:t>
      </w:r>
    </w:p>
    <w:p w14:paraId="13FD66F5" w14:textId="0203FA42" w:rsidR="00A0058E" w:rsidRPr="005849E4" w:rsidRDefault="00627BB3" w:rsidP="005849E4">
      <w:pPr>
        <w:spacing w:after="240"/>
        <w:rPr>
          <w:b/>
          <w:sz w:val="22"/>
        </w:rPr>
      </w:pPr>
      <w:r w:rsidRPr="005849E4">
        <w:rPr>
          <w:b/>
          <w:sz w:val="22"/>
        </w:rPr>
        <w:t>Dimension rating =</w:t>
      </w:r>
      <w:r w:rsidR="00A0058E" w:rsidRPr="005849E4">
        <w:rPr>
          <w:b/>
          <w:sz w:val="22"/>
        </w:rPr>
        <w:t xml:space="preserve"> D</w:t>
      </w:r>
    </w:p>
    <w:bookmarkEnd w:id="64"/>
    <w:p w14:paraId="05DAEBFB" w14:textId="77777777" w:rsidR="00BB1084" w:rsidRPr="00890A84" w:rsidRDefault="00BB1084" w:rsidP="00590C8E">
      <w:pPr>
        <w:pStyle w:val="Heading4"/>
      </w:pPr>
      <w:r w:rsidRPr="00890A84">
        <w:t>PI-2. Expenditure composition outturn</w:t>
      </w:r>
    </w:p>
    <w:p w14:paraId="5211C639" w14:textId="77777777" w:rsidR="003E5B0C" w:rsidRPr="00890A84" w:rsidRDefault="003E5B0C" w:rsidP="00BA6B2B">
      <w:pPr>
        <w:pStyle w:val="Heading5"/>
      </w:pPr>
      <w:bookmarkStart w:id="68" w:name="_Hlk528246694"/>
      <w:r w:rsidRPr="00890A84">
        <w:t>Summary of scores and performance table</w:t>
      </w:r>
    </w:p>
    <w:tbl>
      <w:tblPr>
        <w:tblW w:w="9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A0" w:firstRow="1" w:lastRow="0" w:firstColumn="1" w:lastColumn="0" w:noHBand="1" w:noVBand="1"/>
      </w:tblPr>
      <w:tblGrid>
        <w:gridCol w:w="2977"/>
        <w:gridCol w:w="567"/>
        <w:gridCol w:w="5816"/>
      </w:tblGrid>
      <w:tr w:rsidR="003E5B0C" w:rsidRPr="00BA6B2B" w14:paraId="6F42F85A" w14:textId="77777777" w:rsidTr="00BA6B2B">
        <w:trPr>
          <w:trHeight w:val="171"/>
          <w:tblHeader/>
        </w:trPr>
        <w:tc>
          <w:tcPr>
            <w:tcW w:w="2977" w:type="dxa"/>
            <w:shd w:val="clear" w:color="auto" w:fill="5B9BD5"/>
          </w:tcPr>
          <w:p w14:paraId="0EEE5878" w14:textId="66BABE3C" w:rsidR="003E5B0C" w:rsidRPr="00BA6B2B" w:rsidRDefault="003E5B0C" w:rsidP="005849E4">
            <w:pPr>
              <w:jc w:val="center"/>
              <w:rPr>
                <w:b/>
                <w:color w:val="FFFFFF" w:themeColor="background1"/>
                <w:sz w:val="20"/>
                <w:szCs w:val="20"/>
              </w:rPr>
            </w:pPr>
            <w:r w:rsidRPr="00BA6B2B">
              <w:rPr>
                <w:b/>
                <w:color w:val="FFFFFF" w:themeColor="background1"/>
                <w:sz w:val="20"/>
                <w:szCs w:val="20"/>
              </w:rPr>
              <w:t>PI-2</w:t>
            </w:r>
            <w:r w:rsidR="00953C6A">
              <w:rPr>
                <w:b/>
                <w:color w:val="FFFFFF" w:themeColor="background1"/>
                <w:sz w:val="20"/>
                <w:szCs w:val="20"/>
              </w:rPr>
              <w:t>.</w:t>
            </w:r>
            <w:r w:rsidRPr="00BA6B2B">
              <w:rPr>
                <w:b/>
                <w:color w:val="FFFFFF" w:themeColor="background1"/>
                <w:sz w:val="20"/>
                <w:szCs w:val="20"/>
              </w:rPr>
              <w:t xml:space="preserve"> Expenditure composition outturn (M1)</w:t>
            </w:r>
          </w:p>
        </w:tc>
        <w:tc>
          <w:tcPr>
            <w:tcW w:w="567" w:type="dxa"/>
            <w:shd w:val="clear" w:color="auto" w:fill="5B9BD5"/>
          </w:tcPr>
          <w:p w14:paraId="68C4AC50" w14:textId="77777777" w:rsidR="003E5B0C" w:rsidRPr="00BA6B2B" w:rsidRDefault="003E5B0C" w:rsidP="000A7EA8">
            <w:pPr>
              <w:jc w:val="center"/>
              <w:rPr>
                <w:b/>
                <w:color w:val="FFFFFF" w:themeColor="background1"/>
                <w:sz w:val="20"/>
                <w:szCs w:val="20"/>
              </w:rPr>
            </w:pPr>
            <w:r w:rsidRPr="00BA6B2B">
              <w:rPr>
                <w:b/>
                <w:color w:val="FFFFFF" w:themeColor="background1"/>
                <w:sz w:val="20"/>
                <w:szCs w:val="20"/>
              </w:rPr>
              <w:t>D+</w:t>
            </w:r>
          </w:p>
        </w:tc>
        <w:tc>
          <w:tcPr>
            <w:tcW w:w="5816" w:type="dxa"/>
            <w:shd w:val="clear" w:color="auto" w:fill="5B9BD5"/>
          </w:tcPr>
          <w:p w14:paraId="5C136628" w14:textId="77777777" w:rsidR="003E5B0C" w:rsidRPr="00BA6B2B" w:rsidRDefault="003E5B0C" w:rsidP="005849E4">
            <w:pPr>
              <w:jc w:val="center"/>
              <w:rPr>
                <w:b/>
                <w:color w:val="FFFFFF" w:themeColor="background1"/>
                <w:sz w:val="20"/>
                <w:szCs w:val="20"/>
              </w:rPr>
            </w:pPr>
            <w:r w:rsidRPr="00BA6B2B">
              <w:rPr>
                <w:b/>
                <w:color w:val="FFFFFF" w:themeColor="background1"/>
                <w:sz w:val="20"/>
                <w:szCs w:val="20"/>
              </w:rPr>
              <w:t>Brief justification for score</w:t>
            </w:r>
          </w:p>
        </w:tc>
      </w:tr>
      <w:tr w:rsidR="003E5B0C" w:rsidRPr="00BA6B2B" w14:paraId="575C3777" w14:textId="77777777" w:rsidTr="00BA6B2B">
        <w:trPr>
          <w:trHeight w:val="618"/>
        </w:trPr>
        <w:tc>
          <w:tcPr>
            <w:tcW w:w="2977" w:type="dxa"/>
            <w:shd w:val="clear" w:color="auto" w:fill="auto"/>
          </w:tcPr>
          <w:p w14:paraId="773E7D24" w14:textId="77777777" w:rsidR="003E5B0C" w:rsidRPr="00BA6B2B" w:rsidRDefault="003E5B0C" w:rsidP="00BA6B2B">
            <w:pPr>
              <w:jc w:val="left"/>
              <w:rPr>
                <w:sz w:val="20"/>
                <w:szCs w:val="20"/>
              </w:rPr>
            </w:pPr>
            <w:r w:rsidRPr="00BA6B2B">
              <w:rPr>
                <w:sz w:val="20"/>
                <w:szCs w:val="20"/>
              </w:rPr>
              <w:t xml:space="preserve">2.1 Expenditure composition outturn by function </w:t>
            </w:r>
          </w:p>
        </w:tc>
        <w:tc>
          <w:tcPr>
            <w:tcW w:w="567" w:type="dxa"/>
            <w:shd w:val="clear" w:color="auto" w:fill="auto"/>
          </w:tcPr>
          <w:p w14:paraId="3353D660" w14:textId="77777777" w:rsidR="003E5B0C" w:rsidRPr="00BA6B2B" w:rsidRDefault="003E5B0C" w:rsidP="000A7EA8">
            <w:pPr>
              <w:jc w:val="center"/>
              <w:rPr>
                <w:sz w:val="20"/>
                <w:szCs w:val="20"/>
              </w:rPr>
            </w:pPr>
            <w:r w:rsidRPr="00BA6B2B">
              <w:rPr>
                <w:sz w:val="20"/>
                <w:szCs w:val="20"/>
              </w:rPr>
              <w:t>D</w:t>
            </w:r>
          </w:p>
        </w:tc>
        <w:tc>
          <w:tcPr>
            <w:tcW w:w="5816" w:type="dxa"/>
            <w:shd w:val="clear" w:color="auto" w:fill="auto"/>
          </w:tcPr>
          <w:p w14:paraId="3253E3F0" w14:textId="1815FBF5" w:rsidR="003E5B0C" w:rsidRPr="00BA6B2B" w:rsidRDefault="003E5B0C" w:rsidP="00BA6B2B">
            <w:pPr>
              <w:jc w:val="left"/>
              <w:rPr>
                <w:sz w:val="20"/>
                <w:szCs w:val="20"/>
              </w:rPr>
            </w:pPr>
            <w:r w:rsidRPr="00BA6B2B">
              <w:rPr>
                <w:sz w:val="20"/>
                <w:szCs w:val="20"/>
              </w:rPr>
              <w:t>Variance in expenditure composition by administrative/functional classification was more than 15% in at least two of the last three years.</w:t>
            </w:r>
          </w:p>
        </w:tc>
      </w:tr>
      <w:tr w:rsidR="003E5B0C" w:rsidRPr="00BA6B2B" w14:paraId="072C00DE" w14:textId="77777777" w:rsidTr="00BA6B2B">
        <w:trPr>
          <w:trHeight w:val="375"/>
        </w:trPr>
        <w:tc>
          <w:tcPr>
            <w:tcW w:w="2977" w:type="dxa"/>
            <w:shd w:val="clear" w:color="auto" w:fill="auto"/>
          </w:tcPr>
          <w:p w14:paraId="07C8C2CD" w14:textId="77777777" w:rsidR="003E5B0C" w:rsidRPr="00BA6B2B" w:rsidRDefault="003E5B0C" w:rsidP="00BA6B2B">
            <w:pPr>
              <w:jc w:val="left"/>
              <w:rPr>
                <w:sz w:val="20"/>
                <w:szCs w:val="20"/>
              </w:rPr>
            </w:pPr>
            <w:r w:rsidRPr="00BA6B2B">
              <w:rPr>
                <w:sz w:val="20"/>
                <w:szCs w:val="20"/>
              </w:rPr>
              <w:t xml:space="preserve">2.2 Expenditure composition outturn by economic type </w:t>
            </w:r>
          </w:p>
        </w:tc>
        <w:tc>
          <w:tcPr>
            <w:tcW w:w="567" w:type="dxa"/>
            <w:shd w:val="clear" w:color="auto" w:fill="auto"/>
          </w:tcPr>
          <w:p w14:paraId="3BE5DB89" w14:textId="77777777" w:rsidR="003E5B0C" w:rsidRPr="00BA6B2B" w:rsidRDefault="003E5B0C" w:rsidP="00BA6B2B">
            <w:pPr>
              <w:jc w:val="center"/>
              <w:rPr>
                <w:sz w:val="20"/>
                <w:szCs w:val="20"/>
              </w:rPr>
            </w:pPr>
            <w:r w:rsidRPr="00BA6B2B">
              <w:rPr>
                <w:sz w:val="20"/>
                <w:szCs w:val="20"/>
              </w:rPr>
              <w:t>D</w:t>
            </w:r>
          </w:p>
        </w:tc>
        <w:tc>
          <w:tcPr>
            <w:tcW w:w="5816" w:type="dxa"/>
            <w:shd w:val="clear" w:color="auto" w:fill="auto"/>
          </w:tcPr>
          <w:p w14:paraId="7C23DEEC" w14:textId="77777777" w:rsidR="003E5B0C" w:rsidRPr="00BA6B2B" w:rsidRDefault="003E5B0C" w:rsidP="00BA6B2B">
            <w:pPr>
              <w:jc w:val="left"/>
              <w:rPr>
                <w:sz w:val="20"/>
                <w:szCs w:val="20"/>
              </w:rPr>
            </w:pPr>
            <w:r w:rsidRPr="00BA6B2B">
              <w:rPr>
                <w:sz w:val="20"/>
                <w:szCs w:val="20"/>
              </w:rPr>
              <w:t>Variance in expenditure composition by economic classification was more than 15% in at least two of the last three years.</w:t>
            </w:r>
          </w:p>
        </w:tc>
      </w:tr>
      <w:tr w:rsidR="003E5B0C" w:rsidRPr="00BA6B2B" w14:paraId="1DAF37FD" w14:textId="77777777" w:rsidTr="00BA6B2B">
        <w:trPr>
          <w:trHeight w:val="397"/>
        </w:trPr>
        <w:tc>
          <w:tcPr>
            <w:tcW w:w="2977" w:type="dxa"/>
            <w:shd w:val="clear" w:color="auto" w:fill="auto"/>
          </w:tcPr>
          <w:p w14:paraId="3E2A0550" w14:textId="1E6FB31C" w:rsidR="003E5B0C" w:rsidRPr="00BA6B2B" w:rsidRDefault="003E5B0C" w:rsidP="00BA6B2B">
            <w:pPr>
              <w:jc w:val="left"/>
              <w:rPr>
                <w:sz w:val="20"/>
                <w:szCs w:val="20"/>
              </w:rPr>
            </w:pPr>
            <w:r w:rsidRPr="00BA6B2B">
              <w:rPr>
                <w:sz w:val="20"/>
                <w:szCs w:val="20"/>
              </w:rPr>
              <w:t xml:space="preserve">2.3 Expenditure for </w:t>
            </w:r>
            <w:r w:rsidR="00953C6A">
              <w:rPr>
                <w:sz w:val="20"/>
                <w:szCs w:val="20"/>
              </w:rPr>
              <w:t>c</w:t>
            </w:r>
            <w:r w:rsidRPr="00BA6B2B">
              <w:rPr>
                <w:sz w:val="20"/>
                <w:szCs w:val="20"/>
              </w:rPr>
              <w:t>ontingency reserve</w:t>
            </w:r>
          </w:p>
        </w:tc>
        <w:tc>
          <w:tcPr>
            <w:tcW w:w="567" w:type="dxa"/>
            <w:shd w:val="clear" w:color="auto" w:fill="auto"/>
          </w:tcPr>
          <w:p w14:paraId="6D1A9E88" w14:textId="77777777" w:rsidR="003E5B0C" w:rsidRPr="00BA6B2B" w:rsidRDefault="003E5B0C" w:rsidP="00BA6B2B">
            <w:pPr>
              <w:jc w:val="center"/>
              <w:rPr>
                <w:sz w:val="20"/>
                <w:szCs w:val="20"/>
              </w:rPr>
            </w:pPr>
            <w:r w:rsidRPr="00BA6B2B">
              <w:rPr>
                <w:sz w:val="20"/>
                <w:szCs w:val="20"/>
              </w:rPr>
              <w:t>A</w:t>
            </w:r>
          </w:p>
        </w:tc>
        <w:tc>
          <w:tcPr>
            <w:tcW w:w="5816" w:type="dxa"/>
            <w:shd w:val="clear" w:color="auto" w:fill="auto"/>
          </w:tcPr>
          <w:p w14:paraId="3140CAC2" w14:textId="77777777" w:rsidR="003E5B0C" w:rsidRPr="00BA6B2B" w:rsidRDefault="003E5B0C" w:rsidP="00BA6B2B">
            <w:pPr>
              <w:jc w:val="left"/>
              <w:rPr>
                <w:sz w:val="20"/>
                <w:szCs w:val="20"/>
              </w:rPr>
            </w:pPr>
            <w:r w:rsidRPr="00BA6B2B">
              <w:rPr>
                <w:sz w:val="20"/>
                <w:szCs w:val="20"/>
              </w:rPr>
              <w:t>Actual expenditure charged to a contingency vote was on average less than 3% of the original budget (0.7% on average).</w:t>
            </w:r>
          </w:p>
        </w:tc>
      </w:tr>
    </w:tbl>
    <w:p w14:paraId="0260F00D" w14:textId="77777777" w:rsidR="00AE7C64" w:rsidRPr="00890A84" w:rsidRDefault="00642525" w:rsidP="00BA6B2B">
      <w:pPr>
        <w:pStyle w:val="Heading5"/>
      </w:pPr>
      <w:r w:rsidRPr="00890A84">
        <w:t>PI-</w:t>
      </w:r>
      <w:r w:rsidR="00AE7C64" w:rsidRPr="00890A84">
        <w:t>2.1. Expenditure composition outturn by function</w:t>
      </w:r>
    </w:p>
    <w:p w14:paraId="7FBA1073" w14:textId="4A977859" w:rsidR="002B5E0F" w:rsidRPr="005849E4" w:rsidRDefault="002B5E0F" w:rsidP="00BA6B2B">
      <w:pPr>
        <w:spacing w:after="240"/>
        <w:rPr>
          <w:sz w:val="22"/>
        </w:rPr>
      </w:pPr>
      <w:r w:rsidRPr="005849E4">
        <w:rPr>
          <w:sz w:val="22"/>
        </w:rPr>
        <w:t>Data obtained from the CBROP shows that the execution rate was above 75</w:t>
      </w:r>
      <w:r w:rsidR="00953C6A">
        <w:rPr>
          <w:sz w:val="22"/>
        </w:rPr>
        <w:t xml:space="preserve"> percent</w:t>
      </w:r>
      <w:r w:rsidRPr="005849E4">
        <w:rPr>
          <w:sz w:val="22"/>
        </w:rPr>
        <w:t xml:space="preserve"> for all three years but also below 90</w:t>
      </w:r>
      <w:r w:rsidR="00953C6A">
        <w:rPr>
          <w:sz w:val="22"/>
        </w:rPr>
        <w:t xml:space="preserve"> percent</w:t>
      </w:r>
      <w:r w:rsidRPr="005849E4">
        <w:rPr>
          <w:sz w:val="22"/>
        </w:rPr>
        <w:t xml:space="preserve"> (Table 3.</w:t>
      </w:r>
      <w:r w:rsidR="007929DF">
        <w:rPr>
          <w:sz w:val="22"/>
        </w:rPr>
        <w:t>6</w:t>
      </w:r>
      <w:r w:rsidRPr="005849E4">
        <w:rPr>
          <w:sz w:val="22"/>
        </w:rPr>
        <w:t>). The functions having the lowest budget execution rate are Public Works, Roads, Transport, Housing Industrialisation</w:t>
      </w:r>
      <w:r w:rsidR="00953C6A">
        <w:rPr>
          <w:sz w:val="22"/>
        </w:rPr>
        <w:t>,</w:t>
      </w:r>
      <w:r w:rsidRPr="005849E4">
        <w:rPr>
          <w:sz w:val="22"/>
        </w:rPr>
        <w:t xml:space="preserve"> and Enterprise Development, which are likely related to a low rate of capital consumption (see in PI-2.2). </w:t>
      </w:r>
    </w:p>
    <w:p w14:paraId="59AFF68D" w14:textId="449AC1E1" w:rsidR="00FE07C0" w:rsidRDefault="00A66D19" w:rsidP="00590C8E">
      <w:pPr>
        <w:pStyle w:val="TableStyle"/>
      </w:pPr>
      <w:bookmarkStart w:id="69" w:name="_Toc530420886"/>
      <w:bookmarkStart w:id="70" w:name="_Toc532426093"/>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6</w:t>
      </w:r>
      <w:r w:rsidR="008B59A7">
        <w:rPr>
          <w:noProof/>
        </w:rPr>
        <w:fldChar w:fldCharType="end"/>
      </w:r>
      <w:r w:rsidR="00FE07C0" w:rsidRPr="00890A84">
        <w:t xml:space="preserve">: </w:t>
      </w:r>
      <w:r w:rsidR="005D22A7" w:rsidRPr="000C1B4A">
        <w:t>Expenditure composition outturn by function</w:t>
      </w:r>
      <w:r w:rsidR="005D22A7">
        <w:t xml:space="preserve"> (</w:t>
      </w:r>
      <w:r w:rsidR="00E73ED7">
        <w:t>Ksh</w:t>
      </w:r>
      <w:r w:rsidR="00953C6A">
        <w:t>,</w:t>
      </w:r>
      <w:r w:rsidR="005D22A7">
        <w:t xml:space="preserve"> millions)</w:t>
      </w:r>
      <w:bookmarkEnd w:id="69"/>
      <w:bookmarkEnd w:id="70"/>
    </w:p>
    <w:tbl>
      <w:tblPr>
        <w:tblW w:w="4928"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3290"/>
        <w:gridCol w:w="1098"/>
        <w:gridCol w:w="947"/>
        <w:gridCol w:w="964"/>
        <w:gridCol w:w="957"/>
        <w:gridCol w:w="1015"/>
        <w:gridCol w:w="944"/>
      </w:tblGrid>
      <w:tr w:rsidR="00DD1628" w:rsidRPr="00BA6B2B" w14:paraId="2CA8F4FA" w14:textId="77777777" w:rsidTr="00BA6B2B">
        <w:trPr>
          <w:trHeight w:val="95"/>
          <w:tblHeader/>
        </w:trPr>
        <w:tc>
          <w:tcPr>
            <w:tcW w:w="1785" w:type="pct"/>
            <w:vMerge w:val="restart"/>
            <w:shd w:val="clear" w:color="auto" w:fill="5B9BD5"/>
            <w:noWrap/>
          </w:tcPr>
          <w:p w14:paraId="600505C2" w14:textId="77777777" w:rsidR="0083766A" w:rsidRPr="00BA6B2B" w:rsidRDefault="005D22A7" w:rsidP="005849E4">
            <w:pPr>
              <w:jc w:val="center"/>
              <w:rPr>
                <w:b/>
                <w:color w:val="FFFFFF" w:themeColor="background1"/>
                <w:sz w:val="20"/>
                <w:szCs w:val="20"/>
                <w:lang w:eastAsia="en-GB"/>
              </w:rPr>
            </w:pPr>
            <w:r w:rsidRPr="00BA6B2B">
              <w:rPr>
                <w:b/>
                <w:color w:val="FFFFFF" w:themeColor="background1"/>
                <w:sz w:val="20"/>
                <w:szCs w:val="20"/>
                <w:lang w:eastAsia="en-GB"/>
              </w:rPr>
              <w:t>Functional h</w:t>
            </w:r>
            <w:r w:rsidR="0083766A" w:rsidRPr="00BA6B2B">
              <w:rPr>
                <w:b/>
                <w:color w:val="FFFFFF" w:themeColor="background1"/>
                <w:sz w:val="20"/>
                <w:szCs w:val="20"/>
                <w:lang w:eastAsia="en-GB"/>
              </w:rPr>
              <w:t>ead</w:t>
            </w:r>
          </w:p>
        </w:tc>
        <w:tc>
          <w:tcPr>
            <w:tcW w:w="596" w:type="pct"/>
            <w:shd w:val="clear" w:color="auto" w:fill="5B9BD5"/>
            <w:noWrap/>
          </w:tcPr>
          <w:p w14:paraId="3BBACCC0"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Budget</w:t>
            </w:r>
          </w:p>
        </w:tc>
        <w:tc>
          <w:tcPr>
            <w:tcW w:w="514" w:type="pct"/>
            <w:shd w:val="clear" w:color="auto" w:fill="5B9BD5"/>
            <w:noWrap/>
          </w:tcPr>
          <w:p w14:paraId="084DC376"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Actual</w:t>
            </w:r>
          </w:p>
        </w:tc>
        <w:tc>
          <w:tcPr>
            <w:tcW w:w="523" w:type="pct"/>
            <w:shd w:val="clear" w:color="auto" w:fill="5B9BD5"/>
            <w:noWrap/>
          </w:tcPr>
          <w:p w14:paraId="2A5033F3"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Budget</w:t>
            </w:r>
          </w:p>
        </w:tc>
        <w:tc>
          <w:tcPr>
            <w:tcW w:w="519" w:type="pct"/>
            <w:shd w:val="clear" w:color="auto" w:fill="5B9BD5"/>
            <w:noWrap/>
          </w:tcPr>
          <w:p w14:paraId="61E5BFF3"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Actual</w:t>
            </w:r>
          </w:p>
        </w:tc>
        <w:tc>
          <w:tcPr>
            <w:tcW w:w="551" w:type="pct"/>
            <w:shd w:val="clear" w:color="auto" w:fill="5B9BD5"/>
            <w:noWrap/>
          </w:tcPr>
          <w:p w14:paraId="4601C2D7"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Budget</w:t>
            </w:r>
          </w:p>
        </w:tc>
        <w:tc>
          <w:tcPr>
            <w:tcW w:w="512" w:type="pct"/>
            <w:shd w:val="clear" w:color="auto" w:fill="5B9BD5"/>
            <w:noWrap/>
          </w:tcPr>
          <w:p w14:paraId="4C9C8BB8"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Actual</w:t>
            </w:r>
          </w:p>
        </w:tc>
      </w:tr>
      <w:tr w:rsidR="00DD1628" w:rsidRPr="00BA6B2B" w14:paraId="744D126A" w14:textId="77777777" w:rsidTr="00BA6B2B">
        <w:trPr>
          <w:trHeight w:val="100"/>
          <w:tblHeader/>
        </w:trPr>
        <w:tc>
          <w:tcPr>
            <w:tcW w:w="1785" w:type="pct"/>
            <w:vMerge/>
            <w:shd w:val="clear" w:color="auto" w:fill="5B9BD5"/>
            <w:noWrap/>
          </w:tcPr>
          <w:p w14:paraId="68CADA35" w14:textId="77777777" w:rsidR="0083766A" w:rsidRPr="00BA6B2B" w:rsidRDefault="0083766A" w:rsidP="005849E4">
            <w:pPr>
              <w:jc w:val="center"/>
              <w:rPr>
                <w:sz w:val="20"/>
                <w:szCs w:val="20"/>
                <w:lang w:eastAsia="en-GB"/>
              </w:rPr>
            </w:pPr>
          </w:p>
        </w:tc>
        <w:tc>
          <w:tcPr>
            <w:tcW w:w="1110" w:type="pct"/>
            <w:gridSpan w:val="2"/>
            <w:shd w:val="clear" w:color="auto" w:fill="5B9BD5"/>
            <w:noWrap/>
          </w:tcPr>
          <w:p w14:paraId="492216B8"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2013/14</w:t>
            </w:r>
          </w:p>
        </w:tc>
        <w:tc>
          <w:tcPr>
            <w:tcW w:w="1042" w:type="pct"/>
            <w:gridSpan w:val="2"/>
            <w:shd w:val="clear" w:color="auto" w:fill="5B9BD5"/>
            <w:noWrap/>
          </w:tcPr>
          <w:p w14:paraId="3BCE6729"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2014/15</w:t>
            </w:r>
          </w:p>
        </w:tc>
        <w:tc>
          <w:tcPr>
            <w:tcW w:w="1063" w:type="pct"/>
            <w:gridSpan w:val="2"/>
            <w:shd w:val="clear" w:color="auto" w:fill="5B9BD5"/>
            <w:noWrap/>
          </w:tcPr>
          <w:p w14:paraId="78587352" w14:textId="77777777" w:rsidR="0083766A" w:rsidRPr="00BA6B2B" w:rsidRDefault="0083766A" w:rsidP="005849E4">
            <w:pPr>
              <w:jc w:val="center"/>
              <w:rPr>
                <w:b/>
                <w:color w:val="FFFFFF" w:themeColor="background1"/>
                <w:sz w:val="20"/>
                <w:szCs w:val="20"/>
                <w:lang w:eastAsia="en-GB"/>
              </w:rPr>
            </w:pPr>
            <w:r w:rsidRPr="00BA6B2B">
              <w:rPr>
                <w:b/>
                <w:color w:val="FFFFFF" w:themeColor="background1"/>
                <w:sz w:val="20"/>
                <w:szCs w:val="20"/>
                <w:lang w:eastAsia="en-GB"/>
              </w:rPr>
              <w:t>2015/16</w:t>
            </w:r>
          </w:p>
        </w:tc>
      </w:tr>
      <w:tr w:rsidR="00DD1628" w:rsidRPr="00BA6B2B" w14:paraId="233FEC54" w14:textId="77777777" w:rsidTr="00BA6B2B">
        <w:trPr>
          <w:trHeight w:val="117"/>
        </w:trPr>
        <w:tc>
          <w:tcPr>
            <w:tcW w:w="1785" w:type="pct"/>
            <w:shd w:val="clear" w:color="auto" w:fill="auto"/>
            <w:noWrap/>
            <w:hideMark/>
          </w:tcPr>
          <w:p w14:paraId="4BC84FA3" w14:textId="77777777" w:rsidR="0083766A" w:rsidRPr="00BA6B2B" w:rsidRDefault="0083766A" w:rsidP="00BA6B2B">
            <w:pPr>
              <w:jc w:val="left"/>
              <w:rPr>
                <w:sz w:val="20"/>
                <w:szCs w:val="20"/>
                <w:lang w:eastAsia="en-GB"/>
              </w:rPr>
            </w:pPr>
            <w:r w:rsidRPr="00BA6B2B">
              <w:rPr>
                <w:sz w:val="20"/>
                <w:szCs w:val="20"/>
                <w:lang w:eastAsia="en-GB"/>
              </w:rPr>
              <w:t>County Assembly</w:t>
            </w:r>
          </w:p>
        </w:tc>
        <w:tc>
          <w:tcPr>
            <w:tcW w:w="596" w:type="pct"/>
            <w:shd w:val="clear" w:color="auto" w:fill="auto"/>
            <w:noWrap/>
            <w:hideMark/>
          </w:tcPr>
          <w:p w14:paraId="5EA4060A" w14:textId="77777777" w:rsidR="0083766A" w:rsidRPr="00BA6B2B" w:rsidRDefault="0083766A" w:rsidP="00400265">
            <w:pPr>
              <w:jc w:val="center"/>
              <w:rPr>
                <w:sz w:val="20"/>
                <w:szCs w:val="20"/>
                <w:lang w:eastAsia="en-GB"/>
              </w:rPr>
            </w:pPr>
            <w:r w:rsidRPr="00BA6B2B">
              <w:rPr>
                <w:sz w:val="20"/>
                <w:szCs w:val="20"/>
                <w:lang w:eastAsia="en-GB"/>
              </w:rPr>
              <w:t>670</w:t>
            </w:r>
          </w:p>
        </w:tc>
        <w:tc>
          <w:tcPr>
            <w:tcW w:w="514" w:type="pct"/>
            <w:shd w:val="clear" w:color="auto" w:fill="auto"/>
            <w:noWrap/>
            <w:hideMark/>
          </w:tcPr>
          <w:p w14:paraId="5588A811" w14:textId="77777777" w:rsidR="0083766A" w:rsidRPr="00BA6B2B" w:rsidRDefault="0083766A" w:rsidP="00400265">
            <w:pPr>
              <w:jc w:val="center"/>
              <w:rPr>
                <w:sz w:val="20"/>
                <w:szCs w:val="20"/>
                <w:lang w:eastAsia="en-GB"/>
              </w:rPr>
            </w:pPr>
            <w:r w:rsidRPr="00BA6B2B">
              <w:rPr>
                <w:sz w:val="20"/>
                <w:szCs w:val="20"/>
                <w:lang w:eastAsia="en-GB"/>
              </w:rPr>
              <w:t>519</w:t>
            </w:r>
          </w:p>
        </w:tc>
        <w:tc>
          <w:tcPr>
            <w:tcW w:w="523" w:type="pct"/>
            <w:shd w:val="clear" w:color="auto" w:fill="auto"/>
            <w:noWrap/>
            <w:hideMark/>
          </w:tcPr>
          <w:p w14:paraId="76A4665E" w14:textId="77777777" w:rsidR="0083766A" w:rsidRPr="00BA6B2B" w:rsidRDefault="0083766A" w:rsidP="00400265">
            <w:pPr>
              <w:jc w:val="center"/>
              <w:rPr>
                <w:sz w:val="20"/>
                <w:szCs w:val="20"/>
                <w:lang w:eastAsia="en-GB"/>
              </w:rPr>
            </w:pPr>
            <w:r w:rsidRPr="00BA6B2B">
              <w:rPr>
                <w:sz w:val="20"/>
                <w:szCs w:val="20"/>
                <w:lang w:eastAsia="en-GB"/>
              </w:rPr>
              <w:t>763</w:t>
            </w:r>
          </w:p>
        </w:tc>
        <w:tc>
          <w:tcPr>
            <w:tcW w:w="519" w:type="pct"/>
            <w:shd w:val="clear" w:color="auto" w:fill="auto"/>
            <w:noWrap/>
            <w:hideMark/>
          </w:tcPr>
          <w:p w14:paraId="1BF82E52" w14:textId="77777777" w:rsidR="0083766A" w:rsidRPr="00BA6B2B" w:rsidRDefault="0083766A" w:rsidP="00400265">
            <w:pPr>
              <w:jc w:val="center"/>
              <w:rPr>
                <w:sz w:val="20"/>
                <w:szCs w:val="20"/>
                <w:lang w:eastAsia="en-GB"/>
              </w:rPr>
            </w:pPr>
            <w:r w:rsidRPr="00BA6B2B">
              <w:rPr>
                <w:sz w:val="20"/>
                <w:szCs w:val="20"/>
                <w:lang w:eastAsia="en-GB"/>
              </w:rPr>
              <w:t>653</w:t>
            </w:r>
          </w:p>
        </w:tc>
        <w:tc>
          <w:tcPr>
            <w:tcW w:w="551" w:type="pct"/>
            <w:shd w:val="clear" w:color="auto" w:fill="auto"/>
            <w:noWrap/>
            <w:hideMark/>
          </w:tcPr>
          <w:p w14:paraId="1B15B12B" w14:textId="77777777" w:rsidR="0083766A" w:rsidRPr="00BA6B2B" w:rsidRDefault="0083766A" w:rsidP="00400265">
            <w:pPr>
              <w:jc w:val="center"/>
              <w:rPr>
                <w:sz w:val="20"/>
                <w:szCs w:val="20"/>
                <w:lang w:eastAsia="en-GB"/>
              </w:rPr>
            </w:pPr>
            <w:r w:rsidRPr="00BA6B2B">
              <w:rPr>
                <w:sz w:val="20"/>
                <w:szCs w:val="20"/>
                <w:lang w:eastAsia="en-GB"/>
              </w:rPr>
              <w:t>638</w:t>
            </w:r>
          </w:p>
        </w:tc>
        <w:tc>
          <w:tcPr>
            <w:tcW w:w="512" w:type="pct"/>
            <w:shd w:val="clear" w:color="auto" w:fill="auto"/>
            <w:noWrap/>
            <w:hideMark/>
          </w:tcPr>
          <w:p w14:paraId="2A3A8CFF" w14:textId="77777777" w:rsidR="0083766A" w:rsidRPr="00BA6B2B" w:rsidRDefault="0083766A" w:rsidP="00400265">
            <w:pPr>
              <w:jc w:val="center"/>
              <w:rPr>
                <w:sz w:val="20"/>
                <w:szCs w:val="20"/>
                <w:lang w:eastAsia="en-GB"/>
              </w:rPr>
            </w:pPr>
            <w:r w:rsidRPr="00BA6B2B">
              <w:rPr>
                <w:sz w:val="20"/>
                <w:szCs w:val="20"/>
                <w:lang w:eastAsia="en-GB"/>
              </w:rPr>
              <w:t>363</w:t>
            </w:r>
          </w:p>
        </w:tc>
      </w:tr>
      <w:tr w:rsidR="00DD1628" w:rsidRPr="00BA6B2B" w14:paraId="5475A18E" w14:textId="77777777" w:rsidTr="00BA6B2B">
        <w:trPr>
          <w:trHeight w:val="201"/>
        </w:trPr>
        <w:tc>
          <w:tcPr>
            <w:tcW w:w="1785" w:type="pct"/>
            <w:shd w:val="clear" w:color="auto" w:fill="auto"/>
            <w:noWrap/>
            <w:hideMark/>
          </w:tcPr>
          <w:p w14:paraId="665A1640" w14:textId="77777777" w:rsidR="0083766A" w:rsidRPr="00BA6B2B" w:rsidRDefault="0083766A" w:rsidP="00BA6B2B">
            <w:pPr>
              <w:jc w:val="left"/>
              <w:rPr>
                <w:sz w:val="20"/>
                <w:szCs w:val="20"/>
                <w:lang w:eastAsia="en-GB"/>
              </w:rPr>
            </w:pPr>
            <w:r w:rsidRPr="00BA6B2B">
              <w:rPr>
                <w:sz w:val="20"/>
                <w:szCs w:val="20"/>
                <w:lang w:eastAsia="en-GB"/>
              </w:rPr>
              <w:t>County Executive</w:t>
            </w:r>
          </w:p>
        </w:tc>
        <w:tc>
          <w:tcPr>
            <w:tcW w:w="596" w:type="pct"/>
            <w:shd w:val="clear" w:color="auto" w:fill="auto"/>
            <w:noWrap/>
            <w:hideMark/>
          </w:tcPr>
          <w:p w14:paraId="291476E2" w14:textId="77777777" w:rsidR="0083766A" w:rsidRPr="00BA6B2B" w:rsidRDefault="0083766A" w:rsidP="00400265">
            <w:pPr>
              <w:jc w:val="center"/>
              <w:rPr>
                <w:sz w:val="20"/>
                <w:szCs w:val="20"/>
                <w:lang w:eastAsia="en-GB"/>
              </w:rPr>
            </w:pPr>
            <w:r w:rsidRPr="00BA6B2B">
              <w:rPr>
                <w:sz w:val="20"/>
                <w:szCs w:val="20"/>
                <w:lang w:eastAsia="en-GB"/>
              </w:rPr>
              <w:t>193</w:t>
            </w:r>
          </w:p>
        </w:tc>
        <w:tc>
          <w:tcPr>
            <w:tcW w:w="514" w:type="pct"/>
            <w:shd w:val="clear" w:color="auto" w:fill="auto"/>
            <w:noWrap/>
            <w:hideMark/>
          </w:tcPr>
          <w:p w14:paraId="11218995" w14:textId="77777777" w:rsidR="0083766A" w:rsidRPr="00BA6B2B" w:rsidRDefault="0083766A" w:rsidP="00400265">
            <w:pPr>
              <w:jc w:val="center"/>
              <w:rPr>
                <w:sz w:val="20"/>
                <w:szCs w:val="20"/>
                <w:lang w:eastAsia="en-GB"/>
              </w:rPr>
            </w:pPr>
            <w:r w:rsidRPr="00BA6B2B">
              <w:rPr>
                <w:sz w:val="20"/>
                <w:szCs w:val="20"/>
                <w:lang w:eastAsia="en-GB"/>
              </w:rPr>
              <w:t>187</w:t>
            </w:r>
          </w:p>
        </w:tc>
        <w:tc>
          <w:tcPr>
            <w:tcW w:w="523" w:type="pct"/>
            <w:shd w:val="clear" w:color="auto" w:fill="auto"/>
            <w:noWrap/>
            <w:hideMark/>
          </w:tcPr>
          <w:p w14:paraId="4EA7C590" w14:textId="4035996C" w:rsidR="0083766A" w:rsidRPr="00BA6B2B" w:rsidRDefault="0083766A" w:rsidP="00400265">
            <w:pPr>
              <w:jc w:val="center"/>
              <w:rPr>
                <w:sz w:val="20"/>
                <w:szCs w:val="20"/>
                <w:lang w:eastAsia="en-GB"/>
              </w:rPr>
            </w:pPr>
            <w:r w:rsidRPr="00BA6B2B">
              <w:rPr>
                <w:sz w:val="20"/>
                <w:szCs w:val="20"/>
                <w:lang w:eastAsia="en-GB"/>
              </w:rPr>
              <w:t>1</w:t>
            </w:r>
            <w:r w:rsidR="00953C6A">
              <w:rPr>
                <w:sz w:val="20"/>
                <w:szCs w:val="20"/>
                <w:lang w:eastAsia="en-GB"/>
              </w:rPr>
              <w:t>,</w:t>
            </w:r>
            <w:r w:rsidRPr="00BA6B2B">
              <w:rPr>
                <w:sz w:val="20"/>
                <w:szCs w:val="20"/>
                <w:lang w:eastAsia="en-GB"/>
              </w:rPr>
              <w:t>660</w:t>
            </w:r>
          </w:p>
        </w:tc>
        <w:tc>
          <w:tcPr>
            <w:tcW w:w="519" w:type="pct"/>
            <w:shd w:val="clear" w:color="auto" w:fill="auto"/>
            <w:noWrap/>
            <w:hideMark/>
          </w:tcPr>
          <w:p w14:paraId="1552F424" w14:textId="634BA75D" w:rsidR="0083766A" w:rsidRPr="00BA6B2B" w:rsidRDefault="0083766A" w:rsidP="00400265">
            <w:pPr>
              <w:jc w:val="center"/>
              <w:rPr>
                <w:sz w:val="20"/>
                <w:szCs w:val="20"/>
                <w:lang w:eastAsia="en-GB"/>
              </w:rPr>
            </w:pPr>
            <w:r w:rsidRPr="00BA6B2B">
              <w:rPr>
                <w:sz w:val="20"/>
                <w:szCs w:val="20"/>
                <w:lang w:eastAsia="en-GB"/>
              </w:rPr>
              <w:t>1</w:t>
            </w:r>
            <w:r w:rsidR="00953C6A">
              <w:rPr>
                <w:sz w:val="20"/>
                <w:szCs w:val="20"/>
                <w:lang w:eastAsia="en-GB"/>
              </w:rPr>
              <w:t>,</w:t>
            </w:r>
            <w:r w:rsidRPr="00BA6B2B">
              <w:rPr>
                <w:sz w:val="20"/>
                <w:szCs w:val="20"/>
                <w:lang w:eastAsia="en-GB"/>
              </w:rPr>
              <w:t>516</w:t>
            </w:r>
          </w:p>
        </w:tc>
        <w:tc>
          <w:tcPr>
            <w:tcW w:w="551" w:type="pct"/>
            <w:shd w:val="clear" w:color="auto" w:fill="auto"/>
            <w:noWrap/>
            <w:hideMark/>
          </w:tcPr>
          <w:p w14:paraId="2A6CBFDA" w14:textId="77777777" w:rsidR="0083766A" w:rsidRPr="00BA6B2B" w:rsidRDefault="0083766A" w:rsidP="00400265">
            <w:pPr>
              <w:jc w:val="center"/>
              <w:rPr>
                <w:sz w:val="20"/>
                <w:szCs w:val="20"/>
                <w:lang w:eastAsia="en-GB"/>
              </w:rPr>
            </w:pPr>
            <w:r w:rsidRPr="00BA6B2B">
              <w:rPr>
                <w:sz w:val="20"/>
                <w:szCs w:val="20"/>
                <w:lang w:eastAsia="en-GB"/>
              </w:rPr>
              <w:t>740</w:t>
            </w:r>
          </w:p>
        </w:tc>
        <w:tc>
          <w:tcPr>
            <w:tcW w:w="512" w:type="pct"/>
            <w:shd w:val="clear" w:color="auto" w:fill="auto"/>
            <w:noWrap/>
            <w:hideMark/>
          </w:tcPr>
          <w:p w14:paraId="2908DF92" w14:textId="77777777" w:rsidR="0083766A" w:rsidRPr="00BA6B2B" w:rsidRDefault="0083766A" w:rsidP="00400265">
            <w:pPr>
              <w:jc w:val="center"/>
              <w:rPr>
                <w:sz w:val="20"/>
                <w:szCs w:val="20"/>
                <w:lang w:eastAsia="en-GB"/>
              </w:rPr>
            </w:pPr>
            <w:r w:rsidRPr="00BA6B2B">
              <w:rPr>
                <w:sz w:val="20"/>
                <w:szCs w:val="20"/>
                <w:lang w:eastAsia="en-GB"/>
              </w:rPr>
              <w:t>642</w:t>
            </w:r>
          </w:p>
        </w:tc>
      </w:tr>
      <w:tr w:rsidR="00DD1628" w:rsidRPr="00BA6B2B" w14:paraId="2D5AB75A" w14:textId="77777777" w:rsidTr="00BA6B2B">
        <w:trPr>
          <w:trHeight w:val="125"/>
        </w:trPr>
        <w:tc>
          <w:tcPr>
            <w:tcW w:w="1785" w:type="pct"/>
            <w:shd w:val="clear" w:color="auto" w:fill="auto"/>
            <w:noWrap/>
            <w:hideMark/>
          </w:tcPr>
          <w:p w14:paraId="3FC3A34C" w14:textId="77777777" w:rsidR="0083766A" w:rsidRPr="00BA6B2B" w:rsidRDefault="0083766A" w:rsidP="00BA6B2B">
            <w:pPr>
              <w:jc w:val="left"/>
              <w:rPr>
                <w:sz w:val="20"/>
                <w:szCs w:val="20"/>
                <w:lang w:eastAsia="en-GB"/>
              </w:rPr>
            </w:pPr>
            <w:r w:rsidRPr="00BA6B2B">
              <w:rPr>
                <w:sz w:val="20"/>
                <w:szCs w:val="20"/>
                <w:lang w:eastAsia="en-GB"/>
              </w:rPr>
              <w:t>Finance and Economic Planning</w:t>
            </w:r>
          </w:p>
        </w:tc>
        <w:tc>
          <w:tcPr>
            <w:tcW w:w="596" w:type="pct"/>
            <w:shd w:val="clear" w:color="auto" w:fill="auto"/>
            <w:noWrap/>
            <w:hideMark/>
          </w:tcPr>
          <w:p w14:paraId="4F5C64DD" w14:textId="77777777" w:rsidR="0083766A" w:rsidRPr="00BA6B2B" w:rsidRDefault="0083766A" w:rsidP="00400265">
            <w:pPr>
              <w:jc w:val="center"/>
              <w:rPr>
                <w:sz w:val="20"/>
                <w:szCs w:val="20"/>
                <w:lang w:eastAsia="en-GB"/>
              </w:rPr>
            </w:pPr>
            <w:r w:rsidRPr="00BA6B2B">
              <w:rPr>
                <w:sz w:val="20"/>
                <w:szCs w:val="20"/>
                <w:lang w:eastAsia="en-GB"/>
              </w:rPr>
              <w:t>845</w:t>
            </w:r>
          </w:p>
        </w:tc>
        <w:tc>
          <w:tcPr>
            <w:tcW w:w="514" w:type="pct"/>
            <w:shd w:val="clear" w:color="auto" w:fill="auto"/>
            <w:noWrap/>
            <w:hideMark/>
          </w:tcPr>
          <w:p w14:paraId="26964C5A" w14:textId="77777777" w:rsidR="0083766A" w:rsidRPr="00BA6B2B" w:rsidRDefault="0083766A" w:rsidP="00400265">
            <w:pPr>
              <w:jc w:val="center"/>
              <w:rPr>
                <w:sz w:val="20"/>
                <w:szCs w:val="20"/>
                <w:lang w:eastAsia="en-GB"/>
              </w:rPr>
            </w:pPr>
            <w:r w:rsidRPr="00BA6B2B">
              <w:rPr>
                <w:sz w:val="20"/>
                <w:szCs w:val="20"/>
                <w:lang w:eastAsia="en-GB"/>
              </w:rPr>
              <w:t>842</w:t>
            </w:r>
          </w:p>
        </w:tc>
        <w:tc>
          <w:tcPr>
            <w:tcW w:w="523" w:type="pct"/>
            <w:shd w:val="clear" w:color="auto" w:fill="auto"/>
            <w:noWrap/>
            <w:hideMark/>
          </w:tcPr>
          <w:p w14:paraId="6EFBD8E8" w14:textId="77777777" w:rsidR="0083766A" w:rsidRPr="00BA6B2B" w:rsidRDefault="0083766A" w:rsidP="00400265">
            <w:pPr>
              <w:jc w:val="center"/>
              <w:rPr>
                <w:sz w:val="20"/>
                <w:szCs w:val="20"/>
                <w:lang w:eastAsia="en-GB"/>
              </w:rPr>
            </w:pPr>
            <w:r w:rsidRPr="00BA6B2B">
              <w:rPr>
                <w:sz w:val="20"/>
                <w:szCs w:val="20"/>
                <w:lang w:eastAsia="en-GB"/>
              </w:rPr>
              <w:t>711</w:t>
            </w:r>
          </w:p>
        </w:tc>
        <w:tc>
          <w:tcPr>
            <w:tcW w:w="519" w:type="pct"/>
            <w:shd w:val="clear" w:color="auto" w:fill="auto"/>
            <w:noWrap/>
            <w:hideMark/>
          </w:tcPr>
          <w:p w14:paraId="4EBD2FAC" w14:textId="77777777" w:rsidR="0083766A" w:rsidRPr="00BA6B2B" w:rsidRDefault="0083766A" w:rsidP="00400265">
            <w:pPr>
              <w:jc w:val="center"/>
              <w:rPr>
                <w:sz w:val="20"/>
                <w:szCs w:val="20"/>
                <w:lang w:eastAsia="en-GB"/>
              </w:rPr>
            </w:pPr>
            <w:r w:rsidRPr="00BA6B2B">
              <w:rPr>
                <w:sz w:val="20"/>
                <w:szCs w:val="20"/>
                <w:lang w:eastAsia="en-GB"/>
              </w:rPr>
              <w:t>300</w:t>
            </w:r>
          </w:p>
        </w:tc>
        <w:tc>
          <w:tcPr>
            <w:tcW w:w="551" w:type="pct"/>
            <w:shd w:val="clear" w:color="auto" w:fill="auto"/>
            <w:noWrap/>
            <w:hideMark/>
          </w:tcPr>
          <w:p w14:paraId="4ADAA8D5" w14:textId="77777777" w:rsidR="0083766A" w:rsidRPr="00BA6B2B" w:rsidRDefault="0083766A" w:rsidP="00400265">
            <w:pPr>
              <w:jc w:val="center"/>
              <w:rPr>
                <w:sz w:val="20"/>
                <w:szCs w:val="20"/>
                <w:lang w:eastAsia="en-GB"/>
              </w:rPr>
            </w:pPr>
            <w:r w:rsidRPr="00BA6B2B">
              <w:rPr>
                <w:sz w:val="20"/>
                <w:szCs w:val="20"/>
                <w:lang w:eastAsia="en-GB"/>
              </w:rPr>
              <w:t>444</w:t>
            </w:r>
          </w:p>
        </w:tc>
        <w:tc>
          <w:tcPr>
            <w:tcW w:w="512" w:type="pct"/>
            <w:shd w:val="clear" w:color="auto" w:fill="auto"/>
            <w:noWrap/>
            <w:hideMark/>
          </w:tcPr>
          <w:p w14:paraId="418BDAEE" w14:textId="77777777" w:rsidR="0083766A" w:rsidRPr="00BA6B2B" w:rsidRDefault="0083766A" w:rsidP="00400265">
            <w:pPr>
              <w:jc w:val="center"/>
              <w:rPr>
                <w:sz w:val="20"/>
                <w:szCs w:val="20"/>
                <w:lang w:eastAsia="en-GB"/>
              </w:rPr>
            </w:pPr>
            <w:r w:rsidRPr="00BA6B2B">
              <w:rPr>
                <w:sz w:val="20"/>
                <w:szCs w:val="20"/>
                <w:lang w:eastAsia="en-GB"/>
              </w:rPr>
              <w:t>466</w:t>
            </w:r>
          </w:p>
        </w:tc>
      </w:tr>
      <w:tr w:rsidR="00DD1628" w:rsidRPr="00BA6B2B" w14:paraId="1403A2C3" w14:textId="77777777" w:rsidTr="00BA6B2B">
        <w:trPr>
          <w:trHeight w:val="53"/>
        </w:trPr>
        <w:tc>
          <w:tcPr>
            <w:tcW w:w="1785" w:type="pct"/>
            <w:shd w:val="clear" w:color="auto" w:fill="auto"/>
            <w:noWrap/>
            <w:hideMark/>
          </w:tcPr>
          <w:p w14:paraId="0C38B7D6" w14:textId="77777777" w:rsidR="0083766A" w:rsidRPr="00BA6B2B" w:rsidRDefault="0083766A" w:rsidP="00BA6B2B">
            <w:pPr>
              <w:jc w:val="left"/>
              <w:rPr>
                <w:sz w:val="20"/>
                <w:szCs w:val="20"/>
                <w:lang w:eastAsia="en-GB"/>
              </w:rPr>
            </w:pPr>
            <w:r w:rsidRPr="00BA6B2B">
              <w:rPr>
                <w:sz w:val="20"/>
                <w:szCs w:val="20"/>
                <w:lang w:eastAsia="en-GB"/>
              </w:rPr>
              <w:t>Agriculture</w:t>
            </w:r>
          </w:p>
        </w:tc>
        <w:tc>
          <w:tcPr>
            <w:tcW w:w="596" w:type="pct"/>
            <w:shd w:val="clear" w:color="auto" w:fill="auto"/>
            <w:noWrap/>
            <w:hideMark/>
          </w:tcPr>
          <w:p w14:paraId="76F152CC" w14:textId="77777777" w:rsidR="0083766A" w:rsidRPr="00BA6B2B" w:rsidRDefault="0083766A" w:rsidP="00400265">
            <w:pPr>
              <w:jc w:val="center"/>
              <w:rPr>
                <w:sz w:val="20"/>
                <w:szCs w:val="20"/>
                <w:lang w:eastAsia="en-GB"/>
              </w:rPr>
            </w:pPr>
            <w:r w:rsidRPr="00BA6B2B">
              <w:rPr>
                <w:sz w:val="20"/>
                <w:szCs w:val="20"/>
                <w:lang w:eastAsia="en-GB"/>
              </w:rPr>
              <w:t>61</w:t>
            </w:r>
          </w:p>
        </w:tc>
        <w:tc>
          <w:tcPr>
            <w:tcW w:w="514" w:type="pct"/>
            <w:shd w:val="clear" w:color="auto" w:fill="auto"/>
            <w:noWrap/>
            <w:hideMark/>
          </w:tcPr>
          <w:p w14:paraId="230255F2" w14:textId="77777777" w:rsidR="0083766A" w:rsidRPr="00BA6B2B" w:rsidRDefault="0083766A" w:rsidP="00400265">
            <w:pPr>
              <w:jc w:val="center"/>
              <w:rPr>
                <w:sz w:val="20"/>
                <w:szCs w:val="20"/>
                <w:lang w:eastAsia="en-GB"/>
              </w:rPr>
            </w:pPr>
            <w:r w:rsidRPr="00BA6B2B">
              <w:rPr>
                <w:sz w:val="20"/>
                <w:szCs w:val="20"/>
                <w:lang w:eastAsia="en-GB"/>
              </w:rPr>
              <w:t>56</w:t>
            </w:r>
          </w:p>
        </w:tc>
        <w:tc>
          <w:tcPr>
            <w:tcW w:w="523" w:type="pct"/>
            <w:shd w:val="clear" w:color="auto" w:fill="auto"/>
            <w:noWrap/>
            <w:hideMark/>
          </w:tcPr>
          <w:p w14:paraId="2BA7E5E1" w14:textId="77777777" w:rsidR="0083766A" w:rsidRPr="00BA6B2B" w:rsidRDefault="0083766A" w:rsidP="00400265">
            <w:pPr>
              <w:jc w:val="center"/>
              <w:rPr>
                <w:sz w:val="20"/>
                <w:szCs w:val="20"/>
                <w:lang w:eastAsia="en-GB"/>
              </w:rPr>
            </w:pPr>
            <w:r w:rsidRPr="00BA6B2B">
              <w:rPr>
                <w:sz w:val="20"/>
                <w:szCs w:val="20"/>
                <w:lang w:eastAsia="en-GB"/>
              </w:rPr>
              <w:t>163</w:t>
            </w:r>
          </w:p>
        </w:tc>
        <w:tc>
          <w:tcPr>
            <w:tcW w:w="519" w:type="pct"/>
            <w:shd w:val="clear" w:color="auto" w:fill="auto"/>
            <w:noWrap/>
            <w:hideMark/>
          </w:tcPr>
          <w:p w14:paraId="632AAEB8" w14:textId="77777777" w:rsidR="0083766A" w:rsidRPr="00BA6B2B" w:rsidRDefault="0083766A" w:rsidP="00400265">
            <w:pPr>
              <w:jc w:val="center"/>
              <w:rPr>
                <w:sz w:val="20"/>
                <w:szCs w:val="20"/>
                <w:lang w:eastAsia="en-GB"/>
              </w:rPr>
            </w:pPr>
            <w:r w:rsidRPr="00BA6B2B">
              <w:rPr>
                <w:sz w:val="20"/>
                <w:szCs w:val="20"/>
                <w:lang w:eastAsia="en-GB"/>
              </w:rPr>
              <w:t>180</w:t>
            </w:r>
          </w:p>
        </w:tc>
        <w:tc>
          <w:tcPr>
            <w:tcW w:w="551" w:type="pct"/>
            <w:shd w:val="clear" w:color="auto" w:fill="auto"/>
            <w:noWrap/>
            <w:hideMark/>
          </w:tcPr>
          <w:p w14:paraId="777DBBB5" w14:textId="77777777" w:rsidR="0083766A" w:rsidRPr="00BA6B2B" w:rsidRDefault="0083766A" w:rsidP="00400265">
            <w:pPr>
              <w:jc w:val="center"/>
              <w:rPr>
                <w:sz w:val="20"/>
                <w:szCs w:val="20"/>
                <w:lang w:eastAsia="en-GB"/>
              </w:rPr>
            </w:pPr>
            <w:r w:rsidRPr="00BA6B2B">
              <w:rPr>
                <w:sz w:val="20"/>
                <w:szCs w:val="20"/>
                <w:lang w:eastAsia="en-GB"/>
              </w:rPr>
              <w:t>278</w:t>
            </w:r>
          </w:p>
        </w:tc>
        <w:tc>
          <w:tcPr>
            <w:tcW w:w="512" w:type="pct"/>
            <w:shd w:val="clear" w:color="auto" w:fill="auto"/>
            <w:noWrap/>
            <w:hideMark/>
          </w:tcPr>
          <w:p w14:paraId="2D96FA0D" w14:textId="77777777" w:rsidR="0083766A" w:rsidRPr="00BA6B2B" w:rsidRDefault="0083766A" w:rsidP="00400265">
            <w:pPr>
              <w:jc w:val="center"/>
              <w:rPr>
                <w:sz w:val="20"/>
                <w:szCs w:val="20"/>
                <w:lang w:eastAsia="en-GB"/>
              </w:rPr>
            </w:pPr>
            <w:r w:rsidRPr="00BA6B2B">
              <w:rPr>
                <w:sz w:val="20"/>
                <w:szCs w:val="20"/>
                <w:lang w:eastAsia="en-GB"/>
              </w:rPr>
              <w:t>226</w:t>
            </w:r>
          </w:p>
        </w:tc>
      </w:tr>
      <w:tr w:rsidR="00DD1628" w:rsidRPr="00BA6B2B" w14:paraId="530A1572" w14:textId="77777777" w:rsidTr="00BA6B2B">
        <w:trPr>
          <w:trHeight w:val="133"/>
        </w:trPr>
        <w:tc>
          <w:tcPr>
            <w:tcW w:w="1785" w:type="pct"/>
            <w:shd w:val="clear" w:color="auto" w:fill="auto"/>
            <w:noWrap/>
            <w:hideMark/>
          </w:tcPr>
          <w:p w14:paraId="6A87C4BD" w14:textId="77777777" w:rsidR="0083766A" w:rsidRPr="00BA6B2B" w:rsidRDefault="0083766A" w:rsidP="00BA6B2B">
            <w:pPr>
              <w:jc w:val="left"/>
              <w:rPr>
                <w:sz w:val="20"/>
                <w:szCs w:val="20"/>
                <w:lang w:eastAsia="en-GB"/>
              </w:rPr>
            </w:pPr>
            <w:r w:rsidRPr="00BA6B2B">
              <w:rPr>
                <w:sz w:val="20"/>
                <w:szCs w:val="20"/>
                <w:lang w:eastAsia="en-GB"/>
              </w:rPr>
              <w:t>Environment and Natural Resources</w:t>
            </w:r>
          </w:p>
        </w:tc>
        <w:tc>
          <w:tcPr>
            <w:tcW w:w="596" w:type="pct"/>
            <w:shd w:val="clear" w:color="auto" w:fill="auto"/>
            <w:noWrap/>
            <w:hideMark/>
          </w:tcPr>
          <w:p w14:paraId="759385CF" w14:textId="77777777" w:rsidR="0083766A" w:rsidRPr="00BA6B2B" w:rsidRDefault="0083766A" w:rsidP="00400265">
            <w:pPr>
              <w:jc w:val="center"/>
              <w:rPr>
                <w:sz w:val="20"/>
                <w:szCs w:val="20"/>
                <w:lang w:eastAsia="en-GB"/>
              </w:rPr>
            </w:pPr>
            <w:r w:rsidRPr="00BA6B2B">
              <w:rPr>
                <w:sz w:val="20"/>
                <w:szCs w:val="20"/>
                <w:lang w:eastAsia="en-GB"/>
              </w:rPr>
              <w:t>37</w:t>
            </w:r>
          </w:p>
        </w:tc>
        <w:tc>
          <w:tcPr>
            <w:tcW w:w="514" w:type="pct"/>
            <w:shd w:val="clear" w:color="auto" w:fill="auto"/>
            <w:noWrap/>
            <w:hideMark/>
          </w:tcPr>
          <w:p w14:paraId="37815FC5" w14:textId="77777777" w:rsidR="0083766A" w:rsidRPr="00BA6B2B" w:rsidRDefault="0083766A" w:rsidP="00400265">
            <w:pPr>
              <w:jc w:val="center"/>
              <w:rPr>
                <w:sz w:val="20"/>
                <w:szCs w:val="20"/>
                <w:lang w:eastAsia="en-GB"/>
              </w:rPr>
            </w:pPr>
            <w:r w:rsidRPr="00BA6B2B">
              <w:rPr>
                <w:sz w:val="20"/>
                <w:szCs w:val="20"/>
                <w:lang w:eastAsia="en-GB"/>
              </w:rPr>
              <w:t>36</w:t>
            </w:r>
          </w:p>
        </w:tc>
        <w:tc>
          <w:tcPr>
            <w:tcW w:w="523" w:type="pct"/>
            <w:shd w:val="clear" w:color="auto" w:fill="auto"/>
            <w:noWrap/>
            <w:hideMark/>
          </w:tcPr>
          <w:p w14:paraId="7943CEEC" w14:textId="77777777" w:rsidR="0083766A" w:rsidRPr="00BA6B2B" w:rsidRDefault="0083766A" w:rsidP="00400265">
            <w:pPr>
              <w:jc w:val="center"/>
              <w:rPr>
                <w:sz w:val="20"/>
                <w:szCs w:val="20"/>
                <w:lang w:eastAsia="en-GB"/>
              </w:rPr>
            </w:pPr>
            <w:r w:rsidRPr="00BA6B2B">
              <w:rPr>
                <w:sz w:val="20"/>
                <w:szCs w:val="20"/>
                <w:lang w:eastAsia="en-GB"/>
              </w:rPr>
              <w:t>110</w:t>
            </w:r>
          </w:p>
        </w:tc>
        <w:tc>
          <w:tcPr>
            <w:tcW w:w="519" w:type="pct"/>
            <w:shd w:val="clear" w:color="auto" w:fill="auto"/>
            <w:noWrap/>
            <w:hideMark/>
          </w:tcPr>
          <w:p w14:paraId="39662314" w14:textId="77777777" w:rsidR="0083766A" w:rsidRPr="00BA6B2B" w:rsidRDefault="0083766A" w:rsidP="00400265">
            <w:pPr>
              <w:jc w:val="center"/>
              <w:rPr>
                <w:sz w:val="20"/>
                <w:szCs w:val="20"/>
                <w:lang w:eastAsia="en-GB"/>
              </w:rPr>
            </w:pPr>
            <w:r w:rsidRPr="00BA6B2B">
              <w:rPr>
                <w:sz w:val="20"/>
                <w:szCs w:val="20"/>
                <w:lang w:eastAsia="en-GB"/>
              </w:rPr>
              <w:t>116</w:t>
            </w:r>
          </w:p>
        </w:tc>
        <w:tc>
          <w:tcPr>
            <w:tcW w:w="551" w:type="pct"/>
            <w:shd w:val="clear" w:color="auto" w:fill="auto"/>
            <w:noWrap/>
            <w:hideMark/>
          </w:tcPr>
          <w:p w14:paraId="1E5C8D1C" w14:textId="77777777" w:rsidR="0083766A" w:rsidRPr="00BA6B2B" w:rsidRDefault="0083766A" w:rsidP="00400265">
            <w:pPr>
              <w:jc w:val="center"/>
              <w:rPr>
                <w:sz w:val="20"/>
                <w:szCs w:val="20"/>
                <w:lang w:eastAsia="en-GB"/>
              </w:rPr>
            </w:pPr>
            <w:r w:rsidRPr="00BA6B2B">
              <w:rPr>
                <w:sz w:val="20"/>
                <w:szCs w:val="20"/>
                <w:lang w:eastAsia="en-GB"/>
              </w:rPr>
              <w:t>271</w:t>
            </w:r>
          </w:p>
        </w:tc>
        <w:tc>
          <w:tcPr>
            <w:tcW w:w="512" w:type="pct"/>
            <w:shd w:val="clear" w:color="auto" w:fill="auto"/>
            <w:noWrap/>
            <w:hideMark/>
          </w:tcPr>
          <w:p w14:paraId="5F9E32A7" w14:textId="77777777" w:rsidR="0083766A" w:rsidRPr="00BA6B2B" w:rsidRDefault="0083766A" w:rsidP="00400265">
            <w:pPr>
              <w:jc w:val="center"/>
              <w:rPr>
                <w:sz w:val="20"/>
                <w:szCs w:val="20"/>
                <w:lang w:eastAsia="en-GB"/>
              </w:rPr>
            </w:pPr>
            <w:r w:rsidRPr="00BA6B2B">
              <w:rPr>
                <w:sz w:val="20"/>
                <w:szCs w:val="20"/>
                <w:lang w:eastAsia="en-GB"/>
              </w:rPr>
              <w:t>136</w:t>
            </w:r>
          </w:p>
        </w:tc>
      </w:tr>
      <w:tr w:rsidR="00DD1628" w:rsidRPr="00BA6B2B" w14:paraId="5BF8D8C2" w14:textId="77777777" w:rsidTr="00BA6B2B">
        <w:trPr>
          <w:trHeight w:val="137"/>
        </w:trPr>
        <w:tc>
          <w:tcPr>
            <w:tcW w:w="1785" w:type="pct"/>
            <w:shd w:val="clear" w:color="auto" w:fill="auto"/>
            <w:noWrap/>
            <w:hideMark/>
          </w:tcPr>
          <w:p w14:paraId="44E59C04" w14:textId="000CAA16" w:rsidR="0083766A" w:rsidRPr="00BA6B2B" w:rsidRDefault="0083766A" w:rsidP="00BA6B2B">
            <w:pPr>
              <w:jc w:val="left"/>
              <w:rPr>
                <w:sz w:val="20"/>
                <w:szCs w:val="20"/>
                <w:lang w:eastAsia="en-GB"/>
              </w:rPr>
            </w:pPr>
            <w:r w:rsidRPr="00BA6B2B">
              <w:rPr>
                <w:sz w:val="20"/>
                <w:szCs w:val="20"/>
                <w:lang w:eastAsia="en-GB"/>
              </w:rPr>
              <w:t>Education, Youth Affairs</w:t>
            </w:r>
            <w:r w:rsidR="00953C6A">
              <w:rPr>
                <w:sz w:val="20"/>
                <w:szCs w:val="20"/>
                <w:lang w:eastAsia="en-GB"/>
              </w:rPr>
              <w:t>,</w:t>
            </w:r>
            <w:r w:rsidRPr="00BA6B2B">
              <w:rPr>
                <w:sz w:val="20"/>
                <w:szCs w:val="20"/>
                <w:lang w:eastAsia="en-GB"/>
              </w:rPr>
              <w:t xml:space="preserve"> </w:t>
            </w:r>
            <w:r w:rsidR="00953C6A">
              <w:rPr>
                <w:sz w:val="20"/>
                <w:szCs w:val="20"/>
                <w:lang w:eastAsia="en-GB"/>
              </w:rPr>
              <w:t>a</w:t>
            </w:r>
            <w:r w:rsidRPr="00BA6B2B">
              <w:rPr>
                <w:sz w:val="20"/>
                <w:szCs w:val="20"/>
                <w:lang w:eastAsia="en-GB"/>
              </w:rPr>
              <w:t>nd Social Development</w:t>
            </w:r>
          </w:p>
        </w:tc>
        <w:tc>
          <w:tcPr>
            <w:tcW w:w="596" w:type="pct"/>
            <w:shd w:val="clear" w:color="auto" w:fill="auto"/>
            <w:noWrap/>
            <w:hideMark/>
          </w:tcPr>
          <w:p w14:paraId="379F2AFB" w14:textId="77777777" w:rsidR="0083766A" w:rsidRPr="00BA6B2B" w:rsidRDefault="0083766A" w:rsidP="00400265">
            <w:pPr>
              <w:jc w:val="center"/>
              <w:rPr>
                <w:sz w:val="20"/>
                <w:szCs w:val="20"/>
                <w:lang w:eastAsia="en-GB"/>
              </w:rPr>
            </w:pPr>
            <w:r w:rsidRPr="00BA6B2B">
              <w:rPr>
                <w:sz w:val="20"/>
                <w:szCs w:val="20"/>
                <w:lang w:eastAsia="en-GB"/>
              </w:rPr>
              <w:t>79</w:t>
            </w:r>
          </w:p>
        </w:tc>
        <w:tc>
          <w:tcPr>
            <w:tcW w:w="514" w:type="pct"/>
            <w:shd w:val="clear" w:color="auto" w:fill="auto"/>
            <w:noWrap/>
            <w:hideMark/>
          </w:tcPr>
          <w:p w14:paraId="7040BDBE" w14:textId="77777777" w:rsidR="0083766A" w:rsidRPr="00BA6B2B" w:rsidRDefault="0083766A" w:rsidP="00400265">
            <w:pPr>
              <w:jc w:val="center"/>
              <w:rPr>
                <w:sz w:val="20"/>
                <w:szCs w:val="20"/>
                <w:lang w:eastAsia="en-GB"/>
              </w:rPr>
            </w:pPr>
            <w:r w:rsidRPr="00BA6B2B">
              <w:rPr>
                <w:sz w:val="20"/>
                <w:szCs w:val="20"/>
                <w:lang w:eastAsia="en-GB"/>
              </w:rPr>
              <w:t>54</w:t>
            </w:r>
          </w:p>
        </w:tc>
        <w:tc>
          <w:tcPr>
            <w:tcW w:w="523" w:type="pct"/>
            <w:shd w:val="clear" w:color="auto" w:fill="auto"/>
            <w:noWrap/>
            <w:hideMark/>
          </w:tcPr>
          <w:p w14:paraId="7EBC04B3" w14:textId="77777777" w:rsidR="0083766A" w:rsidRPr="00BA6B2B" w:rsidRDefault="0083766A" w:rsidP="00400265">
            <w:pPr>
              <w:jc w:val="center"/>
              <w:rPr>
                <w:sz w:val="20"/>
                <w:szCs w:val="20"/>
                <w:lang w:eastAsia="en-GB"/>
              </w:rPr>
            </w:pPr>
            <w:r w:rsidRPr="00BA6B2B">
              <w:rPr>
                <w:sz w:val="20"/>
                <w:szCs w:val="20"/>
                <w:lang w:eastAsia="en-GB"/>
              </w:rPr>
              <w:t>529</w:t>
            </w:r>
          </w:p>
        </w:tc>
        <w:tc>
          <w:tcPr>
            <w:tcW w:w="519" w:type="pct"/>
            <w:shd w:val="clear" w:color="auto" w:fill="auto"/>
            <w:noWrap/>
            <w:hideMark/>
          </w:tcPr>
          <w:p w14:paraId="0E0D4FC6" w14:textId="77777777" w:rsidR="0083766A" w:rsidRPr="00BA6B2B" w:rsidRDefault="0083766A" w:rsidP="00400265">
            <w:pPr>
              <w:jc w:val="center"/>
              <w:rPr>
                <w:sz w:val="20"/>
                <w:szCs w:val="20"/>
                <w:lang w:eastAsia="en-GB"/>
              </w:rPr>
            </w:pPr>
            <w:r w:rsidRPr="00BA6B2B">
              <w:rPr>
                <w:sz w:val="20"/>
                <w:szCs w:val="20"/>
                <w:lang w:eastAsia="en-GB"/>
              </w:rPr>
              <w:t>345</w:t>
            </w:r>
          </w:p>
        </w:tc>
        <w:tc>
          <w:tcPr>
            <w:tcW w:w="551" w:type="pct"/>
            <w:shd w:val="clear" w:color="auto" w:fill="auto"/>
            <w:noWrap/>
            <w:hideMark/>
          </w:tcPr>
          <w:p w14:paraId="2FBA2570" w14:textId="77777777" w:rsidR="0083766A" w:rsidRPr="00BA6B2B" w:rsidRDefault="0083766A" w:rsidP="00400265">
            <w:pPr>
              <w:jc w:val="center"/>
              <w:rPr>
                <w:sz w:val="20"/>
                <w:szCs w:val="20"/>
                <w:lang w:eastAsia="en-GB"/>
              </w:rPr>
            </w:pPr>
            <w:r w:rsidRPr="00BA6B2B">
              <w:rPr>
                <w:sz w:val="20"/>
                <w:szCs w:val="20"/>
                <w:lang w:eastAsia="en-GB"/>
              </w:rPr>
              <w:t>924</w:t>
            </w:r>
          </w:p>
        </w:tc>
        <w:tc>
          <w:tcPr>
            <w:tcW w:w="512" w:type="pct"/>
            <w:shd w:val="clear" w:color="auto" w:fill="auto"/>
            <w:noWrap/>
            <w:hideMark/>
          </w:tcPr>
          <w:p w14:paraId="133B109B" w14:textId="77777777" w:rsidR="0083766A" w:rsidRPr="00BA6B2B" w:rsidRDefault="0083766A" w:rsidP="00400265">
            <w:pPr>
              <w:jc w:val="center"/>
              <w:rPr>
                <w:sz w:val="20"/>
                <w:szCs w:val="20"/>
                <w:lang w:eastAsia="en-GB"/>
              </w:rPr>
            </w:pPr>
            <w:r w:rsidRPr="00BA6B2B">
              <w:rPr>
                <w:sz w:val="20"/>
                <w:szCs w:val="20"/>
                <w:lang w:eastAsia="en-GB"/>
              </w:rPr>
              <w:t>643</w:t>
            </w:r>
          </w:p>
        </w:tc>
      </w:tr>
      <w:tr w:rsidR="00DD1628" w:rsidRPr="00BA6B2B" w14:paraId="028BE1B4" w14:textId="77777777" w:rsidTr="00BA6B2B">
        <w:trPr>
          <w:trHeight w:val="53"/>
        </w:trPr>
        <w:tc>
          <w:tcPr>
            <w:tcW w:w="1785" w:type="pct"/>
            <w:shd w:val="clear" w:color="auto" w:fill="auto"/>
            <w:noWrap/>
            <w:hideMark/>
          </w:tcPr>
          <w:p w14:paraId="74A06B22" w14:textId="77777777" w:rsidR="0083766A" w:rsidRPr="00BA6B2B" w:rsidRDefault="0083766A" w:rsidP="00BA6B2B">
            <w:pPr>
              <w:jc w:val="left"/>
              <w:rPr>
                <w:sz w:val="20"/>
                <w:szCs w:val="20"/>
                <w:lang w:eastAsia="en-GB"/>
              </w:rPr>
            </w:pPr>
            <w:r w:rsidRPr="00BA6B2B">
              <w:rPr>
                <w:sz w:val="20"/>
                <w:szCs w:val="20"/>
                <w:lang w:eastAsia="en-GB"/>
              </w:rPr>
              <w:t>County Health Services</w:t>
            </w:r>
          </w:p>
        </w:tc>
        <w:tc>
          <w:tcPr>
            <w:tcW w:w="596" w:type="pct"/>
            <w:shd w:val="clear" w:color="auto" w:fill="auto"/>
            <w:noWrap/>
            <w:hideMark/>
          </w:tcPr>
          <w:p w14:paraId="493ADD54" w14:textId="77777777" w:rsidR="0083766A" w:rsidRPr="00BA6B2B" w:rsidRDefault="0083766A" w:rsidP="00400265">
            <w:pPr>
              <w:jc w:val="center"/>
              <w:rPr>
                <w:sz w:val="20"/>
                <w:szCs w:val="20"/>
                <w:lang w:eastAsia="en-GB"/>
              </w:rPr>
            </w:pPr>
            <w:r w:rsidRPr="00BA6B2B">
              <w:rPr>
                <w:sz w:val="20"/>
                <w:szCs w:val="20"/>
                <w:lang w:eastAsia="en-GB"/>
              </w:rPr>
              <w:t>306</w:t>
            </w:r>
          </w:p>
        </w:tc>
        <w:tc>
          <w:tcPr>
            <w:tcW w:w="514" w:type="pct"/>
            <w:shd w:val="clear" w:color="auto" w:fill="auto"/>
            <w:noWrap/>
            <w:hideMark/>
          </w:tcPr>
          <w:p w14:paraId="7249C198" w14:textId="77777777" w:rsidR="0083766A" w:rsidRPr="00BA6B2B" w:rsidRDefault="0083766A" w:rsidP="00400265">
            <w:pPr>
              <w:jc w:val="center"/>
              <w:rPr>
                <w:sz w:val="20"/>
                <w:szCs w:val="20"/>
                <w:lang w:eastAsia="en-GB"/>
              </w:rPr>
            </w:pPr>
            <w:r w:rsidRPr="00BA6B2B">
              <w:rPr>
                <w:sz w:val="20"/>
                <w:szCs w:val="20"/>
                <w:lang w:eastAsia="en-GB"/>
              </w:rPr>
              <w:t>257</w:t>
            </w:r>
          </w:p>
        </w:tc>
        <w:tc>
          <w:tcPr>
            <w:tcW w:w="523" w:type="pct"/>
            <w:shd w:val="clear" w:color="auto" w:fill="auto"/>
            <w:noWrap/>
            <w:hideMark/>
          </w:tcPr>
          <w:p w14:paraId="1294DB82" w14:textId="77777777" w:rsidR="0083766A" w:rsidRPr="00BA6B2B" w:rsidRDefault="0083766A" w:rsidP="00400265">
            <w:pPr>
              <w:jc w:val="center"/>
              <w:rPr>
                <w:sz w:val="20"/>
                <w:szCs w:val="20"/>
                <w:lang w:eastAsia="en-GB"/>
              </w:rPr>
            </w:pPr>
            <w:r w:rsidRPr="00BA6B2B">
              <w:rPr>
                <w:sz w:val="20"/>
                <w:szCs w:val="20"/>
                <w:lang w:eastAsia="en-GB"/>
              </w:rPr>
              <w:t>588</w:t>
            </w:r>
          </w:p>
        </w:tc>
        <w:tc>
          <w:tcPr>
            <w:tcW w:w="519" w:type="pct"/>
            <w:shd w:val="clear" w:color="auto" w:fill="auto"/>
            <w:noWrap/>
            <w:hideMark/>
          </w:tcPr>
          <w:p w14:paraId="73B5C44B" w14:textId="77777777" w:rsidR="0083766A" w:rsidRPr="00BA6B2B" w:rsidRDefault="0083766A" w:rsidP="00400265">
            <w:pPr>
              <w:jc w:val="center"/>
              <w:rPr>
                <w:sz w:val="20"/>
                <w:szCs w:val="20"/>
                <w:lang w:eastAsia="en-GB"/>
              </w:rPr>
            </w:pPr>
            <w:r w:rsidRPr="00BA6B2B">
              <w:rPr>
                <w:sz w:val="20"/>
                <w:szCs w:val="20"/>
                <w:lang w:eastAsia="en-GB"/>
              </w:rPr>
              <w:t>497</w:t>
            </w:r>
          </w:p>
        </w:tc>
        <w:tc>
          <w:tcPr>
            <w:tcW w:w="551" w:type="pct"/>
            <w:shd w:val="clear" w:color="auto" w:fill="auto"/>
            <w:noWrap/>
            <w:hideMark/>
          </w:tcPr>
          <w:p w14:paraId="1F3868AF" w14:textId="77777777" w:rsidR="0083766A" w:rsidRPr="00BA6B2B" w:rsidRDefault="0083766A" w:rsidP="00400265">
            <w:pPr>
              <w:jc w:val="center"/>
              <w:rPr>
                <w:sz w:val="20"/>
                <w:szCs w:val="20"/>
                <w:lang w:eastAsia="en-GB"/>
              </w:rPr>
            </w:pPr>
            <w:r w:rsidRPr="00BA6B2B">
              <w:rPr>
                <w:sz w:val="20"/>
                <w:szCs w:val="20"/>
                <w:lang w:eastAsia="en-GB"/>
              </w:rPr>
              <w:t>1521</w:t>
            </w:r>
          </w:p>
        </w:tc>
        <w:tc>
          <w:tcPr>
            <w:tcW w:w="512" w:type="pct"/>
            <w:shd w:val="clear" w:color="auto" w:fill="auto"/>
            <w:noWrap/>
            <w:hideMark/>
          </w:tcPr>
          <w:p w14:paraId="5214C9BB" w14:textId="677252F7" w:rsidR="0083766A" w:rsidRPr="00BA6B2B" w:rsidRDefault="0083766A" w:rsidP="00400265">
            <w:pPr>
              <w:jc w:val="center"/>
              <w:rPr>
                <w:sz w:val="20"/>
                <w:szCs w:val="20"/>
                <w:lang w:eastAsia="en-GB"/>
              </w:rPr>
            </w:pPr>
            <w:r w:rsidRPr="00BA6B2B">
              <w:rPr>
                <w:sz w:val="20"/>
                <w:szCs w:val="20"/>
                <w:lang w:eastAsia="en-GB"/>
              </w:rPr>
              <w:t>1</w:t>
            </w:r>
            <w:r w:rsidR="00953C6A">
              <w:rPr>
                <w:sz w:val="20"/>
                <w:szCs w:val="20"/>
                <w:lang w:eastAsia="en-GB"/>
              </w:rPr>
              <w:t>,</w:t>
            </w:r>
            <w:r w:rsidRPr="00BA6B2B">
              <w:rPr>
                <w:sz w:val="20"/>
                <w:szCs w:val="20"/>
                <w:lang w:eastAsia="en-GB"/>
              </w:rPr>
              <w:t>321</w:t>
            </w:r>
          </w:p>
        </w:tc>
      </w:tr>
      <w:tr w:rsidR="00DD1628" w:rsidRPr="00BA6B2B" w14:paraId="626EBBCD" w14:textId="77777777" w:rsidTr="00BA6B2B">
        <w:trPr>
          <w:trHeight w:val="255"/>
        </w:trPr>
        <w:tc>
          <w:tcPr>
            <w:tcW w:w="1785" w:type="pct"/>
            <w:shd w:val="clear" w:color="auto" w:fill="auto"/>
            <w:noWrap/>
            <w:hideMark/>
          </w:tcPr>
          <w:p w14:paraId="4B5E76E7" w14:textId="77777777" w:rsidR="0083766A" w:rsidRPr="00BA6B2B" w:rsidRDefault="0083766A" w:rsidP="00BA6B2B">
            <w:pPr>
              <w:jc w:val="left"/>
              <w:rPr>
                <w:sz w:val="20"/>
                <w:szCs w:val="20"/>
                <w:lang w:eastAsia="en-GB"/>
              </w:rPr>
            </w:pPr>
            <w:r w:rsidRPr="00BA6B2B">
              <w:rPr>
                <w:sz w:val="20"/>
                <w:szCs w:val="20"/>
                <w:lang w:eastAsia="en-GB"/>
              </w:rPr>
              <w:t>Water and Irrigation</w:t>
            </w:r>
          </w:p>
        </w:tc>
        <w:tc>
          <w:tcPr>
            <w:tcW w:w="596" w:type="pct"/>
            <w:shd w:val="clear" w:color="auto" w:fill="auto"/>
            <w:noWrap/>
            <w:hideMark/>
          </w:tcPr>
          <w:p w14:paraId="020464D3" w14:textId="77777777" w:rsidR="0083766A" w:rsidRPr="00BA6B2B" w:rsidRDefault="0083766A" w:rsidP="00400265">
            <w:pPr>
              <w:jc w:val="center"/>
              <w:rPr>
                <w:sz w:val="20"/>
                <w:szCs w:val="20"/>
                <w:lang w:eastAsia="en-GB"/>
              </w:rPr>
            </w:pPr>
            <w:r w:rsidRPr="00BA6B2B">
              <w:rPr>
                <w:sz w:val="20"/>
                <w:szCs w:val="20"/>
                <w:lang w:eastAsia="en-GB"/>
              </w:rPr>
              <w:t>537</w:t>
            </w:r>
          </w:p>
        </w:tc>
        <w:tc>
          <w:tcPr>
            <w:tcW w:w="514" w:type="pct"/>
            <w:shd w:val="clear" w:color="auto" w:fill="auto"/>
            <w:noWrap/>
            <w:hideMark/>
          </w:tcPr>
          <w:p w14:paraId="7D9CA227" w14:textId="77777777" w:rsidR="0083766A" w:rsidRPr="00BA6B2B" w:rsidRDefault="0083766A" w:rsidP="00400265">
            <w:pPr>
              <w:jc w:val="center"/>
              <w:rPr>
                <w:sz w:val="20"/>
                <w:szCs w:val="20"/>
                <w:lang w:eastAsia="en-GB"/>
              </w:rPr>
            </w:pPr>
            <w:r w:rsidRPr="00BA6B2B">
              <w:rPr>
                <w:sz w:val="20"/>
                <w:szCs w:val="20"/>
                <w:lang w:eastAsia="en-GB"/>
              </w:rPr>
              <w:t>309</w:t>
            </w:r>
          </w:p>
        </w:tc>
        <w:tc>
          <w:tcPr>
            <w:tcW w:w="523" w:type="pct"/>
            <w:shd w:val="clear" w:color="auto" w:fill="auto"/>
            <w:noWrap/>
            <w:hideMark/>
          </w:tcPr>
          <w:p w14:paraId="7D05B883" w14:textId="77777777" w:rsidR="0083766A" w:rsidRPr="00BA6B2B" w:rsidRDefault="0083766A" w:rsidP="00400265">
            <w:pPr>
              <w:jc w:val="center"/>
              <w:rPr>
                <w:sz w:val="20"/>
                <w:szCs w:val="20"/>
                <w:lang w:eastAsia="en-GB"/>
              </w:rPr>
            </w:pPr>
            <w:r w:rsidRPr="00BA6B2B">
              <w:rPr>
                <w:sz w:val="20"/>
                <w:szCs w:val="20"/>
                <w:lang w:eastAsia="en-GB"/>
              </w:rPr>
              <w:t>241</w:t>
            </w:r>
          </w:p>
        </w:tc>
        <w:tc>
          <w:tcPr>
            <w:tcW w:w="519" w:type="pct"/>
            <w:shd w:val="clear" w:color="auto" w:fill="auto"/>
            <w:noWrap/>
            <w:hideMark/>
          </w:tcPr>
          <w:p w14:paraId="5F848495" w14:textId="77777777" w:rsidR="0083766A" w:rsidRPr="00BA6B2B" w:rsidRDefault="0083766A" w:rsidP="00400265">
            <w:pPr>
              <w:jc w:val="center"/>
              <w:rPr>
                <w:sz w:val="20"/>
                <w:szCs w:val="20"/>
                <w:lang w:eastAsia="en-GB"/>
              </w:rPr>
            </w:pPr>
            <w:r w:rsidRPr="00BA6B2B">
              <w:rPr>
                <w:sz w:val="20"/>
                <w:szCs w:val="20"/>
                <w:lang w:eastAsia="en-GB"/>
              </w:rPr>
              <w:t>178</w:t>
            </w:r>
          </w:p>
        </w:tc>
        <w:tc>
          <w:tcPr>
            <w:tcW w:w="551" w:type="pct"/>
            <w:shd w:val="clear" w:color="auto" w:fill="auto"/>
            <w:noWrap/>
            <w:hideMark/>
          </w:tcPr>
          <w:p w14:paraId="79DF1FDE" w14:textId="77777777" w:rsidR="0083766A" w:rsidRPr="00BA6B2B" w:rsidRDefault="0083766A" w:rsidP="00400265">
            <w:pPr>
              <w:jc w:val="center"/>
              <w:rPr>
                <w:sz w:val="20"/>
                <w:szCs w:val="20"/>
                <w:lang w:eastAsia="en-GB"/>
              </w:rPr>
            </w:pPr>
            <w:r w:rsidRPr="00BA6B2B">
              <w:rPr>
                <w:sz w:val="20"/>
                <w:szCs w:val="20"/>
                <w:lang w:eastAsia="en-GB"/>
              </w:rPr>
              <w:t>452</w:t>
            </w:r>
          </w:p>
        </w:tc>
        <w:tc>
          <w:tcPr>
            <w:tcW w:w="512" w:type="pct"/>
            <w:shd w:val="clear" w:color="auto" w:fill="auto"/>
            <w:noWrap/>
            <w:hideMark/>
          </w:tcPr>
          <w:p w14:paraId="7FD67C62" w14:textId="77777777" w:rsidR="0083766A" w:rsidRPr="00BA6B2B" w:rsidRDefault="0083766A" w:rsidP="00400265">
            <w:pPr>
              <w:jc w:val="center"/>
              <w:rPr>
                <w:sz w:val="20"/>
                <w:szCs w:val="20"/>
                <w:lang w:eastAsia="en-GB"/>
              </w:rPr>
            </w:pPr>
            <w:r w:rsidRPr="00BA6B2B">
              <w:rPr>
                <w:sz w:val="20"/>
                <w:szCs w:val="20"/>
                <w:lang w:eastAsia="en-GB"/>
              </w:rPr>
              <w:t>261</w:t>
            </w:r>
          </w:p>
        </w:tc>
      </w:tr>
      <w:tr w:rsidR="00DD1628" w:rsidRPr="00BA6B2B" w14:paraId="4BD25DE7" w14:textId="77777777" w:rsidTr="00BA6B2B">
        <w:trPr>
          <w:trHeight w:val="255"/>
        </w:trPr>
        <w:tc>
          <w:tcPr>
            <w:tcW w:w="1785" w:type="pct"/>
            <w:shd w:val="clear" w:color="auto" w:fill="auto"/>
            <w:noWrap/>
            <w:hideMark/>
          </w:tcPr>
          <w:p w14:paraId="4D279F95" w14:textId="77777777" w:rsidR="0083766A" w:rsidRPr="00BA6B2B" w:rsidRDefault="0083766A" w:rsidP="00BA6B2B">
            <w:pPr>
              <w:jc w:val="left"/>
              <w:rPr>
                <w:sz w:val="20"/>
                <w:szCs w:val="20"/>
                <w:lang w:eastAsia="en-GB"/>
              </w:rPr>
            </w:pPr>
            <w:r w:rsidRPr="00BA6B2B">
              <w:rPr>
                <w:sz w:val="20"/>
                <w:szCs w:val="20"/>
                <w:lang w:eastAsia="en-GB"/>
              </w:rPr>
              <w:t xml:space="preserve">ICT and Gender </w:t>
            </w:r>
          </w:p>
        </w:tc>
        <w:tc>
          <w:tcPr>
            <w:tcW w:w="596" w:type="pct"/>
            <w:shd w:val="clear" w:color="auto" w:fill="auto"/>
            <w:noWrap/>
            <w:hideMark/>
          </w:tcPr>
          <w:p w14:paraId="0421F77E" w14:textId="77777777" w:rsidR="0083766A" w:rsidRPr="00BA6B2B" w:rsidRDefault="0083766A" w:rsidP="00400265">
            <w:pPr>
              <w:jc w:val="center"/>
              <w:rPr>
                <w:sz w:val="20"/>
                <w:szCs w:val="20"/>
                <w:lang w:eastAsia="en-GB"/>
              </w:rPr>
            </w:pPr>
          </w:p>
        </w:tc>
        <w:tc>
          <w:tcPr>
            <w:tcW w:w="514" w:type="pct"/>
            <w:shd w:val="clear" w:color="auto" w:fill="auto"/>
            <w:noWrap/>
            <w:hideMark/>
          </w:tcPr>
          <w:p w14:paraId="26204084" w14:textId="77777777" w:rsidR="0083766A" w:rsidRPr="00BA6B2B" w:rsidRDefault="0083766A" w:rsidP="00400265">
            <w:pPr>
              <w:jc w:val="center"/>
              <w:rPr>
                <w:sz w:val="20"/>
                <w:szCs w:val="20"/>
                <w:lang w:eastAsia="en-GB"/>
              </w:rPr>
            </w:pPr>
          </w:p>
        </w:tc>
        <w:tc>
          <w:tcPr>
            <w:tcW w:w="523" w:type="pct"/>
            <w:shd w:val="clear" w:color="auto" w:fill="auto"/>
            <w:noWrap/>
            <w:hideMark/>
          </w:tcPr>
          <w:p w14:paraId="3E57D415" w14:textId="77777777" w:rsidR="0083766A" w:rsidRPr="00BA6B2B" w:rsidRDefault="0083766A" w:rsidP="00400265">
            <w:pPr>
              <w:jc w:val="center"/>
              <w:rPr>
                <w:sz w:val="20"/>
                <w:szCs w:val="20"/>
                <w:lang w:eastAsia="en-GB"/>
              </w:rPr>
            </w:pPr>
            <w:r w:rsidRPr="00BA6B2B">
              <w:rPr>
                <w:sz w:val="20"/>
                <w:szCs w:val="20"/>
                <w:lang w:eastAsia="en-GB"/>
              </w:rPr>
              <w:t>113</w:t>
            </w:r>
          </w:p>
        </w:tc>
        <w:tc>
          <w:tcPr>
            <w:tcW w:w="519" w:type="pct"/>
            <w:shd w:val="clear" w:color="auto" w:fill="auto"/>
            <w:noWrap/>
            <w:hideMark/>
          </w:tcPr>
          <w:p w14:paraId="4A6FF216" w14:textId="77777777" w:rsidR="0083766A" w:rsidRPr="00BA6B2B" w:rsidRDefault="0083766A" w:rsidP="00400265">
            <w:pPr>
              <w:jc w:val="center"/>
              <w:rPr>
                <w:sz w:val="20"/>
                <w:szCs w:val="20"/>
                <w:lang w:eastAsia="en-GB"/>
              </w:rPr>
            </w:pPr>
            <w:r w:rsidRPr="00BA6B2B">
              <w:rPr>
                <w:sz w:val="20"/>
                <w:szCs w:val="20"/>
                <w:lang w:eastAsia="en-GB"/>
              </w:rPr>
              <w:t>89</w:t>
            </w:r>
          </w:p>
        </w:tc>
        <w:tc>
          <w:tcPr>
            <w:tcW w:w="551" w:type="pct"/>
            <w:shd w:val="clear" w:color="auto" w:fill="auto"/>
            <w:noWrap/>
            <w:hideMark/>
          </w:tcPr>
          <w:p w14:paraId="43A70245" w14:textId="77777777" w:rsidR="0083766A" w:rsidRPr="00BA6B2B" w:rsidRDefault="0083766A" w:rsidP="00400265">
            <w:pPr>
              <w:jc w:val="center"/>
              <w:rPr>
                <w:sz w:val="20"/>
                <w:szCs w:val="20"/>
                <w:lang w:eastAsia="en-GB"/>
              </w:rPr>
            </w:pPr>
            <w:r w:rsidRPr="00BA6B2B">
              <w:rPr>
                <w:sz w:val="20"/>
                <w:szCs w:val="20"/>
                <w:lang w:eastAsia="en-GB"/>
              </w:rPr>
              <w:t>137</w:t>
            </w:r>
          </w:p>
        </w:tc>
        <w:tc>
          <w:tcPr>
            <w:tcW w:w="512" w:type="pct"/>
            <w:shd w:val="clear" w:color="auto" w:fill="auto"/>
            <w:noWrap/>
            <w:hideMark/>
          </w:tcPr>
          <w:p w14:paraId="790EE775" w14:textId="77777777" w:rsidR="0083766A" w:rsidRPr="00BA6B2B" w:rsidRDefault="0083766A" w:rsidP="00400265">
            <w:pPr>
              <w:jc w:val="center"/>
              <w:rPr>
                <w:sz w:val="20"/>
                <w:szCs w:val="20"/>
                <w:lang w:eastAsia="en-GB"/>
              </w:rPr>
            </w:pPr>
            <w:r w:rsidRPr="00BA6B2B">
              <w:rPr>
                <w:sz w:val="20"/>
                <w:szCs w:val="20"/>
                <w:lang w:eastAsia="en-GB"/>
              </w:rPr>
              <w:t>132</w:t>
            </w:r>
          </w:p>
        </w:tc>
      </w:tr>
      <w:tr w:rsidR="00DD1628" w:rsidRPr="00BA6B2B" w14:paraId="10A073FC" w14:textId="77777777" w:rsidTr="00BA6B2B">
        <w:trPr>
          <w:trHeight w:val="255"/>
        </w:trPr>
        <w:tc>
          <w:tcPr>
            <w:tcW w:w="1785" w:type="pct"/>
            <w:shd w:val="clear" w:color="auto" w:fill="auto"/>
            <w:noWrap/>
            <w:hideMark/>
          </w:tcPr>
          <w:p w14:paraId="60693E0F" w14:textId="00E5BD34" w:rsidR="0083766A" w:rsidRPr="00BA6B2B" w:rsidRDefault="0083766A" w:rsidP="00BA6B2B">
            <w:pPr>
              <w:jc w:val="left"/>
              <w:rPr>
                <w:sz w:val="20"/>
                <w:szCs w:val="20"/>
                <w:lang w:eastAsia="en-GB"/>
              </w:rPr>
            </w:pPr>
            <w:r w:rsidRPr="00BA6B2B">
              <w:rPr>
                <w:sz w:val="20"/>
                <w:szCs w:val="20"/>
                <w:lang w:eastAsia="en-GB"/>
              </w:rPr>
              <w:t xml:space="preserve">Public Works, Roads, Transport, </w:t>
            </w:r>
            <w:r w:rsidR="00953C6A">
              <w:rPr>
                <w:sz w:val="20"/>
                <w:szCs w:val="20"/>
                <w:lang w:eastAsia="en-GB"/>
              </w:rPr>
              <w:t>a</w:t>
            </w:r>
            <w:r w:rsidRPr="00BA6B2B">
              <w:rPr>
                <w:sz w:val="20"/>
                <w:szCs w:val="20"/>
                <w:lang w:eastAsia="en-GB"/>
              </w:rPr>
              <w:t>nd Housing </w:t>
            </w:r>
          </w:p>
        </w:tc>
        <w:tc>
          <w:tcPr>
            <w:tcW w:w="596" w:type="pct"/>
            <w:shd w:val="clear" w:color="auto" w:fill="auto"/>
            <w:noWrap/>
            <w:hideMark/>
          </w:tcPr>
          <w:p w14:paraId="407EA8CE" w14:textId="77777777" w:rsidR="0083766A" w:rsidRPr="00BA6B2B" w:rsidRDefault="0083766A" w:rsidP="00400265">
            <w:pPr>
              <w:jc w:val="center"/>
              <w:rPr>
                <w:sz w:val="20"/>
                <w:szCs w:val="20"/>
                <w:lang w:eastAsia="en-GB"/>
              </w:rPr>
            </w:pPr>
            <w:r w:rsidRPr="00BA6B2B">
              <w:rPr>
                <w:sz w:val="20"/>
                <w:szCs w:val="20"/>
                <w:lang w:eastAsia="en-GB"/>
              </w:rPr>
              <w:t>662</w:t>
            </w:r>
          </w:p>
        </w:tc>
        <w:tc>
          <w:tcPr>
            <w:tcW w:w="514" w:type="pct"/>
            <w:shd w:val="clear" w:color="auto" w:fill="auto"/>
            <w:noWrap/>
            <w:hideMark/>
          </w:tcPr>
          <w:p w14:paraId="561EBB21" w14:textId="77777777" w:rsidR="0083766A" w:rsidRPr="00BA6B2B" w:rsidRDefault="0083766A" w:rsidP="00400265">
            <w:pPr>
              <w:jc w:val="center"/>
              <w:rPr>
                <w:sz w:val="20"/>
                <w:szCs w:val="20"/>
                <w:lang w:eastAsia="en-GB"/>
              </w:rPr>
            </w:pPr>
            <w:r w:rsidRPr="00BA6B2B">
              <w:rPr>
                <w:sz w:val="20"/>
                <w:szCs w:val="20"/>
                <w:lang w:eastAsia="en-GB"/>
              </w:rPr>
              <w:t>404</w:t>
            </w:r>
          </w:p>
        </w:tc>
        <w:tc>
          <w:tcPr>
            <w:tcW w:w="523" w:type="pct"/>
            <w:shd w:val="clear" w:color="auto" w:fill="auto"/>
            <w:noWrap/>
            <w:hideMark/>
          </w:tcPr>
          <w:p w14:paraId="73FDC816" w14:textId="77777777" w:rsidR="0083766A" w:rsidRPr="00BA6B2B" w:rsidRDefault="0083766A" w:rsidP="00400265">
            <w:pPr>
              <w:jc w:val="center"/>
              <w:rPr>
                <w:sz w:val="20"/>
                <w:szCs w:val="20"/>
                <w:lang w:eastAsia="en-GB"/>
              </w:rPr>
            </w:pPr>
            <w:r w:rsidRPr="00BA6B2B">
              <w:rPr>
                <w:sz w:val="20"/>
                <w:szCs w:val="20"/>
                <w:lang w:eastAsia="en-GB"/>
              </w:rPr>
              <w:t>563</w:t>
            </w:r>
          </w:p>
        </w:tc>
        <w:tc>
          <w:tcPr>
            <w:tcW w:w="519" w:type="pct"/>
            <w:shd w:val="clear" w:color="auto" w:fill="auto"/>
            <w:noWrap/>
            <w:hideMark/>
          </w:tcPr>
          <w:p w14:paraId="69F1F1CB" w14:textId="77777777" w:rsidR="0083766A" w:rsidRPr="00BA6B2B" w:rsidRDefault="0083766A" w:rsidP="00400265">
            <w:pPr>
              <w:jc w:val="center"/>
              <w:rPr>
                <w:sz w:val="20"/>
                <w:szCs w:val="20"/>
                <w:lang w:eastAsia="en-GB"/>
              </w:rPr>
            </w:pPr>
            <w:r w:rsidRPr="00BA6B2B">
              <w:rPr>
                <w:sz w:val="20"/>
                <w:szCs w:val="20"/>
                <w:lang w:eastAsia="en-GB"/>
              </w:rPr>
              <w:t>398</w:t>
            </w:r>
          </w:p>
        </w:tc>
        <w:tc>
          <w:tcPr>
            <w:tcW w:w="551" w:type="pct"/>
            <w:shd w:val="clear" w:color="auto" w:fill="auto"/>
            <w:noWrap/>
            <w:hideMark/>
          </w:tcPr>
          <w:p w14:paraId="01D5F80E" w14:textId="77777777" w:rsidR="0083766A" w:rsidRPr="00BA6B2B" w:rsidRDefault="0083766A" w:rsidP="00400265">
            <w:pPr>
              <w:jc w:val="center"/>
              <w:rPr>
                <w:sz w:val="20"/>
                <w:szCs w:val="20"/>
                <w:lang w:eastAsia="en-GB"/>
              </w:rPr>
            </w:pPr>
            <w:r w:rsidRPr="00BA6B2B">
              <w:rPr>
                <w:sz w:val="20"/>
                <w:szCs w:val="20"/>
                <w:lang w:eastAsia="en-GB"/>
              </w:rPr>
              <w:t>768</w:t>
            </w:r>
          </w:p>
        </w:tc>
        <w:tc>
          <w:tcPr>
            <w:tcW w:w="512" w:type="pct"/>
            <w:shd w:val="clear" w:color="auto" w:fill="auto"/>
            <w:noWrap/>
            <w:hideMark/>
          </w:tcPr>
          <w:p w14:paraId="0899D581" w14:textId="77777777" w:rsidR="0083766A" w:rsidRPr="00BA6B2B" w:rsidRDefault="0083766A" w:rsidP="00400265">
            <w:pPr>
              <w:jc w:val="center"/>
              <w:rPr>
                <w:sz w:val="20"/>
                <w:szCs w:val="20"/>
                <w:lang w:eastAsia="en-GB"/>
              </w:rPr>
            </w:pPr>
            <w:r w:rsidRPr="00BA6B2B">
              <w:rPr>
                <w:sz w:val="20"/>
                <w:szCs w:val="20"/>
                <w:lang w:eastAsia="en-GB"/>
              </w:rPr>
              <w:t>572</w:t>
            </w:r>
          </w:p>
        </w:tc>
      </w:tr>
      <w:tr w:rsidR="00DD1628" w:rsidRPr="00BA6B2B" w14:paraId="2E010954" w14:textId="77777777" w:rsidTr="00BA6B2B">
        <w:trPr>
          <w:trHeight w:val="179"/>
        </w:trPr>
        <w:tc>
          <w:tcPr>
            <w:tcW w:w="1785" w:type="pct"/>
            <w:shd w:val="clear" w:color="auto" w:fill="auto"/>
            <w:noWrap/>
            <w:hideMark/>
          </w:tcPr>
          <w:p w14:paraId="768E44E7" w14:textId="089811A4" w:rsidR="0083766A" w:rsidRPr="00BA6B2B" w:rsidRDefault="0083766A" w:rsidP="00BA6B2B">
            <w:pPr>
              <w:jc w:val="left"/>
              <w:rPr>
                <w:sz w:val="20"/>
                <w:szCs w:val="20"/>
                <w:lang w:eastAsia="en-GB"/>
              </w:rPr>
            </w:pPr>
            <w:r w:rsidRPr="00BA6B2B">
              <w:rPr>
                <w:sz w:val="20"/>
                <w:szCs w:val="20"/>
                <w:lang w:eastAsia="en-GB"/>
              </w:rPr>
              <w:t>Industrial and Enterprise Development</w:t>
            </w:r>
          </w:p>
        </w:tc>
        <w:tc>
          <w:tcPr>
            <w:tcW w:w="596" w:type="pct"/>
            <w:shd w:val="clear" w:color="auto" w:fill="auto"/>
            <w:noWrap/>
            <w:hideMark/>
          </w:tcPr>
          <w:p w14:paraId="4AF655FB" w14:textId="77777777" w:rsidR="0083766A" w:rsidRPr="00BA6B2B" w:rsidRDefault="0083766A" w:rsidP="00400265">
            <w:pPr>
              <w:jc w:val="center"/>
              <w:rPr>
                <w:sz w:val="20"/>
                <w:szCs w:val="20"/>
                <w:lang w:eastAsia="en-GB"/>
              </w:rPr>
            </w:pPr>
            <w:r w:rsidRPr="00BA6B2B">
              <w:rPr>
                <w:sz w:val="20"/>
                <w:szCs w:val="20"/>
                <w:lang w:eastAsia="en-GB"/>
              </w:rPr>
              <w:t>369</w:t>
            </w:r>
          </w:p>
        </w:tc>
        <w:tc>
          <w:tcPr>
            <w:tcW w:w="514" w:type="pct"/>
            <w:shd w:val="clear" w:color="auto" w:fill="auto"/>
            <w:noWrap/>
            <w:hideMark/>
          </w:tcPr>
          <w:p w14:paraId="674D4A62" w14:textId="77777777" w:rsidR="0083766A" w:rsidRPr="00BA6B2B" w:rsidRDefault="0083766A" w:rsidP="00400265">
            <w:pPr>
              <w:jc w:val="center"/>
              <w:rPr>
                <w:sz w:val="20"/>
                <w:szCs w:val="20"/>
                <w:lang w:eastAsia="en-GB"/>
              </w:rPr>
            </w:pPr>
            <w:r w:rsidRPr="00BA6B2B">
              <w:rPr>
                <w:sz w:val="20"/>
                <w:szCs w:val="20"/>
                <w:lang w:eastAsia="en-GB"/>
              </w:rPr>
              <w:t>181</w:t>
            </w:r>
          </w:p>
        </w:tc>
        <w:tc>
          <w:tcPr>
            <w:tcW w:w="523" w:type="pct"/>
            <w:shd w:val="clear" w:color="auto" w:fill="auto"/>
            <w:noWrap/>
            <w:hideMark/>
          </w:tcPr>
          <w:p w14:paraId="1B2B8764" w14:textId="77777777" w:rsidR="0083766A" w:rsidRPr="00BA6B2B" w:rsidRDefault="0083766A" w:rsidP="00400265">
            <w:pPr>
              <w:jc w:val="center"/>
              <w:rPr>
                <w:sz w:val="20"/>
                <w:szCs w:val="20"/>
                <w:lang w:eastAsia="en-GB"/>
              </w:rPr>
            </w:pPr>
            <w:r w:rsidRPr="00BA6B2B">
              <w:rPr>
                <w:sz w:val="20"/>
                <w:szCs w:val="20"/>
                <w:lang w:eastAsia="en-GB"/>
              </w:rPr>
              <w:t>156</w:t>
            </w:r>
          </w:p>
        </w:tc>
        <w:tc>
          <w:tcPr>
            <w:tcW w:w="519" w:type="pct"/>
            <w:shd w:val="clear" w:color="auto" w:fill="auto"/>
            <w:noWrap/>
            <w:hideMark/>
          </w:tcPr>
          <w:p w14:paraId="6FF5CF7B" w14:textId="77777777" w:rsidR="0083766A" w:rsidRPr="00BA6B2B" w:rsidRDefault="0083766A" w:rsidP="00400265">
            <w:pPr>
              <w:jc w:val="center"/>
              <w:rPr>
                <w:sz w:val="20"/>
                <w:szCs w:val="20"/>
                <w:lang w:eastAsia="en-GB"/>
              </w:rPr>
            </w:pPr>
            <w:r w:rsidRPr="00BA6B2B">
              <w:rPr>
                <w:sz w:val="20"/>
                <w:szCs w:val="20"/>
                <w:lang w:eastAsia="en-GB"/>
              </w:rPr>
              <w:t>90</w:t>
            </w:r>
          </w:p>
        </w:tc>
        <w:tc>
          <w:tcPr>
            <w:tcW w:w="551" w:type="pct"/>
            <w:shd w:val="clear" w:color="auto" w:fill="auto"/>
            <w:noWrap/>
            <w:hideMark/>
          </w:tcPr>
          <w:p w14:paraId="44259ED0" w14:textId="77777777" w:rsidR="0083766A" w:rsidRPr="00BA6B2B" w:rsidRDefault="0083766A" w:rsidP="00400265">
            <w:pPr>
              <w:jc w:val="center"/>
              <w:rPr>
                <w:sz w:val="20"/>
                <w:szCs w:val="20"/>
                <w:lang w:eastAsia="en-GB"/>
              </w:rPr>
            </w:pPr>
            <w:r w:rsidRPr="00BA6B2B">
              <w:rPr>
                <w:sz w:val="20"/>
                <w:szCs w:val="20"/>
                <w:lang w:eastAsia="en-GB"/>
              </w:rPr>
              <w:t>355</w:t>
            </w:r>
          </w:p>
        </w:tc>
        <w:tc>
          <w:tcPr>
            <w:tcW w:w="512" w:type="pct"/>
            <w:shd w:val="clear" w:color="auto" w:fill="auto"/>
            <w:noWrap/>
            <w:hideMark/>
          </w:tcPr>
          <w:p w14:paraId="724A7896" w14:textId="77777777" w:rsidR="0083766A" w:rsidRPr="00BA6B2B" w:rsidRDefault="0083766A" w:rsidP="00400265">
            <w:pPr>
              <w:jc w:val="center"/>
              <w:rPr>
                <w:sz w:val="20"/>
                <w:szCs w:val="20"/>
                <w:lang w:eastAsia="en-GB"/>
              </w:rPr>
            </w:pPr>
            <w:r w:rsidRPr="00BA6B2B">
              <w:rPr>
                <w:sz w:val="20"/>
                <w:szCs w:val="20"/>
                <w:lang w:eastAsia="en-GB"/>
              </w:rPr>
              <w:t>224</w:t>
            </w:r>
          </w:p>
        </w:tc>
      </w:tr>
      <w:tr w:rsidR="00DD1628" w:rsidRPr="00BA6B2B" w14:paraId="13EF614E" w14:textId="77777777" w:rsidTr="00BA6B2B">
        <w:trPr>
          <w:trHeight w:val="53"/>
        </w:trPr>
        <w:tc>
          <w:tcPr>
            <w:tcW w:w="1785" w:type="pct"/>
            <w:shd w:val="clear" w:color="auto" w:fill="auto"/>
            <w:noWrap/>
            <w:hideMark/>
          </w:tcPr>
          <w:p w14:paraId="78CFB8A6" w14:textId="77777777" w:rsidR="0083766A" w:rsidRPr="00BA6B2B" w:rsidRDefault="0083766A" w:rsidP="00BA6B2B">
            <w:pPr>
              <w:jc w:val="left"/>
              <w:rPr>
                <w:b/>
                <w:sz w:val="20"/>
                <w:szCs w:val="20"/>
                <w:lang w:eastAsia="en-GB"/>
              </w:rPr>
            </w:pPr>
            <w:r w:rsidRPr="00BA6B2B">
              <w:rPr>
                <w:b/>
                <w:sz w:val="20"/>
                <w:szCs w:val="20"/>
                <w:lang w:eastAsia="en-GB"/>
              </w:rPr>
              <w:t xml:space="preserve">Total </w:t>
            </w:r>
          </w:p>
        </w:tc>
        <w:tc>
          <w:tcPr>
            <w:tcW w:w="596" w:type="pct"/>
            <w:shd w:val="clear" w:color="auto" w:fill="auto"/>
            <w:noWrap/>
            <w:hideMark/>
          </w:tcPr>
          <w:p w14:paraId="53EBB00A" w14:textId="77777777" w:rsidR="0083766A" w:rsidRPr="00BA6B2B" w:rsidRDefault="0083766A" w:rsidP="00400265">
            <w:pPr>
              <w:jc w:val="center"/>
              <w:rPr>
                <w:b/>
                <w:sz w:val="20"/>
                <w:szCs w:val="20"/>
                <w:lang w:eastAsia="en-GB"/>
              </w:rPr>
            </w:pPr>
            <w:r w:rsidRPr="00BA6B2B">
              <w:rPr>
                <w:b/>
                <w:sz w:val="20"/>
                <w:szCs w:val="20"/>
                <w:lang w:eastAsia="en-GB"/>
              </w:rPr>
              <w:t>3,758</w:t>
            </w:r>
          </w:p>
        </w:tc>
        <w:tc>
          <w:tcPr>
            <w:tcW w:w="514" w:type="pct"/>
            <w:shd w:val="clear" w:color="auto" w:fill="auto"/>
            <w:noWrap/>
            <w:hideMark/>
          </w:tcPr>
          <w:p w14:paraId="13CD53AA" w14:textId="77777777" w:rsidR="0083766A" w:rsidRPr="00BA6B2B" w:rsidRDefault="0083766A" w:rsidP="00400265">
            <w:pPr>
              <w:jc w:val="center"/>
              <w:rPr>
                <w:b/>
                <w:sz w:val="20"/>
                <w:szCs w:val="20"/>
                <w:lang w:eastAsia="en-GB"/>
              </w:rPr>
            </w:pPr>
            <w:r w:rsidRPr="00BA6B2B">
              <w:rPr>
                <w:b/>
                <w:sz w:val="20"/>
                <w:szCs w:val="20"/>
                <w:lang w:eastAsia="en-GB"/>
              </w:rPr>
              <w:t>2,844</w:t>
            </w:r>
          </w:p>
        </w:tc>
        <w:tc>
          <w:tcPr>
            <w:tcW w:w="523" w:type="pct"/>
            <w:shd w:val="clear" w:color="auto" w:fill="auto"/>
            <w:noWrap/>
            <w:hideMark/>
          </w:tcPr>
          <w:p w14:paraId="470F670A" w14:textId="77777777" w:rsidR="0083766A" w:rsidRPr="00BA6B2B" w:rsidRDefault="0083766A" w:rsidP="00400265">
            <w:pPr>
              <w:jc w:val="center"/>
              <w:rPr>
                <w:b/>
                <w:sz w:val="20"/>
                <w:szCs w:val="20"/>
                <w:lang w:eastAsia="en-GB"/>
              </w:rPr>
            </w:pPr>
            <w:r w:rsidRPr="00BA6B2B">
              <w:rPr>
                <w:b/>
                <w:sz w:val="20"/>
                <w:szCs w:val="20"/>
                <w:lang w:eastAsia="en-GB"/>
              </w:rPr>
              <w:t>7,259</w:t>
            </w:r>
          </w:p>
        </w:tc>
        <w:tc>
          <w:tcPr>
            <w:tcW w:w="519" w:type="pct"/>
            <w:shd w:val="clear" w:color="auto" w:fill="auto"/>
            <w:noWrap/>
            <w:hideMark/>
          </w:tcPr>
          <w:p w14:paraId="34F0D302" w14:textId="77777777" w:rsidR="0083766A" w:rsidRPr="00BA6B2B" w:rsidRDefault="0083766A" w:rsidP="00400265">
            <w:pPr>
              <w:jc w:val="center"/>
              <w:rPr>
                <w:b/>
                <w:sz w:val="20"/>
                <w:szCs w:val="20"/>
                <w:lang w:eastAsia="en-GB"/>
              </w:rPr>
            </w:pPr>
            <w:r w:rsidRPr="00BA6B2B">
              <w:rPr>
                <w:b/>
                <w:sz w:val="20"/>
                <w:szCs w:val="20"/>
                <w:lang w:eastAsia="en-GB"/>
              </w:rPr>
              <w:t>5,877</w:t>
            </w:r>
          </w:p>
        </w:tc>
        <w:tc>
          <w:tcPr>
            <w:tcW w:w="551" w:type="pct"/>
            <w:shd w:val="clear" w:color="auto" w:fill="auto"/>
            <w:noWrap/>
            <w:hideMark/>
          </w:tcPr>
          <w:p w14:paraId="15DBCE8B" w14:textId="77777777" w:rsidR="0083766A" w:rsidRPr="00BA6B2B" w:rsidRDefault="0083766A" w:rsidP="00400265">
            <w:pPr>
              <w:jc w:val="center"/>
              <w:rPr>
                <w:b/>
                <w:sz w:val="20"/>
                <w:szCs w:val="20"/>
                <w:lang w:eastAsia="en-GB"/>
              </w:rPr>
            </w:pPr>
            <w:r w:rsidRPr="00BA6B2B">
              <w:rPr>
                <w:b/>
                <w:sz w:val="20"/>
                <w:szCs w:val="20"/>
                <w:lang w:eastAsia="en-GB"/>
              </w:rPr>
              <w:t>7,269</w:t>
            </w:r>
          </w:p>
        </w:tc>
        <w:tc>
          <w:tcPr>
            <w:tcW w:w="512" w:type="pct"/>
            <w:shd w:val="clear" w:color="auto" w:fill="auto"/>
            <w:noWrap/>
            <w:hideMark/>
          </w:tcPr>
          <w:p w14:paraId="2C8F63AB" w14:textId="77777777" w:rsidR="0083766A" w:rsidRPr="00BA6B2B" w:rsidRDefault="0083766A" w:rsidP="00400265">
            <w:pPr>
              <w:jc w:val="center"/>
              <w:rPr>
                <w:b/>
                <w:sz w:val="20"/>
                <w:szCs w:val="20"/>
                <w:lang w:eastAsia="en-GB"/>
              </w:rPr>
            </w:pPr>
            <w:r w:rsidRPr="00BA6B2B">
              <w:rPr>
                <w:b/>
                <w:sz w:val="20"/>
                <w:szCs w:val="20"/>
                <w:lang w:eastAsia="en-GB"/>
              </w:rPr>
              <w:t>5,628</w:t>
            </w:r>
          </w:p>
        </w:tc>
      </w:tr>
      <w:tr w:rsidR="00DD1628" w:rsidRPr="00BA6B2B" w14:paraId="4AB3914D" w14:textId="77777777" w:rsidTr="00BA6B2B">
        <w:trPr>
          <w:trHeight w:val="53"/>
        </w:trPr>
        <w:tc>
          <w:tcPr>
            <w:tcW w:w="1785" w:type="pct"/>
            <w:shd w:val="clear" w:color="auto" w:fill="auto"/>
            <w:noWrap/>
          </w:tcPr>
          <w:p w14:paraId="61749A11" w14:textId="77777777" w:rsidR="005D22A7" w:rsidRPr="00BA6B2B" w:rsidRDefault="005D22A7" w:rsidP="00D52523">
            <w:pPr>
              <w:rPr>
                <w:b/>
                <w:sz w:val="20"/>
                <w:szCs w:val="20"/>
                <w:lang w:eastAsia="en-GB"/>
              </w:rPr>
            </w:pPr>
            <w:r w:rsidRPr="00BA6B2B">
              <w:rPr>
                <w:b/>
                <w:sz w:val="20"/>
                <w:szCs w:val="20"/>
                <w:lang w:eastAsia="en-GB"/>
              </w:rPr>
              <w:t>Composition variance (%)</w:t>
            </w:r>
          </w:p>
        </w:tc>
        <w:tc>
          <w:tcPr>
            <w:tcW w:w="1110" w:type="pct"/>
            <w:gridSpan w:val="2"/>
            <w:shd w:val="clear" w:color="auto" w:fill="auto"/>
            <w:noWrap/>
          </w:tcPr>
          <w:p w14:paraId="514768DF" w14:textId="77777777" w:rsidR="005D22A7" w:rsidRPr="00BA6B2B" w:rsidRDefault="005D22A7" w:rsidP="00400265">
            <w:pPr>
              <w:jc w:val="center"/>
              <w:rPr>
                <w:b/>
                <w:sz w:val="20"/>
                <w:szCs w:val="20"/>
                <w:lang w:eastAsia="en-GB"/>
              </w:rPr>
            </w:pPr>
            <w:r w:rsidRPr="00BA6B2B">
              <w:rPr>
                <w:b/>
                <w:sz w:val="20"/>
                <w:szCs w:val="20"/>
                <w:lang w:eastAsia="en-GB"/>
              </w:rPr>
              <w:t>22.5</w:t>
            </w:r>
          </w:p>
        </w:tc>
        <w:tc>
          <w:tcPr>
            <w:tcW w:w="1042" w:type="pct"/>
            <w:gridSpan w:val="2"/>
            <w:shd w:val="clear" w:color="auto" w:fill="auto"/>
            <w:noWrap/>
          </w:tcPr>
          <w:p w14:paraId="3B8F2607" w14:textId="77777777" w:rsidR="005D22A7" w:rsidRPr="00BA6B2B" w:rsidRDefault="005D22A7" w:rsidP="00400265">
            <w:pPr>
              <w:jc w:val="center"/>
              <w:rPr>
                <w:b/>
                <w:sz w:val="20"/>
                <w:szCs w:val="20"/>
                <w:lang w:eastAsia="en-GB"/>
              </w:rPr>
            </w:pPr>
            <w:r w:rsidRPr="00BA6B2B">
              <w:rPr>
                <w:b/>
                <w:sz w:val="20"/>
                <w:szCs w:val="20"/>
                <w:lang w:eastAsia="en-GB"/>
              </w:rPr>
              <w:t>19.5</w:t>
            </w:r>
          </w:p>
        </w:tc>
        <w:tc>
          <w:tcPr>
            <w:tcW w:w="1063" w:type="pct"/>
            <w:gridSpan w:val="2"/>
            <w:shd w:val="clear" w:color="auto" w:fill="auto"/>
            <w:noWrap/>
          </w:tcPr>
          <w:p w14:paraId="7DB2AD69" w14:textId="77777777" w:rsidR="005D22A7" w:rsidRPr="00BA6B2B" w:rsidRDefault="005D22A7" w:rsidP="00400265">
            <w:pPr>
              <w:jc w:val="center"/>
              <w:rPr>
                <w:b/>
                <w:sz w:val="20"/>
                <w:szCs w:val="20"/>
                <w:lang w:eastAsia="en-GB"/>
              </w:rPr>
            </w:pPr>
            <w:r w:rsidRPr="00BA6B2B">
              <w:rPr>
                <w:b/>
                <w:sz w:val="20"/>
                <w:szCs w:val="20"/>
                <w:lang w:eastAsia="en-GB"/>
              </w:rPr>
              <w:t>16.2</w:t>
            </w:r>
          </w:p>
        </w:tc>
      </w:tr>
    </w:tbl>
    <w:p w14:paraId="65DA100F" w14:textId="61EE4206" w:rsidR="00EB6CFF" w:rsidRPr="00BA6B2B" w:rsidRDefault="00EB6CFF" w:rsidP="00BA6B2B">
      <w:pPr>
        <w:pStyle w:val="Italic"/>
        <w:spacing w:after="240"/>
        <w:rPr>
          <w:i w:val="0"/>
          <w:sz w:val="20"/>
          <w:szCs w:val="20"/>
        </w:rPr>
      </w:pPr>
      <w:r w:rsidRPr="00BA6B2B">
        <w:rPr>
          <w:sz w:val="20"/>
          <w:szCs w:val="20"/>
        </w:rPr>
        <w:t xml:space="preserve">Source: </w:t>
      </w:r>
      <w:r w:rsidRPr="00BA6B2B">
        <w:rPr>
          <w:i w:val="0"/>
          <w:sz w:val="20"/>
          <w:szCs w:val="20"/>
        </w:rPr>
        <w:t>CBROP</w:t>
      </w:r>
      <w:r w:rsidR="0083766A" w:rsidRPr="00BA6B2B">
        <w:rPr>
          <w:i w:val="0"/>
          <w:sz w:val="20"/>
          <w:szCs w:val="20"/>
        </w:rPr>
        <w:t>s</w:t>
      </w:r>
      <w:r w:rsidR="00BA6B2B">
        <w:rPr>
          <w:i w:val="0"/>
          <w:sz w:val="20"/>
          <w:szCs w:val="20"/>
        </w:rPr>
        <w:t>.</w:t>
      </w:r>
    </w:p>
    <w:p w14:paraId="40A3A177" w14:textId="35C5BC51" w:rsidR="00E56226" w:rsidRPr="005849E4" w:rsidRDefault="00035673" w:rsidP="00BA6B2B">
      <w:pPr>
        <w:spacing w:after="240"/>
        <w:rPr>
          <w:sz w:val="22"/>
        </w:rPr>
      </w:pPr>
      <w:r w:rsidRPr="005849E4">
        <w:rPr>
          <w:sz w:val="22"/>
        </w:rPr>
        <w:t>In summary, v</w:t>
      </w:r>
      <w:r w:rsidR="00E56226" w:rsidRPr="005849E4">
        <w:rPr>
          <w:sz w:val="22"/>
        </w:rPr>
        <w:t>ariance in expenditure composition by administrative/functional classification was more than 15</w:t>
      </w:r>
      <w:r w:rsidR="00953C6A">
        <w:rPr>
          <w:sz w:val="22"/>
        </w:rPr>
        <w:t xml:space="preserve"> percent</w:t>
      </w:r>
      <w:r w:rsidR="00E56226" w:rsidRPr="005849E4">
        <w:rPr>
          <w:sz w:val="22"/>
        </w:rPr>
        <w:t xml:space="preserve"> in at least two of the last three years.</w:t>
      </w:r>
      <w:r w:rsidRPr="005849E4">
        <w:rPr>
          <w:sz w:val="22"/>
        </w:rPr>
        <w:t xml:space="preserve"> </w:t>
      </w:r>
    </w:p>
    <w:p w14:paraId="1483E473" w14:textId="7DD63C13" w:rsidR="00627BB3" w:rsidRPr="005849E4" w:rsidRDefault="00627BB3" w:rsidP="00627BB3">
      <w:pPr>
        <w:rPr>
          <w:b/>
          <w:sz w:val="22"/>
        </w:rPr>
      </w:pPr>
      <w:r w:rsidRPr="005849E4">
        <w:rPr>
          <w:b/>
          <w:sz w:val="22"/>
        </w:rPr>
        <w:t>Dimension rating = D</w:t>
      </w:r>
    </w:p>
    <w:bookmarkEnd w:id="68"/>
    <w:p w14:paraId="2B06EDB6" w14:textId="77777777" w:rsidR="009B6FA4" w:rsidRPr="00890A84" w:rsidRDefault="00642525" w:rsidP="00BA6B2B">
      <w:pPr>
        <w:pStyle w:val="Heading5"/>
      </w:pPr>
      <w:r w:rsidRPr="00890A84">
        <w:t>PI-</w:t>
      </w:r>
      <w:r w:rsidR="00AE7C64" w:rsidRPr="00890A84">
        <w:t xml:space="preserve">2.2. Expenditure composition outturn by economic type </w:t>
      </w:r>
    </w:p>
    <w:p w14:paraId="43DA2EB1" w14:textId="40991A6F" w:rsidR="009B6FA4" w:rsidRPr="005849E4" w:rsidRDefault="00AE7C64" w:rsidP="00BA6B2B">
      <w:pPr>
        <w:spacing w:after="240"/>
        <w:rPr>
          <w:sz w:val="22"/>
        </w:rPr>
      </w:pPr>
      <w:r w:rsidRPr="005849E4">
        <w:rPr>
          <w:sz w:val="22"/>
        </w:rPr>
        <w:t>Budgeted</w:t>
      </w:r>
      <w:r w:rsidR="00BF4724" w:rsidRPr="005849E4">
        <w:rPr>
          <w:sz w:val="22"/>
        </w:rPr>
        <w:t xml:space="preserve"> expenditure in the original budget was categori</w:t>
      </w:r>
      <w:r w:rsidR="009D21FC">
        <w:rPr>
          <w:sz w:val="22"/>
        </w:rPr>
        <w:t>z</w:t>
      </w:r>
      <w:r w:rsidR="00BF4724" w:rsidRPr="005849E4">
        <w:rPr>
          <w:sz w:val="22"/>
        </w:rPr>
        <w:t xml:space="preserve">ed into three </w:t>
      </w:r>
      <w:r w:rsidR="00535A5E" w:rsidRPr="005849E4">
        <w:rPr>
          <w:sz w:val="22"/>
        </w:rPr>
        <w:t xml:space="preserve">main </w:t>
      </w:r>
      <w:r w:rsidR="00BF4724" w:rsidRPr="005849E4">
        <w:rPr>
          <w:sz w:val="22"/>
        </w:rPr>
        <w:t>economic items</w:t>
      </w:r>
      <w:r w:rsidR="00535A5E" w:rsidRPr="005849E4">
        <w:rPr>
          <w:sz w:val="22"/>
        </w:rPr>
        <w:t>: compensation of employees, use of goods and services</w:t>
      </w:r>
      <w:r w:rsidR="00953C6A">
        <w:rPr>
          <w:sz w:val="22"/>
        </w:rPr>
        <w:t>,</w:t>
      </w:r>
      <w:r w:rsidR="00535A5E" w:rsidRPr="005849E4">
        <w:rPr>
          <w:sz w:val="22"/>
        </w:rPr>
        <w:t xml:space="preserve"> and consumption of fixed capital</w:t>
      </w:r>
      <w:r w:rsidR="00BF4724" w:rsidRPr="005849E4">
        <w:rPr>
          <w:sz w:val="22"/>
        </w:rPr>
        <w:t xml:space="preserve">. </w:t>
      </w:r>
    </w:p>
    <w:p w14:paraId="7C547B37" w14:textId="4C97EBA5" w:rsidR="009B6FA4" w:rsidRPr="005849E4" w:rsidRDefault="009B6FA4" w:rsidP="00BA6B2B">
      <w:pPr>
        <w:spacing w:after="240"/>
        <w:rPr>
          <w:sz w:val="22"/>
        </w:rPr>
      </w:pPr>
      <w:r w:rsidRPr="005849E4">
        <w:rPr>
          <w:sz w:val="22"/>
        </w:rPr>
        <w:t>A notable shortcoming in comparing budgeted expenditure to actual expenditure by economic classification is that the classifications in the approved budget do not match those reported in the financial statements.</w:t>
      </w:r>
    </w:p>
    <w:p w14:paraId="5774203D" w14:textId="7E68AEDB" w:rsidR="00BF4724" w:rsidRPr="005849E4" w:rsidRDefault="00BF4724" w:rsidP="00BA6B2B">
      <w:pPr>
        <w:spacing w:after="240"/>
        <w:rPr>
          <w:sz w:val="22"/>
        </w:rPr>
      </w:pPr>
      <w:r w:rsidRPr="005849E4">
        <w:rPr>
          <w:sz w:val="22"/>
        </w:rPr>
        <w:t>However</w:t>
      </w:r>
      <w:r w:rsidR="00FE4905" w:rsidRPr="005849E4">
        <w:rPr>
          <w:sz w:val="22"/>
        </w:rPr>
        <w:t>,</w:t>
      </w:r>
      <w:r w:rsidRPr="005849E4">
        <w:rPr>
          <w:sz w:val="22"/>
        </w:rPr>
        <w:t xml:space="preserve"> the county reports on </w:t>
      </w:r>
      <w:r w:rsidR="00500B9E" w:rsidRPr="005849E4">
        <w:rPr>
          <w:sz w:val="22"/>
        </w:rPr>
        <w:t xml:space="preserve">eight </w:t>
      </w:r>
      <w:r w:rsidRPr="005849E4">
        <w:rPr>
          <w:sz w:val="22"/>
        </w:rPr>
        <w:t>economic items</w:t>
      </w:r>
      <w:r w:rsidR="00953C6A" w:rsidRPr="00953C6A">
        <w:rPr>
          <w:sz w:val="22"/>
        </w:rPr>
        <w:t xml:space="preserve"> </w:t>
      </w:r>
      <w:r w:rsidR="00953C6A" w:rsidRPr="005849E4">
        <w:rPr>
          <w:sz w:val="22"/>
        </w:rPr>
        <w:t>in its financial statements</w:t>
      </w:r>
      <w:r w:rsidR="00953C6A">
        <w:rPr>
          <w:sz w:val="22"/>
        </w:rPr>
        <w:t>:</w:t>
      </w:r>
      <w:r w:rsidR="00FE4905" w:rsidRPr="005849E4">
        <w:rPr>
          <w:sz w:val="22"/>
        </w:rPr>
        <w:t xml:space="preserve"> c</w:t>
      </w:r>
      <w:r w:rsidRPr="005849E4">
        <w:rPr>
          <w:sz w:val="22"/>
        </w:rPr>
        <w:t>ompensation of employees, use of goods and services, consumption of fixed capital, interest, subsidies, grants, social benefits</w:t>
      </w:r>
      <w:r w:rsidR="00953C6A">
        <w:rPr>
          <w:sz w:val="22"/>
        </w:rPr>
        <w:t>,</w:t>
      </w:r>
      <w:r w:rsidRPr="005849E4">
        <w:rPr>
          <w:sz w:val="22"/>
        </w:rPr>
        <w:t xml:space="preserve"> and other expenses. </w:t>
      </w:r>
      <w:r w:rsidR="00FE4905" w:rsidRPr="005849E4">
        <w:rPr>
          <w:sz w:val="22"/>
        </w:rPr>
        <w:t>Table 3.</w:t>
      </w:r>
      <w:r w:rsidR="007929DF">
        <w:rPr>
          <w:sz w:val="22"/>
        </w:rPr>
        <w:t xml:space="preserve">7 </w:t>
      </w:r>
      <w:r w:rsidR="00FE4905" w:rsidRPr="005849E4">
        <w:rPr>
          <w:sz w:val="22"/>
        </w:rPr>
        <w:t xml:space="preserve">gives </w:t>
      </w:r>
      <w:r w:rsidRPr="005849E4">
        <w:rPr>
          <w:sz w:val="22"/>
        </w:rPr>
        <w:t xml:space="preserve">information </w:t>
      </w:r>
      <w:r w:rsidR="00FE4905" w:rsidRPr="005849E4">
        <w:rPr>
          <w:sz w:val="22"/>
        </w:rPr>
        <w:t>on</w:t>
      </w:r>
      <w:r w:rsidRPr="005849E4">
        <w:rPr>
          <w:sz w:val="22"/>
        </w:rPr>
        <w:t xml:space="preserve"> expenditure compo</w:t>
      </w:r>
      <w:r w:rsidR="009F5CCA" w:rsidRPr="005849E4">
        <w:rPr>
          <w:sz w:val="22"/>
        </w:rPr>
        <w:t>sition outturn by economic type.</w:t>
      </w:r>
    </w:p>
    <w:p w14:paraId="7DDE3CE6" w14:textId="110915ED" w:rsidR="00FE07C0" w:rsidRDefault="00A66D19" w:rsidP="00590C8E">
      <w:pPr>
        <w:pStyle w:val="TableStyle"/>
      </w:pPr>
      <w:bookmarkStart w:id="71" w:name="_Toc530420887"/>
      <w:bookmarkStart w:id="72" w:name="_Toc532426094"/>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7</w:t>
      </w:r>
      <w:r w:rsidR="008B59A7">
        <w:rPr>
          <w:noProof/>
        </w:rPr>
        <w:fldChar w:fldCharType="end"/>
      </w:r>
      <w:r w:rsidR="00FE07C0" w:rsidRPr="00890A84">
        <w:t xml:space="preserve">: </w:t>
      </w:r>
      <w:r w:rsidR="005D22A7" w:rsidRPr="001E3893">
        <w:t>Expenditure composition outturn by economic type</w:t>
      </w:r>
      <w:r w:rsidR="005D22A7">
        <w:t xml:space="preserve"> (</w:t>
      </w:r>
      <w:r w:rsidR="00E73ED7">
        <w:t>Ksh</w:t>
      </w:r>
      <w:r w:rsidR="00953C6A">
        <w:t>,</w:t>
      </w:r>
      <w:r w:rsidR="005D22A7">
        <w:t xml:space="preserve"> millions)</w:t>
      </w:r>
      <w:bookmarkEnd w:id="71"/>
      <w:bookmarkEnd w:id="72"/>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333"/>
        <w:gridCol w:w="982"/>
        <w:gridCol w:w="984"/>
        <w:gridCol w:w="1053"/>
        <w:gridCol w:w="987"/>
        <w:gridCol w:w="1023"/>
        <w:gridCol w:w="982"/>
        <w:gridCol w:w="6"/>
      </w:tblGrid>
      <w:tr w:rsidR="0062777E" w:rsidRPr="00BA6B2B" w14:paraId="28D4F67D" w14:textId="77777777" w:rsidTr="00BA6B2B">
        <w:trPr>
          <w:trHeight w:val="255"/>
          <w:tblHeader/>
        </w:trPr>
        <w:tc>
          <w:tcPr>
            <w:tcW w:w="1783" w:type="pct"/>
            <w:shd w:val="clear" w:color="auto" w:fill="5B9BD5"/>
            <w:noWrap/>
            <w:hideMark/>
          </w:tcPr>
          <w:p w14:paraId="2F6E2B93" w14:textId="77777777" w:rsidR="0062777E" w:rsidRPr="00BA6B2B" w:rsidRDefault="0062777E" w:rsidP="005849E4">
            <w:pPr>
              <w:jc w:val="center"/>
              <w:rPr>
                <w:b/>
                <w:color w:val="FFFFFF" w:themeColor="background1"/>
                <w:sz w:val="20"/>
                <w:szCs w:val="20"/>
                <w:lang w:eastAsia="en-GB"/>
              </w:rPr>
            </w:pPr>
            <w:r w:rsidRPr="00BA6B2B">
              <w:rPr>
                <w:b/>
                <w:color w:val="FFFFFF" w:themeColor="background1"/>
                <w:sz w:val="20"/>
                <w:szCs w:val="20"/>
                <w:lang w:eastAsia="en-GB"/>
              </w:rPr>
              <w:t>Economic Head</w:t>
            </w:r>
          </w:p>
        </w:tc>
        <w:tc>
          <w:tcPr>
            <w:tcW w:w="1051" w:type="pct"/>
            <w:gridSpan w:val="2"/>
            <w:shd w:val="clear" w:color="auto" w:fill="5B9BD5"/>
            <w:noWrap/>
            <w:hideMark/>
          </w:tcPr>
          <w:p w14:paraId="308A7215" w14:textId="77777777" w:rsidR="0062777E" w:rsidRPr="00BA6B2B" w:rsidRDefault="0062777E" w:rsidP="005849E4">
            <w:pPr>
              <w:jc w:val="center"/>
              <w:rPr>
                <w:b/>
                <w:color w:val="FFFFFF" w:themeColor="background1"/>
                <w:sz w:val="20"/>
                <w:szCs w:val="20"/>
                <w:lang w:val="nl-NL" w:eastAsia="en-GB"/>
              </w:rPr>
            </w:pPr>
            <w:r w:rsidRPr="00BA6B2B">
              <w:rPr>
                <w:b/>
                <w:color w:val="FFFFFF" w:themeColor="background1"/>
                <w:sz w:val="20"/>
                <w:szCs w:val="20"/>
                <w:lang w:eastAsia="en-GB"/>
              </w:rPr>
              <w:t>2013/14</w:t>
            </w:r>
          </w:p>
        </w:tc>
        <w:tc>
          <w:tcPr>
            <w:tcW w:w="1091" w:type="pct"/>
            <w:gridSpan w:val="2"/>
            <w:shd w:val="clear" w:color="auto" w:fill="5B9BD5"/>
            <w:noWrap/>
            <w:hideMark/>
          </w:tcPr>
          <w:p w14:paraId="4A4754A3" w14:textId="77777777" w:rsidR="0062777E" w:rsidRPr="00BA6B2B" w:rsidRDefault="0062777E" w:rsidP="005849E4">
            <w:pPr>
              <w:jc w:val="center"/>
              <w:rPr>
                <w:b/>
                <w:color w:val="FFFFFF" w:themeColor="background1"/>
                <w:sz w:val="20"/>
                <w:szCs w:val="20"/>
                <w:lang w:val="nl-NL" w:eastAsia="en-GB"/>
              </w:rPr>
            </w:pPr>
            <w:r w:rsidRPr="00BA6B2B">
              <w:rPr>
                <w:b/>
                <w:color w:val="FFFFFF" w:themeColor="background1"/>
                <w:sz w:val="20"/>
                <w:szCs w:val="20"/>
                <w:lang w:eastAsia="en-GB"/>
              </w:rPr>
              <w:t>2014/15</w:t>
            </w:r>
          </w:p>
        </w:tc>
        <w:tc>
          <w:tcPr>
            <w:tcW w:w="1075" w:type="pct"/>
            <w:gridSpan w:val="3"/>
            <w:shd w:val="clear" w:color="auto" w:fill="5B9BD5"/>
            <w:noWrap/>
            <w:hideMark/>
          </w:tcPr>
          <w:p w14:paraId="2D86D638" w14:textId="77777777" w:rsidR="0062777E" w:rsidRPr="00BA6B2B" w:rsidRDefault="0062777E" w:rsidP="005849E4">
            <w:pPr>
              <w:jc w:val="center"/>
              <w:rPr>
                <w:b/>
                <w:color w:val="FFFFFF" w:themeColor="background1"/>
                <w:sz w:val="20"/>
                <w:szCs w:val="20"/>
                <w:lang w:val="nl-NL" w:eastAsia="en-GB"/>
              </w:rPr>
            </w:pPr>
            <w:r w:rsidRPr="00BA6B2B">
              <w:rPr>
                <w:b/>
                <w:color w:val="FFFFFF" w:themeColor="background1"/>
                <w:sz w:val="20"/>
                <w:szCs w:val="20"/>
                <w:lang w:eastAsia="en-GB"/>
              </w:rPr>
              <w:t>2015/16</w:t>
            </w:r>
          </w:p>
        </w:tc>
      </w:tr>
      <w:tr w:rsidR="00615A9C" w:rsidRPr="00BA6B2B" w14:paraId="728AAD37" w14:textId="77777777" w:rsidTr="00BA6B2B">
        <w:trPr>
          <w:gridAfter w:val="1"/>
          <w:wAfter w:w="3" w:type="pct"/>
          <w:trHeight w:val="84"/>
          <w:tblHeader/>
        </w:trPr>
        <w:tc>
          <w:tcPr>
            <w:tcW w:w="1783" w:type="pct"/>
            <w:shd w:val="clear" w:color="auto" w:fill="5B9BD5"/>
            <w:noWrap/>
            <w:hideMark/>
          </w:tcPr>
          <w:p w14:paraId="0D00F294" w14:textId="77777777" w:rsidR="0062777E" w:rsidRPr="00BA6B2B" w:rsidRDefault="0062777E" w:rsidP="005849E4">
            <w:pPr>
              <w:jc w:val="center"/>
              <w:rPr>
                <w:b/>
                <w:color w:val="FFFFFF" w:themeColor="background1"/>
                <w:sz w:val="20"/>
                <w:szCs w:val="20"/>
                <w:lang w:eastAsia="en-GB"/>
              </w:rPr>
            </w:pPr>
          </w:p>
        </w:tc>
        <w:tc>
          <w:tcPr>
            <w:tcW w:w="525" w:type="pct"/>
            <w:shd w:val="clear" w:color="auto" w:fill="5B9BD5"/>
            <w:noWrap/>
            <w:hideMark/>
          </w:tcPr>
          <w:p w14:paraId="7866D115" w14:textId="77777777" w:rsidR="0062777E" w:rsidRPr="00BA6B2B" w:rsidRDefault="0062777E" w:rsidP="005849E4">
            <w:pPr>
              <w:jc w:val="center"/>
              <w:rPr>
                <w:b/>
                <w:color w:val="FFFFFF" w:themeColor="background1"/>
                <w:sz w:val="20"/>
                <w:szCs w:val="20"/>
                <w:lang w:eastAsia="en-GB"/>
              </w:rPr>
            </w:pPr>
            <w:r w:rsidRPr="00BA6B2B">
              <w:rPr>
                <w:b/>
                <w:color w:val="FFFFFF" w:themeColor="background1"/>
                <w:sz w:val="20"/>
                <w:szCs w:val="20"/>
                <w:lang w:eastAsia="en-GB"/>
              </w:rPr>
              <w:t>Budget</w:t>
            </w:r>
          </w:p>
        </w:tc>
        <w:tc>
          <w:tcPr>
            <w:tcW w:w="526" w:type="pct"/>
            <w:shd w:val="clear" w:color="auto" w:fill="5B9BD5"/>
            <w:noWrap/>
            <w:hideMark/>
          </w:tcPr>
          <w:p w14:paraId="1B70111C" w14:textId="1FC3ADB1" w:rsidR="0062777E" w:rsidRPr="00BA6B2B" w:rsidRDefault="0062777E" w:rsidP="005849E4">
            <w:pPr>
              <w:jc w:val="center"/>
              <w:rPr>
                <w:b/>
                <w:color w:val="FFFFFF" w:themeColor="background1"/>
                <w:sz w:val="20"/>
                <w:szCs w:val="20"/>
                <w:lang w:eastAsia="en-GB"/>
              </w:rPr>
            </w:pPr>
            <w:r w:rsidRPr="00BA6B2B">
              <w:rPr>
                <w:b/>
                <w:color w:val="FFFFFF" w:themeColor="background1"/>
                <w:sz w:val="20"/>
                <w:szCs w:val="20"/>
                <w:lang w:eastAsia="en-GB"/>
              </w:rPr>
              <w:t>Actual</w:t>
            </w:r>
          </w:p>
        </w:tc>
        <w:tc>
          <w:tcPr>
            <w:tcW w:w="563" w:type="pct"/>
            <w:shd w:val="clear" w:color="auto" w:fill="5B9BD5"/>
            <w:noWrap/>
            <w:hideMark/>
          </w:tcPr>
          <w:p w14:paraId="354D2A07" w14:textId="30EB323F" w:rsidR="0062777E" w:rsidRPr="00BA6B2B" w:rsidRDefault="0062777E" w:rsidP="005849E4">
            <w:pPr>
              <w:jc w:val="center"/>
              <w:rPr>
                <w:b/>
                <w:color w:val="FFFFFF" w:themeColor="background1"/>
                <w:sz w:val="20"/>
                <w:szCs w:val="20"/>
                <w:lang w:eastAsia="en-GB"/>
              </w:rPr>
            </w:pPr>
            <w:r w:rsidRPr="00BA6B2B">
              <w:rPr>
                <w:b/>
                <w:color w:val="FFFFFF" w:themeColor="background1"/>
                <w:sz w:val="20"/>
                <w:szCs w:val="20"/>
                <w:lang w:eastAsia="en-GB"/>
              </w:rPr>
              <w:t>Budget</w:t>
            </w:r>
          </w:p>
        </w:tc>
        <w:tc>
          <w:tcPr>
            <w:tcW w:w="528" w:type="pct"/>
            <w:shd w:val="clear" w:color="auto" w:fill="5B9BD5"/>
            <w:noWrap/>
            <w:hideMark/>
          </w:tcPr>
          <w:p w14:paraId="6C5213A0" w14:textId="49F377A6" w:rsidR="0062777E" w:rsidRPr="00BA6B2B" w:rsidRDefault="0062777E" w:rsidP="005849E4">
            <w:pPr>
              <w:jc w:val="center"/>
              <w:rPr>
                <w:b/>
                <w:color w:val="FFFFFF" w:themeColor="background1"/>
                <w:sz w:val="20"/>
                <w:szCs w:val="20"/>
                <w:lang w:eastAsia="en-GB"/>
              </w:rPr>
            </w:pPr>
            <w:r w:rsidRPr="00BA6B2B">
              <w:rPr>
                <w:b/>
                <w:color w:val="FFFFFF" w:themeColor="background1"/>
                <w:sz w:val="20"/>
                <w:szCs w:val="20"/>
                <w:lang w:eastAsia="en-GB"/>
              </w:rPr>
              <w:t>Actual</w:t>
            </w:r>
          </w:p>
        </w:tc>
        <w:tc>
          <w:tcPr>
            <w:tcW w:w="547" w:type="pct"/>
            <w:shd w:val="clear" w:color="auto" w:fill="5B9BD5"/>
            <w:noWrap/>
            <w:hideMark/>
          </w:tcPr>
          <w:p w14:paraId="23C7CD19" w14:textId="1C41F033" w:rsidR="0062777E" w:rsidRPr="00BA6B2B" w:rsidRDefault="0062777E" w:rsidP="005849E4">
            <w:pPr>
              <w:jc w:val="center"/>
              <w:rPr>
                <w:b/>
                <w:color w:val="FFFFFF" w:themeColor="background1"/>
                <w:sz w:val="20"/>
                <w:szCs w:val="20"/>
                <w:lang w:eastAsia="en-GB"/>
              </w:rPr>
            </w:pPr>
            <w:r w:rsidRPr="00BA6B2B">
              <w:rPr>
                <w:b/>
                <w:color w:val="FFFFFF" w:themeColor="background1"/>
                <w:sz w:val="20"/>
                <w:szCs w:val="20"/>
                <w:lang w:eastAsia="en-GB"/>
              </w:rPr>
              <w:t>Budget</w:t>
            </w:r>
          </w:p>
        </w:tc>
        <w:tc>
          <w:tcPr>
            <w:tcW w:w="525" w:type="pct"/>
            <w:shd w:val="clear" w:color="auto" w:fill="5B9BD5"/>
            <w:noWrap/>
            <w:hideMark/>
          </w:tcPr>
          <w:p w14:paraId="4314082E" w14:textId="690E0B23" w:rsidR="0062777E" w:rsidRPr="00BA6B2B" w:rsidRDefault="0062777E" w:rsidP="005849E4">
            <w:pPr>
              <w:jc w:val="center"/>
              <w:rPr>
                <w:b/>
                <w:color w:val="FFFFFF" w:themeColor="background1"/>
                <w:sz w:val="20"/>
                <w:szCs w:val="20"/>
                <w:lang w:eastAsia="en-GB"/>
              </w:rPr>
            </w:pPr>
            <w:r w:rsidRPr="00BA6B2B">
              <w:rPr>
                <w:b/>
                <w:color w:val="FFFFFF" w:themeColor="background1"/>
                <w:sz w:val="20"/>
                <w:szCs w:val="20"/>
                <w:lang w:eastAsia="en-GB"/>
              </w:rPr>
              <w:t>Actual</w:t>
            </w:r>
          </w:p>
        </w:tc>
      </w:tr>
      <w:tr w:rsidR="0062777E" w:rsidRPr="00BA6B2B" w14:paraId="5FFE8817" w14:textId="77777777" w:rsidTr="00BA6B2B">
        <w:trPr>
          <w:gridAfter w:val="1"/>
          <w:wAfter w:w="3" w:type="pct"/>
          <w:trHeight w:val="255"/>
        </w:trPr>
        <w:tc>
          <w:tcPr>
            <w:tcW w:w="1783" w:type="pct"/>
            <w:shd w:val="clear" w:color="auto" w:fill="auto"/>
            <w:noWrap/>
            <w:hideMark/>
          </w:tcPr>
          <w:p w14:paraId="4D241562" w14:textId="77777777" w:rsidR="0062777E" w:rsidRPr="00BA6B2B" w:rsidRDefault="0062777E" w:rsidP="001E3161">
            <w:pPr>
              <w:rPr>
                <w:sz w:val="20"/>
                <w:szCs w:val="20"/>
                <w:lang w:eastAsia="en-GB"/>
              </w:rPr>
            </w:pPr>
            <w:r w:rsidRPr="00BA6B2B">
              <w:rPr>
                <w:sz w:val="20"/>
                <w:szCs w:val="20"/>
                <w:lang w:eastAsia="en-GB"/>
              </w:rPr>
              <w:t>Compensation of employees</w:t>
            </w:r>
          </w:p>
        </w:tc>
        <w:tc>
          <w:tcPr>
            <w:tcW w:w="525" w:type="pct"/>
            <w:shd w:val="clear" w:color="auto" w:fill="auto"/>
            <w:noWrap/>
            <w:hideMark/>
          </w:tcPr>
          <w:p w14:paraId="7C553AEC" w14:textId="77777777" w:rsidR="0062777E" w:rsidRPr="00BA6B2B" w:rsidRDefault="0062777E" w:rsidP="00953C6A">
            <w:pPr>
              <w:tabs>
                <w:tab w:val="decimal" w:pos="519"/>
              </w:tabs>
              <w:rPr>
                <w:sz w:val="20"/>
                <w:szCs w:val="20"/>
                <w:lang w:eastAsia="en-GB"/>
              </w:rPr>
            </w:pPr>
            <w:r w:rsidRPr="00BA6B2B">
              <w:rPr>
                <w:sz w:val="20"/>
                <w:szCs w:val="20"/>
                <w:lang w:eastAsia="en-GB"/>
              </w:rPr>
              <w:t>783.2</w:t>
            </w:r>
          </w:p>
        </w:tc>
        <w:tc>
          <w:tcPr>
            <w:tcW w:w="526" w:type="pct"/>
            <w:shd w:val="clear" w:color="auto" w:fill="auto"/>
            <w:noWrap/>
            <w:hideMark/>
          </w:tcPr>
          <w:p w14:paraId="6CC26645" w14:textId="77777777" w:rsidR="0062777E" w:rsidRPr="00BA6B2B" w:rsidRDefault="0062777E" w:rsidP="00953C6A">
            <w:pPr>
              <w:tabs>
                <w:tab w:val="decimal" w:pos="519"/>
              </w:tabs>
              <w:rPr>
                <w:sz w:val="20"/>
                <w:szCs w:val="20"/>
                <w:lang w:eastAsia="en-GB"/>
              </w:rPr>
            </w:pPr>
            <w:r w:rsidRPr="00BA6B2B">
              <w:rPr>
                <w:sz w:val="20"/>
                <w:szCs w:val="20"/>
                <w:lang w:eastAsia="en-GB"/>
              </w:rPr>
              <w:t>1,005.3</w:t>
            </w:r>
          </w:p>
        </w:tc>
        <w:tc>
          <w:tcPr>
            <w:tcW w:w="563" w:type="pct"/>
            <w:shd w:val="clear" w:color="auto" w:fill="auto"/>
            <w:noWrap/>
            <w:hideMark/>
          </w:tcPr>
          <w:p w14:paraId="78DA4CB0" w14:textId="77777777" w:rsidR="0062777E" w:rsidRPr="00BA6B2B" w:rsidRDefault="0062777E" w:rsidP="00953C6A">
            <w:pPr>
              <w:tabs>
                <w:tab w:val="decimal" w:pos="519"/>
              </w:tabs>
              <w:rPr>
                <w:sz w:val="20"/>
                <w:szCs w:val="20"/>
                <w:lang w:eastAsia="en-GB"/>
              </w:rPr>
            </w:pPr>
            <w:r w:rsidRPr="00BA6B2B">
              <w:rPr>
                <w:sz w:val="20"/>
                <w:szCs w:val="20"/>
                <w:lang w:eastAsia="en-GB"/>
              </w:rPr>
              <w:t>1,492.3</w:t>
            </w:r>
          </w:p>
        </w:tc>
        <w:tc>
          <w:tcPr>
            <w:tcW w:w="528" w:type="pct"/>
            <w:shd w:val="clear" w:color="auto" w:fill="auto"/>
            <w:noWrap/>
            <w:hideMark/>
          </w:tcPr>
          <w:p w14:paraId="69BD043B" w14:textId="77777777" w:rsidR="0062777E" w:rsidRPr="00BA6B2B" w:rsidRDefault="0062777E" w:rsidP="00953C6A">
            <w:pPr>
              <w:tabs>
                <w:tab w:val="decimal" w:pos="519"/>
              </w:tabs>
              <w:rPr>
                <w:sz w:val="20"/>
                <w:szCs w:val="20"/>
                <w:lang w:eastAsia="en-GB"/>
              </w:rPr>
            </w:pPr>
            <w:r w:rsidRPr="00BA6B2B">
              <w:rPr>
                <w:sz w:val="20"/>
                <w:szCs w:val="20"/>
                <w:lang w:eastAsia="en-GB"/>
              </w:rPr>
              <w:t>1,403.5</w:t>
            </w:r>
          </w:p>
        </w:tc>
        <w:tc>
          <w:tcPr>
            <w:tcW w:w="547" w:type="pct"/>
            <w:shd w:val="clear" w:color="auto" w:fill="auto"/>
            <w:noWrap/>
            <w:hideMark/>
          </w:tcPr>
          <w:p w14:paraId="135834DC" w14:textId="77777777" w:rsidR="0062777E" w:rsidRPr="00BA6B2B" w:rsidRDefault="0062777E" w:rsidP="00953C6A">
            <w:pPr>
              <w:tabs>
                <w:tab w:val="decimal" w:pos="519"/>
              </w:tabs>
              <w:rPr>
                <w:sz w:val="20"/>
                <w:szCs w:val="20"/>
                <w:lang w:eastAsia="en-GB"/>
              </w:rPr>
            </w:pPr>
            <w:r w:rsidRPr="00BA6B2B">
              <w:rPr>
                <w:sz w:val="20"/>
                <w:szCs w:val="20"/>
                <w:lang w:eastAsia="en-GB"/>
              </w:rPr>
              <w:t>1,641.5</w:t>
            </w:r>
          </w:p>
        </w:tc>
        <w:tc>
          <w:tcPr>
            <w:tcW w:w="525" w:type="pct"/>
            <w:shd w:val="clear" w:color="auto" w:fill="auto"/>
            <w:noWrap/>
            <w:hideMark/>
          </w:tcPr>
          <w:p w14:paraId="39F0A534" w14:textId="77777777" w:rsidR="0062777E" w:rsidRPr="00BA6B2B" w:rsidRDefault="0062777E" w:rsidP="00953C6A">
            <w:pPr>
              <w:tabs>
                <w:tab w:val="decimal" w:pos="519"/>
              </w:tabs>
              <w:rPr>
                <w:sz w:val="20"/>
                <w:szCs w:val="20"/>
                <w:lang w:eastAsia="en-GB"/>
              </w:rPr>
            </w:pPr>
            <w:r w:rsidRPr="00BA6B2B">
              <w:rPr>
                <w:sz w:val="20"/>
                <w:szCs w:val="20"/>
                <w:lang w:eastAsia="en-GB"/>
              </w:rPr>
              <w:t>1,545.5</w:t>
            </w:r>
          </w:p>
        </w:tc>
      </w:tr>
      <w:tr w:rsidR="0062777E" w:rsidRPr="00BA6B2B" w14:paraId="7FC0A806" w14:textId="77777777" w:rsidTr="00BA6B2B">
        <w:trPr>
          <w:gridAfter w:val="1"/>
          <w:wAfter w:w="3" w:type="pct"/>
          <w:trHeight w:val="255"/>
        </w:trPr>
        <w:tc>
          <w:tcPr>
            <w:tcW w:w="1783" w:type="pct"/>
            <w:shd w:val="clear" w:color="auto" w:fill="auto"/>
            <w:noWrap/>
            <w:hideMark/>
          </w:tcPr>
          <w:p w14:paraId="42B7D025" w14:textId="77777777" w:rsidR="0062777E" w:rsidRPr="00BA6B2B" w:rsidRDefault="0062777E" w:rsidP="001E3161">
            <w:pPr>
              <w:rPr>
                <w:sz w:val="20"/>
                <w:szCs w:val="20"/>
                <w:lang w:eastAsia="en-GB"/>
              </w:rPr>
            </w:pPr>
            <w:r w:rsidRPr="00BA6B2B">
              <w:rPr>
                <w:sz w:val="20"/>
                <w:szCs w:val="20"/>
                <w:lang w:eastAsia="en-GB"/>
              </w:rPr>
              <w:t>Use of goods and services</w:t>
            </w:r>
          </w:p>
        </w:tc>
        <w:tc>
          <w:tcPr>
            <w:tcW w:w="525" w:type="pct"/>
            <w:shd w:val="clear" w:color="auto" w:fill="auto"/>
            <w:noWrap/>
            <w:hideMark/>
          </w:tcPr>
          <w:p w14:paraId="20B8E399" w14:textId="77777777" w:rsidR="0062777E" w:rsidRPr="00BA6B2B" w:rsidRDefault="0062777E" w:rsidP="00953C6A">
            <w:pPr>
              <w:tabs>
                <w:tab w:val="decimal" w:pos="519"/>
              </w:tabs>
              <w:rPr>
                <w:sz w:val="20"/>
                <w:szCs w:val="20"/>
                <w:lang w:eastAsia="en-GB"/>
              </w:rPr>
            </w:pPr>
            <w:r w:rsidRPr="00BA6B2B">
              <w:rPr>
                <w:sz w:val="20"/>
                <w:szCs w:val="20"/>
                <w:lang w:eastAsia="en-GB"/>
              </w:rPr>
              <w:t>2,196.5</w:t>
            </w:r>
          </w:p>
        </w:tc>
        <w:tc>
          <w:tcPr>
            <w:tcW w:w="526" w:type="pct"/>
            <w:shd w:val="clear" w:color="auto" w:fill="auto"/>
            <w:noWrap/>
            <w:hideMark/>
          </w:tcPr>
          <w:p w14:paraId="70003B59" w14:textId="77777777" w:rsidR="0062777E" w:rsidRPr="00BA6B2B" w:rsidRDefault="0062777E" w:rsidP="00953C6A">
            <w:pPr>
              <w:tabs>
                <w:tab w:val="decimal" w:pos="519"/>
              </w:tabs>
              <w:rPr>
                <w:sz w:val="20"/>
                <w:szCs w:val="20"/>
                <w:lang w:eastAsia="en-GB"/>
              </w:rPr>
            </w:pPr>
            <w:r w:rsidRPr="00BA6B2B">
              <w:rPr>
                <w:sz w:val="20"/>
                <w:szCs w:val="20"/>
                <w:lang w:eastAsia="en-GB"/>
              </w:rPr>
              <w:t>1,604.6</w:t>
            </w:r>
          </w:p>
        </w:tc>
        <w:tc>
          <w:tcPr>
            <w:tcW w:w="563" w:type="pct"/>
            <w:shd w:val="clear" w:color="auto" w:fill="auto"/>
            <w:noWrap/>
            <w:hideMark/>
          </w:tcPr>
          <w:p w14:paraId="53F1AC35" w14:textId="77777777" w:rsidR="0062777E" w:rsidRPr="00BA6B2B" w:rsidRDefault="0062777E" w:rsidP="00953C6A">
            <w:pPr>
              <w:tabs>
                <w:tab w:val="decimal" w:pos="519"/>
              </w:tabs>
              <w:rPr>
                <w:sz w:val="20"/>
                <w:szCs w:val="20"/>
                <w:lang w:eastAsia="en-GB"/>
              </w:rPr>
            </w:pPr>
            <w:r w:rsidRPr="00BA6B2B">
              <w:rPr>
                <w:sz w:val="20"/>
                <w:szCs w:val="20"/>
                <w:lang w:eastAsia="en-GB"/>
              </w:rPr>
              <w:t>2,131.4</w:t>
            </w:r>
          </w:p>
        </w:tc>
        <w:tc>
          <w:tcPr>
            <w:tcW w:w="528" w:type="pct"/>
            <w:shd w:val="clear" w:color="auto" w:fill="auto"/>
            <w:noWrap/>
            <w:hideMark/>
          </w:tcPr>
          <w:p w14:paraId="7968563A" w14:textId="77777777" w:rsidR="0062777E" w:rsidRPr="00BA6B2B" w:rsidRDefault="0062777E" w:rsidP="00953C6A">
            <w:pPr>
              <w:tabs>
                <w:tab w:val="decimal" w:pos="519"/>
              </w:tabs>
              <w:rPr>
                <w:sz w:val="20"/>
                <w:szCs w:val="20"/>
                <w:lang w:eastAsia="en-GB"/>
              </w:rPr>
            </w:pPr>
            <w:r w:rsidRPr="00BA6B2B">
              <w:rPr>
                <w:sz w:val="20"/>
                <w:szCs w:val="20"/>
                <w:lang w:eastAsia="en-GB"/>
              </w:rPr>
              <w:t>2,618.9</w:t>
            </w:r>
          </w:p>
        </w:tc>
        <w:tc>
          <w:tcPr>
            <w:tcW w:w="547" w:type="pct"/>
            <w:shd w:val="clear" w:color="auto" w:fill="auto"/>
            <w:noWrap/>
            <w:hideMark/>
          </w:tcPr>
          <w:p w14:paraId="32C0DB45" w14:textId="77777777" w:rsidR="0062777E" w:rsidRPr="00BA6B2B" w:rsidRDefault="0062777E" w:rsidP="00953C6A">
            <w:pPr>
              <w:tabs>
                <w:tab w:val="decimal" w:pos="519"/>
              </w:tabs>
              <w:rPr>
                <w:sz w:val="20"/>
                <w:szCs w:val="20"/>
                <w:lang w:eastAsia="en-GB"/>
              </w:rPr>
            </w:pPr>
            <w:r w:rsidRPr="00BA6B2B">
              <w:rPr>
                <w:sz w:val="20"/>
                <w:szCs w:val="20"/>
                <w:lang w:eastAsia="en-GB"/>
              </w:rPr>
              <w:t>2,285.9</w:t>
            </w:r>
          </w:p>
        </w:tc>
        <w:tc>
          <w:tcPr>
            <w:tcW w:w="525" w:type="pct"/>
            <w:shd w:val="clear" w:color="auto" w:fill="auto"/>
            <w:noWrap/>
            <w:hideMark/>
          </w:tcPr>
          <w:p w14:paraId="2BA8A4A2" w14:textId="77777777" w:rsidR="0062777E" w:rsidRPr="00BA6B2B" w:rsidRDefault="0062777E" w:rsidP="00953C6A">
            <w:pPr>
              <w:tabs>
                <w:tab w:val="decimal" w:pos="519"/>
              </w:tabs>
              <w:rPr>
                <w:sz w:val="20"/>
                <w:szCs w:val="20"/>
                <w:lang w:eastAsia="en-GB"/>
              </w:rPr>
            </w:pPr>
            <w:r w:rsidRPr="00BA6B2B">
              <w:rPr>
                <w:sz w:val="20"/>
                <w:szCs w:val="20"/>
                <w:lang w:eastAsia="en-GB"/>
              </w:rPr>
              <w:t>2,826.8</w:t>
            </w:r>
          </w:p>
        </w:tc>
      </w:tr>
      <w:tr w:rsidR="0062777E" w:rsidRPr="00BA6B2B" w14:paraId="08481C45" w14:textId="77777777" w:rsidTr="00BA6B2B">
        <w:trPr>
          <w:gridAfter w:val="1"/>
          <w:wAfter w:w="3" w:type="pct"/>
          <w:trHeight w:val="255"/>
        </w:trPr>
        <w:tc>
          <w:tcPr>
            <w:tcW w:w="1783" w:type="pct"/>
            <w:shd w:val="clear" w:color="auto" w:fill="auto"/>
            <w:noWrap/>
            <w:hideMark/>
          </w:tcPr>
          <w:p w14:paraId="1CFAF1D5" w14:textId="77777777" w:rsidR="0062777E" w:rsidRPr="00BA6B2B" w:rsidRDefault="0062777E" w:rsidP="001E3161">
            <w:pPr>
              <w:rPr>
                <w:sz w:val="20"/>
                <w:szCs w:val="20"/>
                <w:lang w:eastAsia="en-GB"/>
              </w:rPr>
            </w:pPr>
            <w:r w:rsidRPr="00BA6B2B">
              <w:rPr>
                <w:sz w:val="20"/>
                <w:szCs w:val="20"/>
                <w:lang w:eastAsia="en-GB"/>
              </w:rPr>
              <w:t>Consumption of fixed capital</w:t>
            </w:r>
          </w:p>
        </w:tc>
        <w:tc>
          <w:tcPr>
            <w:tcW w:w="525" w:type="pct"/>
            <w:shd w:val="clear" w:color="auto" w:fill="auto"/>
            <w:noWrap/>
            <w:hideMark/>
          </w:tcPr>
          <w:p w14:paraId="621C3166" w14:textId="77777777" w:rsidR="0062777E" w:rsidRPr="00BA6B2B" w:rsidRDefault="0062777E" w:rsidP="00953C6A">
            <w:pPr>
              <w:tabs>
                <w:tab w:val="decimal" w:pos="519"/>
              </w:tabs>
              <w:rPr>
                <w:sz w:val="20"/>
                <w:szCs w:val="20"/>
                <w:lang w:eastAsia="en-GB"/>
              </w:rPr>
            </w:pPr>
            <w:r w:rsidRPr="00BA6B2B">
              <w:rPr>
                <w:sz w:val="20"/>
                <w:szCs w:val="20"/>
                <w:lang w:eastAsia="en-GB"/>
              </w:rPr>
              <w:t>1,062.8</w:t>
            </w:r>
          </w:p>
        </w:tc>
        <w:tc>
          <w:tcPr>
            <w:tcW w:w="526" w:type="pct"/>
            <w:shd w:val="clear" w:color="auto" w:fill="auto"/>
            <w:noWrap/>
            <w:hideMark/>
          </w:tcPr>
          <w:p w14:paraId="6E9FF8A8"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63" w:type="pct"/>
            <w:shd w:val="clear" w:color="auto" w:fill="auto"/>
            <w:noWrap/>
            <w:hideMark/>
          </w:tcPr>
          <w:p w14:paraId="0A1346BC" w14:textId="77777777" w:rsidR="0062777E" w:rsidRPr="00BA6B2B" w:rsidRDefault="0062777E" w:rsidP="00953C6A">
            <w:pPr>
              <w:tabs>
                <w:tab w:val="decimal" w:pos="519"/>
              </w:tabs>
              <w:rPr>
                <w:sz w:val="20"/>
                <w:szCs w:val="20"/>
                <w:lang w:eastAsia="en-GB"/>
              </w:rPr>
            </w:pPr>
            <w:r w:rsidRPr="00BA6B2B">
              <w:rPr>
                <w:sz w:val="20"/>
                <w:szCs w:val="20"/>
                <w:lang w:eastAsia="en-GB"/>
              </w:rPr>
              <w:t>2,044.8</w:t>
            </w:r>
          </w:p>
        </w:tc>
        <w:tc>
          <w:tcPr>
            <w:tcW w:w="528" w:type="pct"/>
            <w:shd w:val="clear" w:color="auto" w:fill="auto"/>
            <w:noWrap/>
            <w:hideMark/>
          </w:tcPr>
          <w:p w14:paraId="208D5DF6"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47" w:type="pct"/>
            <w:shd w:val="clear" w:color="auto" w:fill="auto"/>
            <w:noWrap/>
            <w:hideMark/>
          </w:tcPr>
          <w:p w14:paraId="6A5A5AAA" w14:textId="77777777" w:rsidR="0062777E" w:rsidRPr="00BA6B2B" w:rsidRDefault="0062777E" w:rsidP="00953C6A">
            <w:pPr>
              <w:tabs>
                <w:tab w:val="decimal" w:pos="519"/>
              </w:tabs>
              <w:rPr>
                <w:sz w:val="20"/>
                <w:szCs w:val="20"/>
                <w:lang w:eastAsia="en-GB"/>
              </w:rPr>
            </w:pPr>
            <w:r w:rsidRPr="00BA6B2B">
              <w:rPr>
                <w:sz w:val="20"/>
                <w:szCs w:val="20"/>
                <w:lang w:eastAsia="en-GB"/>
              </w:rPr>
              <w:t>2,661.4</w:t>
            </w:r>
          </w:p>
        </w:tc>
        <w:tc>
          <w:tcPr>
            <w:tcW w:w="525" w:type="pct"/>
            <w:shd w:val="clear" w:color="auto" w:fill="auto"/>
            <w:noWrap/>
            <w:hideMark/>
          </w:tcPr>
          <w:p w14:paraId="275523B8"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r>
      <w:tr w:rsidR="0062777E" w:rsidRPr="00BA6B2B" w14:paraId="350FD705" w14:textId="77777777" w:rsidTr="00BA6B2B">
        <w:trPr>
          <w:gridAfter w:val="1"/>
          <w:wAfter w:w="3" w:type="pct"/>
          <w:trHeight w:val="255"/>
        </w:trPr>
        <w:tc>
          <w:tcPr>
            <w:tcW w:w="1783" w:type="pct"/>
            <w:shd w:val="clear" w:color="auto" w:fill="auto"/>
            <w:noWrap/>
            <w:hideMark/>
          </w:tcPr>
          <w:p w14:paraId="51712F0C" w14:textId="77777777" w:rsidR="0062777E" w:rsidRPr="00BA6B2B" w:rsidRDefault="0062777E" w:rsidP="001E3161">
            <w:pPr>
              <w:rPr>
                <w:sz w:val="20"/>
                <w:szCs w:val="20"/>
                <w:lang w:eastAsia="en-GB"/>
              </w:rPr>
            </w:pPr>
            <w:r w:rsidRPr="00BA6B2B">
              <w:rPr>
                <w:sz w:val="20"/>
                <w:szCs w:val="20"/>
                <w:lang w:eastAsia="en-GB"/>
              </w:rPr>
              <w:t>Interest</w:t>
            </w:r>
          </w:p>
        </w:tc>
        <w:tc>
          <w:tcPr>
            <w:tcW w:w="525" w:type="pct"/>
            <w:shd w:val="clear" w:color="auto" w:fill="auto"/>
            <w:noWrap/>
            <w:hideMark/>
          </w:tcPr>
          <w:p w14:paraId="7E26D119"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6" w:type="pct"/>
            <w:shd w:val="clear" w:color="auto" w:fill="auto"/>
            <w:noWrap/>
            <w:hideMark/>
          </w:tcPr>
          <w:p w14:paraId="3230A1F2"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63" w:type="pct"/>
            <w:shd w:val="clear" w:color="auto" w:fill="auto"/>
            <w:noWrap/>
            <w:hideMark/>
          </w:tcPr>
          <w:p w14:paraId="0EC1901E"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8" w:type="pct"/>
            <w:shd w:val="clear" w:color="auto" w:fill="auto"/>
            <w:noWrap/>
            <w:hideMark/>
          </w:tcPr>
          <w:p w14:paraId="32C28227" w14:textId="77777777" w:rsidR="0062777E" w:rsidRPr="00BA6B2B" w:rsidRDefault="0062777E" w:rsidP="00953C6A">
            <w:pPr>
              <w:tabs>
                <w:tab w:val="decimal" w:pos="519"/>
              </w:tabs>
              <w:rPr>
                <w:sz w:val="20"/>
                <w:szCs w:val="20"/>
                <w:lang w:eastAsia="en-GB"/>
              </w:rPr>
            </w:pPr>
            <w:r w:rsidRPr="00BA6B2B">
              <w:rPr>
                <w:sz w:val="20"/>
                <w:szCs w:val="20"/>
                <w:lang w:eastAsia="en-GB"/>
              </w:rPr>
              <w:t>25.0</w:t>
            </w:r>
          </w:p>
        </w:tc>
        <w:tc>
          <w:tcPr>
            <w:tcW w:w="547" w:type="pct"/>
            <w:shd w:val="clear" w:color="auto" w:fill="auto"/>
            <w:noWrap/>
            <w:hideMark/>
          </w:tcPr>
          <w:p w14:paraId="6B07CEEF"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5" w:type="pct"/>
            <w:shd w:val="clear" w:color="auto" w:fill="auto"/>
            <w:noWrap/>
            <w:hideMark/>
          </w:tcPr>
          <w:p w14:paraId="259A8C94" w14:textId="77777777" w:rsidR="0062777E" w:rsidRPr="00BA6B2B" w:rsidRDefault="0062777E" w:rsidP="00953C6A">
            <w:pPr>
              <w:tabs>
                <w:tab w:val="decimal" w:pos="519"/>
              </w:tabs>
              <w:rPr>
                <w:sz w:val="20"/>
                <w:szCs w:val="20"/>
                <w:lang w:eastAsia="en-GB"/>
              </w:rPr>
            </w:pPr>
            <w:r w:rsidRPr="00BA6B2B">
              <w:rPr>
                <w:sz w:val="20"/>
                <w:szCs w:val="20"/>
                <w:lang w:eastAsia="en-GB"/>
              </w:rPr>
              <w:t>31.2</w:t>
            </w:r>
          </w:p>
        </w:tc>
      </w:tr>
      <w:tr w:rsidR="0062777E" w:rsidRPr="00BA6B2B" w14:paraId="214C3313" w14:textId="77777777" w:rsidTr="00BA6B2B">
        <w:trPr>
          <w:gridAfter w:val="1"/>
          <w:wAfter w:w="3" w:type="pct"/>
          <w:trHeight w:val="255"/>
        </w:trPr>
        <w:tc>
          <w:tcPr>
            <w:tcW w:w="1783" w:type="pct"/>
            <w:shd w:val="clear" w:color="auto" w:fill="auto"/>
            <w:noWrap/>
            <w:hideMark/>
          </w:tcPr>
          <w:p w14:paraId="3BB898B5" w14:textId="77777777" w:rsidR="0062777E" w:rsidRPr="00BA6B2B" w:rsidRDefault="0062777E" w:rsidP="001E3161">
            <w:pPr>
              <w:rPr>
                <w:sz w:val="20"/>
                <w:szCs w:val="20"/>
                <w:lang w:eastAsia="en-GB"/>
              </w:rPr>
            </w:pPr>
            <w:r w:rsidRPr="00BA6B2B">
              <w:rPr>
                <w:sz w:val="20"/>
                <w:szCs w:val="20"/>
                <w:lang w:eastAsia="en-GB"/>
              </w:rPr>
              <w:t>Subsidies</w:t>
            </w:r>
          </w:p>
        </w:tc>
        <w:tc>
          <w:tcPr>
            <w:tcW w:w="525" w:type="pct"/>
            <w:shd w:val="clear" w:color="auto" w:fill="auto"/>
            <w:noWrap/>
            <w:hideMark/>
          </w:tcPr>
          <w:p w14:paraId="33C732F1"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6" w:type="pct"/>
            <w:shd w:val="clear" w:color="auto" w:fill="auto"/>
            <w:noWrap/>
            <w:hideMark/>
          </w:tcPr>
          <w:p w14:paraId="7BFA238F"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63" w:type="pct"/>
            <w:shd w:val="clear" w:color="auto" w:fill="auto"/>
            <w:noWrap/>
            <w:hideMark/>
          </w:tcPr>
          <w:p w14:paraId="46332740"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8" w:type="pct"/>
            <w:shd w:val="clear" w:color="auto" w:fill="auto"/>
            <w:noWrap/>
            <w:hideMark/>
          </w:tcPr>
          <w:p w14:paraId="3375974B" w14:textId="77777777" w:rsidR="0062777E" w:rsidRPr="00BA6B2B" w:rsidRDefault="0062777E" w:rsidP="00953C6A">
            <w:pPr>
              <w:tabs>
                <w:tab w:val="decimal" w:pos="519"/>
              </w:tabs>
              <w:rPr>
                <w:sz w:val="20"/>
                <w:szCs w:val="20"/>
                <w:lang w:eastAsia="en-GB"/>
              </w:rPr>
            </w:pPr>
            <w:r w:rsidRPr="00BA6B2B">
              <w:rPr>
                <w:sz w:val="20"/>
                <w:szCs w:val="20"/>
                <w:lang w:eastAsia="en-GB"/>
              </w:rPr>
              <w:t>181.2</w:t>
            </w:r>
          </w:p>
        </w:tc>
        <w:tc>
          <w:tcPr>
            <w:tcW w:w="547" w:type="pct"/>
            <w:shd w:val="clear" w:color="auto" w:fill="auto"/>
            <w:noWrap/>
            <w:hideMark/>
          </w:tcPr>
          <w:p w14:paraId="4139F84E"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5" w:type="pct"/>
            <w:shd w:val="clear" w:color="auto" w:fill="auto"/>
            <w:noWrap/>
            <w:hideMark/>
          </w:tcPr>
          <w:p w14:paraId="67F79CEE"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r>
      <w:tr w:rsidR="0062777E" w:rsidRPr="00BA6B2B" w14:paraId="3DCD7986" w14:textId="77777777" w:rsidTr="00BA6B2B">
        <w:trPr>
          <w:gridAfter w:val="1"/>
          <w:wAfter w:w="3" w:type="pct"/>
          <w:trHeight w:val="255"/>
        </w:trPr>
        <w:tc>
          <w:tcPr>
            <w:tcW w:w="1783" w:type="pct"/>
            <w:shd w:val="clear" w:color="auto" w:fill="auto"/>
            <w:noWrap/>
            <w:hideMark/>
          </w:tcPr>
          <w:p w14:paraId="035026DD" w14:textId="77777777" w:rsidR="0062777E" w:rsidRPr="00BA6B2B" w:rsidRDefault="0062777E" w:rsidP="001E3161">
            <w:pPr>
              <w:rPr>
                <w:sz w:val="20"/>
                <w:szCs w:val="20"/>
                <w:lang w:eastAsia="en-GB"/>
              </w:rPr>
            </w:pPr>
            <w:r w:rsidRPr="00BA6B2B">
              <w:rPr>
                <w:sz w:val="20"/>
                <w:szCs w:val="20"/>
                <w:lang w:eastAsia="en-GB"/>
              </w:rPr>
              <w:t>Grants</w:t>
            </w:r>
          </w:p>
        </w:tc>
        <w:tc>
          <w:tcPr>
            <w:tcW w:w="525" w:type="pct"/>
            <w:shd w:val="clear" w:color="auto" w:fill="auto"/>
            <w:noWrap/>
            <w:hideMark/>
          </w:tcPr>
          <w:p w14:paraId="34EFA049"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6" w:type="pct"/>
            <w:shd w:val="clear" w:color="auto" w:fill="auto"/>
            <w:noWrap/>
            <w:hideMark/>
          </w:tcPr>
          <w:p w14:paraId="67E4EC9B" w14:textId="77777777" w:rsidR="0062777E" w:rsidRPr="00BA6B2B" w:rsidRDefault="0062777E" w:rsidP="00953C6A">
            <w:pPr>
              <w:tabs>
                <w:tab w:val="decimal" w:pos="519"/>
              </w:tabs>
              <w:rPr>
                <w:sz w:val="20"/>
                <w:szCs w:val="20"/>
                <w:lang w:eastAsia="en-GB"/>
              </w:rPr>
            </w:pPr>
            <w:r w:rsidRPr="00BA6B2B">
              <w:rPr>
                <w:sz w:val="20"/>
                <w:szCs w:val="20"/>
                <w:lang w:eastAsia="en-GB"/>
              </w:rPr>
              <w:t>179.2</w:t>
            </w:r>
          </w:p>
        </w:tc>
        <w:tc>
          <w:tcPr>
            <w:tcW w:w="563" w:type="pct"/>
            <w:shd w:val="clear" w:color="auto" w:fill="auto"/>
            <w:noWrap/>
            <w:hideMark/>
          </w:tcPr>
          <w:p w14:paraId="5455F037"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8" w:type="pct"/>
            <w:shd w:val="clear" w:color="auto" w:fill="auto"/>
            <w:noWrap/>
            <w:hideMark/>
          </w:tcPr>
          <w:p w14:paraId="7FED5C1F" w14:textId="77777777" w:rsidR="0062777E" w:rsidRPr="00BA6B2B" w:rsidRDefault="0062777E" w:rsidP="00953C6A">
            <w:pPr>
              <w:tabs>
                <w:tab w:val="decimal" w:pos="519"/>
              </w:tabs>
              <w:rPr>
                <w:sz w:val="20"/>
                <w:szCs w:val="20"/>
                <w:lang w:eastAsia="en-GB"/>
              </w:rPr>
            </w:pPr>
            <w:r w:rsidRPr="00BA6B2B">
              <w:rPr>
                <w:sz w:val="20"/>
                <w:szCs w:val="20"/>
                <w:lang w:eastAsia="en-GB"/>
              </w:rPr>
              <w:t>149.9</w:t>
            </w:r>
          </w:p>
        </w:tc>
        <w:tc>
          <w:tcPr>
            <w:tcW w:w="547" w:type="pct"/>
            <w:shd w:val="clear" w:color="auto" w:fill="auto"/>
            <w:noWrap/>
            <w:hideMark/>
          </w:tcPr>
          <w:p w14:paraId="4FF411EA"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5" w:type="pct"/>
            <w:shd w:val="clear" w:color="auto" w:fill="auto"/>
            <w:noWrap/>
            <w:hideMark/>
          </w:tcPr>
          <w:p w14:paraId="61601333" w14:textId="77777777" w:rsidR="0062777E" w:rsidRPr="00BA6B2B" w:rsidRDefault="0062777E" w:rsidP="00953C6A">
            <w:pPr>
              <w:tabs>
                <w:tab w:val="decimal" w:pos="519"/>
              </w:tabs>
              <w:rPr>
                <w:sz w:val="20"/>
                <w:szCs w:val="20"/>
                <w:lang w:eastAsia="en-GB"/>
              </w:rPr>
            </w:pPr>
            <w:r w:rsidRPr="00BA6B2B">
              <w:rPr>
                <w:sz w:val="20"/>
                <w:szCs w:val="20"/>
                <w:lang w:eastAsia="en-GB"/>
              </w:rPr>
              <w:t>578.2</w:t>
            </w:r>
          </w:p>
        </w:tc>
      </w:tr>
      <w:tr w:rsidR="0062777E" w:rsidRPr="00BA6B2B" w14:paraId="530A4C3B" w14:textId="77777777" w:rsidTr="00BA6B2B">
        <w:trPr>
          <w:gridAfter w:val="1"/>
          <w:wAfter w:w="3" w:type="pct"/>
          <w:trHeight w:val="255"/>
        </w:trPr>
        <w:tc>
          <w:tcPr>
            <w:tcW w:w="1783" w:type="pct"/>
            <w:shd w:val="clear" w:color="auto" w:fill="auto"/>
            <w:noWrap/>
            <w:hideMark/>
          </w:tcPr>
          <w:p w14:paraId="0EBBD609" w14:textId="77777777" w:rsidR="0062777E" w:rsidRPr="00BA6B2B" w:rsidRDefault="0062777E" w:rsidP="001E3161">
            <w:pPr>
              <w:rPr>
                <w:sz w:val="20"/>
                <w:szCs w:val="20"/>
                <w:lang w:eastAsia="en-GB"/>
              </w:rPr>
            </w:pPr>
            <w:r w:rsidRPr="00BA6B2B">
              <w:rPr>
                <w:sz w:val="20"/>
                <w:szCs w:val="20"/>
                <w:lang w:eastAsia="en-GB"/>
              </w:rPr>
              <w:t>Social benefits</w:t>
            </w:r>
          </w:p>
        </w:tc>
        <w:tc>
          <w:tcPr>
            <w:tcW w:w="525" w:type="pct"/>
            <w:shd w:val="clear" w:color="auto" w:fill="auto"/>
            <w:noWrap/>
            <w:hideMark/>
          </w:tcPr>
          <w:p w14:paraId="570ECE44"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6" w:type="pct"/>
            <w:shd w:val="clear" w:color="auto" w:fill="auto"/>
            <w:noWrap/>
            <w:hideMark/>
          </w:tcPr>
          <w:p w14:paraId="6E0BECFA"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63" w:type="pct"/>
            <w:shd w:val="clear" w:color="auto" w:fill="auto"/>
            <w:noWrap/>
            <w:hideMark/>
          </w:tcPr>
          <w:p w14:paraId="5A8F30B3"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8" w:type="pct"/>
            <w:shd w:val="clear" w:color="auto" w:fill="auto"/>
            <w:noWrap/>
            <w:hideMark/>
          </w:tcPr>
          <w:p w14:paraId="424C22DC" w14:textId="77777777" w:rsidR="0062777E" w:rsidRPr="00BA6B2B" w:rsidRDefault="0062777E" w:rsidP="00953C6A">
            <w:pPr>
              <w:tabs>
                <w:tab w:val="decimal" w:pos="519"/>
              </w:tabs>
              <w:rPr>
                <w:sz w:val="20"/>
                <w:szCs w:val="20"/>
                <w:lang w:eastAsia="en-GB"/>
              </w:rPr>
            </w:pPr>
            <w:r w:rsidRPr="00BA6B2B">
              <w:rPr>
                <w:sz w:val="20"/>
                <w:szCs w:val="20"/>
                <w:lang w:eastAsia="en-GB"/>
              </w:rPr>
              <w:t>42.9</w:t>
            </w:r>
          </w:p>
        </w:tc>
        <w:tc>
          <w:tcPr>
            <w:tcW w:w="547" w:type="pct"/>
            <w:shd w:val="clear" w:color="auto" w:fill="auto"/>
            <w:noWrap/>
            <w:hideMark/>
          </w:tcPr>
          <w:p w14:paraId="7DE237F9"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5" w:type="pct"/>
            <w:shd w:val="clear" w:color="auto" w:fill="auto"/>
            <w:noWrap/>
            <w:hideMark/>
          </w:tcPr>
          <w:p w14:paraId="6A8A346E" w14:textId="77777777" w:rsidR="0062777E" w:rsidRPr="00BA6B2B" w:rsidRDefault="0062777E" w:rsidP="00953C6A">
            <w:pPr>
              <w:tabs>
                <w:tab w:val="decimal" w:pos="519"/>
              </w:tabs>
              <w:rPr>
                <w:sz w:val="20"/>
                <w:szCs w:val="20"/>
                <w:lang w:eastAsia="en-GB"/>
              </w:rPr>
            </w:pPr>
            <w:r w:rsidRPr="00BA6B2B">
              <w:rPr>
                <w:sz w:val="20"/>
                <w:szCs w:val="20"/>
                <w:lang w:eastAsia="en-GB"/>
              </w:rPr>
              <w:t>35.0</w:t>
            </w:r>
          </w:p>
        </w:tc>
      </w:tr>
      <w:tr w:rsidR="0062777E" w:rsidRPr="00BA6B2B" w14:paraId="1CC7E89E" w14:textId="77777777" w:rsidTr="00BA6B2B">
        <w:trPr>
          <w:gridAfter w:val="1"/>
          <w:wAfter w:w="3" w:type="pct"/>
          <w:trHeight w:val="255"/>
        </w:trPr>
        <w:tc>
          <w:tcPr>
            <w:tcW w:w="1783" w:type="pct"/>
            <w:shd w:val="clear" w:color="auto" w:fill="auto"/>
            <w:noWrap/>
            <w:hideMark/>
          </w:tcPr>
          <w:p w14:paraId="4D1B5F54" w14:textId="77777777" w:rsidR="0062777E" w:rsidRPr="00BA6B2B" w:rsidRDefault="0062777E" w:rsidP="001E3161">
            <w:pPr>
              <w:rPr>
                <w:sz w:val="20"/>
                <w:szCs w:val="20"/>
                <w:lang w:eastAsia="en-GB"/>
              </w:rPr>
            </w:pPr>
            <w:r w:rsidRPr="00BA6B2B">
              <w:rPr>
                <w:sz w:val="20"/>
                <w:szCs w:val="20"/>
                <w:lang w:eastAsia="en-GB"/>
              </w:rPr>
              <w:t>Other expenses</w:t>
            </w:r>
          </w:p>
        </w:tc>
        <w:tc>
          <w:tcPr>
            <w:tcW w:w="525" w:type="pct"/>
            <w:shd w:val="clear" w:color="auto" w:fill="auto"/>
            <w:noWrap/>
            <w:hideMark/>
          </w:tcPr>
          <w:p w14:paraId="2E2508EF"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6" w:type="pct"/>
            <w:shd w:val="clear" w:color="auto" w:fill="auto"/>
            <w:noWrap/>
            <w:hideMark/>
          </w:tcPr>
          <w:p w14:paraId="5DD4967C"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63" w:type="pct"/>
            <w:shd w:val="clear" w:color="auto" w:fill="auto"/>
            <w:noWrap/>
            <w:hideMark/>
          </w:tcPr>
          <w:p w14:paraId="3F9DEED6"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8" w:type="pct"/>
            <w:shd w:val="clear" w:color="auto" w:fill="auto"/>
            <w:noWrap/>
            <w:hideMark/>
          </w:tcPr>
          <w:p w14:paraId="28E04EC7" w14:textId="77777777" w:rsidR="0062777E" w:rsidRPr="00BA6B2B" w:rsidRDefault="0062777E" w:rsidP="00953C6A">
            <w:pPr>
              <w:tabs>
                <w:tab w:val="decimal" w:pos="519"/>
              </w:tabs>
              <w:rPr>
                <w:sz w:val="20"/>
                <w:szCs w:val="20"/>
                <w:lang w:eastAsia="en-GB"/>
              </w:rPr>
            </w:pPr>
            <w:r w:rsidRPr="00BA6B2B">
              <w:rPr>
                <w:sz w:val="20"/>
                <w:szCs w:val="20"/>
                <w:lang w:eastAsia="en-GB"/>
              </w:rPr>
              <w:t>10.7</w:t>
            </w:r>
          </w:p>
        </w:tc>
        <w:tc>
          <w:tcPr>
            <w:tcW w:w="547" w:type="pct"/>
            <w:shd w:val="clear" w:color="auto" w:fill="auto"/>
            <w:noWrap/>
            <w:hideMark/>
          </w:tcPr>
          <w:p w14:paraId="403AE343" w14:textId="77777777" w:rsidR="0062777E" w:rsidRPr="00BA6B2B" w:rsidRDefault="0062777E" w:rsidP="00953C6A">
            <w:pPr>
              <w:tabs>
                <w:tab w:val="decimal" w:pos="519"/>
              </w:tabs>
              <w:rPr>
                <w:sz w:val="20"/>
                <w:szCs w:val="20"/>
                <w:lang w:eastAsia="en-GB"/>
              </w:rPr>
            </w:pPr>
            <w:r w:rsidRPr="00BA6B2B">
              <w:rPr>
                <w:sz w:val="20"/>
                <w:szCs w:val="20"/>
                <w:lang w:eastAsia="en-GB"/>
              </w:rPr>
              <w:t>0.0</w:t>
            </w:r>
          </w:p>
        </w:tc>
        <w:tc>
          <w:tcPr>
            <w:tcW w:w="525" w:type="pct"/>
            <w:shd w:val="clear" w:color="auto" w:fill="auto"/>
            <w:noWrap/>
            <w:hideMark/>
          </w:tcPr>
          <w:p w14:paraId="2E2D594F" w14:textId="77777777" w:rsidR="0062777E" w:rsidRPr="00BA6B2B" w:rsidRDefault="0062777E" w:rsidP="00953C6A">
            <w:pPr>
              <w:tabs>
                <w:tab w:val="decimal" w:pos="519"/>
              </w:tabs>
              <w:rPr>
                <w:sz w:val="20"/>
                <w:szCs w:val="20"/>
                <w:lang w:eastAsia="en-GB"/>
              </w:rPr>
            </w:pPr>
            <w:r w:rsidRPr="00BA6B2B">
              <w:rPr>
                <w:sz w:val="20"/>
                <w:szCs w:val="20"/>
                <w:lang w:eastAsia="en-GB"/>
              </w:rPr>
              <w:t>32.6</w:t>
            </w:r>
          </w:p>
        </w:tc>
      </w:tr>
      <w:tr w:rsidR="0062777E" w:rsidRPr="00BA6B2B" w14:paraId="35236E5D" w14:textId="77777777" w:rsidTr="00BA6B2B">
        <w:trPr>
          <w:gridAfter w:val="1"/>
          <w:wAfter w:w="3" w:type="pct"/>
          <w:trHeight w:val="255"/>
        </w:trPr>
        <w:tc>
          <w:tcPr>
            <w:tcW w:w="1783" w:type="pct"/>
            <w:shd w:val="clear" w:color="auto" w:fill="auto"/>
            <w:noWrap/>
            <w:hideMark/>
          </w:tcPr>
          <w:p w14:paraId="3C33C2BA" w14:textId="77777777" w:rsidR="0062777E" w:rsidRPr="00BA6B2B" w:rsidRDefault="0062777E" w:rsidP="001E3161">
            <w:pPr>
              <w:rPr>
                <w:b/>
                <w:sz w:val="20"/>
                <w:szCs w:val="20"/>
                <w:lang w:eastAsia="en-GB"/>
              </w:rPr>
            </w:pPr>
            <w:r w:rsidRPr="00BA6B2B">
              <w:rPr>
                <w:b/>
                <w:sz w:val="20"/>
                <w:szCs w:val="20"/>
                <w:lang w:eastAsia="en-GB"/>
              </w:rPr>
              <w:t>Total expenditure</w:t>
            </w:r>
          </w:p>
        </w:tc>
        <w:tc>
          <w:tcPr>
            <w:tcW w:w="525" w:type="pct"/>
            <w:shd w:val="clear" w:color="auto" w:fill="auto"/>
            <w:noWrap/>
            <w:hideMark/>
          </w:tcPr>
          <w:p w14:paraId="28C21E6E" w14:textId="77777777" w:rsidR="0062777E" w:rsidRPr="00BA6B2B" w:rsidRDefault="0062777E" w:rsidP="00953C6A">
            <w:pPr>
              <w:tabs>
                <w:tab w:val="decimal" w:pos="519"/>
              </w:tabs>
              <w:rPr>
                <w:b/>
                <w:sz w:val="20"/>
                <w:szCs w:val="20"/>
                <w:lang w:eastAsia="en-GB"/>
              </w:rPr>
            </w:pPr>
            <w:r w:rsidRPr="00BA6B2B">
              <w:rPr>
                <w:b/>
                <w:sz w:val="20"/>
                <w:szCs w:val="20"/>
                <w:lang w:eastAsia="en-GB"/>
              </w:rPr>
              <w:t>4,042.6</w:t>
            </w:r>
          </w:p>
        </w:tc>
        <w:tc>
          <w:tcPr>
            <w:tcW w:w="526" w:type="pct"/>
            <w:shd w:val="clear" w:color="auto" w:fill="auto"/>
            <w:noWrap/>
            <w:hideMark/>
          </w:tcPr>
          <w:p w14:paraId="3A163907" w14:textId="77777777" w:rsidR="0062777E" w:rsidRPr="00BA6B2B" w:rsidRDefault="0062777E" w:rsidP="00953C6A">
            <w:pPr>
              <w:tabs>
                <w:tab w:val="decimal" w:pos="519"/>
              </w:tabs>
              <w:rPr>
                <w:b/>
                <w:sz w:val="20"/>
                <w:szCs w:val="20"/>
                <w:lang w:eastAsia="en-GB"/>
              </w:rPr>
            </w:pPr>
            <w:r w:rsidRPr="00BA6B2B">
              <w:rPr>
                <w:b/>
                <w:sz w:val="20"/>
                <w:szCs w:val="20"/>
                <w:lang w:eastAsia="en-GB"/>
              </w:rPr>
              <w:t>2,789.1</w:t>
            </w:r>
          </w:p>
        </w:tc>
        <w:tc>
          <w:tcPr>
            <w:tcW w:w="563" w:type="pct"/>
            <w:shd w:val="clear" w:color="auto" w:fill="auto"/>
            <w:noWrap/>
            <w:hideMark/>
          </w:tcPr>
          <w:p w14:paraId="01969DEF" w14:textId="77777777" w:rsidR="0062777E" w:rsidRPr="00BA6B2B" w:rsidRDefault="0062777E" w:rsidP="00953C6A">
            <w:pPr>
              <w:tabs>
                <w:tab w:val="decimal" w:pos="519"/>
              </w:tabs>
              <w:rPr>
                <w:b/>
                <w:sz w:val="20"/>
                <w:szCs w:val="20"/>
                <w:lang w:eastAsia="en-GB"/>
              </w:rPr>
            </w:pPr>
            <w:r w:rsidRPr="00BA6B2B">
              <w:rPr>
                <w:b/>
                <w:sz w:val="20"/>
                <w:szCs w:val="20"/>
                <w:lang w:eastAsia="en-GB"/>
              </w:rPr>
              <w:t>5,668.5</w:t>
            </w:r>
          </w:p>
        </w:tc>
        <w:tc>
          <w:tcPr>
            <w:tcW w:w="528" w:type="pct"/>
            <w:shd w:val="clear" w:color="auto" w:fill="auto"/>
            <w:noWrap/>
            <w:hideMark/>
          </w:tcPr>
          <w:p w14:paraId="0A358BE1" w14:textId="77777777" w:rsidR="0062777E" w:rsidRPr="00BA6B2B" w:rsidRDefault="0062777E" w:rsidP="00953C6A">
            <w:pPr>
              <w:tabs>
                <w:tab w:val="decimal" w:pos="519"/>
              </w:tabs>
              <w:rPr>
                <w:b/>
                <w:sz w:val="20"/>
                <w:szCs w:val="20"/>
                <w:lang w:eastAsia="en-GB"/>
              </w:rPr>
            </w:pPr>
            <w:r w:rsidRPr="00BA6B2B">
              <w:rPr>
                <w:b/>
                <w:sz w:val="20"/>
                <w:szCs w:val="20"/>
                <w:lang w:eastAsia="en-GB"/>
              </w:rPr>
              <w:t>4,431.9</w:t>
            </w:r>
          </w:p>
        </w:tc>
        <w:tc>
          <w:tcPr>
            <w:tcW w:w="547" w:type="pct"/>
            <w:shd w:val="clear" w:color="auto" w:fill="auto"/>
            <w:noWrap/>
            <w:hideMark/>
          </w:tcPr>
          <w:p w14:paraId="4343F71A" w14:textId="77777777" w:rsidR="0062777E" w:rsidRPr="00BA6B2B" w:rsidRDefault="0062777E" w:rsidP="00953C6A">
            <w:pPr>
              <w:tabs>
                <w:tab w:val="decimal" w:pos="519"/>
              </w:tabs>
              <w:rPr>
                <w:b/>
                <w:sz w:val="20"/>
                <w:szCs w:val="20"/>
                <w:lang w:eastAsia="en-GB"/>
              </w:rPr>
            </w:pPr>
            <w:r w:rsidRPr="00BA6B2B">
              <w:rPr>
                <w:b/>
                <w:sz w:val="20"/>
                <w:szCs w:val="20"/>
                <w:lang w:eastAsia="en-GB"/>
              </w:rPr>
              <w:t>6,588.8</w:t>
            </w:r>
          </w:p>
        </w:tc>
        <w:tc>
          <w:tcPr>
            <w:tcW w:w="525" w:type="pct"/>
            <w:shd w:val="clear" w:color="auto" w:fill="auto"/>
            <w:noWrap/>
            <w:hideMark/>
          </w:tcPr>
          <w:p w14:paraId="216B86E9" w14:textId="77777777" w:rsidR="0062777E" w:rsidRPr="00BA6B2B" w:rsidRDefault="0062777E" w:rsidP="00953C6A">
            <w:pPr>
              <w:tabs>
                <w:tab w:val="decimal" w:pos="519"/>
              </w:tabs>
              <w:rPr>
                <w:b/>
                <w:sz w:val="20"/>
                <w:szCs w:val="20"/>
                <w:lang w:eastAsia="en-GB"/>
              </w:rPr>
            </w:pPr>
            <w:r w:rsidRPr="00BA6B2B">
              <w:rPr>
                <w:b/>
                <w:sz w:val="20"/>
                <w:szCs w:val="20"/>
                <w:lang w:eastAsia="en-GB"/>
              </w:rPr>
              <w:t>5,049.2</w:t>
            </w:r>
          </w:p>
        </w:tc>
      </w:tr>
      <w:tr w:rsidR="0062777E" w:rsidRPr="00BA6B2B" w14:paraId="558FA1F2" w14:textId="77777777" w:rsidTr="00BA6B2B">
        <w:trPr>
          <w:trHeight w:val="255"/>
        </w:trPr>
        <w:tc>
          <w:tcPr>
            <w:tcW w:w="1783" w:type="pct"/>
            <w:shd w:val="clear" w:color="auto" w:fill="auto"/>
            <w:noWrap/>
          </w:tcPr>
          <w:p w14:paraId="2B4DB7D5" w14:textId="77777777" w:rsidR="0062777E" w:rsidRPr="00BA6B2B" w:rsidRDefault="0062777E" w:rsidP="001E3161">
            <w:pPr>
              <w:rPr>
                <w:sz w:val="20"/>
                <w:szCs w:val="20"/>
                <w:lang w:eastAsia="en-GB"/>
              </w:rPr>
            </w:pPr>
            <w:r w:rsidRPr="00BA6B2B">
              <w:rPr>
                <w:sz w:val="20"/>
                <w:szCs w:val="20"/>
                <w:lang w:eastAsia="en-GB"/>
              </w:rPr>
              <w:t>Total expenditure deviation</w:t>
            </w:r>
            <w:r w:rsidR="005D22A7" w:rsidRPr="00BA6B2B">
              <w:rPr>
                <w:sz w:val="20"/>
                <w:szCs w:val="20"/>
                <w:lang w:eastAsia="en-GB"/>
              </w:rPr>
              <w:t xml:space="preserve"> (%)</w:t>
            </w:r>
          </w:p>
        </w:tc>
        <w:tc>
          <w:tcPr>
            <w:tcW w:w="1051" w:type="pct"/>
            <w:gridSpan w:val="2"/>
            <w:shd w:val="clear" w:color="auto" w:fill="auto"/>
            <w:noWrap/>
          </w:tcPr>
          <w:p w14:paraId="5F923C3F" w14:textId="77777777" w:rsidR="0062777E" w:rsidRPr="00BA6B2B" w:rsidRDefault="0062777E" w:rsidP="00953C6A">
            <w:pPr>
              <w:tabs>
                <w:tab w:val="decimal" w:pos="879"/>
              </w:tabs>
              <w:rPr>
                <w:sz w:val="20"/>
                <w:szCs w:val="20"/>
                <w:lang w:val="nl-NL" w:eastAsia="en-GB"/>
              </w:rPr>
            </w:pPr>
            <w:r w:rsidRPr="00BA6B2B">
              <w:rPr>
                <w:sz w:val="20"/>
                <w:szCs w:val="20"/>
                <w:lang w:eastAsia="en-GB"/>
              </w:rPr>
              <w:t>144.9</w:t>
            </w:r>
          </w:p>
        </w:tc>
        <w:tc>
          <w:tcPr>
            <w:tcW w:w="1091" w:type="pct"/>
            <w:gridSpan w:val="2"/>
            <w:shd w:val="clear" w:color="auto" w:fill="auto"/>
            <w:noWrap/>
          </w:tcPr>
          <w:p w14:paraId="081E1CE0" w14:textId="77777777" w:rsidR="0062777E" w:rsidRPr="00BA6B2B" w:rsidRDefault="0062777E" w:rsidP="00953C6A">
            <w:pPr>
              <w:tabs>
                <w:tab w:val="decimal" w:pos="879"/>
              </w:tabs>
              <w:rPr>
                <w:sz w:val="20"/>
                <w:szCs w:val="20"/>
                <w:lang w:val="nl-NL" w:eastAsia="en-GB"/>
              </w:rPr>
            </w:pPr>
            <w:r w:rsidRPr="00BA6B2B">
              <w:rPr>
                <w:sz w:val="20"/>
                <w:szCs w:val="20"/>
                <w:lang w:eastAsia="en-GB"/>
              </w:rPr>
              <w:t>127.9</w:t>
            </w:r>
          </w:p>
        </w:tc>
        <w:tc>
          <w:tcPr>
            <w:tcW w:w="1075" w:type="pct"/>
            <w:gridSpan w:val="3"/>
            <w:shd w:val="clear" w:color="auto" w:fill="auto"/>
            <w:noWrap/>
          </w:tcPr>
          <w:p w14:paraId="064664A4" w14:textId="77777777" w:rsidR="0062777E" w:rsidRPr="00BA6B2B" w:rsidRDefault="0062777E" w:rsidP="00953C6A">
            <w:pPr>
              <w:tabs>
                <w:tab w:val="decimal" w:pos="879"/>
              </w:tabs>
              <w:rPr>
                <w:sz w:val="20"/>
                <w:szCs w:val="20"/>
                <w:lang w:val="nl-NL" w:eastAsia="en-GB"/>
              </w:rPr>
            </w:pPr>
            <w:r w:rsidRPr="00BA6B2B">
              <w:rPr>
                <w:sz w:val="20"/>
                <w:szCs w:val="20"/>
                <w:lang w:eastAsia="en-GB"/>
              </w:rPr>
              <w:t>130.5</w:t>
            </w:r>
          </w:p>
        </w:tc>
      </w:tr>
      <w:tr w:rsidR="0062777E" w:rsidRPr="00BA6B2B" w14:paraId="02E34CA9" w14:textId="77777777" w:rsidTr="00BA6B2B">
        <w:trPr>
          <w:trHeight w:val="255"/>
        </w:trPr>
        <w:tc>
          <w:tcPr>
            <w:tcW w:w="1783" w:type="pct"/>
            <w:shd w:val="clear" w:color="auto" w:fill="auto"/>
            <w:noWrap/>
          </w:tcPr>
          <w:p w14:paraId="0244ADDD" w14:textId="77777777" w:rsidR="0062777E" w:rsidRPr="00BA6B2B" w:rsidRDefault="0062777E" w:rsidP="001E3161">
            <w:pPr>
              <w:rPr>
                <w:sz w:val="20"/>
                <w:szCs w:val="20"/>
                <w:lang w:eastAsia="en-GB"/>
              </w:rPr>
            </w:pPr>
            <w:r w:rsidRPr="00BA6B2B">
              <w:rPr>
                <w:sz w:val="20"/>
                <w:szCs w:val="20"/>
                <w:lang w:eastAsia="en-GB"/>
              </w:rPr>
              <w:t>Composition variance</w:t>
            </w:r>
            <w:r w:rsidR="005D22A7" w:rsidRPr="00BA6B2B">
              <w:rPr>
                <w:sz w:val="20"/>
                <w:szCs w:val="20"/>
                <w:lang w:eastAsia="en-GB"/>
              </w:rPr>
              <w:t xml:space="preserve"> (%)</w:t>
            </w:r>
          </w:p>
        </w:tc>
        <w:tc>
          <w:tcPr>
            <w:tcW w:w="1051" w:type="pct"/>
            <w:gridSpan w:val="2"/>
            <w:shd w:val="clear" w:color="auto" w:fill="auto"/>
            <w:noWrap/>
          </w:tcPr>
          <w:p w14:paraId="1FCEAECF" w14:textId="77777777" w:rsidR="0062777E" w:rsidRPr="00BA6B2B" w:rsidRDefault="0062777E" w:rsidP="00953C6A">
            <w:pPr>
              <w:tabs>
                <w:tab w:val="decimal" w:pos="879"/>
              </w:tabs>
              <w:rPr>
                <w:sz w:val="20"/>
                <w:szCs w:val="20"/>
                <w:lang w:val="nl-NL" w:eastAsia="en-GB"/>
              </w:rPr>
            </w:pPr>
            <w:r w:rsidRPr="00BA6B2B">
              <w:rPr>
                <w:sz w:val="20"/>
                <w:szCs w:val="20"/>
                <w:lang w:eastAsia="en-GB"/>
              </w:rPr>
              <w:t>52.6</w:t>
            </w:r>
          </w:p>
        </w:tc>
        <w:tc>
          <w:tcPr>
            <w:tcW w:w="1091" w:type="pct"/>
            <w:gridSpan w:val="2"/>
            <w:shd w:val="clear" w:color="auto" w:fill="auto"/>
            <w:noWrap/>
          </w:tcPr>
          <w:p w14:paraId="57150588" w14:textId="77777777" w:rsidR="0062777E" w:rsidRPr="00BA6B2B" w:rsidRDefault="0062777E" w:rsidP="00953C6A">
            <w:pPr>
              <w:tabs>
                <w:tab w:val="decimal" w:pos="879"/>
              </w:tabs>
              <w:rPr>
                <w:sz w:val="20"/>
                <w:szCs w:val="20"/>
                <w:lang w:val="nl-NL" w:eastAsia="en-GB"/>
              </w:rPr>
            </w:pPr>
            <w:r w:rsidRPr="00BA6B2B">
              <w:rPr>
                <w:sz w:val="20"/>
                <w:szCs w:val="20"/>
                <w:lang w:eastAsia="en-GB"/>
              </w:rPr>
              <w:t>85.5</w:t>
            </w:r>
          </w:p>
        </w:tc>
        <w:tc>
          <w:tcPr>
            <w:tcW w:w="1075" w:type="pct"/>
            <w:gridSpan w:val="3"/>
            <w:shd w:val="clear" w:color="auto" w:fill="auto"/>
            <w:noWrap/>
          </w:tcPr>
          <w:p w14:paraId="5C820414" w14:textId="77777777" w:rsidR="0062777E" w:rsidRPr="00BA6B2B" w:rsidRDefault="0062777E" w:rsidP="00953C6A">
            <w:pPr>
              <w:tabs>
                <w:tab w:val="decimal" w:pos="879"/>
              </w:tabs>
              <w:rPr>
                <w:sz w:val="20"/>
                <w:szCs w:val="20"/>
                <w:lang w:val="nl-NL" w:eastAsia="en-GB"/>
              </w:rPr>
            </w:pPr>
            <w:r w:rsidRPr="00BA6B2B">
              <w:rPr>
                <w:sz w:val="20"/>
                <w:szCs w:val="20"/>
                <w:lang w:eastAsia="en-GB"/>
              </w:rPr>
              <w:t>91.9</w:t>
            </w:r>
          </w:p>
        </w:tc>
      </w:tr>
    </w:tbl>
    <w:p w14:paraId="65009741" w14:textId="078B4595" w:rsidR="000815BE" w:rsidRPr="00BA6B2B" w:rsidRDefault="00816E2A" w:rsidP="00BA6B2B">
      <w:pPr>
        <w:pStyle w:val="Italic"/>
        <w:spacing w:after="240"/>
        <w:rPr>
          <w:i w:val="0"/>
          <w:sz w:val="20"/>
          <w:szCs w:val="20"/>
        </w:rPr>
      </w:pPr>
      <w:r w:rsidRPr="00BA6B2B">
        <w:rPr>
          <w:sz w:val="20"/>
          <w:szCs w:val="20"/>
        </w:rPr>
        <w:t xml:space="preserve">Source: </w:t>
      </w:r>
      <w:r w:rsidRPr="00BA6B2B">
        <w:rPr>
          <w:i w:val="0"/>
          <w:sz w:val="20"/>
          <w:szCs w:val="20"/>
        </w:rPr>
        <w:t>A</w:t>
      </w:r>
      <w:r w:rsidR="0062777E" w:rsidRPr="00BA6B2B">
        <w:rPr>
          <w:i w:val="0"/>
          <w:sz w:val="20"/>
          <w:szCs w:val="20"/>
        </w:rPr>
        <w:t>FSs</w:t>
      </w:r>
      <w:r w:rsidR="00BA6B2B">
        <w:rPr>
          <w:i w:val="0"/>
          <w:sz w:val="20"/>
          <w:szCs w:val="20"/>
        </w:rPr>
        <w:t>.</w:t>
      </w:r>
    </w:p>
    <w:p w14:paraId="36520AEA" w14:textId="1025A7DF" w:rsidR="002E52F9" w:rsidRPr="005849E4" w:rsidRDefault="002E52F9" w:rsidP="00BA6B2B">
      <w:pPr>
        <w:spacing w:after="240"/>
        <w:rPr>
          <w:sz w:val="22"/>
        </w:rPr>
      </w:pPr>
      <w:r w:rsidRPr="005849E4">
        <w:rPr>
          <w:sz w:val="22"/>
        </w:rPr>
        <w:t xml:space="preserve">Having observed low absorption for the last </w:t>
      </w:r>
      <w:r w:rsidRPr="00C25896">
        <w:rPr>
          <w:sz w:val="22"/>
        </w:rPr>
        <w:t>three years</w:t>
      </w:r>
      <w:r w:rsidRPr="005849E4">
        <w:rPr>
          <w:sz w:val="22"/>
        </w:rPr>
        <w:t>, this scenario is also reflected in the expenditure composition outturn by economic type.</w:t>
      </w:r>
    </w:p>
    <w:p w14:paraId="45CF95FF" w14:textId="234BD813" w:rsidR="00500B9E" w:rsidRPr="005849E4" w:rsidRDefault="00360C89" w:rsidP="00BA6B2B">
      <w:pPr>
        <w:spacing w:after="240"/>
        <w:rPr>
          <w:sz w:val="22"/>
        </w:rPr>
      </w:pPr>
      <w:r w:rsidRPr="005849E4">
        <w:rPr>
          <w:sz w:val="22"/>
        </w:rPr>
        <w:t>T</w:t>
      </w:r>
      <w:r w:rsidR="002F09D4" w:rsidRPr="005849E4">
        <w:rPr>
          <w:sz w:val="22"/>
        </w:rPr>
        <w:t>able 3.</w:t>
      </w:r>
      <w:r w:rsidR="00F677C9">
        <w:rPr>
          <w:sz w:val="22"/>
        </w:rPr>
        <w:t>7</w:t>
      </w:r>
      <w:r w:rsidR="0062777E" w:rsidRPr="005849E4">
        <w:rPr>
          <w:sz w:val="22"/>
        </w:rPr>
        <w:t xml:space="preserve"> </w:t>
      </w:r>
      <w:r w:rsidR="002953AD" w:rsidRPr="005849E4">
        <w:rPr>
          <w:sz w:val="22"/>
        </w:rPr>
        <w:t>shows</w:t>
      </w:r>
      <w:r w:rsidRPr="005849E4">
        <w:rPr>
          <w:sz w:val="22"/>
        </w:rPr>
        <w:t xml:space="preserve"> that </w:t>
      </w:r>
      <w:r w:rsidR="002F09D4" w:rsidRPr="005849E4">
        <w:rPr>
          <w:sz w:val="22"/>
        </w:rPr>
        <w:t xml:space="preserve">absorption rate of </w:t>
      </w:r>
      <w:r w:rsidR="002953AD" w:rsidRPr="005849E4">
        <w:rPr>
          <w:sz w:val="22"/>
        </w:rPr>
        <w:t>expenditure</w:t>
      </w:r>
      <w:r w:rsidRPr="005849E4">
        <w:rPr>
          <w:sz w:val="22"/>
        </w:rPr>
        <w:t xml:space="preserve"> by economic </w:t>
      </w:r>
      <w:r w:rsidR="002953AD" w:rsidRPr="005849E4">
        <w:rPr>
          <w:sz w:val="22"/>
        </w:rPr>
        <w:t>classification</w:t>
      </w:r>
      <w:r w:rsidRPr="005849E4">
        <w:rPr>
          <w:sz w:val="22"/>
        </w:rPr>
        <w:t xml:space="preserve"> was below 70</w:t>
      </w:r>
      <w:r w:rsidR="00953C6A">
        <w:rPr>
          <w:sz w:val="22"/>
        </w:rPr>
        <w:t xml:space="preserve"> percent</w:t>
      </w:r>
      <w:r w:rsidRPr="005849E4">
        <w:rPr>
          <w:sz w:val="22"/>
        </w:rPr>
        <w:t xml:space="preserve"> in </w:t>
      </w:r>
      <w:r w:rsidR="002953AD" w:rsidRPr="005849E4">
        <w:rPr>
          <w:sz w:val="22"/>
        </w:rPr>
        <w:t>2013/14</w:t>
      </w:r>
      <w:r w:rsidR="009F5CCA" w:rsidRPr="005849E4">
        <w:rPr>
          <w:sz w:val="22"/>
        </w:rPr>
        <w:t>,</w:t>
      </w:r>
      <w:r w:rsidR="002953AD" w:rsidRPr="005849E4">
        <w:rPr>
          <w:sz w:val="22"/>
        </w:rPr>
        <w:t xml:space="preserve"> with a striking execution rate of 12</w:t>
      </w:r>
      <w:r w:rsidR="009F5CCA" w:rsidRPr="005849E4">
        <w:rPr>
          <w:sz w:val="22"/>
        </w:rPr>
        <w:t>8</w:t>
      </w:r>
      <w:r w:rsidR="00953C6A">
        <w:rPr>
          <w:sz w:val="22"/>
        </w:rPr>
        <w:t xml:space="preserve"> percent</w:t>
      </w:r>
      <w:r w:rsidR="009F5CCA" w:rsidRPr="005849E4">
        <w:rPr>
          <w:sz w:val="22"/>
        </w:rPr>
        <w:t xml:space="preserve"> in compensatio</w:t>
      </w:r>
      <w:r w:rsidR="002A05DD" w:rsidRPr="005849E4">
        <w:rPr>
          <w:sz w:val="22"/>
        </w:rPr>
        <w:t xml:space="preserve">n of employees. </w:t>
      </w:r>
      <w:r w:rsidR="00500B9E" w:rsidRPr="005849E4">
        <w:rPr>
          <w:sz w:val="22"/>
        </w:rPr>
        <w:t xml:space="preserve">Table </w:t>
      </w:r>
      <w:r w:rsidR="00953C6A">
        <w:rPr>
          <w:sz w:val="22"/>
        </w:rPr>
        <w:t>3.</w:t>
      </w:r>
      <w:r w:rsidR="00F677C9">
        <w:rPr>
          <w:sz w:val="22"/>
        </w:rPr>
        <w:t>7</w:t>
      </w:r>
      <w:r w:rsidR="00953C6A">
        <w:rPr>
          <w:sz w:val="22"/>
        </w:rPr>
        <w:t xml:space="preserve"> </w:t>
      </w:r>
      <w:r w:rsidR="00500B9E" w:rsidRPr="005849E4">
        <w:rPr>
          <w:sz w:val="22"/>
        </w:rPr>
        <w:t>also shows that variance in expenditure composition by economic classification was 52.6</w:t>
      </w:r>
      <w:r w:rsidR="00953C6A">
        <w:rPr>
          <w:sz w:val="22"/>
        </w:rPr>
        <w:t xml:space="preserve"> percent</w:t>
      </w:r>
      <w:r w:rsidR="00500B9E" w:rsidRPr="005849E4">
        <w:rPr>
          <w:sz w:val="22"/>
        </w:rPr>
        <w:t>, 85.5</w:t>
      </w:r>
      <w:r w:rsidR="00953C6A">
        <w:rPr>
          <w:sz w:val="22"/>
        </w:rPr>
        <w:t xml:space="preserve"> percent,</w:t>
      </w:r>
      <w:r w:rsidR="00500B9E" w:rsidRPr="005849E4">
        <w:rPr>
          <w:sz w:val="22"/>
        </w:rPr>
        <w:t xml:space="preserve"> and 91.9</w:t>
      </w:r>
      <w:r w:rsidR="00953C6A">
        <w:rPr>
          <w:sz w:val="22"/>
        </w:rPr>
        <w:t xml:space="preserve"> percent</w:t>
      </w:r>
      <w:r w:rsidR="00500B9E" w:rsidRPr="005849E4">
        <w:rPr>
          <w:sz w:val="22"/>
        </w:rPr>
        <w:t xml:space="preserve"> for </w:t>
      </w:r>
      <w:r w:rsidR="00953C6A">
        <w:rPr>
          <w:sz w:val="22"/>
        </w:rPr>
        <w:t>FY</w:t>
      </w:r>
      <w:r w:rsidR="00500B9E" w:rsidRPr="005849E4">
        <w:rPr>
          <w:sz w:val="22"/>
        </w:rPr>
        <w:t xml:space="preserve">2013/14, </w:t>
      </w:r>
      <w:r w:rsidR="00953C6A">
        <w:rPr>
          <w:sz w:val="22"/>
        </w:rPr>
        <w:t>FY</w:t>
      </w:r>
      <w:r w:rsidR="00500B9E" w:rsidRPr="005849E4">
        <w:rPr>
          <w:sz w:val="22"/>
        </w:rPr>
        <w:t>2014/15</w:t>
      </w:r>
      <w:r w:rsidR="00953C6A">
        <w:rPr>
          <w:sz w:val="22"/>
        </w:rPr>
        <w:t>,</w:t>
      </w:r>
      <w:r w:rsidR="00500B9E" w:rsidRPr="005849E4">
        <w:rPr>
          <w:sz w:val="22"/>
        </w:rPr>
        <w:t xml:space="preserve"> and </w:t>
      </w:r>
      <w:r w:rsidR="00953C6A">
        <w:rPr>
          <w:sz w:val="22"/>
        </w:rPr>
        <w:t>FY</w:t>
      </w:r>
      <w:r w:rsidR="00500B9E" w:rsidRPr="005849E4">
        <w:rPr>
          <w:sz w:val="22"/>
        </w:rPr>
        <w:t xml:space="preserve">2015/16, respectively. The </w:t>
      </w:r>
      <w:r w:rsidR="00DC411F" w:rsidRPr="005849E4">
        <w:rPr>
          <w:sz w:val="22"/>
        </w:rPr>
        <w:t>first</w:t>
      </w:r>
      <w:r w:rsidR="00500B9E" w:rsidRPr="005849E4">
        <w:rPr>
          <w:sz w:val="22"/>
        </w:rPr>
        <w:t xml:space="preserve"> reason explain</w:t>
      </w:r>
      <w:r w:rsidR="00D100DF" w:rsidRPr="005849E4">
        <w:rPr>
          <w:sz w:val="22"/>
        </w:rPr>
        <w:t>ing</w:t>
      </w:r>
      <w:r w:rsidR="00500B9E" w:rsidRPr="005849E4">
        <w:rPr>
          <w:sz w:val="22"/>
        </w:rPr>
        <w:t xml:space="preserve"> the variance in expenditure composition by economic classification </w:t>
      </w:r>
      <w:r w:rsidR="00D100DF" w:rsidRPr="005849E4">
        <w:rPr>
          <w:sz w:val="22"/>
        </w:rPr>
        <w:t xml:space="preserve">is </w:t>
      </w:r>
      <w:r w:rsidR="00500B9E" w:rsidRPr="005849E4">
        <w:rPr>
          <w:sz w:val="22"/>
        </w:rPr>
        <w:t>the absence of consumption of fixed capital in each of the last three completed years</w:t>
      </w:r>
      <w:r w:rsidR="00953C6A">
        <w:rPr>
          <w:sz w:val="22"/>
        </w:rPr>
        <w:t>.</w:t>
      </w:r>
      <w:r w:rsidR="003D11A0" w:rsidRPr="005849E4">
        <w:rPr>
          <w:sz w:val="22"/>
        </w:rPr>
        <w:t xml:space="preserve"> </w:t>
      </w:r>
      <w:r w:rsidR="00277B42" w:rsidRPr="005849E4">
        <w:rPr>
          <w:sz w:val="22"/>
        </w:rPr>
        <w:t>In addition</w:t>
      </w:r>
      <w:r w:rsidR="00953C6A">
        <w:rPr>
          <w:sz w:val="22"/>
        </w:rPr>
        <w:t>,</w:t>
      </w:r>
      <w:r w:rsidR="00277B42" w:rsidRPr="005849E4">
        <w:rPr>
          <w:sz w:val="22"/>
        </w:rPr>
        <w:t xml:space="preserve"> an increase of wages of nearly 30</w:t>
      </w:r>
      <w:r w:rsidR="00953C6A">
        <w:rPr>
          <w:sz w:val="22"/>
        </w:rPr>
        <w:t xml:space="preserve"> percent</w:t>
      </w:r>
      <w:r w:rsidR="00277B42" w:rsidRPr="005849E4">
        <w:rPr>
          <w:sz w:val="22"/>
        </w:rPr>
        <w:t xml:space="preserve"> in </w:t>
      </w:r>
      <w:r w:rsidR="00953C6A">
        <w:rPr>
          <w:sz w:val="22"/>
        </w:rPr>
        <w:t>FY</w:t>
      </w:r>
      <w:r w:rsidR="00277B42" w:rsidRPr="005849E4">
        <w:rPr>
          <w:sz w:val="22"/>
        </w:rPr>
        <w:t>2013/14 above the initial budget must be pointed out, as well as an increase of use of goods and services of more than 20</w:t>
      </w:r>
      <w:r w:rsidR="00953C6A">
        <w:rPr>
          <w:sz w:val="22"/>
        </w:rPr>
        <w:t xml:space="preserve"> percent</w:t>
      </w:r>
      <w:r w:rsidR="00277B42" w:rsidRPr="005849E4">
        <w:rPr>
          <w:sz w:val="22"/>
        </w:rPr>
        <w:t xml:space="preserve"> in </w:t>
      </w:r>
      <w:r w:rsidR="00953C6A">
        <w:rPr>
          <w:sz w:val="22"/>
        </w:rPr>
        <w:t>FY</w:t>
      </w:r>
      <w:r w:rsidR="00277B42" w:rsidRPr="005849E4">
        <w:rPr>
          <w:sz w:val="22"/>
        </w:rPr>
        <w:t xml:space="preserve">2014/15 and </w:t>
      </w:r>
      <w:r w:rsidR="00953C6A">
        <w:rPr>
          <w:sz w:val="22"/>
        </w:rPr>
        <w:t>FY</w:t>
      </w:r>
      <w:r w:rsidR="00277B42" w:rsidRPr="005849E4">
        <w:rPr>
          <w:sz w:val="22"/>
        </w:rPr>
        <w:t xml:space="preserve">2015/16. </w:t>
      </w:r>
    </w:p>
    <w:p w14:paraId="0758AA00" w14:textId="2FAD0EF2" w:rsidR="00776E84" w:rsidRPr="005849E4" w:rsidRDefault="00035673" w:rsidP="00BA6B2B">
      <w:pPr>
        <w:spacing w:after="240"/>
        <w:rPr>
          <w:sz w:val="22"/>
        </w:rPr>
      </w:pPr>
      <w:bookmarkStart w:id="73" w:name="_Hlk528247336"/>
      <w:r w:rsidRPr="005849E4">
        <w:rPr>
          <w:sz w:val="22"/>
        </w:rPr>
        <w:t>In summary, v</w:t>
      </w:r>
      <w:r w:rsidR="00E56226" w:rsidRPr="005849E4">
        <w:rPr>
          <w:sz w:val="22"/>
        </w:rPr>
        <w:t>ariance in expenditure composition by economic classification was more than 15</w:t>
      </w:r>
      <w:r w:rsidR="00953C6A">
        <w:rPr>
          <w:sz w:val="22"/>
        </w:rPr>
        <w:t xml:space="preserve"> percent</w:t>
      </w:r>
      <w:r w:rsidR="00E56226" w:rsidRPr="005849E4">
        <w:rPr>
          <w:sz w:val="22"/>
        </w:rPr>
        <w:t xml:space="preserve"> in at least two of the last three years.</w:t>
      </w:r>
      <w:r w:rsidRPr="005849E4">
        <w:rPr>
          <w:sz w:val="22"/>
        </w:rPr>
        <w:t xml:space="preserve"> </w:t>
      </w:r>
    </w:p>
    <w:bookmarkEnd w:id="73"/>
    <w:p w14:paraId="762BA90B" w14:textId="441A1B7F" w:rsidR="00776E84" w:rsidRPr="005849E4" w:rsidRDefault="00776E84" w:rsidP="00776E84">
      <w:pPr>
        <w:rPr>
          <w:b/>
          <w:sz w:val="22"/>
        </w:rPr>
      </w:pPr>
      <w:r w:rsidRPr="005849E4">
        <w:rPr>
          <w:b/>
          <w:sz w:val="22"/>
        </w:rPr>
        <w:t>Dimension rating = D</w:t>
      </w:r>
    </w:p>
    <w:p w14:paraId="47BA2D34" w14:textId="77777777" w:rsidR="00AE7C64" w:rsidRPr="00890A84" w:rsidRDefault="00642525" w:rsidP="00BA6B2B">
      <w:pPr>
        <w:pStyle w:val="Heading5"/>
      </w:pPr>
      <w:r w:rsidRPr="00890A84">
        <w:t>PI-</w:t>
      </w:r>
      <w:r w:rsidR="00AE7C64" w:rsidRPr="00890A84">
        <w:t>2.3. Expenditure from contingency reserves</w:t>
      </w:r>
    </w:p>
    <w:p w14:paraId="4C650E5D" w14:textId="46CBD288" w:rsidR="00E31320" w:rsidRPr="005849E4" w:rsidRDefault="001D6748" w:rsidP="00BA6B2B">
      <w:pPr>
        <w:spacing w:after="240"/>
        <w:rPr>
          <w:sz w:val="22"/>
        </w:rPr>
      </w:pPr>
      <w:r w:rsidRPr="005849E4">
        <w:rPr>
          <w:sz w:val="22"/>
        </w:rPr>
        <w:t>In Kajiado</w:t>
      </w:r>
      <w:r w:rsidR="00642525" w:rsidRPr="005849E4">
        <w:rPr>
          <w:sz w:val="22"/>
        </w:rPr>
        <w:t xml:space="preserve"> </w:t>
      </w:r>
      <w:r w:rsidR="00CC5BC5" w:rsidRPr="005849E4">
        <w:rPr>
          <w:sz w:val="22"/>
        </w:rPr>
        <w:t>C</w:t>
      </w:r>
      <w:r w:rsidRPr="005849E4">
        <w:rPr>
          <w:sz w:val="22"/>
        </w:rPr>
        <w:t>ounty, c</w:t>
      </w:r>
      <w:r w:rsidR="00BF4724" w:rsidRPr="005849E4">
        <w:rPr>
          <w:sz w:val="22"/>
        </w:rPr>
        <w:t xml:space="preserve">ontingency </w:t>
      </w:r>
      <w:r w:rsidR="005B7386" w:rsidRPr="005849E4">
        <w:rPr>
          <w:sz w:val="22"/>
        </w:rPr>
        <w:t>fund was captured</w:t>
      </w:r>
      <w:r w:rsidRPr="005849E4">
        <w:rPr>
          <w:sz w:val="22"/>
        </w:rPr>
        <w:t xml:space="preserve"> as </w:t>
      </w:r>
      <w:r w:rsidR="005B7386" w:rsidRPr="005849E4">
        <w:rPr>
          <w:sz w:val="22"/>
        </w:rPr>
        <w:t xml:space="preserve">grants for management of natural disaster in the </w:t>
      </w:r>
      <w:r w:rsidR="00BF4724" w:rsidRPr="005849E4">
        <w:rPr>
          <w:sz w:val="22"/>
        </w:rPr>
        <w:t>budget</w:t>
      </w:r>
      <w:r w:rsidR="005B7386" w:rsidRPr="005849E4">
        <w:rPr>
          <w:sz w:val="22"/>
        </w:rPr>
        <w:t xml:space="preserve"> in </w:t>
      </w:r>
      <w:r w:rsidR="00953C6A">
        <w:rPr>
          <w:sz w:val="22"/>
        </w:rPr>
        <w:t>FY</w:t>
      </w:r>
      <w:r w:rsidR="005B7386" w:rsidRPr="005849E4">
        <w:rPr>
          <w:sz w:val="22"/>
        </w:rPr>
        <w:t>2013/14</w:t>
      </w:r>
      <w:r w:rsidRPr="005849E4">
        <w:rPr>
          <w:sz w:val="22"/>
        </w:rPr>
        <w:t>.</w:t>
      </w:r>
      <w:r w:rsidR="005B7386" w:rsidRPr="005849E4">
        <w:rPr>
          <w:sz w:val="22"/>
        </w:rPr>
        <w:t xml:space="preserve"> The </w:t>
      </w:r>
      <w:r w:rsidR="00953C6A">
        <w:rPr>
          <w:sz w:val="22"/>
        </w:rPr>
        <w:t>e</w:t>
      </w:r>
      <w:r w:rsidR="005B7386" w:rsidRPr="005849E4">
        <w:rPr>
          <w:sz w:val="22"/>
        </w:rPr>
        <w:t xml:space="preserve">mergency </w:t>
      </w:r>
      <w:r w:rsidR="00953C6A">
        <w:rPr>
          <w:sz w:val="22"/>
        </w:rPr>
        <w:t>f</w:t>
      </w:r>
      <w:r w:rsidR="00BF4724" w:rsidRPr="005849E4">
        <w:rPr>
          <w:sz w:val="22"/>
        </w:rPr>
        <w:t>und was established</w:t>
      </w:r>
      <w:r w:rsidR="005B7386" w:rsidRPr="005849E4">
        <w:rPr>
          <w:sz w:val="22"/>
        </w:rPr>
        <w:t xml:space="preserve"> and budgeted for in </w:t>
      </w:r>
      <w:r w:rsidR="00953C6A">
        <w:rPr>
          <w:sz w:val="22"/>
        </w:rPr>
        <w:t>FY</w:t>
      </w:r>
      <w:r w:rsidR="005B7386" w:rsidRPr="005849E4">
        <w:rPr>
          <w:sz w:val="22"/>
        </w:rPr>
        <w:t xml:space="preserve">2014/15 and </w:t>
      </w:r>
      <w:r w:rsidR="00953C6A">
        <w:rPr>
          <w:sz w:val="22"/>
        </w:rPr>
        <w:t>FY</w:t>
      </w:r>
      <w:r w:rsidR="005B7386" w:rsidRPr="005849E4">
        <w:rPr>
          <w:sz w:val="22"/>
        </w:rPr>
        <w:t>2015/</w:t>
      </w:r>
      <w:r w:rsidR="00BF4724" w:rsidRPr="005849E4">
        <w:rPr>
          <w:sz w:val="22"/>
        </w:rPr>
        <w:t xml:space="preserve">16. </w:t>
      </w:r>
      <w:r w:rsidR="005B7386" w:rsidRPr="005849E4">
        <w:rPr>
          <w:sz w:val="22"/>
        </w:rPr>
        <w:t>E</w:t>
      </w:r>
      <w:r w:rsidR="00BF4724" w:rsidRPr="005849E4">
        <w:rPr>
          <w:sz w:val="22"/>
        </w:rPr>
        <w:t xml:space="preserve">xpenditure charge to a contingency vote </w:t>
      </w:r>
      <w:r w:rsidR="00AE7C64" w:rsidRPr="005849E4">
        <w:rPr>
          <w:sz w:val="22"/>
        </w:rPr>
        <w:t>was 0.7</w:t>
      </w:r>
      <w:r w:rsidR="00953C6A">
        <w:rPr>
          <w:sz w:val="22"/>
        </w:rPr>
        <w:t xml:space="preserve"> percent</w:t>
      </w:r>
      <w:r w:rsidR="00AE7C64" w:rsidRPr="005849E4">
        <w:rPr>
          <w:sz w:val="22"/>
        </w:rPr>
        <w:t xml:space="preserve">, which is </w:t>
      </w:r>
      <w:r w:rsidR="00BF4724" w:rsidRPr="005849E4">
        <w:rPr>
          <w:sz w:val="22"/>
        </w:rPr>
        <w:t>below 3</w:t>
      </w:r>
      <w:r w:rsidR="00953C6A">
        <w:rPr>
          <w:sz w:val="22"/>
        </w:rPr>
        <w:t xml:space="preserve"> percent</w:t>
      </w:r>
      <w:r w:rsidR="00BF4724" w:rsidRPr="005849E4">
        <w:rPr>
          <w:sz w:val="22"/>
        </w:rPr>
        <w:t xml:space="preserve"> of the original budget.</w:t>
      </w:r>
    </w:p>
    <w:p w14:paraId="04010C1A" w14:textId="2075D0A9" w:rsidR="00776E84" w:rsidRPr="005849E4" w:rsidRDefault="00035673" w:rsidP="00BA6B2B">
      <w:pPr>
        <w:spacing w:after="240"/>
        <w:rPr>
          <w:sz w:val="22"/>
        </w:rPr>
      </w:pPr>
      <w:bookmarkStart w:id="74" w:name="_Hlk528247537"/>
      <w:r w:rsidRPr="005849E4">
        <w:rPr>
          <w:sz w:val="22"/>
        </w:rPr>
        <w:t>In summary, a</w:t>
      </w:r>
      <w:r w:rsidR="00E56226" w:rsidRPr="005849E4">
        <w:rPr>
          <w:sz w:val="22"/>
        </w:rPr>
        <w:t>ctual expenditure charged to a contingency vote was on average less than 3</w:t>
      </w:r>
      <w:r w:rsidR="00953C6A">
        <w:rPr>
          <w:sz w:val="22"/>
        </w:rPr>
        <w:t xml:space="preserve"> percent</w:t>
      </w:r>
      <w:r w:rsidR="00E56226" w:rsidRPr="005849E4">
        <w:rPr>
          <w:sz w:val="22"/>
        </w:rPr>
        <w:t xml:space="preserve"> of the original budget (0.7</w:t>
      </w:r>
      <w:r w:rsidR="00953C6A">
        <w:rPr>
          <w:sz w:val="22"/>
        </w:rPr>
        <w:t xml:space="preserve"> percent</w:t>
      </w:r>
      <w:r w:rsidR="00E56226" w:rsidRPr="005849E4">
        <w:rPr>
          <w:sz w:val="22"/>
        </w:rPr>
        <w:t xml:space="preserve"> on average).</w:t>
      </w:r>
      <w:r w:rsidRPr="005849E4">
        <w:rPr>
          <w:sz w:val="22"/>
        </w:rPr>
        <w:t xml:space="preserve"> </w:t>
      </w:r>
    </w:p>
    <w:bookmarkEnd w:id="74"/>
    <w:p w14:paraId="6FD577EB" w14:textId="140A90E1" w:rsidR="00776E84" w:rsidRPr="005849E4" w:rsidRDefault="00776E84" w:rsidP="00BA6B2B">
      <w:pPr>
        <w:spacing w:after="240"/>
        <w:rPr>
          <w:b/>
          <w:sz w:val="22"/>
        </w:rPr>
      </w:pPr>
      <w:r w:rsidRPr="005849E4">
        <w:rPr>
          <w:b/>
          <w:sz w:val="22"/>
        </w:rPr>
        <w:t>Dimension rating = A</w:t>
      </w:r>
    </w:p>
    <w:p w14:paraId="24D0951E" w14:textId="77777777" w:rsidR="00BB1084" w:rsidRPr="00890A84" w:rsidRDefault="00BB1084" w:rsidP="00590C8E">
      <w:pPr>
        <w:pStyle w:val="Heading4"/>
      </w:pPr>
      <w:r w:rsidRPr="00890A84">
        <w:t>PI-3. Revenue outturn</w:t>
      </w:r>
    </w:p>
    <w:p w14:paraId="0D8515E3" w14:textId="77777777" w:rsidR="003E5B0C" w:rsidRPr="00890A84" w:rsidRDefault="003E5B0C" w:rsidP="00BA6B2B">
      <w:pPr>
        <w:pStyle w:val="Heading5"/>
      </w:pPr>
      <w:bookmarkStart w:id="75" w:name="_Hlk528247408"/>
      <w:r w:rsidRPr="00890A84">
        <w:t>Summary of scores and performance table</w:t>
      </w:r>
    </w:p>
    <w:tbl>
      <w:tblPr>
        <w:tblW w:w="963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A0" w:firstRow="1" w:lastRow="0" w:firstColumn="1" w:lastColumn="0" w:noHBand="1" w:noVBand="1"/>
      </w:tblPr>
      <w:tblGrid>
        <w:gridCol w:w="2943"/>
        <w:gridCol w:w="596"/>
        <w:gridCol w:w="6099"/>
      </w:tblGrid>
      <w:tr w:rsidR="003E5B0C" w:rsidRPr="00BA6B2B" w14:paraId="2B5FBB84" w14:textId="77777777" w:rsidTr="00D80DF1">
        <w:trPr>
          <w:trHeight w:val="179"/>
          <w:tblHeader/>
        </w:trPr>
        <w:tc>
          <w:tcPr>
            <w:tcW w:w="2943" w:type="dxa"/>
            <w:shd w:val="clear" w:color="auto" w:fill="5B9BD5"/>
          </w:tcPr>
          <w:p w14:paraId="45A55724" w14:textId="67E0A072" w:rsidR="003E5B0C" w:rsidRPr="00BA6B2B" w:rsidRDefault="003E5B0C" w:rsidP="005849E4">
            <w:pPr>
              <w:jc w:val="center"/>
              <w:rPr>
                <w:b/>
                <w:color w:val="FFFFFF" w:themeColor="background1"/>
                <w:sz w:val="20"/>
                <w:szCs w:val="20"/>
              </w:rPr>
            </w:pPr>
            <w:r w:rsidRPr="00BA6B2B">
              <w:rPr>
                <w:b/>
                <w:color w:val="FFFFFF" w:themeColor="background1"/>
                <w:sz w:val="20"/>
                <w:szCs w:val="20"/>
              </w:rPr>
              <w:t>PI-3</w:t>
            </w:r>
            <w:r w:rsidR="0092104F">
              <w:rPr>
                <w:b/>
                <w:color w:val="FFFFFF" w:themeColor="background1"/>
                <w:sz w:val="20"/>
                <w:szCs w:val="20"/>
              </w:rPr>
              <w:t>.</w:t>
            </w:r>
            <w:r w:rsidRPr="00BA6B2B">
              <w:rPr>
                <w:b/>
                <w:color w:val="FFFFFF" w:themeColor="background1"/>
                <w:sz w:val="20"/>
                <w:szCs w:val="20"/>
              </w:rPr>
              <w:t xml:space="preserve"> Revenue outturn (M2)</w:t>
            </w:r>
          </w:p>
        </w:tc>
        <w:tc>
          <w:tcPr>
            <w:tcW w:w="596" w:type="dxa"/>
            <w:shd w:val="clear" w:color="auto" w:fill="5B9BD5"/>
          </w:tcPr>
          <w:p w14:paraId="730CEA53" w14:textId="77777777" w:rsidR="003E5B0C" w:rsidRPr="00BA6B2B" w:rsidRDefault="003E5B0C" w:rsidP="00EB09D7">
            <w:pPr>
              <w:jc w:val="center"/>
              <w:rPr>
                <w:b/>
                <w:color w:val="FFFFFF" w:themeColor="background1"/>
                <w:sz w:val="20"/>
                <w:szCs w:val="20"/>
              </w:rPr>
            </w:pPr>
            <w:r w:rsidRPr="00BA6B2B">
              <w:rPr>
                <w:b/>
                <w:color w:val="FFFFFF" w:themeColor="background1"/>
                <w:sz w:val="20"/>
                <w:szCs w:val="20"/>
              </w:rPr>
              <w:t>D</w:t>
            </w:r>
          </w:p>
        </w:tc>
        <w:tc>
          <w:tcPr>
            <w:tcW w:w="6099" w:type="dxa"/>
            <w:shd w:val="clear" w:color="auto" w:fill="5B9BD5"/>
          </w:tcPr>
          <w:p w14:paraId="518661B8" w14:textId="77777777" w:rsidR="003E5B0C" w:rsidRPr="00BA6B2B" w:rsidRDefault="003E5B0C" w:rsidP="005849E4">
            <w:pPr>
              <w:jc w:val="center"/>
              <w:rPr>
                <w:b/>
                <w:color w:val="FFFFFF" w:themeColor="background1"/>
                <w:sz w:val="20"/>
                <w:szCs w:val="20"/>
              </w:rPr>
            </w:pPr>
            <w:r w:rsidRPr="00BA6B2B">
              <w:rPr>
                <w:b/>
                <w:color w:val="FFFFFF" w:themeColor="background1"/>
                <w:sz w:val="20"/>
                <w:szCs w:val="20"/>
              </w:rPr>
              <w:t>Brief justification for score</w:t>
            </w:r>
          </w:p>
        </w:tc>
      </w:tr>
      <w:tr w:rsidR="003E5B0C" w:rsidRPr="00BA6B2B" w14:paraId="259B7964" w14:textId="77777777" w:rsidTr="00D80DF1">
        <w:trPr>
          <w:trHeight w:val="71"/>
        </w:trPr>
        <w:tc>
          <w:tcPr>
            <w:tcW w:w="2943" w:type="dxa"/>
            <w:shd w:val="clear" w:color="auto" w:fill="auto"/>
          </w:tcPr>
          <w:p w14:paraId="12A99178" w14:textId="77777777" w:rsidR="003E5B0C" w:rsidRPr="00BA6B2B" w:rsidRDefault="003E5B0C" w:rsidP="00BA6B2B">
            <w:pPr>
              <w:jc w:val="left"/>
              <w:rPr>
                <w:sz w:val="20"/>
                <w:szCs w:val="20"/>
              </w:rPr>
            </w:pPr>
            <w:r w:rsidRPr="00BA6B2B">
              <w:rPr>
                <w:sz w:val="20"/>
                <w:szCs w:val="20"/>
              </w:rPr>
              <w:t xml:space="preserve">3.1 Aggregate revenue outturn </w:t>
            </w:r>
          </w:p>
        </w:tc>
        <w:tc>
          <w:tcPr>
            <w:tcW w:w="596" w:type="dxa"/>
            <w:shd w:val="clear" w:color="auto" w:fill="auto"/>
          </w:tcPr>
          <w:p w14:paraId="0E3E6C42" w14:textId="77777777" w:rsidR="003E5B0C" w:rsidRPr="00BA6B2B" w:rsidRDefault="003E5B0C" w:rsidP="00EB09D7">
            <w:pPr>
              <w:jc w:val="center"/>
              <w:rPr>
                <w:sz w:val="20"/>
                <w:szCs w:val="20"/>
              </w:rPr>
            </w:pPr>
            <w:r w:rsidRPr="00BA6B2B">
              <w:rPr>
                <w:sz w:val="20"/>
                <w:szCs w:val="20"/>
              </w:rPr>
              <w:t>D</w:t>
            </w:r>
          </w:p>
        </w:tc>
        <w:tc>
          <w:tcPr>
            <w:tcW w:w="6099" w:type="dxa"/>
            <w:shd w:val="clear" w:color="auto" w:fill="auto"/>
          </w:tcPr>
          <w:p w14:paraId="0BCBD448" w14:textId="77777777" w:rsidR="003E5B0C" w:rsidRPr="00BA6B2B" w:rsidRDefault="003E5B0C" w:rsidP="00BA6B2B">
            <w:pPr>
              <w:jc w:val="left"/>
              <w:rPr>
                <w:sz w:val="20"/>
                <w:szCs w:val="20"/>
              </w:rPr>
            </w:pPr>
            <w:r w:rsidRPr="00BA6B2B">
              <w:rPr>
                <w:sz w:val="20"/>
                <w:szCs w:val="20"/>
              </w:rPr>
              <w:t>Actual revenue was below 85% of budgeted revenue in two of the last three years.</w:t>
            </w:r>
          </w:p>
        </w:tc>
      </w:tr>
      <w:tr w:rsidR="003E5B0C" w:rsidRPr="00BA6B2B" w14:paraId="4194C75E" w14:textId="77777777" w:rsidTr="00D80DF1">
        <w:trPr>
          <w:trHeight w:val="152"/>
        </w:trPr>
        <w:tc>
          <w:tcPr>
            <w:tcW w:w="2943" w:type="dxa"/>
            <w:shd w:val="clear" w:color="auto" w:fill="auto"/>
          </w:tcPr>
          <w:p w14:paraId="588CC3C0" w14:textId="77777777" w:rsidR="003E5B0C" w:rsidRPr="00BA6B2B" w:rsidRDefault="003E5B0C" w:rsidP="00BA6B2B">
            <w:pPr>
              <w:jc w:val="left"/>
              <w:rPr>
                <w:sz w:val="20"/>
                <w:szCs w:val="20"/>
              </w:rPr>
            </w:pPr>
            <w:r w:rsidRPr="00BA6B2B">
              <w:rPr>
                <w:sz w:val="20"/>
                <w:szCs w:val="20"/>
              </w:rPr>
              <w:t xml:space="preserve">3.2 Revenue composition outturn </w:t>
            </w:r>
          </w:p>
        </w:tc>
        <w:tc>
          <w:tcPr>
            <w:tcW w:w="596" w:type="dxa"/>
            <w:shd w:val="clear" w:color="auto" w:fill="auto"/>
          </w:tcPr>
          <w:p w14:paraId="2B3E6F19" w14:textId="20F03B5B" w:rsidR="003E5B0C" w:rsidRPr="00BA6B2B" w:rsidRDefault="003E5B0C" w:rsidP="00EB09D7">
            <w:pPr>
              <w:jc w:val="center"/>
              <w:rPr>
                <w:sz w:val="20"/>
                <w:szCs w:val="20"/>
              </w:rPr>
            </w:pPr>
            <w:r w:rsidRPr="00BA6B2B">
              <w:rPr>
                <w:sz w:val="20"/>
                <w:szCs w:val="20"/>
              </w:rPr>
              <w:t>D</w:t>
            </w:r>
            <w:r w:rsidR="00D80DF1" w:rsidRPr="00BA6B2B">
              <w:rPr>
                <w:sz w:val="20"/>
                <w:szCs w:val="20"/>
              </w:rPr>
              <w:t>*</w:t>
            </w:r>
          </w:p>
        </w:tc>
        <w:tc>
          <w:tcPr>
            <w:tcW w:w="6099" w:type="dxa"/>
            <w:shd w:val="clear" w:color="auto" w:fill="auto"/>
          </w:tcPr>
          <w:p w14:paraId="1538DD76" w14:textId="2B96A855" w:rsidR="003E5B0C" w:rsidRPr="00BA6B2B" w:rsidRDefault="00D80DF1" w:rsidP="00BA6B2B">
            <w:pPr>
              <w:jc w:val="left"/>
              <w:rPr>
                <w:sz w:val="20"/>
                <w:szCs w:val="20"/>
              </w:rPr>
            </w:pPr>
            <w:r w:rsidRPr="00BA6B2B">
              <w:rPr>
                <w:sz w:val="20"/>
                <w:szCs w:val="20"/>
              </w:rPr>
              <w:t>AFS</w:t>
            </w:r>
            <w:r w:rsidR="002973C9">
              <w:rPr>
                <w:sz w:val="20"/>
                <w:szCs w:val="20"/>
              </w:rPr>
              <w:t>s</w:t>
            </w:r>
            <w:r w:rsidRPr="00BA6B2B">
              <w:rPr>
                <w:sz w:val="20"/>
                <w:szCs w:val="20"/>
              </w:rPr>
              <w:t xml:space="preserve"> do not present the breakdown of the local revenue, </w:t>
            </w:r>
            <w:r w:rsidR="0092104F">
              <w:rPr>
                <w:sz w:val="20"/>
                <w:szCs w:val="20"/>
              </w:rPr>
              <w:t xml:space="preserve">and </w:t>
            </w:r>
            <w:r w:rsidRPr="00BA6B2B">
              <w:rPr>
                <w:sz w:val="20"/>
                <w:szCs w:val="20"/>
              </w:rPr>
              <w:t>hence the composition variance could not be calculated.</w:t>
            </w:r>
          </w:p>
        </w:tc>
      </w:tr>
    </w:tbl>
    <w:bookmarkEnd w:id="75"/>
    <w:p w14:paraId="1BB366F7" w14:textId="77777777" w:rsidR="00DC7FBF" w:rsidRPr="00890A84" w:rsidRDefault="00642525" w:rsidP="00BA6B2B">
      <w:pPr>
        <w:pStyle w:val="Heading5"/>
      </w:pPr>
      <w:r w:rsidRPr="00890A84">
        <w:t>PI-</w:t>
      </w:r>
      <w:r w:rsidR="00DC7FBF" w:rsidRPr="00890A84">
        <w:t xml:space="preserve">3.1. Aggregate revenue outturn </w:t>
      </w:r>
    </w:p>
    <w:p w14:paraId="73668E66" w14:textId="7DF08878" w:rsidR="00400265" w:rsidRPr="005849E4" w:rsidRDefault="00295463" w:rsidP="00BA6B2B">
      <w:pPr>
        <w:spacing w:after="240"/>
        <w:rPr>
          <w:sz w:val="22"/>
        </w:rPr>
      </w:pPr>
      <w:r w:rsidRPr="0092104F">
        <w:rPr>
          <w:sz w:val="22"/>
        </w:rPr>
        <w:t>Table 3.</w:t>
      </w:r>
      <w:r w:rsidR="007929DF">
        <w:rPr>
          <w:sz w:val="22"/>
        </w:rPr>
        <w:t>8</w:t>
      </w:r>
      <w:r w:rsidRPr="005849E4">
        <w:rPr>
          <w:sz w:val="22"/>
        </w:rPr>
        <w:t xml:space="preserve"> shows that </w:t>
      </w:r>
      <w:r w:rsidR="0079721E" w:rsidRPr="005849E4">
        <w:rPr>
          <w:sz w:val="22"/>
        </w:rPr>
        <w:t>deviation of local revenue and transfers from international organi</w:t>
      </w:r>
      <w:r w:rsidR="0092104F">
        <w:rPr>
          <w:sz w:val="22"/>
        </w:rPr>
        <w:t>z</w:t>
      </w:r>
      <w:r w:rsidR="0079721E" w:rsidRPr="005849E4">
        <w:rPr>
          <w:sz w:val="22"/>
        </w:rPr>
        <w:t xml:space="preserve">ations </w:t>
      </w:r>
      <w:r w:rsidRPr="005849E4">
        <w:rPr>
          <w:sz w:val="22"/>
        </w:rPr>
        <w:t xml:space="preserve">was </w:t>
      </w:r>
      <w:r w:rsidR="00405EDF" w:rsidRPr="005849E4">
        <w:rPr>
          <w:sz w:val="22"/>
        </w:rPr>
        <w:t>85</w:t>
      </w:r>
      <w:r w:rsidRPr="005849E4">
        <w:rPr>
          <w:sz w:val="22"/>
        </w:rPr>
        <w:t>.</w:t>
      </w:r>
      <w:r w:rsidR="00405EDF" w:rsidRPr="005849E4">
        <w:rPr>
          <w:sz w:val="22"/>
        </w:rPr>
        <w:t>7</w:t>
      </w:r>
      <w:r w:rsidR="0092104F">
        <w:rPr>
          <w:sz w:val="22"/>
        </w:rPr>
        <w:t xml:space="preserve"> percent</w:t>
      </w:r>
      <w:r w:rsidR="0092104F" w:rsidRPr="005849E4">
        <w:rPr>
          <w:sz w:val="22"/>
        </w:rPr>
        <w:t xml:space="preserve">, </w:t>
      </w:r>
      <w:r w:rsidR="00405EDF" w:rsidRPr="005849E4">
        <w:rPr>
          <w:sz w:val="22"/>
        </w:rPr>
        <w:t>42</w:t>
      </w:r>
      <w:r w:rsidRPr="005849E4">
        <w:rPr>
          <w:sz w:val="22"/>
        </w:rPr>
        <w:t>.</w:t>
      </w:r>
      <w:r w:rsidR="00405EDF" w:rsidRPr="005849E4">
        <w:rPr>
          <w:sz w:val="22"/>
        </w:rPr>
        <w:t>1</w:t>
      </w:r>
      <w:r w:rsidR="0092104F">
        <w:rPr>
          <w:sz w:val="22"/>
        </w:rPr>
        <w:t xml:space="preserve"> percent,</w:t>
      </w:r>
      <w:r w:rsidRPr="005849E4">
        <w:rPr>
          <w:sz w:val="22"/>
        </w:rPr>
        <w:t xml:space="preserve"> and </w:t>
      </w:r>
      <w:r w:rsidR="00405EDF" w:rsidRPr="005849E4">
        <w:rPr>
          <w:sz w:val="22"/>
        </w:rPr>
        <w:t>30</w:t>
      </w:r>
      <w:r w:rsidRPr="005849E4">
        <w:rPr>
          <w:sz w:val="22"/>
        </w:rPr>
        <w:t>.</w:t>
      </w:r>
      <w:r w:rsidR="00405EDF" w:rsidRPr="005849E4">
        <w:rPr>
          <w:sz w:val="22"/>
        </w:rPr>
        <w:t>8</w:t>
      </w:r>
      <w:r w:rsidR="0092104F">
        <w:rPr>
          <w:sz w:val="22"/>
        </w:rPr>
        <w:t xml:space="preserve"> percent</w:t>
      </w:r>
      <w:r w:rsidRPr="005849E4">
        <w:rPr>
          <w:sz w:val="22"/>
        </w:rPr>
        <w:t>, respectively</w:t>
      </w:r>
      <w:r w:rsidR="0092104F">
        <w:rPr>
          <w:sz w:val="22"/>
        </w:rPr>
        <w:t>,</w:t>
      </w:r>
      <w:r w:rsidR="00FD6E8F" w:rsidRPr="005849E4">
        <w:rPr>
          <w:sz w:val="22"/>
        </w:rPr>
        <w:t xml:space="preserve"> in the last three fiscal years</w:t>
      </w:r>
      <w:r w:rsidRPr="005849E4">
        <w:rPr>
          <w:sz w:val="22"/>
        </w:rPr>
        <w:t>.</w:t>
      </w:r>
      <w:r w:rsidR="00E56226" w:rsidRPr="005849E4">
        <w:rPr>
          <w:sz w:val="22"/>
        </w:rPr>
        <w:t xml:space="preserve"> The strong deviation is to be found in overestimate of local revenues and grants from international organi</w:t>
      </w:r>
      <w:r w:rsidR="0092104F">
        <w:rPr>
          <w:sz w:val="22"/>
        </w:rPr>
        <w:t>z</w:t>
      </w:r>
      <w:r w:rsidR="00E56226" w:rsidRPr="005849E4">
        <w:rPr>
          <w:sz w:val="22"/>
        </w:rPr>
        <w:t>ations (see PI3.2).</w:t>
      </w:r>
    </w:p>
    <w:p w14:paraId="3BE11F98" w14:textId="77E7BF28" w:rsidR="00A65B24" w:rsidRDefault="00A66D19" w:rsidP="00590C8E">
      <w:pPr>
        <w:pStyle w:val="TableStyle"/>
      </w:pPr>
      <w:bookmarkStart w:id="76" w:name="_Toc530420888"/>
      <w:bookmarkStart w:id="77" w:name="_Toc532426095"/>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8</w:t>
      </w:r>
      <w:r w:rsidR="008B59A7">
        <w:rPr>
          <w:noProof/>
        </w:rPr>
        <w:fldChar w:fldCharType="end"/>
      </w:r>
      <w:r w:rsidR="00FE07C0" w:rsidRPr="00890A84">
        <w:t>: A</w:t>
      </w:r>
      <w:r w:rsidR="00A61A7D">
        <w:t>ggregate revenue outturn (</w:t>
      </w:r>
      <w:r w:rsidR="00E73ED7">
        <w:t>Ksh</w:t>
      </w:r>
      <w:r w:rsidR="0092104F">
        <w:t xml:space="preserve">, </w:t>
      </w:r>
      <w:r w:rsidR="00A65B24">
        <w:t>millions</w:t>
      </w:r>
      <w:r w:rsidR="00C41012">
        <w:t xml:space="preserve"> and </w:t>
      </w:r>
      <w:r w:rsidR="00F677C9">
        <w:t>percentage</w:t>
      </w:r>
      <w:r w:rsidR="00A61A7D">
        <w:t>)</w:t>
      </w:r>
      <w:bookmarkEnd w:id="76"/>
      <w:bookmarkEnd w:id="77"/>
    </w:p>
    <w:tbl>
      <w:tblPr>
        <w:tblW w:w="745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40"/>
        <w:gridCol w:w="1530"/>
        <w:gridCol w:w="1708"/>
        <w:gridCol w:w="2774"/>
      </w:tblGrid>
      <w:tr w:rsidR="00FA225D" w:rsidRPr="00EE1698" w14:paraId="0BD17525" w14:textId="77777777" w:rsidTr="00EE1698">
        <w:trPr>
          <w:trHeight w:val="270"/>
        </w:trPr>
        <w:tc>
          <w:tcPr>
            <w:tcW w:w="1440" w:type="dxa"/>
            <w:shd w:val="clear" w:color="auto" w:fill="5B9BD5"/>
            <w:noWrap/>
            <w:hideMark/>
          </w:tcPr>
          <w:p w14:paraId="5879372A" w14:textId="77777777" w:rsidR="00FA225D" w:rsidRPr="00EE1698" w:rsidRDefault="00FA225D" w:rsidP="0092104F">
            <w:pPr>
              <w:keepNext/>
              <w:jc w:val="center"/>
              <w:rPr>
                <w:b/>
                <w:color w:val="FFFFFF" w:themeColor="background1"/>
                <w:sz w:val="20"/>
                <w:szCs w:val="20"/>
              </w:rPr>
            </w:pPr>
            <w:r w:rsidRPr="00EE1698">
              <w:rPr>
                <w:b/>
                <w:color w:val="FFFFFF" w:themeColor="background1"/>
                <w:sz w:val="20"/>
                <w:szCs w:val="20"/>
              </w:rPr>
              <w:t>Year</w:t>
            </w:r>
          </w:p>
        </w:tc>
        <w:tc>
          <w:tcPr>
            <w:tcW w:w="1530" w:type="dxa"/>
            <w:shd w:val="clear" w:color="auto" w:fill="5B9BD5"/>
            <w:noWrap/>
            <w:hideMark/>
          </w:tcPr>
          <w:p w14:paraId="3D462C50" w14:textId="2E7D5CBD" w:rsidR="00FA225D" w:rsidRPr="00EE1698" w:rsidRDefault="00405EDF" w:rsidP="0092104F">
            <w:pPr>
              <w:keepNext/>
              <w:jc w:val="center"/>
              <w:rPr>
                <w:b/>
                <w:color w:val="FFFFFF" w:themeColor="background1"/>
                <w:sz w:val="20"/>
                <w:szCs w:val="20"/>
              </w:rPr>
            </w:pPr>
            <w:r w:rsidRPr="00EE1698">
              <w:rPr>
                <w:b/>
                <w:color w:val="FFFFFF" w:themeColor="background1"/>
                <w:sz w:val="20"/>
                <w:szCs w:val="20"/>
              </w:rPr>
              <w:t>Estimate</w:t>
            </w:r>
          </w:p>
        </w:tc>
        <w:tc>
          <w:tcPr>
            <w:tcW w:w="1708" w:type="dxa"/>
            <w:shd w:val="clear" w:color="auto" w:fill="5B9BD5"/>
            <w:noWrap/>
            <w:hideMark/>
          </w:tcPr>
          <w:p w14:paraId="481EBBAC" w14:textId="77777777" w:rsidR="00FA225D" w:rsidRPr="00EE1698" w:rsidRDefault="00FA225D" w:rsidP="0092104F">
            <w:pPr>
              <w:keepNext/>
              <w:jc w:val="center"/>
              <w:rPr>
                <w:b/>
                <w:color w:val="FFFFFF" w:themeColor="background1"/>
                <w:sz w:val="20"/>
                <w:szCs w:val="20"/>
              </w:rPr>
            </w:pPr>
            <w:r w:rsidRPr="00EE1698">
              <w:rPr>
                <w:b/>
                <w:color w:val="FFFFFF" w:themeColor="background1"/>
                <w:sz w:val="20"/>
                <w:szCs w:val="20"/>
              </w:rPr>
              <w:t>Actual</w:t>
            </w:r>
          </w:p>
        </w:tc>
        <w:tc>
          <w:tcPr>
            <w:tcW w:w="2774" w:type="dxa"/>
            <w:shd w:val="clear" w:color="auto" w:fill="5B9BD5"/>
            <w:noWrap/>
            <w:hideMark/>
          </w:tcPr>
          <w:p w14:paraId="5E12A1AE" w14:textId="024E9144" w:rsidR="00FA225D" w:rsidRPr="00EE1698" w:rsidRDefault="00405EDF" w:rsidP="0092104F">
            <w:pPr>
              <w:keepNext/>
              <w:jc w:val="center"/>
              <w:rPr>
                <w:b/>
                <w:color w:val="FFFFFF" w:themeColor="background1"/>
                <w:sz w:val="20"/>
                <w:szCs w:val="20"/>
              </w:rPr>
            </w:pPr>
            <w:r w:rsidRPr="00EE1698">
              <w:rPr>
                <w:b/>
                <w:color w:val="FFFFFF" w:themeColor="background1"/>
                <w:sz w:val="20"/>
                <w:szCs w:val="20"/>
              </w:rPr>
              <w:t xml:space="preserve">Actual in </w:t>
            </w:r>
            <w:r w:rsidR="00FA225D" w:rsidRPr="00EE1698">
              <w:rPr>
                <w:b/>
                <w:color w:val="FFFFFF" w:themeColor="background1"/>
                <w:sz w:val="20"/>
                <w:szCs w:val="20"/>
              </w:rPr>
              <w:t>%</w:t>
            </w:r>
            <w:r w:rsidR="003D11A0" w:rsidRPr="00EE1698">
              <w:rPr>
                <w:b/>
                <w:color w:val="FFFFFF" w:themeColor="background1"/>
                <w:sz w:val="20"/>
                <w:szCs w:val="20"/>
              </w:rPr>
              <w:t xml:space="preserve"> </w:t>
            </w:r>
            <w:r w:rsidRPr="00EE1698">
              <w:rPr>
                <w:b/>
                <w:color w:val="FFFFFF" w:themeColor="background1"/>
                <w:sz w:val="20"/>
                <w:szCs w:val="20"/>
              </w:rPr>
              <w:t>of Estimate</w:t>
            </w:r>
          </w:p>
        </w:tc>
      </w:tr>
      <w:tr w:rsidR="00A65B24" w:rsidRPr="00EE1698" w14:paraId="4357C715" w14:textId="77777777" w:rsidTr="00EE1698">
        <w:trPr>
          <w:trHeight w:val="270"/>
        </w:trPr>
        <w:tc>
          <w:tcPr>
            <w:tcW w:w="1440" w:type="dxa"/>
            <w:shd w:val="clear" w:color="auto" w:fill="auto"/>
            <w:noWrap/>
            <w:hideMark/>
          </w:tcPr>
          <w:p w14:paraId="7D87B340" w14:textId="77777777" w:rsidR="00A65B24" w:rsidRPr="00EE1698" w:rsidRDefault="00A65B24" w:rsidP="0092104F">
            <w:pPr>
              <w:keepNext/>
              <w:rPr>
                <w:sz w:val="20"/>
                <w:szCs w:val="20"/>
              </w:rPr>
            </w:pPr>
            <w:r w:rsidRPr="00EE1698">
              <w:rPr>
                <w:sz w:val="20"/>
                <w:szCs w:val="20"/>
              </w:rPr>
              <w:t>2013/14</w:t>
            </w:r>
          </w:p>
        </w:tc>
        <w:tc>
          <w:tcPr>
            <w:tcW w:w="1530" w:type="dxa"/>
            <w:shd w:val="clear" w:color="auto" w:fill="auto"/>
            <w:noWrap/>
            <w:vAlign w:val="center"/>
            <w:hideMark/>
          </w:tcPr>
          <w:p w14:paraId="59F4A1E6" w14:textId="459AC1BE" w:rsidR="00A65B24" w:rsidRPr="00EE1698" w:rsidRDefault="00A65B24" w:rsidP="0092104F">
            <w:pPr>
              <w:keepNext/>
              <w:tabs>
                <w:tab w:val="decimal" w:pos="732"/>
              </w:tabs>
              <w:jc w:val="left"/>
              <w:rPr>
                <w:sz w:val="20"/>
                <w:szCs w:val="20"/>
              </w:rPr>
            </w:pPr>
            <w:r w:rsidRPr="00EE1698">
              <w:rPr>
                <w:rFonts w:cs="Arial"/>
                <w:sz w:val="20"/>
                <w:szCs w:val="20"/>
              </w:rPr>
              <w:t>516.8</w:t>
            </w:r>
          </w:p>
        </w:tc>
        <w:tc>
          <w:tcPr>
            <w:tcW w:w="1708" w:type="dxa"/>
            <w:shd w:val="clear" w:color="auto" w:fill="auto"/>
            <w:noWrap/>
            <w:vAlign w:val="center"/>
            <w:hideMark/>
          </w:tcPr>
          <w:p w14:paraId="18F3D3F1" w14:textId="03DC461F" w:rsidR="00A65B24" w:rsidRPr="00EE1698" w:rsidRDefault="00A65B24" w:rsidP="0092104F">
            <w:pPr>
              <w:keepNext/>
              <w:tabs>
                <w:tab w:val="decimal" w:pos="879"/>
              </w:tabs>
              <w:jc w:val="left"/>
              <w:rPr>
                <w:sz w:val="20"/>
                <w:szCs w:val="20"/>
              </w:rPr>
            </w:pPr>
            <w:r w:rsidRPr="00EE1698">
              <w:rPr>
                <w:rFonts w:cs="Arial"/>
                <w:sz w:val="20"/>
                <w:szCs w:val="20"/>
              </w:rPr>
              <w:t>442.9</w:t>
            </w:r>
          </w:p>
        </w:tc>
        <w:tc>
          <w:tcPr>
            <w:tcW w:w="2774" w:type="dxa"/>
            <w:shd w:val="clear" w:color="auto" w:fill="auto"/>
            <w:noWrap/>
            <w:vAlign w:val="center"/>
            <w:hideMark/>
          </w:tcPr>
          <w:p w14:paraId="5D1680CB" w14:textId="1B27983A" w:rsidR="00A65B24" w:rsidRPr="00EE1698" w:rsidRDefault="00A65B24" w:rsidP="0092104F">
            <w:pPr>
              <w:keepNext/>
              <w:tabs>
                <w:tab w:val="decimal" w:pos="1245"/>
              </w:tabs>
              <w:jc w:val="left"/>
              <w:rPr>
                <w:sz w:val="20"/>
                <w:szCs w:val="20"/>
              </w:rPr>
            </w:pPr>
            <w:r w:rsidRPr="00EE1698">
              <w:rPr>
                <w:rFonts w:cs="Arial"/>
                <w:sz w:val="20"/>
                <w:szCs w:val="20"/>
              </w:rPr>
              <w:t>85.7</w:t>
            </w:r>
          </w:p>
        </w:tc>
      </w:tr>
      <w:tr w:rsidR="00A65B24" w:rsidRPr="00EE1698" w14:paraId="34A94300" w14:textId="77777777" w:rsidTr="00EE1698">
        <w:trPr>
          <w:trHeight w:val="270"/>
        </w:trPr>
        <w:tc>
          <w:tcPr>
            <w:tcW w:w="1440" w:type="dxa"/>
            <w:shd w:val="clear" w:color="auto" w:fill="auto"/>
            <w:noWrap/>
            <w:hideMark/>
          </w:tcPr>
          <w:p w14:paraId="197D5A95" w14:textId="77777777" w:rsidR="00A65B24" w:rsidRPr="00EE1698" w:rsidRDefault="00A65B24" w:rsidP="0092104F">
            <w:pPr>
              <w:keepNext/>
              <w:rPr>
                <w:sz w:val="20"/>
                <w:szCs w:val="20"/>
              </w:rPr>
            </w:pPr>
            <w:r w:rsidRPr="00EE1698">
              <w:rPr>
                <w:sz w:val="20"/>
                <w:szCs w:val="20"/>
              </w:rPr>
              <w:t>2014/15</w:t>
            </w:r>
          </w:p>
        </w:tc>
        <w:tc>
          <w:tcPr>
            <w:tcW w:w="1530" w:type="dxa"/>
            <w:shd w:val="clear" w:color="auto" w:fill="auto"/>
            <w:noWrap/>
            <w:vAlign w:val="center"/>
            <w:hideMark/>
          </w:tcPr>
          <w:p w14:paraId="7908B375" w14:textId="29AF18BE" w:rsidR="00A65B24" w:rsidRPr="00EE1698" w:rsidRDefault="00A65B24" w:rsidP="0092104F">
            <w:pPr>
              <w:keepNext/>
              <w:tabs>
                <w:tab w:val="decimal" w:pos="732"/>
              </w:tabs>
              <w:jc w:val="left"/>
              <w:rPr>
                <w:sz w:val="20"/>
                <w:szCs w:val="20"/>
              </w:rPr>
            </w:pPr>
            <w:r w:rsidRPr="00EE1698">
              <w:rPr>
                <w:rFonts w:cs="Arial"/>
                <w:sz w:val="20"/>
                <w:szCs w:val="20"/>
              </w:rPr>
              <w:t>1,836.8</w:t>
            </w:r>
          </w:p>
        </w:tc>
        <w:tc>
          <w:tcPr>
            <w:tcW w:w="1708" w:type="dxa"/>
            <w:shd w:val="clear" w:color="auto" w:fill="auto"/>
            <w:noWrap/>
            <w:vAlign w:val="center"/>
            <w:hideMark/>
          </w:tcPr>
          <w:p w14:paraId="5DD98B95" w14:textId="7D3C0F41" w:rsidR="00A65B24" w:rsidRPr="00EE1698" w:rsidRDefault="00A65B24" w:rsidP="0092104F">
            <w:pPr>
              <w:keepNext/>
              <w:tabs>
                <w:tab w:val="decimal" w:pos="879"/>
              </w:tabs>
              <w:jc w:val="left"/>
              <w:rPr>
                <w:sz w:val="20"/>
                <w:szCs w:val="20"/>
              </w:rPr>
            </w:pPr>
            <w:r w:rsidRPr="00EE1698">
              <w:rPr>
                <w:rFonts w:cs="Arial"/>
                <w:sz w:val="20"/>
                <w:szCs w:val="20"/>
              </w:rPr>
              <w:t>772.6</w:t>
            </w:r>
          </w:p>
        </w:tc>
        <w:tc>
          <w:tcPr>
            <w:tcW w:w="2774" w:type="dxa"/>
            <w:shd w:val="clear" w:color="auto" w:fill="auto"/>
            <w:noWrap/>
            <w:vAlign w:val="center"/>
            <w:hideMark/>
          </w:tcPr>
          <w:p w14:paraId="7DCCCB89" w14:textId="5907973A" w:rsidR="00A65B24" w:rsidRPr="00EE1698" w:rsidRDefault="00A65B24" w:rsidP="0092104F">
            <w:pPr>
              <w:keepNext/>
              <w:tabs>
                <w:tab w:val="decimal" w:pos="1245"/>
              </w:tabs>
              <w:jc w:val="left"/>
              <w:rPr>
                <w:sz w:val="20"/>
                <w:szCs w:val="20"/>
              </w:rPr>
            </w:pPr>
            <w:r w:rsidRPr="00EE1698">
              <w:rPr>
                <w:rFonts w:cs="Arial"/>
                <w:sz w:val="20"/>
                <w:szCs w:val="20"/>
              </w:rPr>
              <w:t>42.1</w:t>
            </w:r>
          </w:p>
        </w:tc>
      </w:tr>
      <w:tr w:rsidR="00A65B24" w:rsidRPr="00EE1698" w14:paraId="74855A38" w14:textId="77777777" w:rsidTr="00EE1698">
        <w:trPr>
          <w:trHeight w:val="65"/>
        </w:trPr>
        <w:tc>
          <w:tcPr>
            <w:tcW w:w="1440" w:type="dxa"/>
            <w:shd w:val="clear" w:color="auto" w:fill="auto"/>
            <w:noWrap/>
            <w:hideMark/>
          </w:tcPr>
          <w:p w14:paraId="5C7C3722" w14:textId="77777777" w:rsidR="00A65B24" w:rsidRPr="00EE1698" w:rsidRDefault="00A65B24" w:rsidP="00A65B24">
            <w:pPr>
              <w:rPr>
                <w:sz w:val="20"/>
                <w:szCs w:val="20"/>
              </w:rPr>
            </w:pPr>
            <w:r w:rsidRPr="00EE1698">
              <w:rPr>
                <w:sz w:val="20"/>
                <w:szCs w:val="20"/>
              </w:rPr>
              <w:t>2015/16</w:t>
            </w:r>
          </w:p>
        </w:tc>
        <w:tc>
          <w:tcPr>
            <w:tcW w:w="1530" w:type="dxa"/>
            <w:shd w:val="clear" w:color="auto" w:fill="auto"/>
            <w:noWrap/>
            <w:vAlign w:val="center"/>
            <w:hideMark/>
          </w:tcPr>
          <w:p w14:paraId="245BEEEA" w14:textId="7935D7D6" w:rsidR="00A65B24" w:rsidRPr="00EE1698" w:rsidRDefault="00A65B24" w:rsidP="0092104F">
            <w:pPr>
              <w:tabs>
                <w:tab w:val="decimal" w:pos="732"/>
              </w:tabs>
              <w:jc w:val="left"/>
              <w:rPr>
                <w:sz w:val="20"/>
                <w:szCs w:val="20"/>
              </w:rPr>
            </w:pPr>
            <w:r w:rsidRPr="00EE1698">
              <w:rPr>
                <w:rFonts w:cs="Arial"/>
                <w:sz w:val="20"/>
                <w:szCs w:val="20"/>
              </w:rPr>
              <w:t>2,116.5</w:t>
            </w:r>
          </w:p>
        </w:tc>
        <w:tc>
          <w:tcPr>
            <w:tcW w:w="1708" w:type="dxa"/>
            <w:shd w:val="clear" w:color="auto" w:fill="auto"/>
            <w:noWrap/>
            <w:vAlign w:val="center"/>
            <w:hideMark/>
          </w:tcPr>
          <w:p w14:paraId="75E95F7F" w14:textId="7F5EEE59" w:rsidR="00A65B24" w:rsidRPr="00EE1698" w:rsidRDefault="00A65B24" w:rsidP="0092104F">
            <w:pPr>
              <w:tabs>
                <w:tab w:val="decimal" w:pos="879"/>
              </w:tabs>
              <w:jc w:val="left"/>
              <w:rPr>
                <w:sz w:val="20"/>
                <w:szCs w:val="20"/>
              </w:rPr>
            </w:pPr>
            <w:r w:rsidRPr="00EE1698">
              <w:rPr>
                <w:rFonts w:cs="Arial"/>
                <w:sz w:val="20"/>
                <w:szCs w:val="20"/>
              </w:rPr>
              <w:t>650.9</w:t>
            </w:r>
          </w:p>
        </w:tc>
        <w:tc>
          <w:tcPr>
            <w:tcW w:w="2774" w:type="dxa"/>
            <w:shd w:val="clear" w:color="auto" w:fill="auto"/>
            <w:noWrap/>
            <w:vAlign w:val="center"/>
            <w:hideMark/>
          </w:tcPr>
          <w:p w14:paraId="150178D6" w14:textId="134178B8" w:rsidR="00A65B24" w:rsidRPr="00EE1698" w:rsidRDefault="00A65B24" w:rsidP="0092104F">
            <w:pPr>
              <w:tabs>
                <w:tab w:val="decimal" w:pos="1245"/>
              </w:tabs>
              <w:jc w:val="left"/>
              <w:rPr>
                <w:sz w:val="20"/>
                <w:szCs w:val="20"/>
              </w:rPr>
            </w:pPr>
            <w:r w:rsidRPr="00EE1698">
              <w:rPr>
                <w:rFonts w:cs="Arial"/>
                <w:sz w:val="20"/>
                <w:szCs w:val="20"/>
              </w:rPr>
              <w:t>30.8</w:t>
            </w:r>
          </w:p>
        </w:tc>
      </w:tr>
    </w:tbl>
    <w:p w14:paraId="3AE30430" w14:textId="6C4C1B15" w:rsidR="007829BC" w:rsidRPr="00BA6B2B" w:rsidRDefault="007829BC" w:rsidP="00BA6B2B">
      <w:pPr>
        <w:pStyle w:val="italic0"/>
        <w:spacing w:after="120"/>
        <w:rPr>
          <w:rStyle w:val="SubtleEmphasis"/>
          <w:iCs w:val="0"/>
          <w:color w:val="auto"/>
          <w:sz w:val="20"/>
        </w:rPr>
      </w:pPr>
      <w:r w:rsidRPr="00BA6B2B">
        <w:rPr>
          <w:rStyle w:val="SubtleEmphasis"/>
          <w:i/>
          <w:iCs w:val="0"/>
          <w:color w:val="auto"/>
          <w:sz w:val="20"/>
        </w:rPr>
        <w:t xml:space="preserve">Source: </w:t>
      </w:r>
      <w:r w:rsidR="00C41012" w:rsidRPr="00BA6B2B">
        <w:rPr>
          <w:rStyle w:val="SubtleEmphasis"/>
          <w:iCs w:val="0"/>
          <w:color w:val="auto"/>
          <w:sz w:val="20"/>
        </w:rPr>
        <w:t>CBROP</w:t>
      </w:r>
      <w:r w:rsidR="00BA6B2B">
        <w:rPr>
          <w:rStyle w:val="SubtleEmphasis"/>
          <w:iCs w:val="0"/>
          <w:color w:val="auto"/>
          <w:sz w:val="20"/>
        </w:rPr>
        <w:t>.</w:t>
      </w:r>
    </w:p>
    <w:p w14:paraId="44CE90B1" w14:textId="51C0ECDB" w:rsidR="00776E84" w:rsidRPr="005849E4" w:rsidRDefault="00FD6E8F" w:rsidP="00BA6B2B">
      <w:pPr>
        <w:spacing w:after="240"/>
        <w:rPr>
          <w:rStyle w:val="SubtleEmphasis"/>
          <w:iCs w:val="0"/>
          <w:color w:val="auto"/>
          <w:sz w:val="22"/>
        </w:rPr>
      </w:pPr>
      <w:r w:rsidRPr="005849E4">
        <w:rPr>
          <w:sz w:val="22"/>
        </w:rPr>
        <w:t>In summary, actual revenue was below 85</w:t>
      </w:r>
      <w:r w:rsidR="0092104F">
        <w:rPr>
          <w:sz w:val="22"/>
        </w:rPr>
        <w:t xml:space="preserve"> percent</w:t>
      </w:r>
      <w:r w:rsidRPr="005849E4">
        <w:rPr>
          <w:sz w:val="22"/>
        </w:rPr>
        <w:t xml:space="preserve"> of budgeted </w:t>
      </w:r>
      <w:r w:rsidR="00405EDF" w:rsidRPr="005849E4">
        <w:rPr>
          <w:sz w:val="22"/>
        </w:rPr>
        <w:t xml:space="preserve">local </w:t>
      </w:r>
      <w:r w:rsidRPr="005849E4">
        <w:rPr>
          <w:sz w:val="22"/>
        </w:rPr>
        <w:t>revenue in two of the last three years.</w:t>
      </w:r>
      <w:r w:rsidRPr="005849E4">
        <w:rPr>
          <w:rStyle w:val="SubtleEmphasis"/>
          <w:iCs w:val="0"/>
          <w:color w:val="auto"/>
          <w:sz w:val="22"/>
        </w:rPr>
        <w:t xml:space="preserve"> </w:t>
      </w:r>
    </w:p>
    <w:p w14:paraId="776BEF73" w14:textId="714B685E" w:rsidR="00776E84" w:rsidRPr="005849E4" w:rsidRDefault="00776E84" w:rsidP="00776E84">
      <w:pPr>
        <w:rPr>
          <w:b/>
          <w:sz w:val="22"/>
        </w:rPr>
      </w:pPr>
      <w:r w:rsidRPr="005849E4">
        <w:rPr>
          <w:b/>
          <w:sz w:val="22"/>
        </w:rPr>
        <w:t>Dimension rating = D</w:t>
      </w:r>
    </w:p>
    <w:p w14:paraId="77F68DFE" w14:textId="77777777" w:rsidR="00DC7FBF" w:rsidRPr="00890A84" w:rsidRDefault="00642525" w:rsidP="00BA6B2B">
      <w:pPr>
        <w:pStyle w:val="Heading5"/>
      </w:pPr>
      <w:r w:rsidRPr="00890A84">
        <w:t>PI-</w:t>
      </w:r>
      <w:r w:rsidR="00DC7FBF" w:rsidRPr="00890A84">
        <w:t>3.2. Revenue composition outturn</w:t>
      </w:r>
    </w:p>
    <w:p w14:paraId="38FE50A3" w14:textId="4A2BEAC9" w:rsidR="007B1D2C" w:rsidRPr="005849E4" w:rsidRDefault="007B1D2C" w:rsidP="00BA6B2B">
      <w:pPr>
        <w:spacing w:after="240"/>
        <w:rPr>
          <w:sz w:val="22"/>
        </w:rPr>
      </w:pPr>
      <w:r w:rsidRPr="005849E4">
        <w:rPr>
          <w:sz w:val="22"/>
        </w:rPr>
        <w:t xml:space="preserve">Article 209 of the </w:t>
      </w:r>
      <w:r w:rsidR="0092104F">
        <w:rPr>
          <w:sz w:val="22"/>
        </w:rPr>
        <w:t>C</w:t>
      </w:r>
      <w:r w:rsidRPr="005849E4">
        <w:rPr>
          <w:sz w:val="22"/>
        </w:rPr>
        <w:t xml:space="preserve">onstitution of Kenya provides that a county may impose </w:t>
      </w:r>
      <w:r w:rsidR="0092104F">
        <w:rPr>
          <w:sz w:val="22"/>
        </w:rPr>
        <w:t>p</w:t>
      </w:r>
      <w:r w:rsidRPr="005849E4">
        <w:rPr>
          <w:sz w:val="22"/>
        </w:rPr>
        <w:t>roperty rates</w:t>
      </w:r>
      <w:r w:rsidR="0092104F">
        <w:rPr>
          <w:sz w:val="22"/>
        </w:rPr>
        <w:t xml:space="preserve"> and</w:t>
      </w:r>
      <w:r w:rsidRPr="005849E4">
        <w:rPr>
          <w:sz w:val="22"/>
        </w:rPr>
        <w:t xml:space="preserve"> entertainment taxes and county governments may impose charges for the services they provide</w:t>
      </w:r>
      <w:r w:rsidR="0092104F">
        <w:rPr>
          <w:sz w:val="22"/>
        </w:rPr>
        <w:t>.</w:t>
      </w:r>
      <w:r w:rsidRPr="005849E4">
        <w:rPr>
          <w:sz w:val="22"/>
        </w:rPr>
        <w:t xml:space="preserve"> </w:t>
      </w:r>
      <w:r w:rsidR="0092104F">
        <w:rPr>
          <w:sz w:val="22"/>
        </w:rPr>
        <w:t>B</w:t>
      </w:r>
      <w:r w:rsidRPr="005849E4">
        <w:rPr>
          <w:sz w:val="22"/>
        </w:rPr>
        <w:t>ut the taxation and other revenue-raising powers of a county shall not be exercised in a way that prejudices national economic policies</w:t>
      </w:r>
      <w:r w:rsidR="0092104F">
        <w:rPr>
          <w:sz w:val="22"/>
        </w:rPr>
        <w:t>;</w:t>
      </w:r>
      <w:r w:rsidRPr="005849E4">
        <w:rPr>
          <w:sz w:val="22"/>
        </w:rPr>
        <w:t xml:space="preserve"> economic activities across county boundaries</w:t>
      </w:r>
      <w:r w:rsidR="0092104F">
        <w:rPr>
          <w:sz w:val="22"/>
        </w:rPr>
        <w:t>;</w:t>
      </w:r>
      <w:r w:rsidRPr="005849E4">
        <w:rPr>
          <w:sz w:val="22"/>
        </w:rPr>
        <w:t xml:space="preserve"> or the national mobility of goods, services, capital</w:t>
      </w:r>
      <w:r w:rsidR="0092104F">
        <w:rPr>
          <w:sz w:val="22"/>
        </w:rPr>
        <w:t>,</w:t>
      </w:r>
      <w:r w:rsidRPr="005849E4">
        <w:rPr>
          <w:sz w:val="22"/>
        </w:rPr>
        <w:t xml:space="preserve"> or labour.</w:t>
      </w:r>
    </w:p>
    <w:p w14:paraId="5B28DE62" w14:textId="7FFAA3A1" w:rsidR="00751D83" w:rsidRPr="005849E4" w:rsidRDefault="00AA1B29" w:rsidP="00BA6B2B">
      <w:pPr>
        <w:spacing w:after="240"/>
        <w:rPr>
          <w:sz w:val="22"/>
        </w:rPr>
      </w:pPr>
      <w:r w:rsidRPr="0092104F">
        <w:rPr>
          <w:sz w:val="22"/>
        </w:rPr>
        <w:t>Table 3.</w:t>
      </w:r>
      <w:r w:rsidR="007929DF">
        <w:rPr>
          <w:sz w:val="22"/>
        </w:rPr>
        <w:t>9</w:t>
      </w:r>
      <w:r w:rsidRPr="005849E4">
        <w:rPr>
          <w:sz w:val="22"/>
        </w:rPr>
        <w:t xml:space="preserve"> show</w:t>
      </w:r>
      <w:r w:rsidR="0092104F">
        <w:rPr>
          <w:sz w:val="22"/>
        </w:rPr>
        <w:t>s</w:t>
      </w:r>
      <w:r w:rsidRPr="005849E4">
        <w:rPr>
          <w:sz w:val="22"/>
        </w:rPr>
        <w:t xml:space="preserve"> </w:t>
      </w:r>
      <w:r w:rsidR="0092104F">
        <w:rPr>
          <w:sz w:val="22"/>
        </w:rPr>
        <w:t xml:space="preserve">an </w:t>
      </w:r>
      <w:r w:rsidR="00F7623B" w:rsidRPr="005849E4">
        <w:rPr>
          <w:sz w:val="22"/>
        </w:rPr>
        <w:t>overestimate of local revenues and grants from international organi</w:t>
      </w:r>
      <w:r w:rsidR="0092104F">
        <w:rPr>
          <w:sz w:val="22"/>
        </w:rPr>
        <w:t>z</w:t>
      </w:r>
      <w:r w:rsidR="00F7623B" w:rsidRPr="005849E4">
        <w:rPr>
          <w:sz w:val="22"/>
        </w:rPr>
        <w:t>ations</w:t>
      </w:r>
      <w:r w:rsidRPr="005849E4">
        <w:rPr>
          <w:sz w:val="22"/>
        </w:rPr>
        <w:t xml:space="preserve"> in all three years</w:t>
      </w:r>
      <w:r w:rsidR="00F7623B" w:rsidRPr="005849E4">
        <w:rPr>
          <w:sz w:val="22"/>
        </w:rPr>
        <w:t xml:space="preserve">. </w:t>
      </w:r>
      <w:r w:rsidR="00405EDF" w:rsidRPr="005849E4">
        <w:rPr>
          <w:sz w:val="22"/>
        </w:rPr>
        <w:t xml:space="preserve">The revenue collection rate of the county was far below </w:t>
      </w:r>
      <w:r w:rsidR="0092104F">
        <w:rPr>
          <w:sz w:val="22"/>
        </w:rPr>
        <w:t xml:space="preserve">the </w:t>
      </w:r>
      <w:r w:rsidR="00405EDF" w:rsidRPr="005849E4">
        <w:rPr>
          <w:sz w:val="22"/>
        </w:rPr>
        <w:t xml:space="preserve">annual target. </w:t>
      </w:r>
      <w:r w:rsidR="00F7623B" w:rsidRPr="005849E4">
        <w:rPr>
          <w:sz w:val="22"/>
        </w:rPr>
        <w:t xml:space="preserve">The reasons </w:t>
      </w:r>
      <w:r w:rsidR="0092104F">
        <w:rPr>
          <w:sz w:val="22"/>
        </w:rPr>
        <w:t>for</w:t>
      </w:r>
      <w:r w:rsidR="0092104F" w:rsidRPr="005849E4">
        <w:rPr>
          <w:sz w:val="22"/>
        </w:rPr>
        <w:t xml:space="preserve"> </w:t>
      </w:r>
      <w:r w:rsidR="00F7623B" w:rsidRPr="005849E4">
        <w:rPr>
          <w:sz w:val="22"/>
        </w:rPr>
        <w:t>under</w:t>
      </w:r>
      <w:r w:rsidR="0092104F">
        <w:rPr>
          <w:sz w:val="22"/>
        </w:rPr>
        <w:t>-</w:t>
      </w:r>
      <w:r w:rsidR="00F7623B" w:rsidRPr="005849E4">
        <w:rPr>
          <w:sz w:val="22"/>
        </w:rPr>
        <w:t>performance of revenue in the county include pilferage of revenue and fraud</w:t>
      </w:r>
      <w:r w:rsidR="0092104F">
        <w:rPr>
          <w:sz w:val="22"/>
        </w:rPr>
        <w:t>;</w:t>
      </w:r>
      <w:r w:rsidR="00F7623B" w:rsidRPr="005849E4">
        <w:rPr>
          <w:sz w:val="22"/>
        </w:rPr>
        <w:t xml:space="preserve"> laxity in compliance among the taxpayers</w:t>
      </w:r>
      <w:r w:rsidR="0092104F">
        <w:rPr>
          <w:sz w:val="22"/>
        </w:rPr>
        <w:t>;</w:t>
      </w:r>
      <w:r w:rsidR="00F7623B" w:rsidRPr="005849E4">
        <w:rPr>
          <w:sz w:val="22"/>
        </w:rPr>
        <w:t xml:space="preserve"> inadequate capacity in terms of personnel, equipment</w:t>
      </w:r>
      <w:r w:rsidR="0092104F">
        <w:rPr>
          <w:sz w:val="22"/>
        </w:rPr>
        <w:t>,</w:t>
      </w:r>
      <w:r w:rsidR="00F7623B" w:rsidRPr="005849E4">
        <w:rPr>
          <w:sz w:val="22"/>
        </w:rPr>
        <w:t xml:space="preserve"> and funds</w:t>
      </w:r>
      <w:r w:rsidR="0092104F">
        <w:rPr>
          <w:sz w:val="22"/>
        </w:rPr>
        <w:t>;</w:t>
      </w:r>
      <w:r w:rsidR="00F7623B" w:rsidRPr="005849E4">
        <w:rPr>
          <w:sz w:val="22"/>
        </w:rPr>
        <w:t xml:space="preserve"> and structural inefficiencies in revenue administration.</w:t>
      </w:r>
      <w:r w:rsidR="00A65B24" w:rsidRPr="005849E4">
        <w:rPr>
          <w:sz w:val="22"/>
        </w:rPr>
        <w:t xml:space="preserve"> </w:t>
      </w:r>
      <w:r w:rsidR="00751D83" w:rsidRPr="005849E4">
        <w:rPr>
          <w:sz w:val="22"/>
        </w:rPr>
        <w:t>As far as grants from international organi</w:t>
      </w:r>
      <w:r w:rsidR="0092104F">
        <w:rPr>
          <w:sz w:val="22"/>
        </w:rPr>
        <w:t>z</w:t>
      </w:r>
      <w:r w:rsidR="00751D83" w:rsidRPr="005849E4">
        <w:rPr>
          <w:sz w:val="22"/>
        </w:rPr>
        <w:t xml:space="preserve">ations are concerned, the </w:t>
      </w:r>
      <w:r w:rsidR="00F7623B" w:rsidRPr="005849E4">
        <w:rPr>
          <w:sz w:val="22"/>
        </w:rPr>
        <w:t xml:space="preserve">estimates were also too optimistic. The </w:t>
      </w:r>
      <w:r w:rsidR="0092104F">
        <w:rPr>
          <w:sz w:val="22"/>
        </w:rPr>
        <w:t>c</w:t>
      </w:r>
      <w:r w:rsidR="00751D83" w:rsidRPr="005849E4">
        <w:rPr>
          <w:sz w:val="22"/>
        </w:rPr>
        <w:t xml:space="preserve">ounty budgeted </w:t>
      </w:r>
      <w:r w:rsidR="00E73ED7">
        <w:rPr>
          <w:sz w:val="22"/>
        </w:rPr>
        <w:t>Ksh</w:t>
      </w:r>
      <w:r w:rsidR="0092104F" w:rsidRPr="005849E4">
        <w:rPr>
          <w:sz w:val="22"/>
        </w:rPr>
        <w:t xml:space="preserve"> </w:t>
      </w:r>
      <w:r w:rsidR="00751D83" w:rsidRPr="005849E4">
        <w:rPr>
          <w:sz w:val="22"/>
        </w:rPr>
        <w:t xml:space="preserve">15.5 million </w:t>
      </w:r>
      <w:r w:rsidR="00E73ED7">
        <w:rPr>
          <w:sz w:val="22"/>
        </w:rPr>
        <w:t>Ksh</w:t>
      </w:r>
      <w:r w:rsidR="007274DE">
        <w:rPr>
          <w:sz w:val="22"/>
        </w:rPr>
        <w:t xml:space="preserve"> </w:t>
      </w:r>
      <w:r w:rsidR="0092104F" w:rsidRPr="0092104F">
        <w:rPr>
          <w:sz w:val="22"/>
          <w:lang w:val="en-US"/>
        </w:rPr>
        <w:t>Danish International Development Agency</w:t>
      </w:r>
      <w:r w:rsidR="0092104F" w:rsidRPr="005849E4">
        <w:rPr>
          <w:sz w:val="22"/>
        </w:rPr>
        <w:t xml:space="preserve"> </w:t>
      </w:r>
      <w:r w:rsidR="0092104F">
        <w:rPr>
          <w:sz w:val="22"/>
        </w:rPr>
        <w:t>(</w:t>
      </w:r>
      <w:r w:rsidR="0092104F" w:rsidRPr="005849E4">
        <w:rPr>
          <w:sz w:val="22"/>
        </w:rPr>
        <w:t>DANIDA</w:t>
      </w:r>
      <w:r w:rsidR="0092104F">
        <w:rPr>
          <w:sz w:val="22"/>
        </w:rPr>
        <w:t>)</w:t>
      </w:r>
      <w:r w:rsidR="00A65B24" w:rsidRPr="005849E4">
        <w:rPr>
          <w:sz w:val="22"/>
        </w:rPr>
        <w:t xml:space="preserve"> in FY2015/16</w:t>
      </w:r>
      <w:r w:rsidR="00751D83" w:rsidRPr="005849E4">
        <w:rPr>
          <w:sz w:val="22"/>
        </w:rPr>
        <w:t>, but the funds were not transferred.</w:t>
      </w:r>
      <w:r w:rsidR="00A65B24" w:rsidRPr="005849E4">
        <w:rPr>
          <w:color w:val="FF0000"/>
          <w:sz w:val="22"/>
        </w:rPr>
        <w:t xml:space="preserve"> </w:t>
      </w:r>
      <w:r w:rsidR="00A65B24" w:rsidRPr="005849E4">
        <w:rPr>
          <w:sz w:val="22"/>
        </w:rPr>
        <w:t>The revenue foregone, due to insufficient fiscal efforts by the counties, represents a fiscal pressure on the national government to increase transfer</w:t>
      </w:r>
      <w:r w:rsidR="0092104F">
        <w:rPr>
          <w:sz w:val="22"/>
        </w:rPr>
        <w:t>s</w:t>
      </w:r>
      <w:r w:rsidR="00A65B24" w:rsidRPr="005849E4">
        <w:rPr>
          <w:sz w:val="22"/>
        </w:rPr>
        <w:t xml:space="preserve"> going forward.</w:t>
      </w:r>
    </w:p>
    <w:p w14:paraId="3418A21A" w14:textId="7AAB57C8" w:rsidR="00FE07C0" w:rsidRDefault="00A66D19" w:rsidP="00590C8E">
      <w:pPr>
        <w:pStyle w:val="TableStyle"/>
      </w:pPr>
      <w:bookmarkStart w:id="78" w:name="_Toc530420889"/>
      <w:bookmarkStart w:id="79" w:name="_Toc532426096"/>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9</w:t>
      </w:r>
      <w:r w:rsidR="008B59A7">
        <w:rPr>
          <w:noProof/>
        </w:rPr>
        <w:fldChar w:fldCharType="end"/>
      </w:r>
      <w:r w:rsidR="00FE07C0" w:rsidRPr="00890A84">
        <w:t xml:space="preserve">: </w:t>
      </w:r>
      <w:r w:rsidR="007C321C">
        <w:t>S</w:t>
      </w:r>
      <w:r w:rsidR="00294285" w:rsidRPr="00890A84">
        <w:t>ources of r</w:t>
      </w:r>
      <w:r w:rsidR="00FE07C0" w:rsidRPr="00890A84">
        <w:t xml:space="preserve">evenue for the last </w:t>
      </w:r>
      <w:r w:rsidR="005B0A9A">
        <w:t>three</w:t>
      </w:r>
      <w:r w:rsidR="005B0A9A" w:rsidRPr="00890A84">
        <w:t xml:space="preserve"> </w:t>
      </w:r>
      <w:r w:rsidR="00FE07C0" w:rsidRPr="00890A84">
        <w:t>FY</w:t>
      </w:r>
      <w:r w:rsidR="009A1C28">
        <w:t>s</w:t>
      </w:r>
      <w:r w:rsidR="00436A93">
        <w:t xml:space="preserve"> (</w:t>
      </w:r>
      <w:r w:rsidR="00E73ED7">
        <w:t>Ksh</w:t>
      </w:r>
      <w:r w:rsidR="0092104F">
        <w:t>,</w:t>
      </w:r>
      <w:r w:rsidR="00436A93">
        <w:t xml:space="preserve"> millions)</w:t>
      </w:r>
      <w:bookmarkEnd w:id="78"/>
      <w:bookmarkEnd w:id="79"/>
    </w:p>
    <w:tbl>
      <w:tblPr>
        <w:tblStyle w:val="table-style-blauw-070-none"/>
        <w:tblW w:w="4704"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03"/>
        <w:gridCol w:w="904"/>
        <w:gridCol w:w="827"/>
        <w:gridCol w:w="904"/>
        <w:gridCol w:w="827"/>
        <w:gridCol w:w="904"/>
        <w:gridCol w:w="827"/>
      </w:tblGrid>
      <w:tr w:rsidR="002F33B5" w:rsidRPr="00BA6B2B" w14:paraId="672CAA1E" w14:textId="77777777" w:rsidTr="005849E4">
        <w:trPr>
          <w:cnfStyle w:val="100000000000" w:firstRow="1" w:lastRow="0" w:firstColumn="0" w:lastColumn="0" w:oddVBand="0" w:evenVBand="0" w:oddHBand="0" w:evenHBand="0" w:firstRowFirstColumn="0" w:firstRowLastColumn="0" w:lastRowFirstColumn="0" w:lastRowLastColumn="0"/>
          <w:trHeight w:val="255"/>
        </w:trPr>
        <w:tc>
          <w:tcPr>
            <w:tcW w:w="2048"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087B6C7" w14:textId="77777777" w:rsidR="002F33B5" w:rsidRPr="00BA6B2B" w:rsidRDefault="002F33B5" w:rsidP="002F33B5">
            <w:pPr>
              <w:jc w:val="left"/>
              <w:rPr>
                <w:rFonts w:ascii="Calibri" w:hAnsi="Calibri" w:cs="Times New Roman"/>
                <w:sz w:val="20"/>
                <w:szCs w:val="20"/>
                <w:lang w:val="en-GB"/>
              </w:rPr>
            </w:pPr>
          </w:p>
        </w:tc>
        <w:tc>
          <w:tcPr>
            <w:tcW w:w="984"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17BBCB9" w14:textId="77777777" w:rsidR="002F33B5" w:rsidRPr="00BA6B2B" w:rsidRDefault="002F33B5" w:rsidP="002F33B5">
            <w:pPr>
              <w:jc w:val="center"/>
              <w:rPr>
                <w:rFonts w:ascii="Calibri" w:hAnsi="Calibri" w:cs="Arial"/>
                <w:sz w:val="20"/>
                <w:szCs w:val="20"/>
                <w:lang w:val="fr-FR"/>
              </w:rPr>
            </w:pPr>
            <w:r w:rsidRPr="00BA6B2B">
              <w:rPr>
                <w:rFonts w:ascii="Calibri" w:hAnsi="Calibri" w:cs="Arial"/>
                <w:sz w:val="20"/>
                <w:szCs w:val="20"/>
                <w:lang w:val="fr-FR"/>
              </w:rPr>
              <w:t>2013/14</w:t>
            </w:r>
          </w:p>
        </w:tc>
        <w:tc>
          <w:tcPr>
            <w:tcW w:w="984"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303C32C" w14:textId="77777777" w:rsidR="002F33B5" w:rsidRPr="00BA6B2B" w:rsidRDefault="002F33B5" w:rsidP="002F33B5">
            <w:pPr>
              <w:jc w:val="center"/>
              <w:rPr>
                <w:rFonts w:ascii="Calibri" w:hAnsi="Calibri" w:cs="Arial"/>
                <w:sz w:val="20"/>
                <w:szCs w:val="20"/>
                <w:lang w:val="fr-FR"/>
              </w:rPr>
            </w:pPr>
            <w:r w:rsidRPr="00BA6B2B">
              <w:rPr>
                <w:rFonts w:ascii="Calibri" w:hAnsi="Calibri" w:cs="Arial"/>
                <w:sz w:val="20"/>
                <w:szCs w:val="20"/>
                <w:lang w:val="fr-FR"/>
              </w:rPr>
              <w:t>2014/15</w:t>
            </w:r>
          </w:p>
        </w:tc>
        <w:tc>
          <w:tcPr>
            <w:tcW w:w="984"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2635123" w14:textId="77777777" w:rsidR="002F33B5" w:rsidRPr="00BA6B2B" w:rsidRDefault="002F33B5" w:rsidP="002F33B5">
            <w:pPr>
              <w:jc w:val="center"/>
              <w:rPr>
                <w:rFonts w:ascii="Calibri" w:hAnsi="Calibri" w:cs="Arial"/>
                <w:sz w:val="20"/>
                <w:szCs w:val="20"/>
                <w:lang w:val="fr-FR"/>
              </w:rPr>
            </w:pPr>
            <w:r w:rsidRPr="00BA6B2B">
              <w:rPr>
                <w:rFonts w:ascii="Calibri" w:hAnsi="Calibri" w:cs="Arial"/>
                <w:sz w:val="20"/>
                <w:szCs w:val="20"/>
                <w:lang w:val="fr-FR"/>
              </w:rPr>
              <w:t>2015/16</w:t>
            </w:r>
          </w:p>
        </w:tc>
      </w:tr>
      <w:tr w:rsidR="002F33B5" w:rsidRPr="00BA6B2B" w14:paraId="3E440CBC" w14:textId="77777777" w:rsidTr="005849E4">
        <w:trPr>
          <w:cnfStyle w:val="000000100000" w:firstRow="0" w:lastRow="0" w:firstColumn="0" w:lastColumn="0" w:oddVBand="0" w:evenVBand="0" w:oddHBand="1" w:evenHBand="0" w:firstRowFirstColumn="0" w:firstRowLastColumn="0" w:lastRowFirstColumn="0" w:lastRowLastColumn="0"/>
          <w:trHeight w:val="255"/>
        </w:trPr>
        <w:tc>
          <w:tcPr>
            <w:tcW w:w="2048" w:type="pct"/>
            <w:tcBorders>
              <w:top w:val="none" w:sz="0" w:space="0" w:color="auto"/>
            </w:tcBorders>
            <w:shd w:val="clear" w:color="auto" w:fill="D9D9D9" w:themeFill="background1" w:themeFillShade="D9"/>
            <w:noWrap/>
            <w:hideMark/>
          </w:tcPr>
          <w:p w14:paraId="37872B39" w14:textId="3BBB141B" w:rsidR="002F33B5" w:rsidRPr="00BA6B2B" w:rsidRDefault="002F33B5" w:rsidP="002F33B5">
            <w:pPr>
              <w:jc w:val="left"/>
              <w:rPr>
                <w:rFonts w:ascii="Calibri" w:hAnsi="Calibri" w:cs="Arial"/>
                <w:b/>
                <w:sz w:val="20"/>
                <w:szCs w:val="20"/>
                <w:lang w:val="fr-FR"/>
              </w:rPr>
            </w:pPr>
            <w:r w:rsidRPr="00BA6B2B">
              <w:rPr>
                <w:rFonts w:ascii="Calibri" w:hAnsi="Calibri" w:cs="Arial"/>
                <w:b/>
                <w:sz w:val="20"/>
                <w:szCs w:val="20"/>
                <w:lang w:val="fr-FR"/>
              </w:rPr>
              <w:t>Economic Head</w:t>
            </w:r>
          </w:p>
        </w:tc>
        <w:tc>
          <w:tcPr>
            <w:tcW w:w="514" w:type="pct"/>
            <w:tcBorders>
              <w:top w:val="none" w:sz="0" w:space="0" w:color="auto"/>
            </w:tcBorders>
            <w:shd w:val="clear" w:color="auto" w:fill="D9D9D9" w:themeFill="background1" w:themeFillShade="D9"/>
            <w:noWrap/>
            <w:hideMark/>
          </w:tcPr>
          <w:p w14:paraId="5791F9E1" w14:textId="61BF990B"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Budget</w:t>
            </w:r>
          </w:p>
        </w:tc>
        <w:tc>
          <w:tcPr>
            <w:tcW w:w="470" w:type="pct"/>
            <w:tcBorders>
              <w:top w:val="none" w:sz="0" w:space="0" w:color="auto"/>
            </w:tcBorders>
            <w:shd w:val="clear" w:color="auto" w:fill="D9D9D9" w:themeFill="background1" w:themeFillShade="D9"/>
            <w:noWrap/>
            <w:hideMark/>
          </w:tcPr>
          <w:p w14:paraId="162C1438" w14:textId="74BFB898"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Actual</w:t>
            </w:r>
          </w:p>
        </w:tc>
        <w:tc>
          <w:tcPr>
            <w:tcW w:w="514" w:type="pct"/>
            <w:tcBorders>
              <w:top w:val="none" w:sz="0" w:space="0" w:color="auto"/>
            </w:tcBorders>
            <w:shd w:val="clear" w:color="auto" w:fill="D9D9D9" w:themeFill="background1" w:themeFillShade="D9"/>
            <w:noWrap/>
            <w:hideMark/>
          </w:tcPr>
          <w:p w14:paraId="341055E7" w14:textId="449B3D42"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Budget</w:t>
            </w:r>
          </w:p>
        </w:tc>
        <w:tc>
          <w:tcPr>
            <w:tcW w:w="470" w:type="pct"/>
            <w:tcBorders>
              <w:top w:val="none" w:sz="0" w:space="0" w:color="auto"/>
            </w:tcBorders>
            <w:shd w:val="clear" w:color="auto" w:fill="D9D9D9" w:themeFill="background1" w:themeFillShade="D9"/>
            <w:noWrap/>
            <w:hideMark/>
          </w:tcPr>
          <w:p w14:paraId="71BC432D" w14:textId="4D074D04"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Actual</w:t>
            </w:r>
          </w:p>
        </w:tc>
        <w:tc>
          <w:tcPr>
            <w:tcW w:w="514" w:type="pct"/>
            <w:tcBorders>
              <w:top w:val="none" w:sz="0" w:space="0" w:color="auto"/>
            </w:tcBorders>
            <w:shd w:val="clear" w:color="auto" w:fill="D9D9D9" w:themeFill="background1" w:themeFillShade="D9"/>
            <w:noWrap/>
            <w:hideMark/>
          </w:tcPr>
          <w:p w14:paraId="5E6A0165" w14:textId="3E429AB2"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Budget</w:t>
            </w:r>
          </w:p>
        </w:tc>
        <w:tc>
          <w:tcPr>
            <w:tcW w:w="470" w:type="pct"/>
            <w:tcBorders>
              <w:top w:val="none" w:sz="0" w:space="0" w:color="auto"/>
            </w:tcBorders>
            <w:shd w:val="clear" w:color="auto" w:fill="D9D9D9" w:themeFill="background1" w:themeFillShade="D9"/>
            <w:noWrap/>
            <w:hideMark/>
          </w:tcPr>
          <w:p w14:paraId="23C456D6" w14:textId="4AE6B854"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Actual</w:t>
            </w:r>
          </w:p>
        </w:tc>
      </w:tr>
      <w:tr w:rsidR="002F33B5" w:rsidRPr="00BA6B2B" w14:paraId="203DA63C" w14:textId="77777777" w:rsidTr="005849E4">
        <w:trPr>
          <w:cnfStyle w:val="000000010000" w:firstRow="0" w:lastRow="0" w:firstColumn="0" w:lastColumn="0" w:oddVBand="0" w:evenVBand="0" w:oddHBand="0" w:evenHBand="1" w:firstRowFirstColumn="0" w:firstRowLastColumn="0" w:lastRowFirstColumn="0" w:lastRowLastColumn="0"/>
          <w:trHeight w:val="255"/>
        </w:trPr>
        <w:tc>
          <w:tcPr>
            <w:tcW w:w="2048" w:type="pct"/>
            <w:tcBorders>
              <w:top w:val="none" w:sz="0" w:space="0" w:color="auto"/>
            </w:tcBorders>
            <w:noWrap/>
            <w:hideMark/>
          </w:tcPr>
          <w:p w14:paraId="50792B3E" w14:textId="77777777" w:rsidR="002F33B5" w:rsidRPr="00BA6B2B" w:rsidRDefault="002F33B5" w:rsidP="009E5608">
            <w:pPr>
              <w:jc w:val="left"/>
              <w:rPr>
                <w:rFonts w:ascii="Calibri" w:hAnsi="Calibri" w:cs="Arial"/>
                <w:sz w:val="20"/>
                <w:szCs w:val="20"/>
                <w:lang w:val="fr-FR"/>
              </w:rPr>
            </w:pPr>
            <w:r w:rsidRPr="00BA6B2B">
              <w:rPr>
                <w:rFonts w:ascii="Calibri" w:hAnsi="Calibri" w:cs="Arial"/>
                <w:sz w:val="20"/>
                <w:szCs w:val="20"/>
                <w:lang w:val="fr-FR"/>
              </w:rPr>
              <w:t>Local revenue</w:t>
            </w:r>
          </w:p>
        </w:tc>
        <w:tc>
          <w:tcPr>
            <w:tcW w:w="514" w:type="pct"/>
            <w:tcBorders>
              <w:top w:val="none" w:sz="0" w:space="0" w:color="auto"/>
            </w:tcBorders>
            <w:noWrap/>
            <w:hideMark/>
          </w:tcPr>
          <w:p w14:paraId="537CD798" w14:textId="77777777" w:rsidR="002F33B5" w:rsidRPr="00BA6B2B" w:rsidRDefault="002F33B5" w:rsidP="009E5608">
            <w:pPr>
              <w:jc w:val="center"/>
              <w:rPr>
                <w:rFonts w:ascii="Calibri" w:hAnsi="Calibri" w:cs="Arial"/>
                <w:sz w:val="20"/>
                <w:szCs w:val="20"/>
                <w:lang w:val="fr-FR"/>
              </w:rPr>
            </w:pPr>
            <w:r w:rsidRPr="00BA6B2B">
              <w:rPr>
                <w:rFonts w:ascii="Calibri" w:hAnsi="Calibri" w:cs="Arial"/>
                <w:sz w:val="20"/>
                <w:szCs w:val="20"/>
                <w:lang w:val="fr-FR"/>
              </w:rPr>
              <w:t>516.8</w:t>
            </w:r>
          </w:p>
        </w:tc>
        <w:tc>
          <w:tcPr>
            <w:tcW w:w="470" w:type="pct"/>
            <w:tcBorders>
              <w:top w:val="none" w:sz="0" w:space="0" w:color="auto"/>
            </w:tcBorders>
            <w:noWrap/>
            <w:hideMark/>
          </w:tcPr>
          <w:p w14:paraId="7767B589" w14:textId="77777777" w:rsidR="002F33B5" w:rsidRPr="00BA6B2B" w:rsidRDefault="002F33B5" w:rsidP="009E5608">
            <w:pPr>
              <w:jc w:val="center"/>
              <w:rPr>
                <w:rFonts w:ascii="Calibri" w:hAnsi="Calibri" w:cs="Arial"/>
                <w:sz w:val="20"/>
                <w:szCs w:val="20"/>
                <w:lang w:val="fr-FR"/>
              </w:rPr>
            </w:pPr>
            <w:r w:rsidRPr="00BA6B2B">
              <w:rPr>
                <w:rFonts w:ascii="Calibri" w:hAnsi="Calibri" w:cs="Arial"/>
                <w:sz w:val="20"/>
                <w:szCs w:val="20"/>
                <w:lang w:val="fr-FR"/>
              </w:rPr>
              <w:t>435.5</w:t>
            </w:r>
          </w:p>
        </w:tc>
        <w:tc>
          <w:tcPr>
            <w:tcW w:w="514" w:type="pct"/>
            <w:tcBorders>
              <w:top w:val="none" w:sz="0" w:space="0" w:color="auto"/>
            </w:tcBorders>
            <w:noWrap/>
            <w:hideMark/>
          </w:tcPr>
          <w:p w14:paraId="60AC485F" w14:textId="77777777" w:rsidR="002F33B5" w:rsidRPr="00BA6B2B" w:rsidRDefault="002F33B5" w:rsidP="009E5608">
            <w:pPr>
              <w:jc w:val="center"/>
              <w:rPr>
                <w:rFonts w:ascii="Calibri" w:hAnsi="Calibri" w:cs="Arial"/>
                <w:sz w:val="20"/>
                <w:szCs w:val="20"/>
                <w:lang w:val="fr-FR"/>
              </w:rPr>
            </w:pPr>
            <w:r w:rsidRPr="00BA6B2B">
              <w:rPr>
                <w:rFonts w:ascii="Calibri" w:hAnsi="Calibri" w:cs="Arial"/>
                <w:sz w:val="20"/>
                <w:szCs w:val="20"/>
                <w:lang w:val="fr-FR"/>
              </w:rPr>
              <w:t>1,821.3</w:t>
            </w:r>
          </w:p>
        </w:tc>
        <w:tc>
          <w:tcPr>
            <w:tcW w:w="470" w:type="pct"/>
            <w:tcBorders>
              <w:top w:val="none" w:sz="0" w:space="0" w:color="auto"/>
            </w:tcBorders>
            <w:noWrap/>
            <w:hideMark/>
          </w:tcPr>
          <w:p w14:paraId="4C614B3D" w14:textId="77777777" w:rsidR="002F33B5" w:rsidRPr="00BA6B2B" w:rsidRDefault="002F33B5" w:rsidP="009E5608">
            <w:pPr>
              <w:jc w:val="center"/>
              <w:rPr>
                <w:rFonts w:ascii="Calibri" w:hAnsi="Calibri" w:cs="Arial"/>
                <w:sz w:val="20"/>
                <w:szCs w:val="20"/>
                <w:lang w:val="fr-FR"/>
              </w:rPr>
            </w:pPr>
            <w:r w:rsidRPr="00BA6B2B">
              <w:rPr>
                <w:rFonts w:ascii="Calibri" w:hAnsi="Calibri" w:cs="Arial"/>
                <w:sz w:val="20"/>
                <w:szCs w:val="20"/>
                <w:lang w:val="fr-FR"/>
              </w:rPr>
              <w:t>772.6</w:t>
            </w:r>
          </w:p>
        </w:tc>
        <w:tc>
          <w:tcPr>
            <w:tcW w:w="514" w:type="pct"/>
            <w:tcBorders>
              <w:top w:val="none" w:sz="0" w:space="0" w:color="auto"/>
            </w:tcBorders>
            <w:noWrap/>
            <w:hideMark/>
          </w:tcPr>
          <w:p w14:paraId="4B903E1F" w14:textId="77777777" w:rsidR="002F33B5" w:rsidRPr="00BA6B2B" w:rsidRDefault="002F33B5" w:rsidP="0092104F">
            <w:pPr>
              <w:tabs>
                <w:tab w:val="decimal" w:pos="472"/>
              </w:tabs>
              <w:jc w:val="left"/>
              <w:rPr>
                <w:rFonts w:ascii="Calibri" w:hAnsi="Calibri" w:cs="Arial"/>
                <w:sz w:val="20"/>
                <w:szCs w:val="20"/>
                <w:lang w:val="fr-FR"/>
              </w:rPr>
            </w:pPr>
            <w:r w:rsidRPr="00BA6B2B">
              <w:rPr>
                <w:rFonts w:ascii="Calibri" w:hAnsi="Calibri" w:cs="Arial"/>
                <w:sz w:val="20"/>
                <w:szCs w:val="20"/>
                <w:lang w:val="fr-FR"/>
              </w:rPr>
              <w:t>2,101.0</w:t>
            </w:r>
          </w:p>
        </w:tc>
        <w:tc>
          <w:tcPr>
            <w:tcW w:w="470" w:type="pct"/>
            <w:tcBorders>
              <w:top w:val="none" w:sz="0" w:space="0" w:color="auto"/>
            </w:tcBorders>
            <w:noWrap/>
            <w:hideMark/>
          </w:tcPr>
          <w:p w14:paraId="77AC18BB" w14:textId="77777777" w:rsidR="002F33B5" w:rsidRPr="00BA6B2B" w:rsidRDefault="002F33B5" w:rsidP="0092104F">
            <w:pPr>
              <w:tabs>
                <w:tab w:val="decimal" w:pos="392"/>
              </w:tabs>
              <w:jc w:val="left"/>
              <w:rPr>
                <w:rFonts w:ascii="Calibri" w:hAnsi="Calibri" w:cs="Arial"/>
                <w:sz w:val="20"/>
                <w:szCs w:val="20"/>
                <w:lang w:val="fr-FR"/>
              </w:rPr>
            </w:pPr>
            <w:r w:rsidRPr="00BA6B2B">
              <w:rPr>
                <w:rFonts w:ascii="Calibri" w:hAnsi="Calibri" w:cs="Arial"/>
                <w:sz w:val="20"/>
                <w:szCs w:val="20"/>
                <w:lang w:val="fr-FR"/>
              </w:rPr>
              <w:t>650.9</w:t>
            </w:r>
          </w:p>
        </w:tc>
      </w:tr>
      <w:tr w:rsidR="0092104F" w:rsidRPr="00BA6B2B" w14:paraId="76160AF7" w14:textId="77777777" w:rsidTr="005849E4">
        <w:trPr>
          <w:cnfStyle w:val="000000100000" w:firstRow="0" w:lastRow="0" w:firstColumn="0" w:lastColumn="0" w:oddVBand="0" w:evenVBand="0" w:oddHBand="1" w:evenHBand="0" w:firstRowFirstColumn="0" w:firstRowLastColumn="0" w:lastRowFirstColumn="0" w:lastRowLastColumn="0"/>
          <w:trHeight w:val="255"/>
        </w:trPr>
        <w:tc>
          <w:tcPr>
            <w:tcW w:w="2048" w:type="pct"/>
            <w:tcBorders>
              <w:top w:val="none" w:sz="0" w:space="0" w:color="auto"/>
            </w:tcBorders>
            <w:noWrap/>
            <w:hideMark/>
          </w:tcPr>
          <w:p w14:paraId="53A95C97" w14:textId="41AE6C9B" w:rsidR="0092104F" w:rsidRPr="00BA6B2B" w:rsidRDefault="0092104F" w:rsidP="0092104F">
            <w:pPr>
              <w:jc w:val="left"/>
              <w:rPr>
                <w:rFonts w:ascii="Calibri" w:hAnsi="Calibri" w:cs="Arial"/>
                <w:sz w:val="20"/>
                <w:szCs w:val="20"/>
                <w:lang w:val="fr-FR"/>
              </w:rPr>
            </w:pPr>
            <w:r w:rsidRPr="00BA6B2B">
              <w:rPr>
                <w:rFonts w:ascii="Calibri" w:hAnsi="Calibri" w:cs="Arial"/>
                <w:sz w:val="20"/>
                <w:szCs w:val="20"/>
                <w:lang w:val="fr-FR"/>
              </w:rPr>
              <w:t xml:space="preserve">Grants </w:t>
            </w:r>
            <w:r>
              <w:rPr>
                <w:rFonts w:ascii="Calibri" w:hAnsi="Calibri" w:cs="Arial"/>
                <w:sz w:val="20"/>
                <w:szCs w:val="20"/>
                <w:lang w:val="fr-FR"/>
              </w:rPr>
              <w:t>f</w:t>
            </w:r>
            <w:r w:rsidRPr="00BA6B2B">
              <w:rPr>
                <w:rFonts w:ascii="Calibri" w:hAnsi="Calibri" w:cs="Arial"/>
                <w:sz w:val="20"/>
                <w:szCs w:val="20"/>
                <w:lang w:val="fr-FR"/>
              </w:rPr>
              <w:t>rom international organi</w:t>
            </w:r>
            <w:r>
              <w:rPr>
                <w:rFonts w:ascii="Calibri" w:hAnsi="Calibri" w:cs="Arial"/>
                <w:sz w:val="20"/>
                <w:szCs w:val="20"/>
                <w:lang w:val="fr-FR"/>
              </w:rPr>
              <w:t>z</w:t>
            </w:r>
            <w:r w:rsidRPr="00BA6B2B">
              <w:rPr>
                <w:rFonts w:ascii="Calibri" w:hAnsi="Calibri" w:cs="Arial"/>
                <w:sz w:val="20"/>
                <w:szCs w:val="20"/>
                <w:lang w:val="fr-FR"/>
              </w:rPr>
              <w:t>ations</w:t>
            </w:r>
          </w:p>
        </w:tc>
        <w:tc>
          <w:tcPr>
            <w:tcW w:w="514" w:type="pct"/>
            <w:tcBorders>
              <w:top w:val="none" w:sz="0" w:space="0" w:color="auto"/>
            </w:tcBorders>
            <w:noWrap/>
            <w:hideMark/>
          </w:tcPr>
          <w:p w14:paraId="2351F3F5" w14:textId="4F6F1DA6" w:rsidR="0092104F" w:rsidRPr="00BA6B2B" w:rsidRDefault="0092104F" w:rsidP="0092104F">
            <w:pPr>
              <w:jc w:val="center"/>
              <w:rPr>
                <w:rFonts w:ascii="Calibri" w:hAnsi="Calibri" w:cs="Arial"/>
                <w:sz w:val="20"/>
                <w:szCs w:val="20"/>
                <w:lang w:val="fr-FR"/>
              </w:rPr>
            </w:pPr>
            <w:r>
              <w:rPr>
                <w:rFonts w:ascii="Calibri" w:hAnsi="Calibri" w:cs="Arial"/>
                <w:sz w:val="20"/>
                <w:szCs w:val="20"/>
                <w:lang w:val="fr-FR"/>
              </w:rPr>
              <w:t>—</w:t>
            </w:r>
          </w:p>
        </w:tc>
        <w:tc>
          <w:tcPr>
            <w:tcW w:w="470" w:type="pct"/>
            <w:tcBorders>
              <w:top w:val="none" w:sz="0" w:space="0" w:color="auto"/>
            </w:tcBorders>
            <w:noWrap/>
            <w:hideMark/>
          </w:tcPr>
          <w:p w14:paraId="1A08D573" w14:textId="5C5C8FA1" w:rsidR="0092104F" w:rsidRPr="00BA6B2B" w:rsidRDefault="0092104F" w:rsidP="0092104F">
            <w:pPr>
              <w:jc w:val="center"/>
              <w:rPr>
                <w:rFonts w:ascii="Calibri" w:hAnsi="Calibri" w:cs="Times New Roman"/>
                <w:sz w:val="20"/>
                <w:szCs w:val="20"/>
                <w:lang w:val="fr-FR"/>
              </w:rPr>
            </w:pPr>
            <w:r w:rsidRPr="00DA6018">
              <w:rPr>
                <w:rFonts w:ascii="Calibri" w:hAnsi="Calibri" w:cs="Arial"/>
                <w:sz w:val="20"/>
                <w:szCs w:val="20"/>
                <w:lang w:val="fr-FR"/>
              </w:rPr>
              <w:t>—</w:t>
            </w:r>
          </w:p>
        </w:tc>
        <w:tc>
          <w:tcPr>
            <w:tcW w:w="514" w:type="pct"/>
            <w:tcBorders>
              <w:top w:val="none" w:sz="0" w:space="0" w:color="auto"/>
            </w:tcBorders>
            <w:noWrap/>
            <w:hideMark/>
          </w:tcPr>
          <w:p w14:paraId="5FF14F47" w14:textId="65FEFFE8" w:rsidR="0092104F" w:rsidRPr="00BA6B2B" w:rsidRDefault="0092104F" w:rsidP="0092104F">
            <w:pPr>
              <w:jc w:val="center"/>
              <w:rPr>
                <w:rFonts w:ascii="Calibri" w:hAnsi="Calibri" w:cs="Times New Roman"/>
                <w:sz w:val="20"/>
                <w:szCs w:val="20"/>
                <w:lang w:val="fr-FR"/>
              </w:rPr>
            </w:pPr>
            <w:r w:rsidRPr="00DA6018">
              <w:rPr>
                <w:rFonts w:ascii="Calibri" w:hAnsi="Calibri" w:cs="Arial"/>
                <w:sz w:val="20"/>
                <w:szCs w:val="20"/>
                <w:lang w:val="fr-FR"/>
              </w:rPr>
              <w:t>—</w:t>
            </w:r>
          </w:p>
        </w:tc>
        <w:tc>
          <w:tcPr>
            <w:tcW w:w="470" w:type="pct"/>
            <w:tcBorders>
              <w:top w:val="none" w:sz="0" w:space="0" w:color="auto"/>
            </w:tcBorders>
            <w:noWrap/>
            <w:hideMark/>
          </w:tcPr>
          <w:p w14:paraId="477B40F7" w14:textId="02AC611E" w:rsidR="0092104F" w:rsidRPr="00BA6B2B" w:rsidRDefault="0092104F" w:rsidP="0092104F">
            <w:pPr>
              <w:jc w:val="center"/>
              <w:rPr>
                <w:rFonts w:ascii="Calibri" w:hAnsi="Calibri" w:cs="Times New Roman"/>
                <w:sz w:val="20"/>
                <w:szCs w:val="20"/>
                <w:lang w:val="fr-FR"/>
              </w:rPr>
            </w:pPr>
            <w:r w:rsidRPr="00DA6018">
              <w:rPr>
                <w:rFonts w:ascii="Calibri" w:hAnsi="Calibri" w:cs="Arial"/>
                <w:sz w:val="20"/>
                <w:szCs w:val="20"/>
                <w:lang w:val="fr-FR"/>
              </w:rPr>
              <w:t>—</w:t>
            </w:r>
          </w:p>
        </w:tc>
        <w:tc>
          <w:tcPr>
            <w:tcW w:w="514" w:type="pct"/>
            <w:tcBorders>
              <w:top w:val="none" w:sz="0" w:space="0" w:color="auto"/>
            </w:tcBorders>
            <w:noWrap/>
            <w:hideMark/>
          </w:tcPr>
          <w:p w14:paraId="5E782C54" w14:textId="77777777" w:rsidR="0092104F" w:rsidRPr="00BA6B2B" w:rsidRDefault="0092104F" w:rsidP="0092104F">
            <w:pPr>
              <w:tabs>
                <w:tab w:val="decimal" w:pos="472"/>
              </w:tabs>
              <w:jc w:val="left"/>
              <w:rPr>
                <w:rFonts w:ascii="Calibri" w:hAnsi="Calibri" w:cs="Arial"/>
                <w:sz w:val="20"/>
                <w:szCs w:val="20"/>
                <w:lang w:val="fr-FR"/>
              </w:rPr>
            </w:pPr>
            <w:r w:rsidRPr="00BA6B2B">
              <w:rPr>
                <w:rFonts w:ascii="Calibri" w:hAnsi="Calibri" w:cs="Arial"/>
                <w:sz w:val="20"/>
                <w:szCs w:val="20"/>
                <w:lang w:val="fr-FR"/>
              </w:rPr>
              <w:t>15.5</w:t>
            </w:r>
          </w:p>
        </w:tc>
        <w:tc>
          <w:tcPr>
            <w:tcW w:w="470" w:type="pct"/>
            <w:tcBorders>
              <w:top w:val="none" w:sz="0" w:space="0" w:color="auto"/>
            </w:tcBorders>
            <w:noWrap/>
            <w:hideMark/>
          </w:tcPr>
          <w:p w14:paraId="4349823C" w14:textId="77777777" w:rsidR="0092104F" w:rsidRPr="00BA6B2B" w:rsidRDefault="0092104F" w:rsidP="0092104F">
            <w:pPr>
              <w:tabs>
                <w:tab w:val="decimal" w:pos="392"/>
              </w:tabs>
              <w:jc w:val="left"/>
              <w:rPr>
                <w:rFonts w:ascii="Calibri" w:hAnsi="Calibri" w:cs="Arial"/>
                <w:sz w:val="20"/>
                <w:szCs w:val="20"/>
                <w:lang w:val="fr-FR"/>
              </w:rPr>
            </w:pPr>
            <w:r w:rsidRPr="00BA6B2B">
              <w:rPr>
                <w:rFonts w:ascii="Calibri" w:hAnsi="Calibri" w:cs="Arial"/>
                <w:sz w:val="20"/>
                <w:szCs w:val="20"/>
                <w:lang w:val="fr-FR"/>
              </w:rPr>
              <w:t>0.0</w:t>
            </w:r>
          </w:p>
        </w:tc>
      </w:tr>
      <w:tr w:rsidR="002F33B5" w:rsidRPr="00BA6B2B" w14:paraId="60980555" w14:textId="77777777" w:rsidTr="005849E4">
        <w:trPr>
          <w:cnfStyle w:val="000000010000" w:firstRow="0" w:lastRow="0" w:firstColumn="0" w:lastColumn="0" w:oddVBand="0" w:evenVBand="0" w:oddHBand="0" w:evenHBand="1" w:firstRowFirstColumn="0" w:firstRowLastColumn="0" w:lastRowFirstColumn="0" w:lastRowLastColumn="0"/>
          <w:trHeight w:val="255"/>
        </w:trPr>
        <w:tc>
          <w:tcPr>
            <w:tcW w:w="2048" w:type="pct"/>
            <w:tcBorders>
              <w:top w:val="none" w:sz="0" w:space="0" w:color="auto"/>
            </w:tcBorders>
            <w:noWrap/>
            <w:hideMark/>
          </w:tcPr>
          <w:p w14:paraId="0C444FF5" w14:textId="77777777" w:rsidR="002F33B5" w:rsidRPr="00BA6B2B" w:rsidRDefault="002F33B5" w:rsidP="002F33B5">
            <w:pPr>
              <w:jc w:val="left"/>
              <w:rPr>
                <w:rFonts w:ascii="Calibri" w:hAnsi="Calibri" w:cs="Arial"/>
                <w:b/>
                <w:sz w:val="20"/>
                <w:szCs w:val="20"/>
                <w:lang w:val="fr-FR"/>
              </w:rPr>
            </w:pPr>
            <w:r w:rsidRPr="00BA6B2B">
              <w:rPr>
                <w:rFonts w:ascii="Calibri" w:hAnsi="Calibri" w:cs="Arial"/>
                <w:b/>
                <w:sz w:val="20"/>
                <w:szCs w:val="20"/>
                <w:lang w:val="fr-FR"/>
              </w:rPr>
              <w:t>Total revenue</w:t>
            </w:r>
          </w:p>
        </w:tc>
        <w:tc>
          <w:tcPr>
            <w:tcW w:w="514" w:type="pct"/>
            <w:tcBorders>
              <w:top w:val="none" w:sz="0" w:space="0" w:color="auto"/>
            </w:tcBorders>
            <w:noWrap/>
            <w:hideMark/>
          </w:tcPr>
          <w:p w14:paraId="33BC13D1" w14:textId="77777777"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516.8</w:t>
            </w:r>
          </w:p>
        </w:tc>
        <w:tc>
          <w:tcPr>
            <w:tcW w:w="470" w:type="pct"/>
            <w:tcBorders>
              <w:top w:val="none" w:sz="0" w:space="0" w:color="auto"/>
            </w:tcBorders>
            <w:noWrap/>
            <w:hideMark/>
          </w:tcPr>
          <w:p w14:paraId="5150FA0A" w14:textId="77777777"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442.9</w:t>
            </w:r>
          </w:p>
        </w:tc>
        <w:tc>
          <w:tcPr>
            <w:tcW w:w="514" w:type="pct"/>
            <w:tcBorders>
              <w:top w:val="none" w:sz="0" w:space="0" w:color="auto"/>
            </w:tcBorders>
            <w:noWrap/>
            <w:hideMark/>
          </w:tcPr>
          <w:p w14:paraId="2A95258E" w14:textId="77777777"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1,836.8</w:t>
            </w:r>
          </w:p>
        </w:tc>
        <w:tc>
          <w:tcPr>
            <w:tcW w:w="470" w:type="pct"/>
            <w:tcBorders>
              <w:top w:val="none" w:sz="0" w:space="0" w:color="auto"/>
            </w:tcBorders>
            <w:noWrap/>
            <w:hideMark/>
          </w:tcPr>
          <w:p w14:paraId="36CE7CD9" w14:textId="77777777" w:rsidR="002F33B5" w:rsidRPr="00BA6B2B" w:rsidRDefault="002F33B5" w:rsidP="002F33B5">
            <w:pPr>
              <w:jc w:val="center"/>
              <w:rPr>
                <w:rFonts w:ascii="Calibri" w:hAnsi="Calibri" w:cs="Arial"/>
                <w:b/>
                <w:sz w:val="20"/>
                <w:szCs w:val="20"/>
                <w:lang w:val="fr-FR"/>
              </w:rPr>
            </w:pPr>
            <w:r w:rsidRPr="00BA6B2B">
              <w:rPr>
                <w:rFonts w:ascii="Calibri" w:hAnsi="Calibri" w:cs="Arial"/>
                <w:b/>
                <w:sz w:val="20"/>
                <w:szCs w:val="20"/>
                <w:lang w:val="fr-FR"/>
              </w:rPr>
              <w:t>772.6</w:t>
            </w:r>
          </w:p>
        </w:tc>
        <w:tc>
          <w:tcPr>
            <w:tcW w:w="514" w:type="pct"/>
            <w:tcBorders>
              <w:top w:val="none" w:sz="0" w:space="0" w:color="auto"/>
            </w:tcBorders>
            <w:noWrap/>
            <w:hideMark/>
          </w:tcPr>
          <w:p w14:paraId="2A985684" w14:textId="77777777" w:rsidR="002F33B5" w:rsidRPr="00BA6B2B" w:rsidRDefault="002F33B5" w:rsidP="0092104F">
            <w:pPr>
              <w:tabs>
                <w:tab w:val="decimal" w:pos="472"/>
              </w:tabs>
              <w:jc w:val="left"/>
              <w:rPr>
                <w:rFonts w:ascii="Calibri" w:hAnsi="Calibri" w:cs="Arial"/>
                <w:b/>
                <w:sz w:val="20"/>
                <w:szCs w:val="20"/>
                <w:lang w:val="fr-FR"/>
              </w:rPr>
            </w:pPr>
            <w:r w:rsidRPr="00BA6B2B">
              <w:rPr>
                <w:rFonts w:ascii="Calibri" w:hAnsi="Calibri" w:cs="Arial"/>
                <w:b/>
                <w:sz w:val="20"/>
                <w:szCs w:val="20"/>
                <w:lang w:val="fr-FR"/>
              </w:rPr>
              <w:t>2,116.5</w:t>
            </w:r>
          </w:p>
        </w:tc>
        <w:tc>
          <w:tcPr>
            <w:tcW w:w="470" w:type="pct"/>
            <w:tcBorders>
              <w:top w:val="none" w:sz="0" w:space="0" w:color="auto"/>
            </w:tcBorders>
            <w:noWrap/>
            <w:hideMark/>
          </w:tcPr>
          <w:p w14:paraId="313BDCF2" w14:textId="77777777" w:rsidR="002F33B5" w:rsidRPr="00BA6B2B" w:rsidRDefault="002F33B5" w:rsidP="0092104F">
            <w:pPr>
              <w:tabs>
                <w:tab w:val="decimal" w:pos="392"/>
              </w:tabs>
              <w:jc w:val="left"/>
              <w:rPr>
                <w:rFonts w:ascii="Calibri" w:hAnsi="Calibri" w:cs="Arial"/>
                <w:b/>
                <w:sz w:val="20"/>
                <w:szCs w:val="20"/>
                <w:lang w:val="fr-FR"/>
              </w:rPr>
            </w:pPr>
            <w:r w:rsidRPr="00BA6B2B">
              <w:rPr>
                <w:rFonts w:ascii="Calibri" w:hAnsi="Calibri" w:cs="Arial"/>
                <w:b/>
                <w:sz w:val="20"/>
                <w:szCs w:val="20"/>
                <w:lang w:val="fr-FR"/>
              </w:rPr>
              <w:t>650.9</w:t>
            </w:r>
          </w:p>
        </w:tc>
      </w:tr>
    </w:tbl>
    <w:p w14:paraId="2B72501B" w14:textId="61457B33" w:rsidR="00FA225D" w:rsidRPr="00EE1698" w:rsidRDefault="00275018" w:rsidP="00EE1698">
      <w:pPr>
        <w:pStyle w:val="italic0"/>
        <w:spacing w:after="240"/>
        <w:rPr>
          <w:i w:val="0"/>
          <w:sz w:val="20"/>
          <w:szCs w:val="20"/>
        </w:rPr>
      </w:pPr>
      <w:r w:rsidRPr="00EE1698">
        <w:rPr>
          <w:sz w:val="20"/>
          <w:szCs w:val="20"/>
        </w:rPr>
        <w:t xml:space="preserve">Source: </w:t>
      </w:r>
      <w:r w:rsidR="00CD6EC4" w:rsidRPr="00EE1698">
        <w:rPr>
          <w:i w:val="0"/>
          <w:sz w:val="20"/>
          <w:szCs w:val="20"/>
        </w:rPr>
        <w:t>AFS</w:t>
      </w:r>
      <w:r w:rsidR="00EE1698">
        <w:rPr>
          <w:i w:val="0"/>
          <w:sz w:val="20"/>
          <w:szCs w:val="20"/>
        </w:rPr>
        <w:t>.</w:t>
      </w:r>
    </w:p>
    <w:p w14:paraId="02CE16DA" w14:textId="233A03C0" w:rsidR="00776E84" w:rsidRPr="005849E4" w:rsidRDefault="00D80DF1" w:rsidP="00EE1698">
      <w:pPr>
        <w:spacing w:after="240"/>
        <w:rPr>
          <w:sz w:val="22"/>
        </w:rPr>
      </w:pPr>
      <w:r w:rsidRPr="005849E4">
        <w:rPr>
          <w:sz w:val="22"/>
        </w:rPr>
        <w:t>However, AFS</w:t>
      </w:r>
      <w:r w:rsidR="0092104F">
        <w:rPr>
          <w:sz w:val="22"/>
        </w:rPr>
        <w:t>s</w:t>
      </w:r>
      <w:r w:rsidRPr="005849E4">
        <w:rPr>
          <w:sz w:val="22"/>
        </w:rPr>
        <w:t xml:space="preserve"> do not present the breakdown of the local revenue, so it was not possible to calculate the composition variance according to the PEFA methodology. </w:t>
      </w:r>
    </w:p>
    <w:p w14:paraId="57159ACB" w14:textId="5B8956E4" w:rsidR="00776E84" w:rsidRPr="005849E4" w:rsidRDefault="00776E84" w:rsidP="00EE1698">
      <w:pPr>
        <w:spacing w:after="240"/>
        <w:rPr>
          <w:b/>
          <w:sz w:val="22"/>
        </w:rPr>
      </w:pPr>
      <w:r w:rsidRPr="005849E4">
        <w:rPr>
          <w:b/>
          <w:sz w:val="22"/>
        </w:rPr>
        <w:t>Dimension rating = D*</w:t>
      </w:r>
    </w:p>
    <w:p w14:paraId="028C1228" w14:textId="77777777" w:rsidR="00BB1084" w:rsidRPr="00776E84" w:rsidRDefault="00BB1084" w:rsidP="00776E84">
      <w:pPr>
        <w:pStyle w:val="Heading2"/>
      </w:pPr>
      <w:bookmarkStart w:id="80" w:name="_Toc150862"/>
      <w:bookmarkStart w:id="81" w:name="_Toc532426038"/>
      <w:r w:rsidRPr="00776E84">
        <w:t>Pillar II. Transparency of public finances</w:t>
      </w:r>
      <w:bookmarkEnd w:id="80"/>
      <w:bookmarkEnd w:id="81"/>
    </w:p>
    <w:p w14:paraId="346475D9" w14:textId="77777777" w:rsidR="00BB1084" w:rsidRDefault="00BB1084" w:rsidP="00590C8E">
      <w:pPr>
        <w:pStyle w:val="Heading4"/>
      </w:pPr>
      <w:r w:rsidRPr="00890A84">
        <w:t>PI-4. Budget classification</w:t>
      </w:r>
    </w:p>
    <w:p w14:paraId="62847620" w14:textId="77777777" w:rsidR="003E5B0C" w:rsidRPr="00890A84" w:rsidRDefault="003E5B0C" w:rsidP="00BA6B2B">
      <w:pPr>
        <w:pStyle w:val="Heading5"/>
      </w:pPr>
      <w:r w:rsidRPr="00890A84">
        <w:t>Summary of scores and performance table</w:t>
      </w:r>
    </w:p>
    <w:tbl>
      <w:tblPr>
        <w:tblW w:w="9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A0" w:firstRow="1" w:lastRow="0" w:firstColumn="1" w:lastColumn="0" w:noHBand="1" w:noVBand="1"/>
      </w:tblPr>
      <w:tblGrid>
        <w:gridCol w:w="3119"/>
        <w:gridCol w:w="425"/>
        <w:gridCol w:w="5816"/>
      </w:tblGrid>
      <w:tr w:rsidR="003E5B0C" w:rsidRPr="00EE1698" w14:paraId="480BAF1E" w14:textId="77777777" w:rsidTr="00EE1698">
        <w:trPr>
          <w:trHeight w:val="179"/>
        </w:trPr>
        <w:tc>
          <w:tcPr>
            <w:tcW w:w="3119" w:type="dxa"/>
            <w:shd w:val="clear" w:color="auto" w:fill="5B9BD5"/>
          </w:tcPr>
          <w:p w14:paraId="0EB498F9" w14:textId="41E09311" w:rsidR="003E5B0C" w:rsidRPr="00EE1698" w:rsidRDefault="003E5B0C" w:rsidP="006E7B98">
            <w:pPr>
              <w:jc w:val="center"/>
              <w:rPr>
                <w:b/>
                <w:color w:val="FFFFFF" w:themeColor="background1"/>
                <w:sz w:val="20"/>
                <w:szCs w:val="20"/>
              </w:rPr>
            </w:pPr>
            <w:r w:rsidRPr="00EE1698">
              <w:rPr>
                <w:b/>
                <w:color w:val="FFFFFF" w:themeColor="background1"/>
                <w:sz w:val="20"/>
                <w:szCs w:val="20"/>
              </w:rPr>
              <w:t>PI-4</w:t>
            </w:r>
            <w:r w:rsidR="00336AAD">
              <w:rPr>
                <w:b/>
                <w:color w:val="FFFFFF" w:themeColor="background1"/>
                <w:sz w:val="20"/>
                <w:szCs w:val="20"/>
              </w:rPr>
              <w:t>.</w:t>
            </w:r>
            <w:r w:rsidRPr="00EE1698">
              <w:rPr>
                <w:b/>
                <w:color w:val="FFFFFF" w:themeColor="background1"/>
                <w:sz w:val="20"/>
                <w:szCs w:val="20"/>
              </w:rPr>
              <w:t xml:space="preserve"> Budget classification (M1)</w:t>
            </w:r>
          </w:p>
        </w:tc>
        <w:tc>
          <w:tcPr>
            <w:tcW w:w="425" w:type="dxa"/>
            <w:shd w:val="clear" w:color="auto" w:fill="5B9BD5"/>
          </w:tcPr>
          <w:p w14:paraId="415D38C9" w14:textId="77777777" w:rsidR="003E5B0C" w:rsidRPr="00EE1698" w:rsidRDefault="003E5B0C" w:rsidP="006E7B98">
            <w:pPr>
              <w:jc w:val="center"/>
              <w:rPr>
                <w:b/>
                <w:color w:val="FFFFFF" w:themeColor="background1"/>
                <w:sz w:val="20"/>
                <w:szCs w:val="20"/>
              </w:rPr>
            </w:pPr>
            <w:r w:rsidRPr="00EE1698">
              <w:rPr>
                <w:b/>
                <w:color w:val="FFFFFF" w:themeColor="background1"/>
                <w:sz w:val="20"/>
                <w:szCs w:val="20"/>
              </w:rPr>
              <w:t>C</w:t>
            </w:r>
          </w:p>
        </w:tc>
        <w:tc>
          <w:tcPr>
            <w:tcW w:w="5816" w:type="dxa"/>
            <w:shd w:val="clear" w:color="auto" w:fill="5B9BD5"/>
          </w:tcPr>
          <w:p w14:paraId="305856EE" w14:textId="77777777" w:rsidR="003E5B0C" w:rsidRPr="00EE1698" w:rsidRDefault="003E5B0C" w:rsidP="006E7B98">
            <w:pPr>
              <w:jc w:val="center"/>
              <w:rPr>
                <w:b/>
                <w:color w:val="FFFFFF" w:themeColor="background1"/>
                <w:sz w:val="20"/>
                <w:szCs w:val="20"/>
              </w:rPr>
            </w:pPr>
            <w:r w:rsidRPr="00EE1698">
              <w:rPr>
                <w:b/>
                <w:color w:val="FFFFFF" w:themeColor="background1"/>
                <w:sz w:val="20"/>
                <w:szCs w:val="20"/>
              </w:rPr>
              <w:t>Brief justification for score</w:t>
            </w:r>
          </w:p>
        </w:tc>
      </w:tr>
      <w:tr w:rsidR="003E5B0C" w:rsidRPr="00EE1698" w14:paraId="3463A31A" w14:textId="77777777" w:rsidTr="00EE1698">
        <w:trPr>
          <w:trHeight w:val="983"/>
        </w:trPr>
        <w:tc>
          <w:tcPr>
            <w:tcW w:w="3119" w:type="dxa"/>
            <w:shd w:val="clear" w:color="auto" w:fill="auto"/>
          </w:tcPr>
          <w:p w14:paraId="0349F6C2" w14:textId="77777777" w:rsidR="003E5B0C" w:rsidRPr="00EE1698" w:rsidRDefault="003E5B0C" w:rsidP="00EE1698">
            <w:pPr>
              <w:jc w:val="left"/>
              <w:rPr>
                <w:sz w:val="20"/>
                <w:szCs w:val="20"/>
              </w:rPr>
            </w:pPr>
            <w:r w:rsidRPr="00EE1698">
              <w:rPr>
                <w:sz w:val="20"/>
                <w:szCs w:val="20"/>
              </w:rPr>
              <w:t xml:space="preserve">4.1 Budget classification </w:t>
            </w:r>
          </w:p>
        </w:tc>
        <w:tc>
          <w:tcPr>
            <w:tcW w:w="425" w:type="dxa"/>
            <w:shd w:val="clear" w:color="auto" w:fill="auto"/>
          </w:tcPr>
          <w:p w14:paraId="478C1052" w14:textId="77777777" w:rsidR="003E5B0C" w:rsidRPr="00EE1698" w:rsidRDefault="003E5B0C" w:rsidP="000A7EA8">
            <w:pPr>
              <w:jc w:val="center"/>
              <w:rPr>
                <w:sz w:val="20"/>
                <w:szCs w:val="20"/>
              </w:rPr>
            </w:pPr>
            <w:r w:rsidRPr="00EE1698">
              <w:rPr>
                <w:sz w:val="20"/>
                <w:szCs w:val="20"/>
              </w:rPr>
              <w:t>C</w:t>
            </w:r>
          </w:p>
        </w:tc>
        <w:tc>
          <w:tcPr>
            <w:tcW w:w="5816" w:type="dxa"/>
            <w:shd w:val="clear" w:color="auto" w:fill="auto"/>
          </w:tcPr>
          <w:p w14:paraId="635AFB32" w14:textId="3ED747D6" w:rsidR="003E5B0C" w:rsidRPr="00EE1698" w:rsidRDefault="003E5B0C" w:rsidP="00EE1698">
            <w:pPr>
              <w:jc w:val="left"/>
              <w:rPr>
                <w:color w:val="000000"/>
                <w:sz w:val="20"/>
                <w:szCs w:val="20"/>
              </w:rPr>
            </w:pPr>
            <w:r w:rsidRPr="00EE1698">
              <w:rPr>
                <w:sz w:val="20"/>
                <w:szCs w:val="20"/>
              </w:rPr>
              <w:t xml:space="preserve">Budget formulation, execution, and reporting are based on administrative and economic classification that can produce consistent documentation comparable with </w:t>
            </w:r>
            <w:r w:rsidR="00D35AFD">
              <w:rPr>
                <w:sz w:val="20"/>
                <w:szCs w:val="20"/>
              </w:rPr>
              <w:t>Government Financial Statistics (</w:t>
            </w:r>
            <w:r w:rsidRPr="00EE1698">
              <w:rPr>
                <w:sz w:val="20"/>
                <w:szCs w:val="20"/>
              </w:rPr>
              <w:t>GFS</w:t>
            </w:r>
            <w:r w:rsidR="00D35AFD">
              <w:rPr>
                <w:sz w:val="20"/>
                <w:szCs w:val="20"/>
              </w:rPr>
              <w:t>)</w:t>
            </w:r>
            <w:r w:rsidRPr="00EE1698">
              <w:rPr>
                <w:sz w:val="20"/>
                <w:szCs w:val="20"/>
              </w:rPr>
              <w:t xml:space="preserve"> (at level 2 of the GFS standard for the economic classification). </w:t>
            </w:r>
          </w:p>
        </w:tc>
      </w:tr>
    </w:tbl>
    <w:p w14:paraId="4C0DBB3B" w14:textId="77777777" w:rsidR="00D52465" w:rsidRPr="00890A84" w:rsidRDefault="00642525" w:rsidP="00BA6B2B">
      <w:pPr>
        <w:pStyle w:val="Heading5"/>
      </w:pPr>
      <w:r w:rsidRPr="00890A84">
        <w:t>PI-</w:t>
      </w:r>
      <w:r w:rsidR="00D86117" w:rsidRPr="00890A84">
        <w:t xml:space="preserve">4.1. Budget classification </w:t>
      </w:r>
    </w:p>
    <w:p w14:paraId="45D49209" w14:textId="4872459A" w:rsidR="000A4C5E" w:rsidRPr="005849E4" w:rsidRDefault="00A008BB" w:rsidP="00EE1698">
      <w:pPr>
        <w:spacing w:after="240"/>
        <w:rPr>
          <w:sz w:val="22"/>
        </w:rPr>
      </w:pPr>
      <w:r w:rsidRPr="005849E4">
        <w:rPr>
          <w:sz w:val="22"/>
        </w:rPr>
        <w:t>The budget is formulated on administrative, economic</w:t>
      </w:r>
      <w:r w:rsidR="00336AAD">
        <w:rPr>
          <w:sz w:val="22"/>
        </w:rPr>
        <w:t>,</w:t>
      </w:r>
      <w:r w:rsidRPr="005849E4">
        <w:rPr>
          <w:sz w:val="22"/>
        </w:rPr>
        <w:t xml:space="preserve"> and functional classification using </w:t>
      </w:r>
      <w:r w:rsidR="00AE7C64" w:rsidRPr="005849E4">
        <w:rPr>
          <w:sz w:val="22"/>
        </w:rPr>
        <w:t xml:space="preserve">comparable </w:t>
      </w:r>
      <w:r w:rsidRPr="005849E4">
        <w:rPr>
          <w:sz w:val="22"/>
        </w:rPr>
        <w:t>GFS/</w:t>
      </w:r>
      <w:r w:rsidR="00D35AFD" w:rsidRPr="00D35AFD">
        <w:t xml:space="preserve"> </w:t>
      </w:r>
      <w:r w:rsidR="00D35AFD" w:rsidRPr="00D35AFD">
        <w:rPr>
          <w:sz w:val="22"/>
        </w:rPr>
        <w:t xml:space="preserve">Classification of the Functions of Government </w:t>
      </w:r>
      <w:r w:rsidR="00D35AFD">
        <w:rPr>
          <w:sz w:val="22"/>
        </w:rPr>
        <w:t>(</w:t>
      </w:r>
      <w:r w:rsidRPr="005849E4">
        <w:rPr>
          <w:sz w:val="22"/>
        </w:rPr>
        <w:t>COFOG</w:t>
      </w:r>
      <w:r w:rsidR="00D35AFD">
        <w:rPr>
          <w:sz w:val="22"/>
        </w:rPr>
        <w:t>)</w:t>
      </w:r>
      <w:r w:rsidRPr="005849E4">
        <w:rPr>
          <w:sz w:val="22"/>
        </w:rPr>
        <w:t xml:space="preserve"> standard. The GFS standards are anchored on the PFM Act</w:t>
      </w:r>
      <w:r w:rsidR="00147D25" w:rsidRPr="005849E4">
        <w:rPr>
          <w:sz w:val="22"/>
        </w:rPr>
        <w:t>,</w:t>
      </w:r>
      <w:r w:rsidRPr="005849E4">
        <w:rPr>
          <w:sz w:val="22"/>
        </w:rPr>
        <w:t xml:space="preserve"> 2012.</w:t>
      </w:r>
      <w:r w:rsidR="000A4C5E" w:rsidRPr="005849E4">
        <w:rPr>
          <w:sz w:val="22"/>
        </w:rPr>
        <w:t xml:space="preserve"> </w:t>
      </w:r>
      <w:r w:rsidR="007E117C" w:rsidRPr="005849E4">
        <w:rPr>
          <w:sz w:val="22"/>
        </w:rPr>
        <w:t>Budget classification can be analy</w:t>
      </w:r>
      <w:r w:rsidR="00336AAD">
        <w:rPr>
          <w:sz w:val="22"/>
        </w:rPr>
        <w:t>z</w:t>
      </w:r>
      <w:r w:rsidR="007E117C" w:rsidRPr="005849E4">
        <w:rPr>
          <w:sz w:val="22"/>
        </w:rPr>
        <w:t xml:space="preserve">ed in the budget expenditure estimates that have been provided with GFS </w:t>
      </w:r>
      <w:r w:rsidR="00153D60" w:rsidRPr="005849E4">
        <w:rPr>
          <w:sz w:val="22"/>
        </w:rPr>
        <w:t>codes. The</w:t>
      </w:r>
      <w:r w:rsidR="00105FC9" w:rsidRPr="005849E4">
        <w:rPr>
          <w:sz w:val="22"/>
        </w:rPr>
        <w:t xml:space="preserve"> county g</w:t>
      </w:r>
      <w:r w:rsidR="0092523B" w:rsidRPr="005849E4">
        <w:rPr>
          <w:sz w:val="22"/>
        </w:rPr>
        <w:t>overnment has no</w:t>
      </w:r>
      <w:r w:rsidR="00105FC9" w:rsidRPr="005849E4">
        <w:rPr>
          <w:sz w:val="22"/>
        </w:rPr>
        <w:t xml:space="preserve">t been using GFS </w:t>
      </w:r>
      <w:r w:rsidR="00336AAD">
        <w:rPr>
          <w:sz w:val="22"/>
        </w:rPr>
        <w:t>s</w:t>
      </w:r>
      <w:r w:rsidR="00105FC9" w:rsidRPr="005849E4">
        <w:rPr>
          <w:sz w:val="22"/>
        </w:rPr>
        <w:t>tandards for r</w:t>
      </w:r>
      <w:r w:rsidR="0092523B" w:rsidRPr="005849E4">
        <w:rPr>
          <w:sz w:val="22"/>
        </w:rPr>
        <w:t xml:space="preserve">evenue for the last </w:t>
      </w:r>
      <w:r w:rsidR="00336AAD">
        <w:rPr>
          <w:sz w:val="22"/>
        </w:rPr>
        <w:t>three</w:t>
      </w:r>
      <w:r w:rsidR="00336AAD" w:rsidRPr="005849E4">
        <w:rPr>
          <w:sz w:val="22"/>
        </w:rPr>
        <w:t xml:space="preserve"> </w:t>
      </w:r>
      <w:r w:rsidR="001F51BB" w:rsidRPr="005849E4">
        <w:rPr>
          <w:sz w:val="22"/>
        </w:rPr>
        <w:t>FYs since</w:t>
      </w:r>
      <w:r w:rsidR="0092523B" w:rsidRPr="005849E4">
        <w:rPr>
          <w:sz w:val="22"/>
        </w:rPr>
        <w:t xml:space="preserve"> revenues were collected off </w:t>
      </w:r>
      <w:r w:rsidR="00336AAD">
        <w:rPr>
          <w:sz w:val="22"/>
        </w:rPr>
        <w:t xml:space="preserve">the </w:t>
      </w:r>
      <w:r w:rsidR="0092523B" w:rsidRPr="005849E4">
        <w:rPr>
          <w:sz w:val="22"/>
        </w:rPr>
        <w:t>IFMIS (using LAIFOMS</w:t>
      </w:r>
      <w:r w:rsidR="001D7E75" w:rsidRPr="005849E4">
        <w:rPr>
          <w:sz w:val="22"/>
        </w:rPr>
        <w:t>). However</w:t>
      </w:r>
      <w:r w:rsidR="000B3419" w:rsidRPr="005849E4">
        <w:rPr>
          <w:sz w:val="22"/>
        </w:rPr>
        <w:t xml:space="preserve">, in </w:t>
      </w:r>
      <w:r w:rsidR="00336AAD">
        <w:rPr>
          <w:sz w:val="22"/>
        </w:rPr>
        <w:t>FY</w:t>
      </w:r>
      <w:r w:rsidR="000B3419" w:rsidRPr="005849E4">
        <w:rPr>
          <w:sz w:val="22"/>
        </w:rPr>
        <w:t xml:space="preserve">2016/17, the county used the GFS codes while budgeting for revenue. </w:t>
      </w:r>
      <w:r w:rsidR="000A4C5E" w:rsidRPr="005849E4">
        <w:rPr>
          <w:sz w:val="22"/>
        </w:rPr>
        <w:t>The budget is executed and reported according to the economic and administrative classification.</w:t>
      </w:r>
    </w:p>
    <w:p w14:paraId="5265A989" w14:textId="0728EA05" w:rsidR="00FD5857" w:rsidRPr="005849E4" w:rsidRDefault="00FD5857" w:rsidP="00EE1698">
      <w:pPr>
        <w:spacing w:after="240"/>
        <w:rPr>
          <w:sz w:val="22"/>
        </w:rPr>
      </w:pPr>
      <w:r w:rsidRPr="005849E4">
        <w:rPr>
          <w:sz w:val="22"/>
        </w:rPr>
        <w:t xml:space="preserve">The breakdown of the </w:t>
      </w:r>
      <w:r w:rsidR="00336AAD">
        <w:rPr>
          <w:sz w:val="22"/>
        </w:rPr>
        <w:t>C</w:t>
      </w:r>
      <w:r w:rsidRPr="005849E4">
        <w:rPr>
          <w:sz w:val="22"/>
        </w:rPr>
        <w:t xml:space="preserve">ounty </w:t>
      </w:r>
      <w:r w:rsidR="00336AAD">
        <w:rPr>
          <w:sz w:val="22"/>
        </w:rPr>
        <w:t>E</w:t>
      </w:r>
      <w:r w:rsidRPr="005849E4">
        <w:rPr>
          <w:sz w:val="22"/>
        </w:rPr>
        <w:t>xecutive administration can be considered as satisfying COFOG classification</w:t>
      </w:r>
      <w:r w:rsidR="00336AAD">
        <w:rPr>
          <w:sz w:val="22"/>
        </w:rPr>
        <w:t>:</w:t>
      </w:r>
      <w:r w:rsidRPr="005849E4">
        <w:rPr>
          <w:sz w:val="22"/>
        </w:rPr>
        <w:t xml:space="preserve"> </w:t>
      </w:r>
    </w:p>
    <w:p w14:paraId="4D1A3C4E" w14:textId="5A94F165"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Agriculture, </w:t>
      </w:r>
      <w:r w:rsidR="00336AAD">
        <w:rPr>
          <w:sz w:val="22"/>
        </w:rPr>
        <w:t>l</w:t>
      </w:r>
      <w:r w:rsidRPr="005849E4">
        <w:rPr>
          <w:sz w:val="22"/>
        </w:rPr>
        <w:t>ivestock</w:t>
      </w:r>
      <w:r w:rsidR="00336AAD">
        <w:rPr>
          <w:sz w:val="22"/>
        </w:rPr>
        <w:t>,</w:t>
      </w:r>
      <w:r w:rsidRPr="005849E4">
        <w:rPr>
          <w:sz w:val="22"/>
        </w:rPr>
        <w:t xml:space="preserve"> and </w:t>
      </w:r>
      <w:r w:rsidR="00C25896">
        <w:rPr>
          <w:sz w:val="22"/>
        </w:rPr>
        <w:t>f</w:t>
      </w:r>
      <w:r w:rsidRPr="005849E4">
        <w:rPr>
          <w:sz w:val="22"/>
        </w:rPr>
        <w:t>isheries</w:t>
      </w:r>
    </w:p>
    <w:p w14:paraId="02885C06" w14:textId="77777777" w:rsidR="00FD5857" w:rsidRPr="005849E4" w:rsidRDefault="00FD5857" w:rsidP="00A66D19">
      <w:pPr>
        <w:pStyle w:val="ListParagraph"/>
        <w:numPr>
          <w:ilvl w:val="0"/>
          <w:numId w:val="12"/>
        </w:numPr>
        <w:spacing w:after="240"/>
        <w:ind w:left="720"/>
        <w:contextualSpacing w:val="0"/>
        <w:rPr>
          <w:sz w:val="22"/>
        </w:rPr>
      </w:pPr>
      <w:r w:rsidRPr="005849E4">
        <w:rPr>
          <w:sz w:val="22"/>
        </w:rPr>
        <w:t>County Treasury</w:t>
      </w:r>
    </w:p>
    <w:p w14:paraId="443F03EF" w14:textId="1EFDA1F6"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Health </w:t>
      </w:r>
      <w:r w:rsidR="00336AAD">
        <w:rPr>
          <w:sz w:val="22"/>
        </w:rPr>
        <w:t>s</w:t>
      </w:r>
      <w:r w:rsidRPr="005849E4">
        <w:rPr>
          <w:sz w:val="22"/>
        </w:rPr>
        <w:t>ervices</w:t>
      </w:r>
    </w:p>
    <w:p w14:paraId="4086B2AE" w14:textId="0B91C904"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ICT, </w:t>
      </w:r>
      <w:r w:rsidR="00336AAD">
        <w:rPr>
          <w:sz w:val="22"/>
        </w:rPr>
        <w:t>s</w:t>
      </w:r>
      <w:r w:rsidRPr="005849E4">
        <w:rPr>
          <w:sz w:val="22"/>
        </w:rPr>
        <w:t xml:space="preserve">pecial </w:t>
      </w:r>
      <w:r w:rsidR="00336AAD">
        <w:rPr>
          <w:sz w:val="22"/>
        </w:rPr>
        <w:t>p</w:t>
      </w:r>
      <w:r w:rsidRPr="005849E4">
        <w:rPr>
          <w:sz w:val="22"/>
        </w:rPr>
        <w:t>rograms</w:t>
      </w:r>
      <w:r w:rsidR="00336AAD">
        <w:rPr>
          <w:sz w:val="22"/>
        </w:rPr>
        <w:t>,</w:t>
      </w:r>
      <w:r w:rsidRPr="005849E4">
        <w:rPr>
          <w:sz w:val="22"/>
        </w:rPr>
        <w:t xml:space="preserve"> and Governor’s Delivery Unit</w:t>
      </w:r>
    </w:p>
    <w:p w14:paraId="0A81994D" w14:textId="1579A805"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Education and </w:t>
      </w:r>
      <w:r w:rsidR="00336AAD">
        <w:rPr>
          <w:sz w:val="22"/>
        </w:rPr>
        <w:t>v</w:t>
      </w:r>
      <w:r w:rsidR="003267BA" w:rsidRPr="005849E4">
        <w:rPr>
          <w:sz w:val="22"/>
        </w:rPr>
        <w:t xml:space="preserve">ocation </w:t>
      </w:r>
      <w:r w:rsidR="00336AAD">
        <w:rPr>
          <w:sz w:val="22"/>
        </w:rPr>
        <w:t>t</w:t>
      </w:r>
      <w:r w:rsidR="003267BA" w:rsidRPr="005849E4">
        <w:rPr>
          <w:sz w:val="22"/>
        </w:rPr>
        <w:t>raining</w:t>
      </w:r>
    </w:p>
    <w:p w14:paraId="28E2DB84" w14:textId="731583DD"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Lands and </w:t>
      </w:r>
      <w:r w:rsidR="00336AAD">
        <w:rPr>
          <w:sz w:val="22"/>
        </w:rPr>
        <w:t>p</w:t>
      </w:r>
      <w:r w:rsidRPr="005849E4">
        <w:rPr>
          <w:sz w:val="22"/>
        </w:rPr>
        <w:t xml:space="preserve">hysical </w:t>
      </w:r>
      <w:r w:rsidR="00336AAD">
        <w:rPr>
          <w:sz w:val="22"/>
        </w:rPr>
        <w:t>p</w:t>
      </w:r>
      <w:r w:rsidRPr="005849E4">
        <w:rPr>
          <w:sz w:val="22"/>
        </w:rPr>
        <w:t>lanning</w:t>
      </w:r>
    </w:p>
    <w:p w14:paraId="220C27CE" w14:textId="6EAF50D3"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Public works, </w:t>
      </w:r>
      <w:r w:rsidR="00336AAD">
        <w:rPr>
          <w:sz w:val="22"/>
        </w:rPr>
        <w:t>r</w:t>
      </w:r>
      <w:r w:rsidRPr="005849E4">
        <w:rPr>
          <w:sz w:val="22"/>
        </w:rPr>
        <w:t xml:space="preserve">oads, </w:t>
      </w:r>
      <w:r w:rsidR="00336AAD">
        <w:rPr>
          <w:sz w:val="22"/>
        </w:rPr>
        <w:t>h</w:t>
      </w:r>
      <w:r w:rsidRPr="005849E4">
        <w:rPr>
          <w:sz w:val="22"/>
        </w:rPr>
        <w:t>ousing</w:t>
      </w:r>
      <w:r w:rsidR="00336AAD">
        <w:rPr>
          <w:sz w:val="22"/>
        </w:rPr>
        <w:t>,</w:t>
      </w:r>
      <w:r w:rsidRPr="005849E4">
        <w:rPr>
          <w:sz w:val="22"/>
        </w:rPr>
        <w:t xml:space="preserve"> and </w:t>
      </w:r>
      <w:r w:rsidR="00336AAD">
        <w:rPr>
          <w:sz w:val="22"/>
        </w:rPr>
        <w:t>e</w:t>
      </w:r>
      <w:r w:rsidRPr="005849E4">
        <w:rPr>
          <w:sz w:val="22"/>
        </w:rPr>
        <w:t>nergy</w:t>
      </w:r>
    </w:p>
    <w:p w14:paraId="475FBCF0" w14:textId="1B2BCBBF"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Trade, </w:t>
      </w:r>
      <w:r w:rsidR="00336AAD">
        <w:rPr>
          <w:sz w:val="22"/>
        </w:rPr>
        <w:t>t</w:t>
      </w:r>
      <w:r w:rsidRPr="005849E4">
        <w:rPr>
          <w:sz w:val="22"/>
        </w:rPr>
        <w:t>ourism</w:t>
      </w:r>
      <w:r w:rsidR="00336AAD">
        <w:rPr>
          <w:sz w:val="22"/>
        </w:rPr>
        <w:t>,</w:t>
      </w:r>
      <w:r w:rsidRPr="005849E4">
        <w:rPr>
          <w:sz w:val="22"/>
        </w:rPr>
        <w:t xml:space="preserve"> and </w:t>
      </w:r>
      <w:r w:rsidR="00336AAD">
        <w:rPr>
          <w:sz w:val="22"/>
        </w:rPr>
        <w:t>i</w:t>
      </w:r>
      <w:r w:rsidRPr="005849E4">
        <w:rPr>
          <w:sz w:val="22"/>
        </w:rPr>
        <w:t>ndustrialization</w:t>
      </w:r>
    </w:p>
    <w:p w14:paraId="3EE01862" w14:textId="6926737A"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Water, </w:t>
      </w:r>
      <w:r w:rsidR="00336AAD">
        <w:rPr>
          <w:sz w:val="22"/>
        </w:rPr>
        <w:t>i</w:t>
      </w:r>
      <w:r w:rsidRPr="005849E4">
        <w:rPr>
          <w:sz w:val="22"/>
        </w:rPr>
        <w:t xml:space="preserve">rrigation, </w:t>
      </w:r>
      <w:r w:rsidR="00336AAD">
        <w:rPr>
          <w:sz w:val="22"/>
        </w:rPr>
        <w:t>e</w:t>
      </w:r>
      <w:r w:rsidRPr="005849E4">
        <w:rPr>
          <w:sz w:val="22"/>
        </w:rPr>
        <w:t>nvironment</w:t>
      </w:r>
      <w:r w:rsidR="00336AAD">
        <w:rPr>
          <w:sz w:val="22"/>
        </w:rPr>
        <w:t>,</w:t>
      </w:r>
      <w:r w:rsidRPr="005849E4">
        <w:rPr>
          <w:sz w:val="22"/>
        </w:rPr>
        <w:t xml:space="preserve"> and </w:t>
      </w:r>
      <w:r w:rsidR="00336AAD">
        <w:rPr>
          <w:sz w:val="22"/>
        </w:rPr>
        <w:t>n</w:t>
      </w:r>
      <w:r w:rsidRPr="005849E4">
        <w:rPr>
          <w:sz w:val="22"/>
        </w:rPr>
        <w:t xml:space="preserve">atural </w:t>
      </w:r>
      <w:r w:rsidR="00336AAD">
        <w:rPr>
          <w:sz w:val="22"/>
        </w:rPr>
        <w:t>r</w:t>
      </w:r>
      <w:r w:rsidRPr="005849E4">
        <w:rPr>
          <w:sz w:val="22"/>
        </w:rPr>
        <w:t>esources</w:t>
      </w:r>
    </w:p>
    <w:p w14:paraId="36142F3C" w14:textId="3AA47BE8" w:rsidR="00FD5857" w:rsidRPr="005849E4" w:rsidRDefault="00FD5857" w:rsidP="00A66D19">
      <w:pPr>
        <w:pStyle w:val="ListParagraph"/>
        <w:numPr>
          <w:ilvl w:val="0"/>
          <w:numId w:val="12"/>
        </w:numPr>
        <w:spacing w:after="240"/>
        <w:ind w:left="720"/>
        <w:contextualSpacing w:val="0"/>
        <w:rPr>
          <w:sz w:val="22"/>
        </w:rPr>
      </w:pPr>
      <w:r w:rsidRPr="005849E4">
        <w:rPr>
          <w:sz w:val="22"/>
        </w:rPr>
        <w:t xml:space="preserve">Public </w:t>
      </w:r>
      <w:r w:rsidR="00336AAD">
        <w:rPr>
          <w:sz w:val="22"/>
        </w:rPr>
        <w:t>s</w:t>
      </w:r>
      <w:r w:rsidRPr="005849E4">
        <w:rPr>
          <w:sz w:val="22"/>
        </w:rPr>
        <w:t xml:space="preserve">ervice, </w:t>
      </w:r>
      <w:r w:rsidR="00336AAD">
        <w:rPr>
          <w:sz w:val="22"/>
        </w:rPr>
        <w:t>a</w:t>
      </w:r>
      <w:r w:rsidRPr="005849E4">
        <w:rPr>
          <w:sz w:val="22"/>
        </w:rPr>
        <w:t>dministration</w:t>
      </w:r>
      <w:r w:rsidR="00336AAD">
        <w:rPr>
          <w:sz w:val="22"/>
        </w:rPr>
        <w:t>,</w:t>
      </w:r>
      <w:r w:rsidRPr="005849E4">
        <w:rPr>
          <w:sz w:val="22"/>
        </w:rPr>
        <w:t xml:space="preserve"> and </w:t>
      </w:r>
      <w:r w:rsidR="00336AAD">
        <w:rPr>
          <w:sz w:val="22"/>
        </w:rPr>
        <w:t>c</w:t>
      </w:r>
      <w:r w:rsidRPr="005849E4">
        <w:rPr>
          <w:sz w:val="22"/>
        </w:rPr>
        <w:t xml:space="preserve">itizen </w:t>
      </w:r>
      <w:r w:rsidR="00336AAD">
        <w:rPr>
          <w:sz w:val="22"/>
        </w:rPr>
        <w:t>p</w:t>
      </w:r>
      <w:r w:rsidRPr="005849E4">
        <w:rPr>
          <w:sz w:val="22"/>
        </w:rPr>
        <w:t>articipation</w:t>
      </w:r>
    </w:p>
    <w:p w14:paraId="3E117A9C" w14:textId="4C3B4AA1" w:rsidR="000B3419" w:rsidRPr="005849E4" w:rsidRDefault="00E56226" w:rsidP="005849E4">
      <w:pPr>
        <w:spacing w:after="240"/>
        <w:rPr>
          <w:sz w:val="22"/>
        </w:rPr>
      </w:pPr>
      <w:r w:rsidRPr="005849E4">
        <w:rPr>
          <w:sz w:val="22"/>
        </w:rPr>
        <w:t xml:space="preserve">In summary, </w:t>
      </w:r>
      <w:r w:rsidR="00AE7C64" w:rsidRPr="005849E4">
        <w:rPr>
          <w:sz w:val="22"/>
        </w:rPr>
        <w:t xml:space="preserve">budget formulation documents apply GFS Codes issued by </w:t>
      </w:r>
      <w:r w:rsidR="00BC764F">
        <w:rPr>
          <w:sz w:val="22"/>
        </w:rPr>
        <w:t xml:space="preserve">the </w:t>
      </w:r>
      <w:r w:rsidR="00AE7C64" w:rsidRPr="005849E4">
        <w:rPr>
          <w:sz w:val="22"/>
        </w:rPr>
        <w:t xml:space="preserve">National Treasury and reporting </w:t>
      </w:r>
      <w:r w:rsidR="00BC764F">
        <w:rPr>
          <w:sz w:val="22"/>
        </w:rPr>
        <w:t>is</w:t>
      </w:r>
      <w:r w:rsidR="00BC764F" w:rsidRPr="005849E4">
        <w:rPr>
          <w:sz w:val="22"/>
        </w:rPr>
        <w:t xml:space="preserve"> </w:t>
      </w:r>
      <w:r w:rsidR="00AE7C64" w:rsidRPr="005849E4">
        <w:rPr>
          <w:sz w:val="22"/>
        </w:rPr>
        <w:t>based on every level of administrative, economic GFS level 2, and function</w:t>
      </w:r>
      <w:r w:rsidR="00BC764F">
        <w:rPr>
          <w:sz w:val="22"/>
        </w:rPr>
        <w:t>s</w:t>
      </w:r>
      <w:r w:rsidR="00AE7C64" w:rsidRPr="005849E4">
        <w:rPr>
          <w:sz w:val="22"/>
        </w:rPr>
        <w:t xml:space="preserve"> are prepared using </w:t>
      </w:r>
      <w:r w:rsidR="00BC764F">
        <w:rPr>
          <w:sz w:val="22"/>
        </w:rPr>
        <w:t xml:space="preserve">the </w:t>
      </w:r>
      <w:r w:rsidR="00AE7C64" w:rsidRPr="005849E4">
        <w:rPr>
          <w:sz w:val="22"/>
        </w:rPr>
        <w:t xml:space="preserve">GFS/COFOG standard. </w:t>
      </w:r>
      <w:r w:rsidRPr="005849E4">
        <w:rPr>
          <w:sz w:val="22"/>
        </w:rPr>
        <w:t>The score is C.</w:t>
      </w:r>
    </w:p>
    <w:p w14:paraId="6F53A1E1" w14:textId="4D612F2B" w:rsidR="00BB1084" w:rsidRDefault="00BB1084" w:rsidP="00590C8E">
      <w:pPr>
        <w:pStyle w:val="Heading4"/>
      </w:pPr>
      <w:r w:rsidRPr="00890A84">
        <w:t>PI-5. Budget documentation</w:t>
      </w:r>
    </w:p>
    <w:p w14:paraId="46F41AA2" w14:textId="77777777" w:rsidR="003E5B0C" w:rsidRPr="00890A84" w:rsidRDefault="003E5B0C" w:rsidP="00BA6B2B">
      <w:pPr>
        <w:pStyle w:val="Heading5"/>
      </w:pPr>
      <w:r>
        <w:t>Summary of scores and performance table</w:t>
      </w:r>
    </w:p>
    <w:tbl>
      <w:tblPr>
        <w:tblW w:w="9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3544"/>
        <w:gridCol w:w="425"/>
        <w:gridCol w:w="5391"/>
      </w:tblGrid>
      <w:tr w:rsidR="003E5B0C" w:rsidRPr="00EE1698" w14:paraId="29475B66" w14:textId="77777777" w:rsidTr="00EE1698">
        <w:trPr>
          <w:trHeight w:val="71"/>
        </w:trPr>
        <w:tc>
          <w:tcPr>
            <w:tcW w:w="3544" w:type="dxa"/>
            <w:shd w:val="clear" w:color="auto" w:fill="5B9BD5"/>
          </w:tcPr>
          <w:p w14:paraId="1DAE9684" w14:textId="682AA8D2" w:rsidR="003E5B0C" w:rsidRPr="00EE1698" w:rsidRDefault="003E5B0C" w:rsidP="005849E4">
            <w:pPr>
              <w:jc w:val="center"/>
              <w:rPr>
                <w:b/>
                <w:color w:val="FFFFFF" w:themeColor="background1"/>
                <w:sz w:val="20"/>
                <w:szCs w:val="20"/>
              </w:rPr>
            </w:pPr>
            <w:r w:rsidRPr="00EE1698">
              <w:rPr>
                <w:b/>
                <w:color w:val="FFFFFF" w:themeColor="background1"/>
                <w:sz w:val="20"/>
                <w:szCs w:val="20"/>
              </w:rPr>
              <w:t>PI-5</w:t>
            </w:r>
            <w:r w:rsidR="00BC764F">
              <w:rPr>
                <w:b/>
                <w:color w:val="FFFFFF" w:themeColor="background1"/>
                <w:sz w:val="20"/>
                <w:szCs w:val="20"/>
              </w:rPr>
              <w:t>.</w:t>
            </w:r>
            <w:r w:rsidRPr="00EE1698">
              <w:rPr>
                <w:b/>
                <w:color w:val="FFFFFF" w:themeColor="background1"/>
                <w:sz w:val="20"/>
                <w:szCs w:val="20"/>
              </w:rPr>
              <w:t xml:space="preserve"> Budget documentation (M1)</w:t>
            </w:r>
          </w:p>
        </w:tc>
        <w:tc>
          <w:tcPr>
            <w:tcW w:w="425" w:type="dxa"/>
            <w:shd w:val="clear" w:color="auto" w:fill="5B9BD5"/>
          </w:tcPr>
          <w:p w14:paraId="4DD0FB60" w14:textId="77777777" w:rsidR="003E5B0C" w:rsidRPr="00EE1698" w:rsidRDefault="003E5B0C" w:rsidP="005849E4">
            <w:pPr>
              <w:jc w:val="center"/>
              <w:rPr>
                <w:b/>
                <w:color w:val="FFFFFF" w:themeColor="background1"/>
                <w:sz w:val="20"/>
                <w:szCs w:val="20"/>
              </w:rPr>
            </w:pPr>
            <w:r w:rsidRPr="00EE1698">
              <w:rPr>
                <w:b/>
                <w:color w:val="FFFFFF" w:themeColor="background1"/>
                <w:sz w:val="20"/>
                <w:szCs w:val="20"/>
              </w:rPr>
              <w:t>D</w:t>
            </w:r>
          </w:p>
        </w:tc>
        <w:tc>
          <w:tcPr>
            <w:tcW w:w="5391" w:type="dxa"/>
            <w:shd w:val="clear" w:color="auto" w:fill="5B9BD5"/>
          </w:tcPr>
          <w:p w14:paraId="65487F45" w14:textId="77777777" w:rsidR="003E5B0C" w:rsidRPr="00EE1698" w:rsidRDefault="003E5B0C" w:rsidP="005849E4">
            <w:pPr>
              <w:jc w:val="center"/>
              <w:rPr>
                <w:b/>
                <w:color w:val="FFFFFF" w:themeColor="background1"/>
                <w:sz w:val="20"/>
                <w:szCs w:val="20"/>
              </w:rPr>
            </w:pPr>
            <w:r w:rsidRPr="00EE1698">
              <w:rPr>
                <w:b/>
                <w:color w:val="FFFFFF" w:themeColor="background1"/>
                <w:sz w:val="20"/>
                <w:szCs w:val="20"/>
              </w:rPr>
              <w:t>Brief justification for score</w:t>
            </w:r>
          </w:p>
        </w:tc>
      </w:tr>
      <w:tr w:rsidR="003E5B0C" w:rsidRPr="00EE1698" w14:paraId="2DA5256E" w14:textId="77777777" w:rsidTr="00EE1698">
        <w:trPr>
          <w:trHeight w:val="53"/>
        </w:trPr>
        <w:tc>
          <w:tcPr>
            <w:tcW w:w="3544" w:type="dxa"/>
            <w:shd w:val="clear" w:color="auto" w:fill="auto"/>
          </w:tcPr>
          <w:p w14:paraId="318A3006" w14:textId="77777777" w:rsidR="003E5B0C" w:rsidRPr="00EE1698" w:rsidRDefault="003E5B0C" w:rsidP="00EE1698">
            <w:pPr>
              <w:jc w:val="left"/>
              <w:rPr>
                <w:b/>
                <w:bCs/>
                <w:sz w:val="20"/>
                <w:szCs w:val="20"/>
              </w:rPr>
            </w:pPr>
            <w:r w:rsidRPr="00EE1698">
              <w:rPr>
                <w:sz w:val="20"/>
                <w:szCs w:val="20"/>
              </w:rPr>
              <w:t xml:space="preserve">5.1 Budget documentation </w:t>
            </w:r>
          </w:p>
          <w:p w14:paraId="1D611319" w14:textId="77777777" w:rsidR="003E5B0C" w:rsidRPr="00EE1698" w:rsidRDefault="003E5B0C" w:rsidP="00EE1698">
            <w:pPr>
              <w:jc w:val="left"/>
              <w:rPr>
                <w:sz w:val="20"/>
                <w:szCs w:val="20"/>
              </w:rPr>
            </w:pPr>
          </w:p>
        </w:tc>
        <w:tc>
          <w:tcPr>
            <w:tcW w:w="425" w:type="dxa"/>
            <w:shd w:val="clear" w:color="auto" w:fill="auto"/>
          </w:tcPr>
          <w:p w14:paraId="30267369" w14:textId="77777777" w:rsidR="003E5B0C" w:rsidRPr="00EE1698" w:rsidRDefault="003E5B0C" w:rsidP="005849E4">
            <w:pPr>
              <w:jc w:val="center"/>
              <w:rPr>
                <w:sz w:val="20"/>
                <w:szCs w:val="20"/>
              </w:rPr>
            </w:pPr>
            <w:r w:rsidRPr="00EE1698">
              <w:rPr>
                <w:sz w:val="20"/>
                <w:szCs w:val="20"/>
              </w:rPr>
              <w:t>D</w:t>
            </w:r>
          </w:p>
        </w:tc>
        <w:tc>
          <w:tcPr>
            <w:tcW w:w="5391" w:type="dxa"/>
            <w:shd w:val="clear" w:color="auto" w:fill="auto"/>
          </w:tcPr>
          <w:p w14:paraId="4E264801" w14:textId="77777777" w:rsidR="003E5B0C" w:rsidRPr="00EE1698" w:rsidRDefault="003E5B0C" w:rsidP="00EE1698">
            <w:pPr>
              <w:jc w:val="left"/>
              <w:rPr>
                <w:sz w:val="20"/>
                <w:szCs w:val="20"/>
              </w:rPr>
            </w:pPr>
            <w:r w:rsidRPr="00EE1698">
              <w:rPr>
                <w:sz w:val="20"/>
                <w:szCs w:val="20"/>
              </w:rPr>
              <w:t xml:space="preserve">Two basic elements and one additional element fulfil the PEFA criteria requirements. </w:t>
            </w:r>
          </w:p>
        </w:tc>
      </w:tr>
    </w:tbl>
    <w:p w14:paraId="64E1D6A3" w14:textId="77777777" w:rsidR="003E5B0C" w:rsidRPr="003E5B0C" w:rsidRDefault="003E5B0C" w:rsidP="003E5B0C"/>
    <w:p w14:paraId="767630E4" w14:textId="3D44B6DC" w:rsidR="007E117C" w:rsidRPr="005849E4" w:rsidRDefault="007E117C" w:rsidP="00EE1698">
      <w:pPr>
        <w:rPr>
          <w:sz w:val="22"/>
        </w:rPr>
      </w:pPr>
      <w:r w:rsidRPr="005849E4">
        <w:rPr>
          <w:sz w:val="22"/>
        </w:rPr>
        <w:t>As far as the basic elements of the PEFA criteria are concerned, forecast of the fiscal deficit or surplus or accrual operating result are available in the C</w:t>
      </w:r>
      <w:r w:rsidR="005C0554" w:rsidRPr="005849E4">
        <w:rPr>
          <w:sz w:val="22"/>
        </w:rPr>
        <w:t>FSP</w:t>
      </w:r>
      <w:r w:rsidRPr="005849E4">
        <w:rPr>
          <w:sz w:val="22"/>
        </w:rPr>
        <w:t>. Aggregated budget data for both revenue and expenditure are available in the budget estimates</w:t>
      </w:r>
      <w:r w:rsidR="005C0554" w:rsidRPr="005849E4">
        <w:rPr>
          <w:sz w:val="22"/>
        </w:rPr>
        <w:t>.</w:t>
      </w:r>
    </w:p>
    <w:p w14:paraId="73247183" w14:textId="235EFD97" w:rsidR="00085824" w:rsidRDefault="00085824" w:rsidP="00085824">
      <w:pPr>
        <w:pStyle w:val="TableStyle"/>
      </w:pPr>
      <w:bookmarkStart w:id="82" w:name="_Toc532426097"/>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10</w:t>
      </w:r>
      <w:r w:rsidR="008B59A7">
        <w:rPr>
          <w:noProof/>
        </w:rPr>
        <w:fldChar w:fldCharType="end"/>
      </w:r>
      <w:r>
        <w:t>:</w:t>
      </w:r>
      <w:bookmarkEnd w:id="82"/>
      <w:r w:rsidR="0063392B">
        <w:t xml:space="preserve"> Summary of budget documentation basic elements</w:t>
      </w:r>
    </w:p>
    <w:tbl>
      <w:tblPr>
        <w:tblW w:w="4885"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A0" w:firstRow="1" w:lastRow="0" w:firstColumn="1" w:lastColumn="0" w:noHBand="1" w:noVBand="1"/>
      </w:tblPr>
      <w:tblGrid>
        <w:gridCol w:w="598"/>
        <w:gridCol w:w="7569"/>
        <w:gridCol w:w="968"/>
      </w:tblGrid>
      <w:tr w:rsidR="008F1917" w:rsidRPr="00EE1698" w14:paraId="48D4FEBE" w14:textId="77777777" w:rsidTr="005849E4">
        <w:trPr>
          <w:trHeight w:val="260"/>
          <w:tblHeader/>
        </w:trPr>
        <w:tc>
          <w:tcPr>
            <w:tcW w:w="327" w:type="pct"/>
            <w:shd w:val="clear" w:color="auto" w:fill="5B9BD5"/>
            <w:hideMark/>
          </w:tcPr>
          <w:p w14:paraId="0FB194F3" w14:textId="17ADA486" w:rsidR="008F1917" w:rsidRPr="00EE1698" w:rsidRDefault="009E3EF3" w:rsidP="005849E4">
            <w:pPr>
              <w:jc w:val="center"/>
              <w:rPr>
                <w:b/>
                <w:color w:val="FFFFFF" w:themeColor="background1"/>
                <w:sz w:val="20"/>
                <w:szCs w:val="20"/>
              </w:rPr>
            </w:pPr>
            <w:r w:rsidRPr="00EE1698">
              <w:rPr>
                <w:b/>
                <w:color w:val="FFFFFF" w:themeColor="background1"/>
                <w:sz w:val="20"/>
                <w:szCs w:val="20"/>
              </w:rPr>
              <w:t>N</w:t>
            </w:r>
            <w:r w:rsidR="00EE1698">
              <w:rPr>
                <w:b/>
                <w:color w:val="FFFFFF" w:themeColor="background1"/>
                <w:sz w:val="20"/>
                <w:szCs w:val="20"/>
              </w:rPr>
              <w:t>o.</w:t>
            </w:r>
          </w:p>
        </w:tc>
        <w:tc>
          <w:tcPr>
            <w:tcW w:w="4143" w:type="pct"/>
            <w:shd w:val="clear" w:color="auto" w:fill="5B9BD5"/>
            <w:hideMark/>
          </w:tcPr>
          <w:p w14:paraId="2AABEB1F" w14:textId="77777777" w:rsidR="008F1917" w:rsidRPr="00EE1698" w:rsidRDefault="009E3EF3" w:rsidP="005849E4">
            <w:pPr>
              <w:jc w:val="center"/>
              <w:rPr>
                <w:b/>
                <w:color w:val="FFFFFF" w:themeColor="background1"/>
                <w:sz w:val="20"/>
                <w:szCs w:val="20"/>
              </w:rPr>
            </w:pPr>
            <w:r w:rsidRPr="00EE1698">
              <w:rPr>
                <w:b/>
                <w:color w:val="FFFFFF" w:themeColor="background1"/>
                <w:sz w:val="20"/>
                <w:szCs w:val="20"/>
              </w:rPr>
              <w:t>Basic elements</w:t>
            </w:r>
          </w:p>
        </w:tc>
        <w:tc>
          <w:tcPr>
            <w:tcW w:w="530" w:type="pct"/>
            <w:shd w:val="clear" w:color="auto" w:fill="5B9BD5"/>
            <w:hideMark/>
          </w:tcPr>
          <w:p w14:paraId="2067CA9F" w14:textId="77777777" w:rsidR="008F1917" w:rsidRPr="00EE1698" w:rsidRDefault="009E3EF3" w:rsidP="005849E4">
            <w:pPr>
              <w:jc w:val="center"/>
              <w:rPr>
                <w:b/>
                <w:color w:val="FFFFFF" w:themeColor="background1"/>
                <w:sz w:val="20"/>
                <w:szCs w:val="20"/>
              </w:rPr>
            </w:pPr>
            <w:r w:rsidRPr="00EE1698">
              <w:rPr>
                <w:b/>
                <w:color w:val="FFFFFF" w:themeColor="background1"/>
                <w:sz w:val="20"/>
                <w:szCs w:val="20"/>
              </w:rPr>
              <w:t>Criteria</w:t>
            </w:r>
          </w:p>
        </w:tc>
      </w:tr>
      <w:tr w:rsidR="008F1917" w:rsidRPr="00EE1698" w14:paraId="2C6FB767" w14:textId="77777777" w:rsidTr="005849E4">
        <w:trPr>
          <w:trHeight w:val="161"/>
        </w:trPr>
        <w:tc>
          <w:tcPr>
            <w:tcW w:w="327" w:type="pct"/>
            <w:shd w:val="clear" w:color="auto" w:fill="auto"/>
            <w:hideMark/>
          </w:tcPr>
          <w:p w14:paraId="2E3D95B8" w14:textId="77777777" w:rsidR="008F1917" w:rsidRPr="00EE1698" w:rsidRDefault="008F1917" w:rsidP="00EE1698">
            <w:pPr>
              <w:jc w:val="center"/>
              <w:rPr>
                <w:sz w:val="20"/>
                <w:szCs w:val="20"/>
              </w:rPr>
            </w:pPr>
            <w:r w:rsidRPr="00EE1698">
              <w:rPr>
                <w:sz w:val="20"/>
                <w:szCs w:val="20"/>
              </w:rPr>
              <w:t>1</w:t>
            </w:r>
          </w:p>
        </w:tc>
        <w:tc>
          <w:tcPr>
            <w:tcW w:w="4143" w:type="pct"/>
            <w:shd w:val="clear" w:color="auto" w:fill="auto"/>
            <w:hideMark/>
          </w:tcPr>
          <w:p w14:paraId="0BA56D64" w14:textId="7B8D7481" w:rsidR="008F1917" w:rsidRPr="00EE1698" w:rsidRDefault="008F1917" w:rsidP="00D52523">
            <w:pPr>
              <w:rPr>
                <w:sz w:val="20"/>
                <w:szCs w:val="20"/>
              </w:rPr>
            </w:pPr>
            <w:r w:rsidRPr="00EE1698">
              <w:rPr>
                <w:sz w:val="20"/>
                <w:szCs w:val="20"/>
              </w:rPr>
              <w:t>Forecast of the fiscal deficit or surplus or accrual operating result</w:t>
            </w:r>
          </w:p>
        </w:tc>
        <w:tc>
          <w:tcPr>
            <w:tcW w:w="530" w:type="pct"/>
            <w:shd w:val="clear" w:color="auto" w:fill="auto"/>
          </w:tcPr>
          <w:p w14:paraId="64625BFC" w14:textId="77777777" w:rsidR="008F1917" w:rsidRPr="00EE1698" w:rsidRDefault="009E3EF3" w:rsidP="001E3161">
            <w:pPr>
              <w:rPr>
                <w:sz w:val="20"/>
                <w:szCs w:val="20"/>
              </w:rPr>
            </w:pPr>
            <w:r w:rsidRPr="00EE1698">
              <w:rPr>
                <w:sz w:val="20"/>
                <w:szCs w:val="20"/>
              </w:rPr>
              <w:t>Yes</w:t>
            </w:r>
          </w:p>
        </w:tc>
      </w:tr>
      <w:tr w:rsidR="008F1917" w:rsidRPr="00EE1698" w14:paraId="2A178BC4" w14:textId="77777777" w:rsidTr="005849E4">
        <w:trPr>
          <w:trHeight w:val="71"/>
        </w:trPr>
        <w:tc>
          <w:tcPr>
            <w:tcW w:w="327" w:type="pct"/>
            <w:shd w:val="clear" w:color="auto" w:fill="auto"/>
            <w:hideMark/>
          </w:tcPr>
          <w:p w14:paraId="54DBB0A0" w14:textId="77777777" w:rsidR="008F1917" w:rsidRPr="00EE1698" w:rsidRDefault="008F1917" w:rsidP="00EE1698">
            <w:pPr>
              <w:jc w:val="center"/>
              <w:rPr>
                <w:sz w:val="20"/>
                <w:szCs w:val="20"/>
              </w:rPr>
            </w:pPr>
            <w:r w:rsidRPr="00EE1698">
              <w:rPr>
                <w:sz w:val="20"/>
                <w:szCs w:val="20"/>
              </w:rPr>
              <w:t>2</w:t>
            </w:r>
          </w:p>
        </w:tc>
        <w:tc>
          <w:tcPr>
            <w:tcW w:w="4143" w:type="pct"/>
            <w:shd w:val="clear" w:color="auto" w:fill="auto"/>
            <w:hideMark/>
          </w:tcPr>
          <w:p w14:paraId="0B13CB89" w14:textId="7CBB722B" w:rsidR="008F1917" w:rsidRPr="00EE1698" w:rsidRDefault="008F1917" w:rsidP="00D52523">
            <w:pPr>
              <w:rPr>
                <w:sz w:val="20"/>
                <w:szCs w:val="20"/>
              </w:rPr>
            </w:pPr>
            <w:r w:rsidRPr="00EE1698">
              <w:rPr>
                <w:sz w:val="20"/>
                <w:szCs w:val="20"/>
              </w:rPr>
              <w:t>Previous year’s budget outturn, presented in the same format as the budget proposal</w:t>
            </w:r>
          </w:p>
        </w:tc>
        <w:tc>
          <w:tcPr>
            <w:tcW w:w="530" w:type="pct"/>
            <w:shd w:val="clear" w:color="auto" w:fill="auto"/>
          </w:tcPr>
          <w:p w14:paraId="1173FF58" w14:textId="77777777" w:rsidR="008F1917" w:rsidRPr="00EE1698" w:rsidRDefault="009E3EF3" w:rsidP="001E3161">
            <w:pPr>
              <w:rPr>
                <w:sz w:val="20"/>
                <w:szCs w:val="20"/>
              </w:rPr>
            </w:pPr>
            <w:r w:rsidRPr="00EE1698">
              <w:rPr>
                <w:sz w:val="20"/>
                <w:szCs w:val="20"/>
              </w:rPr>
              <w:t>No</w:t>
            </w:r>
          </w:p>
        </w:tc>
      </w:tr>
      <w:tr w:rsidR="008F1917" w:rsidRPr="00EE1698" w14:paraId="027CAAF9" w14:textId="77777777" w:rsidTr="005849E4">
        <w:trPr>
          <w:trHeight w:val="53"/>
        </w:trPr>
        <w:tc>
          <w:tcPr>
            <w:tcW w:w="327" w:type="pct"/>
            <w:shd w:val="clear" w:color="auto" w:fill="auto"/>
            <w:hideMark/>
          </w:tcPr>
          <w:p w14:paraId="6459ABE7" w14:textId="77777777" w:rsidR="008F1917" w:rsidRPr="00EE1698" w:rsidRDefault="008F1917" w:rsidP="00EE1698">
            <w:pPr>
              <w:jc w:val="center"/>
              <w:rPr>
                <w:sz w:val="20"/>
                <w:szCs w:val="20"/>
              </w:rPr>
            </w:pPr>
            <w:r w:rsidRPr="00EE1698">
              <w:rPr>
                <w:sz w:val="20"/>
                <w:szCs w:val="20"/>
              </w:rPr>
              <w:t>3</w:t>
            </w:r>
          </w:p>
        </w:tc>
        <w:tc>
          <w:tcPr>
            <w:tcW w:w="4143" w:type="pct"/>
            <w:shd w:val="clear" w:color="auto" w:fill="auto"/>
            <w:hideMark/>
          </w:tcPr>
          <w:p w14:paraId="5F24A49E" w14:textId="3E17DED2" w:rsidR="008F1917" w:rsidRPr="00EE1698" w:rsidRDefault="008F1917" w:rsidP="00D52523">
            <w:pPr>
              <w:rPr>
                <w:sz w:val="20"/>
                <w:szCs w:val="20"/>
              </w:rPr>
            </w:pPr>
            <w:r w:rsidRPr="00EE1698">
              <w:rPr>
                <w:sz w:val="20"/>
                <w:szCs w:val="20"/>
              </w:rPr>
              <w:t xml:space="preserve">Current </w:t>
            </w:r>
            <w:r w:rsidR="00BC764F">
              <w:rPr>
                <w:sz w:val="20"/>
                <w:szCs w:val="20"/>
              </w:rPr>
              <w:t>FY</w:t>
            </w:r>
            <w:r w:rsidRPr="00EE1698">
              <w:rPr>
                <w:sz w:val="20"/>
                <w:szCs w:val="20"/>
              </w:rPr>
              <w:t xml:space="preserve">’s budget presented in the same format as the budget proposal. This can be either the revised budget or the estimated outturn. </w:t>
            </w:r>
          </w:p>
        </w:tc>
        <w:tc>
          <w:tcPr>
            <w:tcW w:w="530" w:type="pct"/>
            <w:shd w:val="clear" w:color="auto" w:fill="auto"/>
          </w:tcPr>
          <w:p w14:paraId="1BCC2A3A" w14:textId="77777777" w:rsidR="008F1917" w:rsidRPr="00EE1698" w:rsidRDefault="009E3EF3" w:rsidP="001E3161">
            <w:pPr>
              <w:rPr>
                <w:sz w:val="20"/>
                <w:szCs w:val="20"/>
              </w:rPr>
            </w:pPr>
            <w:r w:rsidRPr="00EE1698">
              <w:rPr>
                <w:sz w:val="20"/>
                <w:szCs w:val="20"/>
              </w:rPr>
              <w:t>No</w:t>
            </w:r>
          </w:p>
        </w:tc>
      </w:tr>
      <w:tr w:rsidR="008F1917" w:rsidRPr="00EE1698" w14:paraId="111E5A0E" w14:textId="77777777" w:rsidTr="005849E4">
        <w:trPr>
          <w:trHeight w:val="773"/>
        </w:trPr>
        <w:tc>
          <w:tcPr>
            <w:tcW w:w="327" w:type="pct"/>
            <w:shd w:val="clear" w:color="auto" w:fill="auto"/>
            <w:hideMark/>
          </w:tcPr>
          <w:p w14:paraId="03B7B2E8" w14:textId="77777777" w:rsidR="008F1917" w:rsidRPr="00EE1698" w:rsidRDefault="008F1917" w:rsidP="00EE1698">
            <w:pPr>
              <w:jc w:val="center"/>
              <w:rPr>
                <w:sz w:val="20"/>
                <w:szCs w:val="20"/>
              </w:rPr>
            </w:pPr>
            <w:r w:rsidRPr="00EE1698">
              <w:rPr>
                <w:sz w:val="20"/>
                <w:szCs w:val="20"/>
              </w:rPr>
              <w:t>4</w:t>
            </w:r>
          </w:p>
        </w:tc>
        <w:tc>
          <w:tcPr>
            <w:tcW w:w="4143" w:type="pct"/>
            <w:shd w:val="clear" w:color="auto" w:fill="auto"/>
            <w:hideMark/>
          </w:tcPr>
          <w:p w14:paraId="39571459" w14:textId="77777777" w:rsidR="008F1917" w:rsidRPr="00EE1698" w:rsidRDefault="008F1917" w:rsidP="00D52523">
            <w:pPr>
              <w:rPr>
                <w:sz w:val="20"/>
                <w:szCs w:val="20"/>
              </w:rPr>
            </w:pPr>
            <w:r w:rsidRPr="00EE1698">
              <w:rPr>
                <w:sz w:val="20"/>
                <w:szCs w:val="20"/>
              </w:rPr>
              <w:t xml:space="preserve">Aggregated budget data for both revenue and expenditure according to the main heads of the classifications used, including data for the current and previous year with a detailed breakdown of revenue and expenditure estimates. (Budget classification is covered in PI-4.) </w:t>
            </w:r>
          </w:p>
        </w:tc>
        <w:tc>
          <w:tcPr>
            <w:tcW w:w="530" w:type="pct"/>
            <w:shd w:val="clear" w:color="auto" w:fill="auto"/>
          </w:tcPr>
          <w:p w14:paraId="5CB46F4A" w14:textId="77777777" w:rsidR="008F1917" w:rsidRPr="00EE1698" w:rsidRDefault="009E3EF3" w:rsidP="001E3161">
            <w:pPr>
              <w:rPr>
                <w:sz w:val="20"/>
                <w:szCs w:val="20"/>
              </w:rPr>
            </w:pPr>
            <w:r w:rsidRPr="00EE1698">
              <w:rPr>
                <w:sz w:val="20"/>
                <w:szCs w:val="20"/>
              </w:rPr>
              <w:t>Yes</w:t>
            </w:r>
          </w:p>
        </w:tc>
      </w:tr>
    </w:tbl>
    <w:p w14:paraId="54717B57" w14:textId="77777777" w:rsidR="008F1917" w:rsidRPr="00890A84" w:rsidRDefault="008F1917" w:rsidP="00D52523"/>
    <w:p w14:paraId="2095918C" w14:textId="104B580B" w:rsidR="008F1917" w:rsidRPr="005849E4" w:rsidRDefault="005C0554" w:rsidP="00EE1698">
      <w:pPr>
        <w:rPr>
          <w:sz w:val="22"/>
        </w:rPr>
      </w:pPr>
      <w:r w:rsidRPr="005849E4">
        <w:rPr>
          <w:sz w:val="22"/>
        </w:rPr>
        <w:t>With regard to</w:t>
      </w:r>
      <w:r w:rsidR="007E117C" w:rsidRPr="005849E4">
        <w:rPr>
          <w:sz w:val="22"/>
        </w:rPr>
        <w:t xml:space="preserve"> additional elements</w:t>
      </w:r>
      <w:r w:rsidRPr="005849E4">
        <w:rPr>
          <w:sz w:val="22"/>
        </w:rPr>
        <w:t>,</w:t>
      </w:r>
      <w:r w:rsidR="007E117C" w:rsidRPr="005849E4">
        <w:rPr>
          <w:sz w:val="22"/>
        </w:rPr>
        <w:t xml:space="preserve"> financial assets, including details at least for the beginning of the current </w:t>
      </w:r>
      <w:r w:rsidR="00BC764F">
        <w:rPr>
          <w:sz w:val="22"/>
        </w:rPr>
        <w:t>FY,</w:t>
      </w:r>
      <w:r w:rsidR="007E117C" w:rsidRPr="005849E4">
        <w:rPr>
          <w:sz w:val="22"/>
        </w:rPr>
        <w:t xml:space="preserve"> are not presented in accordance with GFS or other comparable standard</w:t>
      </w:r>
      <w:r w:rsidRPr="005849E4">
        <w:rPr>
          <w:sz w:val="22"/>
        </w:rPr>
        <w:t>s</w:t>
      </w:r>
      <w:r w:rsidR="007E117C" w:rsidRPr="005849E4">
        <w:rPr>
          <w:sz w:val="22"/>
        </w:rPr>
        <w:t>. Documentation</w:t>
      </w:r>
      <w:r w:rsidRPr="005849E4">
        <w:rPr>
          <w:sz w:val="22"/>
        </w:rPr>
        <w:t>s</w:t>
      </w:r>
      <w:r w:rsidR="007E117C" w:rsidRPr="005849E4">
        <w:rPr>
          <w:sz w:val="22"/>
        </w:rPr>
        <w:t xml:space="preserve"> on the medium-term fiscal forecasts are presented in </w:t>
      </w:r>
      <w:r w:rsidR="00BC764F">
        <w:rPr>
          <w:sz w:val="22"/>
        </w:rPr>
        <w:t xml:space="preserve">the </w:t>
      </w:r>
      <w:r w:rsidR="00514EE0" w:rsidRPr="005849E4">
        <w:rPr>
          <w:sz w:val="22"/>
        </w:rPr>
        <w:t>CSFP</w:t>
      </w:r>
      <w:r w:rsidRPr="005849E4">
        <w:rPr>
          <w:sz w:val="22"/>
        </w:rPr>
        <w:t xml:space="preserve"> and </w:t>
      </w:r>
      <w:r w:rsidR="007E117C" w:rsidRPr="005849E4">
        <w:rPr>
          <w:sz w:val="22"/>
        </w:rPr>
        <w:t>budget estimates.</w:t>
      </w:r>
    </w:p>
    <w:p w14:paraId="75A7574D" w14:textId="4BF53181" w:rsidR="00085824" w:rsidRDefault="00085824" w:rsidP="007929DF">
      <w:pPr>
        <w:pStyle w:val="TableStyle"/>
      </w:pPr>
      <w:bookmarkStart w:id="83" w:name="_Toc532426098"/>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11</w:t>
      </w:r>
      <w:r w:rsidR="008B59A7">
        <w:rPr>
          <w:noProof/>
        </w:rPr>
        <w:fldChar w:fldCharType="end"/>
      </w:r>
      <w:r>
        <w:t>:</w:t>
      </w:r>
      <w:bookmarkEnd w:id="83"/>
      <w:r w:rsidR="0063392B">
        <w:t xml:space="preserve"> Summary of budget documentation additional elements</w:t>
      </w:r>
    </w:p>
    <w:tbl>
      <w:tblPr>
        <w:tblW w:w="4944"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A0" w:firstRow="1" w:lastRow="0" w:firstColumn="1" w:lastColumn="0" w:noHBand="1" w:noVBand="1"/>
      </w:tblPr>
      <w:tblGrid>
        <w:gridCol w:w="616"/>
        <w:gridCol w:w="7790"/>
        <w:gridCol w:w="839"/>
      </w:tblGrid>
      <w:tr w:rsidR="00400265" w:rsidRPr="00EE1698" w14:paraId="76111DAA" w14:textId="77777777" w:rsidTr="005849E4">
        <w:trPr>
          <w:trHeight w:val="255"/>
          <w:tblHeader/>
        </w:trPr>
        <w:tc>
          <w:tcPr>
            <w:tcW w:w="333" w:type="pct"/>
            <w:shd w:val="clear" w:color="auto" w:fill="5B9BD5"/>
            <w:noWrap/>
            <w:hideMark/>
          </w:tcPr>
          <w:p w14:paraId="2A23BBB2" w14:textId="2852AB64" w:rsidR="008F1917" w:rsidRPr="00EE1698" w:rsidRDefault="009E3EF3" w:rsidP="00BC764F">
            <w:pPr>
              <w:jc w:val="center"/>
              <w:rPr>
                <w:b/>
                <w:color w:val="FFFFFF" w:themeColor="background1"/>
                <w:sz w:val="20"/>
                <w:szCs w:val="20"/>
              </w:rPr>
            </w:pPr>
            <w:r w:rsidRPr="00EE1698">
              <w:rPr>
                <w:b/>
                <w:color w:val="FFFFFF" w:themeColor="background1"/>
                <w:sz w:val="20"/>
                <w:szCs w:val="20"/>
              </w:rPr>
              <w:t>N</w:t>
            </w:r>
            <w:r w:rsidR="00EE1698">
              <w:rPr>
                <w:b/>
                <w:color w:val="FFFFFF" w:themeColor="background1"/>
                <w:sz w:val="20"/>
                <w:szCs w:val="20"/>
              </w:rPr>
              <w:t>o.</w:t>
            </w:r>
          </w:p>
        </w:tc>
        <w:tc>
          <w:tcPr>
            <w:tcW w:w="4213" w:type="pct"/>
            <w:shd w:val="clear" w:color="auto" w:fill="5B9BD5"/>
            <w:noWrap/>
            <w:hideMark/>
          </w:tcPr>
          <w:p w14:paraId="37E46565" w14:textId="77777777" w:rsidR="008F1917" w:rsidRPr="00EE1698" w:rsidRDefault="009E3EF3" w:rsidP="00BC764F">
            <w:pPr>
              <w:jc w:val="center"/>
              <w:rPr>
                <w:b/>
                <w:color w:val="FFFFFF" w:themeColor="background1"/>
                <w:sz w:val="20"/>
                <w:szCs w:val="20"/>
              </w:rPr>
            </w:pPr>
            <w:r w:rsidRPr="00EE1698">
              <w:rPr>
                <w:b/>
                <w:color w:val="FFFFFF" w:themeColor="background1"/>
                <w:sz w:val="20"/>
                <w:szCs w:val="20"/>
              </w:rPr>
              <w:t>Additional elements</w:t>
            </w:r>
          </w:p>
        </w:tc>
        <w:tc>
          <w:tcPr>
            <w:tcW w:w="454" w:type="pct"/>
            <w:shd w:val="clear" w:color="auto" w:fill="5B9BD5"/>
            <w:noWrap/>
          </w:tcPr>
          <w:p w14:paraId="5012A357" w14:textId="77777777" w:rsidR="008F1917" w:rsidRPr="00EE1698" w:rsidRDefault="009E3EF3" w:rsidP="00BC764F">
            <w:pPr>
              <w:jc w:val="center"/>
              <w:rPr>
                <w:b/>
                <w:color w:val="FFFFFF" w:themeColor="background1"/>
                <w:sz w:val="20"/>
                <w:szCs w:val="20"/>
              </w:rPr>
            </w:pPr>
            <w:r w:rsidRPr="00EE1698">
              <w:rPr>
                <w:b/>
                <w:color w:val="FFFFFF" w:themeColor="background1"/>
                <w:sz w:val="20"/>
                <w:szCs w:val="20"/>
              </w:rPr>
              <w:t>Criteria</w:t>
            </w:r>
          </w:p>
        </w:tc>
      </w:tr>
      <w:tr w:rsidR="008F1917" w:rsidRPr="00EE1698" w14:paraId="28795A87" w14:textId="77777777" w:rsidTr="005849E4">
        <w:trPr>
          <w:trHeight w:val="125"/>
        </w:trPr>
        <w:tc>
          <w:tcPr>
            <w:tcW w:w="333" w:type="pct"/>
            <w:shd w:val="clear" w:color="auto" w:fill="auto"/>
            <w:hideMark/>
          </w:tcPr>
          <w:p w14:paraId="09ABF387" w14:textId="0685DBFF" w:rsidR="008F1917" w:rsidRPr="00EE1698" w:rsidRDefault="00BC764F" w:rsidP="00EE1698">
            <w:pPr>
              <w:jc w:val="center"/>
              <w:rPr>
                <w:sz w:val="20"/>
                <w:szCs w:val="20"/>
                <w:highlight w:val="yellow"/>
              </w:rPr>
            </w:pPr>
            <w:r>
              <w:rPr>
                <w:sz w:val="20"/>
                <w:szCs w:val="20"/>
              </w:rPr>
              <w:t>1</w:t>
            </w:r>
          </w:p>
        </w:tc>
        <w:tc>
          <w:tcPr>
            <w:tcW w:w="4213" w:type="pct"/>
            <w:shd w:val="clear" w:color="auto" w:fill="auto"/>
            <w:hideMark/>
          </w:tcPr>
          <w:p w14:paraId="24AA43C2" w14:textId="58556FBF" w:rsidR="008F1917" w:rsidRPr="00EE1698" w:rsidRDefault="008F1917" w:rsidP="00D52523">
            <w:pPr>
              <w:rPr>
                <w:sz w:val="20"/>
                <w:szCs w:val="20"/>
              </w:rPr>
            </w:pPr>
            <w:r w:rsidRPr="00EE1698">
              <w:rPr>
                <w:sz w:val="20"/>
                <w:szCs w:val="20"/>
              </w:rPr>
              <w:t>Deficit financing, describing its anticipated composition</w:t>
            </w:r>
          </w:p>
        </w:tc>
        <w:tc>
          <w:tcPr>
            <w:tcW w:w="454" w:type="pct"/>
            <w:shd w:val="clear" w:color="auto" w:fill="auto"/>
          </w:tcPr>
          <w:p w14:paraId="32F6286B" w14:textId="763549C6" w:rsidR="008F1917" w:rsidRPr="00EE1698" w:rsidRDefault="00EB09D7" w:rsidP="001E3161">
            <w:pPr>
              <w:rPr>
                <w:sz w:val="20"/>
                <w:szCs w:val="20"/>
              </w:rPr>
            </w:pPr>
            <w:r>
              <w:rPr>
                <w:sz w:val="20"/>
                <w:szCs w:val="20"/>
              </w:rPr>
              <w:t>N/A</w:t>
            </w:r>
          </w:p>
        </w:tc>
      </w:tr>
      <w:tr w:rsidR="00EE1698" w:rsidRPr="00EE1698" w14:paraId="2F6DEF95" w14:textId="77777777" w:rsidTr="005849E4">
        <w:trPr>
          <w:trHeight w:val="53"/>
        </w:trPr>
        <w:tc>
          <w:tcPr>
            <w:tcW w:w="333" w:type="pct"/>
            <w:shd w:val="clear" w:color="auto" w:fill="auto"/>
            <w:hideMark/>
          </w:tcPr>
          <w:p w14:paraId="5292B5B9" w14:textId="60ACCF5F" w:rsidR="00EE1698" w:rsidRPr="00EE1698" w:rsidRDefault="00BC764F" w:rsidP="00EE1698">
            <w:pPr>
              <w:jc w:val="center"/>
              <w:rPr>
                <w:sz w:val="20"/>
                <w:szCs w:val="20"/>
              </w:rPr>
            </w:pPr>
            <w:r>
              <w:rPr>
                <w:sz w:val="20"/>
                <w:szCs w:val="20"/>
              </w:rPr>
              <w:t>2</w:t>
            </w:r>
          </w:p>
        </w:tc>
        <w:tc>
          <w:tcPr>
            <w:tcW w:w="4213" w:type="pct"/>
            <w:shd w:val="clear" w:color="auto" w:fill="auto"/>
            <w:hideMark/>
          </w:tcPr>
          <w:p w14:paraId="61525B63" w14:textId="609C594F" w:rsidR="00EE1698" w:rsidRPr="00EE1698" w:rsidRDefault="00EE1698" w:rsidP="00EE1698">
            <w:pPr>
              <w:rPr>
                <w:sz w:val="20"/>
                <w:szCs w:val="20"/>
              </w:rPr>
            </w:pPr>
            <w:r w:rsidRPr="00EE1698">
              <w:rPr>
                <w:sz w:val="20"/>
                <w:szCs w:val="20"/>
              </w:rPr>
              <w:t>Macroeconomic assumptions, including at least estimates of GDP growth, inflation, interest rates, and the exchange rate</w:t>
            </w:r>
          </w:p>
        </w:tc>
        <w:tc>
          <w:tcPr>
            <w:tcW w:w="454" w:type="pct"/>
            <w:shd w:val="clear" w:color="auto" w:fill="auto"/>
          </w:tcPr>
          <w:p w14:paraId="2F88D55C" w14:textId="2D62EFEF" w:rsidR="00EE1698" w:rsidRPr="00EE1698" w:rsidRDefault="00EB09D7" w:rsidP="00EE1698">
            <w:pPr>
              <w:rPr>
                <w:sz w:val="20"/>
                <w:szCs w:val="20"/>
              </w:rPr>
            </w:pPr>
            <w:r>
              <w:rPr>
                <w:sz w:val="20"/>
                <w:szCs w:val="20"/>
              </w:rPr>
              <w:t>N/A</w:t>
            </w:r>
          </w:p>
        </w:tc>
      </w:tr>
      <w:tr w:rsidR="00EE1698" w:rsidRPr="00EE1698" w14:paraId="69548C8D" w14:textId="77777777" w:rsidTr="005849E4">
        <w:trPr>
          <w:trHeight w:val="53"/>
        </w:trPr>
        <w:tc>
          <w:tcPr>
            <w:tcW w:w="333" w:type="pct"/>
            <w:shd w:val="clear" w:color="auto" w:fill="auto"/>
            <w:hideMark/>
          </w:tcPr>
          <w:p w14:paraId="278CF3B5" w14:textId="691B17D2" w:rsidR="00EE1698" w:rsidRPr="00EE1698" w:rsidRDefault="00BC764F" w:rsidP="00EE1698">
            <w:pPr>
              <w:jc w:val="center"/>
              <w:rPr>
                <w:sz w:val="20"/>
                <w:szCs w:val="20"/>
              </w:rPr>
            </w:pPr>
            <w:r>
              <w:rPr>
                <w:sz w:val="20"/>
                <w:szCs w:val="20"/>
              </w:rPr>
              <w:t>3</w:t>
            </w:r>
          </w:p>
        </w:tc>
        <w:tc>
          <w:tcPr>
            <w:tcW w:w="4213" w:type="pct"/>
            <w:shd w:val="clear" w:color="auto" w:fill="auto"/>
            <w:hideMark/>
          </w:tcPr>
          <w:p w14:paraId="656E32A8" w14:textId="3E35B58C" w:rsidR="00EE1698" w:rsidRPr="00EE1698" w:rsidRDefault="00EE1698" w:rsidP="00EE1698">
            <w:pPr>
              <w:rPr>
                <w:sz w:val="20"/>
                <w:szCs w:val="20"/>
              </w:rPr>
            </w:pPr>
            <w:r w:rsidRPr="00EE1698">
              <w:rPr>
                <w:sz w:val="20"/>
                <w:szCs w:val="20"/>
              </w:rPr>
              <w:t xml:space="preserve">Debt stock, including details at least for the beginning of the current </w:t>
            </w:r>
            <w:r w:rsidR="00BC764F">
              <w:rPr>
                <w:sz w:val="20"/>
                <w:szCs w:val="20"/>
              </w:rPr>
              <w:t>FY</w:t>
            </w:r>
            <w:r w:rsidRPr="00EE1698">
              <w:rPr>
                <w:sz w:val="20"/>
                <w:szCs w:val="20"/>
              </w:rPr>
              <w:t xml:space="preserve"> presented in accordance with GFS or other comparable standard</w:t>
            </w:r>
          </w:p>
        </w:tc>
        <w:tc>
          <w:tcPr>
            <w:tcW w:w="454" w:type="pct"/>
            <w:shd w:val="clear" w:color="auto" w:fill="auto"/>
          </w:tcPr>
          <w:p w14:paraId="4F9A30F2" w14:textId="2EF22551" w:rsidR="00EE1698" w:rsidRPr="00EE1698" w:rsidRDefault="00EB09D7" w:rsidP="00EE1698">
            <w:pPr>
              <w:rPr>
                <w:sz w:val="20"/>
                <w:szCs w:val="20"/>
              </w:rPr>
            </w:pPr>
            <w:r>
              <w:rPr>
                <w:sz w:val="20"/>
                <w:szCs w:val="20"/>
              </w:rPr>
              <w:t>N/A</w:t>
            </w:r>
          </w:p>
        </w:tc>
      </w:tr>
      <w:tr w:rsidR="008F1917" w:rsidRPr="00EE1698" w14:paraId="69FA1A3B" w14:textId="77777777" w:rsidTr="005849E4">
        <w:trPr>
          <w:trHeight w:val="53"/>
        </w:trPr>
        <w:tc>
          <w:tcPr>
            <w:tcW w:w="333" w:type="pct"/>
            <w:shd w:val="clear" w:color="auto" w:fill="auto"/>
            <w:hideMark/>
          </w:tcPr>
          <w:p w14:paraId="6BA0F8DA" w14:textId="2D8298C6" w:rsidR="008F1917" w:rsidRPr="00EE1698" w:rsidRDefault="00BC764F" w:rsidP="00EE1698">
            <w:pPr>
              <w:jc w:val="center"/>
              <w:rPr>
                <w:sz w:val="20"/>
                <w:szCs w:val="20"/>
              </w:rPr>
            </w:pPr>
            <w:r>
              <w:rPr>
                <w:sz w:val="20"/>
                <w:szCs w:val="20"/>
              </w:rPr>
              <w:t>4</w:t>
            </w:r>
          </w:p>
        </w:tc>
        <w:tc>
          <w:tcPr>
            <w:tcW w:w="4213" w:type="pct"/>
            <w:shd w:val="clear" w:color="auto" w:fill="auto"/>
            <w:hideMark/>
          </w:tcPr>
          <w:p w14:paraId="1977B829" w14:textId="52B532EF" w:rsidR="008F1917" w:rsidRPr="00EE1698" w:rsidRDefault="008F1917" w:rsidP="00D52523">
            <w:pPr>
              <w:rPr>
                <w:sz w:val="20"/>
                <w:szCs w:val="20"/>
              </w:rPr>
            </w:pPr>
            <w:r w:rsidRPr="00EE1698">
              <w:rPr>
                <w:sz w:val="20"/>
                <w:szCs w:val="20"/>
              </w:rPr>
              <w:t xml:space="preserve">Financial assets, including details at least for the beginning of the current </w:t>
            </w:r>
            <w:r w:rsidR="00BC764F">
              <w:rPr>
                <w:sz w:val="20"/>
                <w:szCs w:val="20"/>
              </w:rPr>
              <w:t>FY</w:t>
            </w:r>
            <w:r w:rsidRPr="00EE1698">
              <w:rPr>
                <w:sz w:val="20"/>
                <w:szCs w:val="20"/>
              </w:rPr>
              <w:t xml:space="preserve"> presented in accordance with GFS or other comparable standard</w:t>
            </w:r>
          </w:p>
        </w:tc>
        <w:tc>
          <w:tcPr>
            <w:tcW w:w="454" w:type="pct"/>
            <w:shd w:val="clear" w:color="auto" w:fill="auto"/>
          </w:tcPr>
          <w:p w14:paraId="20E0C534" w14:textId="77777777" w:rsidR="008F1917" w:rsidRPr="00EE1698" w:rsidRDefault="00FB026A" w:rsidP="001E3161">
            <w:pPr>
              <w:rPr>
                <w:sz w:val="20"/>
                <w:szCs w:val="20"/>
              </w:rPr>
            </w:pPr>
            <w:r w:rsidRPr="00EE1698">
              <w:rPr>
                <w:sz w:val="20"/>
                <w:szCs w:val="20"/>
              </w:rPr>
              <w:t>N</w:t>
            </w:r>
            <w:r w:rsidR="00B868D9" w:rsidRPr="00EE1698">
              <w:rPr>
                <w:sz w:val="20"/>
                <w:szCs w:val="20"/>
              </w:rPr>
              <w:t>o</w:t>
            </w:r>
          </w:p>
        </w:tc>
      </w:tr>
      <w:tr w:rsidR="008F1917" w:rsidRPr="00EE1698" w14:paraId="6D83A904" w14:textId="77777777" w:rsidTr="005849E4">
        <w:trPr>
          <w:trHeight w:val="53"/>
        </w:trPr>
        <w:tc>
          <w:tcPr>
            <w:tcW w:w="333" w:type="pct"/>
            <w:shd w:val="clear" w:color="auto" w:fill="auto"/>
            <w:hideMark/>
          </w:tcPr>
          <w:p w14:paraId="3ACD2812" w14:textId="0C6FD86A" w:rsidR="008F1917" w:rsidRPr="00EE1698" w:rsidRDefault="00BC764F" w:rsidP="00EE1698">
            <w:pPr>
              <w:jc w:val="center"/>
              <w:rPr>
                <w:sz w:val="20"/>
                <w:szCs w:val="20"/>
              </w:rPr>
            </w:pPr>
            <w:r>
              <w:rPr>
                <w:sz w:val="20"/>
                <w:szCs w:val="20"/>
              </w:rPr>
              <w:t>5</w:t>
            </w:r>
          </w:p>
        </w:tc>
        <w:tc>
          <w:tcPr>
            <w:tcW w:w="4213" w:type="pct"/>
            <w:shd w:val="clear" w:color="auto" w:fill="auto"/>
            <w:hideMark/>
          </w:tcPr>
          <w:p w14:paraId="6B86FDD3" w14:textId="5786DD0F" w:rsidR="008F1917" w:rsidRPr="00EE1698" w:rsidRDefault="008F1917" w:rsidP="00D52523">
            <w:pPr>
              <w:rPr>
                <w:sz w:val="20"/>
                <w:szCs w:val="20"/>
              </w:rPr>
            </w:pPr>
            <w:r w:rsidRPr="00EE1698">
              <w:rPr>
                <w:sz w:val="20"/>
                <w:szCs w:val="20"/>
              </w:rPr>
              <w:t>Summary information of fiscal risks, including contingent liabilities such as guarantees, and contingent obligations embedded in structure financing instruments such as public-private partnership contracts and so on</w:t>
            </w:r>
          </w:p>
        </w:tc>
        <w:tc>
          <w:tcPr>
            <w:tcW w:w="454" w:type="pct"/>
            <w:shd w:val="clear" w:color="auto" w:fill="auto"/>
          </w:tcPr>
          <w:p w14:paraId="34C465D7" w14:textId="77777777" w:rsidR="008F1917" w:rsidRPr="00EE1698" w:rsidRDefault="00FB026A" w:rsidP="001E3161">
            <w:pPr>
              <w:rPr>
                <w:sz w:val="20"/>
                <w:szCs w:val="20"/>
              </w:rPr>
            </w:pPr>
            <w:r w:rsidRPr="00EE1698">
              <w:rPr>
                <w:sz w:val="20"/>
                <w:szCs w:val="20"/>
              </w:rPr>
              <w:t>N</w:t>
            </w:r>
            <w:r w:rsidR="00B868D9" w:rsidRPr="00EE1698">
              <w:rPr>
                <w:sz w:val="20"/>
                <w:szCs w:val="20"/>
              </w:rPr>
              <w:t>o</w:t>
            </w:r>
          </w:p>
        </w:tc>
      </w:tr>
      <w:tr w:rsidR="008F1917" w:rsidRPr="00EE1698" w14:paraId="1E359E78" w14:textId="77777777" w:rsidTr="005849E4">
        <w:trPr>
          <w:trHeight w:val="170"/>
        </w:trPr>
        <w:tc>
          <w:tcPr>
            <w:tcW w:w="333" w:type="pct"/>
            <w:shd w:val="clear" w:color="auto" w:fill="auto"/>
            <w:hideMark/>
          </w:tcPr>
          <w:p w14:paraId="6EF7FC55" w14:textId="6BDB63EF" w:rsidR="008F1917" w:rsidRPr="00EE1698" w:rsidRDefault="00BC764F" w:rsidP="00EE1698">
            <w:pPr>
              <w:jc w:val="center"/>
              <w:rPr>
                <w:sz w:val="20"/>
                <w:szCs w:val="20"/>
              </w:rPr>
            </w:pPr>
            <w:r>
              <w:rPr>
                <w:sz w:val="20"/>
                <w:szCs w:val="20"/>
              </w:rPr>
              <w:t>6</w:t>
            </w:r>
          </w:p>
        </w:tc>
        <w:tc>
          <w:tcPr>
            <w:tcW w:w="4213" w:type="pct"/>
            <w:shd w:val="clear" w:color="auto" w:fill="auto"/>
            <w:hideMark/>
          </w:tcPr>
          <w:p w14:paraId="3A9828B6" w14:textId="5A95BFB5" w:rsidR="008F1917" w:rsidRPr="00EE1698" w:rsidRDefault="008F1917" w:rsidP="00D52523">
            <w:pPr>
              <w:rPr>
                <w:sz w:val="20"/>
                <w:szCs w:val="20"/>
              </w:rPr>
            </w:pPr>
            <w:r w:rsidRPr="00EE1698">
              <w:rPr>
                <w:sz w:val="20"/>
                <w:szCs w:val="20"/>
              </w:rPr>
              <w:t>Explanation of budget implications of new policy initiatives and major new public investments, with estimates of the budgetary impact of all major revenue policy changes and/or major changes to expenditure programs</w:t>
            </w:r>
          </w:p>
        </w:tc>
        <w:tc>
          <w:tcPr>
            <w:tcW w:w="454" w:type="pct"/>
            <w:shd w:val="clear" w:color="auto" w:fill="auto"/>
          </w:tcPr>
          <w:p w14:paraId="7A5EB43E" w14:textId="77777777" w:rsidR="008F1917" w:rsidRPr="00EE1698" w:rsidRDefault="009E3EF3" w:rsidP="001E3161">
            <w:pPr>
              <w:rPr>
                <w:sz w:val="20"/>
                <w:szCs w:val="20"/>
              </w:rPr>
            </w:pPr>
            <w:r w:rsidRPr="00EE1698">
              <w:rPr>
                <w:sz w:val="20"/>
                <w:szCs w:val="20"/>
              </w:rPr>
              <w:t>No</w:t>
            </w:r>
          </w:p>
        </w:tc>
      </w:tr>
      <w:tr w:rsidR="008F1917" w:rsidRPr="00EE1698" w14:paraId="6FF6DBE1" w14:textId="77777777" w:rsidTr="005849E4">
        <w:trPr>
          <w:trHeight w:val="53"/>
        </w:trPr>
        <w:tc>
          <w:tcPr>
            <w:tcW w:w="333" w:type="pct"/>
            <w:shd w:val="clear" w:color="auto" w:fill="auto"/>
            <w:hideMark/>
          </w:tcPr>
          <w:p w14:paraId="0A0D2376" w14:textId="3DE87492" w:rsidR="008F1917" w:rsidRPr="00EE1698" w:rsidRDefault="00BC764F" w:rsidP="00EE1698">
            <w:pPr>
              <w:jc w:val="center"/>
              <w:rPr>
                <w:sz w:val="20"/>
                <w:szCs w:val="20"/>
              </w:rPr>
            </w:pPr>
            <w:r>
              <w:rPr>
                <w:sz w:val="20"/>
                <w:szCs w:val="20"/>
              </w:rPr>
              <w:t>7</w:t>
            </w:r>
          </w:p>
        </w:tc>
        <w:tc>
          <w:tcPr>
            <w:tcW w:w="4213" w:type="pct"/>
            <w:shd w:val="clear" w:color="auto" w:fill="auto"/>
            <w:hideMark/>
          </w:tcPr>
          <w:p w14:paraId="35160C62" w14:textId="19CCDB82" w:rsidR="008F1917" w:rsidRPr="00EE1698" w:rsidRDefault="008F1917" w:rsidP="00D52523">
            <w:pPr>
              <w:rPr>
                <w:sz w:val="20"/>
                <w:szCs w:val="20"/>
              </w:rPr>
            </w:pPr>
            <w:r w:rsidRPr="00EE1698">
              <w:rPr>
                <w:sz w:val="20"/>
                <w:szCs w:val="20"/>
              </w:rPr>
              <w:t>Documentation on the medium-term fiscal forecasts</w:t>
            </w:r>
          </w:p>
        </w:tc>
        <w:tc>
          <w:tcPr>
            <w:tcW w:w="454" w:type="pct"/>
            <w:shd w:val="clear" w:color="auto" w:fill="auto"/>
          </w:tcPr>
          <w:p w14:paraId="29E5CD04" w14:textId="77777777" w:rsidR="008F1917" w:rsidRPr="00EE1698" w:rsidRDefault="009E3EF3" w:rsidP="001E3161">
            <w:pPr>
              <w:rPr>
                <w:sz w:val="20"/>
                <w:szCs w:val="20"/>
              </w:rPr>
            </w:pPr>
            <w:r w:rsidRPr="00EE1698">
              <w:rPr>
                <w:sz w:val="20"/>
                <w:szCs w:val="20"/>
              </w:rPr>
              <w:t>Yes</w:t>
            </w:r>
          </w:p>
        </w:tc>
      </w:tr>
      <w:tr w:rsidR="008F1917" w:rsidRPr="00EE1698" w14:paraId="5B8E70F4" w14:textId="77777777" w:rsidTr="005849E4">
        <w:trPr>
          <w:trHeight w:val="53"/>
        </w:trPr>
        <w:tc>
          <w:tcPr>
            <w:tcW w:w="333" w:type="pct"/>
            <w:shd w:val="clear" w:color="auto" w:fill="auto"/>
            <w:hideMark/>
          </w:tcPr>
          <w:p w14:paraId="6C5E473D" w14:textId="630DD53A" w:rsidR="008F1917" w:rsidRPr="00EE1698" w:rsidRDefault="00BC764F" w:rsidP="00EE1698">
            <w:pPr>
              <w:jc w:val="center"/>
              <w:rPr>
                <w:sz w:val="20"/>
                <w:szCs w:val="20"/>
              </w:rPr>
            </w:pPr>
            <w:r>
              <w:rPr>
                <w:sz w:val="20"/>
                <w:szCs w:val="20"/>
              </w:rPr>
              <w:t>8</w:t>
            </w:r>
          </w:p>
        </w:tc>
        <w:tc>
          <w:tcPr>
            <w:tcW w:w="4213" w:type="pct"/>
            <w:shd w:val="clear" w:color="auto" w:fill="auto"/>
            <w:hideMark/>
          </w:tcPr>
          <w:p w14:paraId="77DFDCC7" w14:textId="24BA0B75" w:rsidR="008F1917" w:rsidRPr="00EE1698" w:rsidRDefault="008F1917" w:rsidP="00D52523">
            <w:pPr>
              <w:rPr>
                <w:sz w:val="20"/>
                <w:szCs w:val="20"/>
              </w:rPr>
            </w:pPr>
            <w:r w:rsidRPr="00EE1698">
              <w:rPr>
                <w:sz w:val="20"/>
                <w:szCs w:val="20"/>
              </w:rPr>
              <w:t>Quantification of tax expenditures</w:t>
            </w:r>
          </w:p>
        </w:tc>
        <w:tc>
          <w:tcPr>
            <w:tcW w:w="454" w:type="pct"/>
            <w:shd w:val="clear" w:color="auto" w:fill="auto"/>
          </w:tcPr>
          <w:p w14:paraId="6225B49A" w14:textId="62D31346" w:rsidR="008F1917" w:rsidRPr="00EE1698" w:rsidRDefault="00EB09D7" w:rsidP="001E3161">
            <w:pPr>
              <w:rPr>
                <w:sz w:val="20"/>
                <w:szCs w:val="20"/>
              </w:rPr>
            </w:pPr>
            <w:r>
              <w:rPr>
                <w:sz w:val="20"/>
                <w:szCs w:val="20"/>
              </w:rPr>
              <w:t>N/A</w:t>
            </w:r>
          </w:p>
        </w:tc>
      </w:tr>
    </w:tbl>
    <w:p w14:paraId="029027E5" w14:textId="77777777" w:rsidR="008F1917" w:rsidRPr="00890A84" w:rsidRDefault="008F1917" w:rsidP="00D52523"/>
    <w:p w14:paraId="609503E5" w14:textId="76D56306" w:rsidR="00E56226" w:rsidRPr="005849E4" w:rsidRDefault="008F1917" w:rsidP="00EE1698">
      <w:pPr>
        <w:spacing w:after="240"/>
        <w:rPr>
          <w:sz w:val="22"/>
        </w:rPr>
      </w:pPr>
      <w:r w:rsidRPr="005849E4">
        <w:rPr>
          <w:sz w:val="22"/>
        </w:rPr>
        <w:t>Forecast of fiscal deficit or surplus or accrual operating results</w:t>
      </w:r>
      <w:r w:rsidR="00BC764F">
        <w:rPr>
          <w:sz w:val="22"/>
        </w:rPr>
        <w:t xml:space="preserve"> and</w:t>
      </w:r>
      <w:r w:rsidRPr="005849E4">
        <w:rPr>
          <w:sz w:val="22"/>
        </w:rPr>
        <w:t xml:space="preserve"> macroeconomic assumptions are captured in the </w:t>
      </w:r>
      <w:r w:rsidR="00514EE0" w:rsidRPr="005849E4">
        <w:rPr>
          <w:sz w:val="22"/>
        </w:rPr>
        <w:t>CSFP</w:t>
      </w:r>
      <w:r w:rsidRPr="005849E4">
        <w:rPr>
          <w:sz w:val="22"/>
        </w:rPr>
        <w:t>. The</w:t>
      </w:r>
      <w:r w:rsidR="005C0554" w:rsidRPr="005849E4">
        <w:rPr>
          <w:sz w:val="22"/>
        </w:rPr>
        <w:t xml:space="preserve"> county adopts</w:t>
      </w:r>
      <w:r w:rsidRPr="005849E4">
        <w:rPr>
          <w:sz w:val="22"/>
        </w:rPr>
        <w:t xml:space="preserve"> macro-framework </w:t>
      </w:r>
      <w:r w:rsidR="005C0554" w:rsidRPr="005849E4">
        <w:rPr>
          <w:sz w:val="22"/>
        </w:rPr>
        <w:t xml:space="preserve">of the </w:t>
      </w:r>
      <w:r w:rsidR="00BC764F">
        <w:rPr>
          <w:sz w:val="22"/>
        </w:rPr>
        <w:t>n</w:t>
      </w:r>
      <w:r w:rsidR="00607B97" w:rsidRPr="005849E4">
        <w:rPr>
          <w:sz w:val="22"/>
        </w:rPr>
        <w:t xml:space="preserve">ational </w:t>
      </w:r>
      <w:r w:rsidR="00BC764F">
        <w:rPr>
          <w:sz w:val="22"/>
        </w:rPr>
        <w:t>g</w:t>
      </w:r>
      <w:r w:rsidR="00607B97" w:rsidRPr="005849E4">
        <w:rPr>
          <w:sz w:val="22"/>
        </w:rPr>
        <w:t>overnment</w:t>
      </w:r>
      <w:r w:rsidRPr="005849E4">
        <w:rPr>
          <w:sz w:val="22"/>
        </w:rPr>
        <w:t xml:space="preserve">. The </w:t>
      </w:r>
      <w:r w:rsidR="00514EE0" w:rsidRPr="005849E4">
        <w:rPr>
          <w:sz w:val="22"/>
        </w:rPr>
        <w:t>CSFP</w:t>
      </w:r>
      <w:r w:rsidRPr="005849E4">
        <w:rPr>
          <w:sz w:val="22"/>
        </w:rPr>
        <w:t xml:space="preserve"> also presents the </w:t>
      </w:r>
      <w:r w:rsidR="001D7E75" w:rsidRPr="005849E4">
        <w:rPr>
          <w:sz w:val="22"/>
        </w:rPr>
        <w:t>medium-term</w:t>
      </w:r>
      <w:r w:rsidRPr="005849E4">
        <w:rPr>
          <w:sz w:val="22"/>
        </w:rPr>
        <w:t xml:space="preserve"> framework covering two outer years. The county operates on a balanced budget principle and therefore anticipates </w:t>
      </w:r>
      <w:r w:rsidR="005C0554" w:rsidRPr="005849E4">
        <w:rPr>
          <w:sz w:val="22"/>
        </w:rPr>
        <w:t>no</w:t>
      </w:r>
      <w:r w:rsidRPr="005849E4">
        <w:rPr>
          <w:sz w:val="22"/>
        </w:rPr>
        <w:t xml:space="preserve"> deficit</w:t>
      </w:r>
      <w:r w:rsidR="00BC764F">
        <w:rPr>
          <w:sz w:val="22"/>
        </w:rPr>
        <w:t xml:space="preserve"> or </w:t>
      </w:r>
      <w:r w:rsidRPr="005849E4">
        <w:rPr>
          <w:sz w:val="22"/>
        </w:rPr>
        <w:t>surplus</w:t>
      </w:r>
      <w:r w:rsidR="005C0554" w:rsidRPr="005849E4">
        <w:rPr>
          <w:sz w:val="22"/>
        </w:rPr>
        <w:t xml:space="preserve">. </w:t>
      </w:r>
      <w:r w:rsidRPr="005849E4">
        <w:rPr>
          <w:sz w:val="22"/>
        </w:rPr>
        <w:t>The summary of fiscal risks has not been undertaken</w:t>
      </w:r>
      <w:r w:rsidR="00BC764F">
        <w:rPr>
          <w:sz w:val="22"/>
        </w:rPr>
        <w:t>;</w:t>
      </w:r>
      <w:r w:rsidRPr="005849E4">
        <w:rPr>
          <w:sz w:val="22"/>
        </w:rPr>
        <w:t xml:space="preserve"> therefore</w:t>
      </w:r>
      <w:r w:rsidR="00BC764F">
        <w:rPr>
          <w:sz w:val="22"/>
        </w:rPr>
        <w:t>,</w:t>
      </w:r>
      <w:r w:rsidRPr="005849E4">
        <w:rPr>
          <w:sz w:val="22"/>
        </w:rPr>
        <w:t xml:space="preserve"> contingent liabilities such as guarantees and contingent obligations have not been identified. The county does not have a summary of the debt stock nor a debt management strategy</w:t>
      </w:r>
      <w:r w:rsidR="004B6441">
        <w:rPr>
          <w:sz w:val="22"/>
        </w:rPr>
        <w:t xml:space="preserve"> (DMS)</w:t>
      </w:r>
      <w:r w:rsidR="00FB026A" w:rsidRPr="005849E4">
        <w:rPr>
          <w:sz w:val="22"/>
        </w:rPr>
        <w:t xml:space="preserve"> because it did not borrow</w:t>
      </w:r>
      <w:r w:rsidRPr="005849E4">
        <w:rPr>
          <w:sz w:val="22"/>
        </w:rPr>
        <w:t xml:space="preserve">. </w:t>
      </w:r>
    </w:p>
    <w:p w14:paraId="1A459739" w14:textId="085E4827" w:rsidR="00776E84" w:rsidRPr="005849E4" w:rsidRDefault="00035673" w:rsidP="00EE1698">
      <w:pPr>
        <w:spacing w:after="240"/>
        <w:rPr>
          <w:sz w:val="22"/>
        </w:rPr>
      </w:pPr>
      <w:r w:rsidRPr="005849E4">
        <w:rPr>
          <w:sz w:val="22"/>
        </w:rPr>
        <w:t>In summary,</w:t>
      </w:r>
      <w:r w:rsidR="005C0554" w:rsidRPr="005849E4">
        <w:rPr>
          <w:sz w:val="22"/>
        </w:rPr>
        <w:t xml:space="preserve"> </w:t>
      </w:r>
      <w:r w:rsidR="00FB026A" w:rsidRPr="005849E4">
        <w:rPr>
          <w:sz w:val="22"/>
        </w:rPr>
        <w:t xml:space="preserve">the county </w:t>
      </w:r>
      <w:r w:rsidR="005C0554" w:rsidRPr="005849E4">
        <w:rPr>
          <w:sz w:val="22"/>
        </w:rPr>
        <w:t>meets</w:t>
      </w:r>
      <w:r w:rsidR="007E117C" w:rsidRPr="005849E4">
        <w:rPr>
          <w:sz w:val="22"/>
        </w:rPr>
        <w:t xml:space="preserve"> two basic elements and one additional element. </w:t>
      </w:r>
    </w:p>
    <w:p w14:paraId="7C3F5F67" w14:textId="7344CF4B" w:rsidR="00776E84" w:rsidRPr="005849E4" w:rsidRDefault="00776E84" w:rsidP="00EE1698">
      <w:pPr>
        <w:spacing w:after="240"/>
        <w:rPr>
          <w:b/>
          <w:sz w:val="22"/>
        </w:rPr>
      </w:pPr>
      <w:r w:rsidRPr="005849E4">
        <w:rPr>
          <w:b/>
          <w:sz w:val="22"/>
        </w:rPr>
        <w:t>Dimension rating = D</w:t>
      </w:r>
    </w:p>
    <w:p w14:paraId="25BB69B1" w14:textId="77777777" w:rsidR="00BB1084" w:rsidRPr="00890A84" w:rsidRDefault="00BB1084" w:rsidP="00590C8E">
      <w:pPr>
        <w:pStyle w:val="Heading4"/>
      </w:pPr>
      <w:r w:rsidRPr="00890A84">
        <w:t>PI-</w:t>
      </w:r>
      <w:r w:rsidR="008876BE" w:rsidRPr="00890A84">
        <w:t>6. County</w:t>
      </w:r>
      <w:r w:rsidR="005C6920" w:rsidRPr="00890A84">
        <w:t xml:space="preserve"> government</w:t>
      </w:r>
      <w:r w:rsidRPr="00890A84">
        <w:t xml:space="preserve"> operations outside financial reports</w:t>
      </w:r>
    </w:p>
    <w:p w14:paraId="43C79A89" w14:textId="77777777" w:rsidR="003E5B0C" w:rsidRPr="00890A84" w:rsidRDefault="003E5B0C" w:rsidP="00BA6B2B">
      <w:pPr>
        <w:pStyle w:val="Heading5"/>
      </w:pPr>
      <w:r>
        <w:t>Summary of scores and performance table</w:t>
      </w:r>
    </w:p>
    <w:tbl>
      <w:tblPr>
        <w:tblW w:w="954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3969"/>
        <w:gridCol w:w="567"/>
        <w:gridCol w:w="5004"/>
      </w:tblGrid>
      <w:tr w:rsidR="003E5B0C" w:rsidRPr="00EE1698" w14:paraId="14C78DD1" w14:textId="77777777" w:rsidTr="006E7B98">
        <w:trPr>
          <w:trHeight w:val="548"/>
          <w:tblHeader/>
        </w:trPr>
        <w:tc>
          <w:tcPr>
            <w:tcW w:w="3969" w:type="dxa"/>
            <w:shd w:val="clear" w:color="auto" w:fill="5B9BD5"/>
          </w:tcPr>
          <w:p w14:paraId="5B8047D8" w14:textId="198CBFF1" w:rsidR="003E5B0C" w:rsidRPr="00EE1698" w:rsidRDefault="003E5B0C" w:rsidP="00BC764F">
            <w:pPr>
              <w:jc w:val="center"/>
              <w:rPr>
                <w:b/>
                <w:color w:val="FFFFFF" w:themeColor="background1"/>
                <w:sz w:val="20"/>
                <w:szCs w:val="20"/>
              </w:rPr>
            </w:pPr>
            <w:r w:rsidRPr="00EE1698">
              <w:rPr>
                <w:b/>
                <w:color w:val="FFFFFF" w:themeColor="background1"/>
                <w:sz w:val="20"/>
                <w:szCs w:val="20"/>
              </w:rPr>
              <w:t>PI-6</w:t>
            </w:r>
            <w:r w:rsidR="00BC764F">
              <w:rPr>
                <w:b/>
                <w:color w:val="FFFFFF" w:themeColor="background1"/>
                <w:sz w:val="20"/>
                <w:szCs w:val="20"/>
              </w:rPr>
              <w:t>.</w:t>
            </w:r>
            <w:r w:rsidRPr="00EE1698">
              <w:rPr>
                <w:b/>
                <w:color w:val="FFFFFF" w:themeColor="background1"/>
                <w:sz w:val="20"/>
                <w:szCs w:val="20"/>
              </w:rPr>
              <w:t xml:space="preserve"> County government operations outside financial reports (M2)</w:t>
            </w:r>
          </w:p>
        </w:tc>
        <w:tc>
          <w:tcPr>
            <w:tcW w:w="567" w:type="dxa"/>
            <w:shd w:val="clear" w:color="auto" w:fill="5B9BD5"/>
          </w:tcPr>
          <w:p w14:paraId="63510DA5" w14:textId="77777777" w:rsidR="003E5B0C" w:rsidRPr="00EE1698" w:rsidRDefault="003E5B0C" w:rsidP="00BC764F">
            <w:pPr>
              <w:jc w:val="center"/>
              <w:rPr>
                <w:b/>
                <w:color w:val="FFFFFF" w:themeColor="background1"/>
                <w:sz w:val="20"/>
                <w:szCs w:val="20"/>
              </w:rPr>
            </w:pPr>
            <w:r w:rsidRPr="00EE1698">
              <w:rPr>
                <w:b/>
                <w:color w:val="FFFFFF" w:themeColor="background1"/>
                <w:sz w:val="20"/>
                <w:szCs w:val="20"/>
              </w:rPr>
              <w:t>D</w:t>
            </w:r>
          </w:p>
        </w:tc>
        <w:tc>
          <w:tcPr>
            <w:tcW w:w="5004" w:type="dxa"/>
            <w:shd w:val="clear" w:color="auto" w:fill="5B9BD5"/>
          </w:tcPr>
          <w:p w14:paraId="37856D86" w14:textId="77777777" w:rsidR="003E5B0C" w:rsidRPr="00EE1698" w:rsidRDefault="003E5B0C" w:rsidP="00BC764F">
            <w:pPr>
              <w:jc w:val="center"/>
              <w:rPr>
                <w:b/>
                <w:color w:val="FFFFFF" w:themeColor="background1"/>
                <w:sz w:val="20"/>
                <w:szCs w:val="20"/>
              </w:rPr>
            </w:pPr>
            <w:r w:rsidRPr="00EE1698">
              <w:rPr>
                <w:b/>
                <w:color w:val="FFFFFF" w:themeColor="background1"/>
                <w:sz w:val="20"/>
                <w:szCs w:val="20"/>
              </w:rPr>
              <w:t>Brief justification for score</w:t>
            </w:r>
          </w:p>
        </w:tc>
      </w:tr>
      <w:tr w:rsidR="003E5B0C" w:rsidRPr="00EE1698" w14:paraId="36A72047" w14:textId="77777777" w:rsidTr="006E7B98">
        <w:trPr>
          <w:trHeight w:val="305"/>
          <w:tblHeader/>
        </w:trPr>
        <w:tc>
          <w:tcPr>
            <w:tcW w:w="3969" w:type="dxa"/>
            <w:shd w:val="clear" w:color="auto" w:fill="auto"/>
          </w:tcPr>
          <w:p w14:paraId="46984020" w14:textId="77777777" w:rsidR="003E5B0C" w:rsidRPr="00EE1698" w:rsidRDefault="003E5B0C" w:rsidP="003A5747">
            <w:pPr>
              <w:rPr>
                <w:sz w:val="20"/>
                <w:szCs w:val="20"/>
              </w:rPr>
            </w:pPr>
            <w:r w:rsidRPr="00EE1698">
              <w:rPr>
                <w:sz w:val="20"/>
                <w:szCs w:val="20"/>
              </w:rPr>
              <w:t xml:space="preserve">6.1 Expenditure outside financial reports </w:t>
            </w:r>
          </w:p>
        </w:tc>
        <w:tc>
          <w:tcPr>
            <w:tcW w:w="567" w:type="dxa"/>
            <w:shd w:val="clear" w:color="auto" w:fill="auto"/>
          </w:tcPr>
          <w:p w14:paraId="59E0E41D" w14:textId="77777777" w:rsidR="003E5B0C" w:rsidRPr="00EE1698" w:rsidRDefault="003E5B0C" w:rsidP="00BC764F">
            <w:pPr>
              <w:jc w:val="center"/>
              <w:rPr>
                <w:sz w:val="20"/>
                <w:szCs w:val="20"/>
              </w:rPr>
            </w:pPr>
            <w:r w:rsidRPr="00EE1698">
              <w:rPr>
                <w:sz w:val="20"/>
                <w:szCs w:val="20"/>
              </w:rPr>
              <w:t>D*</w:t>
            </w:r>
          </w:p>
        </w:tc>
        <w:tc>
          <w:tcPr>
            <w:tcW w:w="5004" w:type="dxa"/>
            <w:shd w:val="clear" w:color="auto" w:fill="auto"/>
          </w:tcPr>
          <w:p w14:paraId="239C1A3B" w14:textId="31D162AA" w:rsidR="003E5B0C" w:rsidRPr="00EE1698" w:rsidRDefault="003E5B0C" w:rsidP="003A5747">
            <w:pPr>
              <w:rPr>
                <w:i/>
                <w:sz w:val="20"/>
                <w:szCs w:val="20"/>
                <w:u w:val="words"/>
              </w:rPr>
            </w:pPr>
            <w:r w:rsidRPr="00EE1698">
              <w:rPr>
                <w:sz w:val="20"/>
                <w:szCs w:val="20"/>
              </w:rPr>
              <w:t>Data required for scoring the component was not avail</w:t>
            </w:r>
            <w:r w:rsidR="005B0A9A">
              <w:rPr>
                <w:sz w:val="20"/>
                <w:szCs w:val="20"/>
              </w:rPr>
              <w:t>able</w:t>
            </w:r>
            <w:r w:rsidRPr="00EE1698">
              <w:rPr>
                <w:sz w:val="20"/>
                <w:szCs w:val="20"/>
              </w:rPr>
              <w:t>.</w:t>
            </w:r>
          </w:p>
        </w:tc>
      </w:tr>
      <w:tr w:rsidR="003E5B0C" w:rsidRPr="00EE1698" w14:paraId="10979E17" w14:textId="77777777" w:rsidTr="006E7B98">
        <w:trPr>
          <w:trHeight w:val="116"/>
          <w:tblHeader/>
        </w:trPr>
        <w:tc>
          <w:tcPr>
            <w:tcW w:w="3969" w:type="dxa"/>
            <w:shd w:val="clear" w:color="auto" w:fill="auto"/>
          </w:tcPr>
          <w:p w14:paraId="448E0B46" w14:textId="77777777" w:rsidR="003E5B0C" w:rsidRPr="00EE1698" w:rsidRDefault="003E5B0C" w:rsidP="003A5747">
            <w:pPr>
              <w:rPr>
                <w:sz w:val="20"/>
                <w:szCs w:val="20"/>
              </w:rPr>
            </w:pPr>
            <w:r w:rsidRPr="00EE1698">
              <w:rPr>
                <w:sz w:val="20"/>
                <w:szCs w:val="20"/>
              </w:rPr>
              <w:t xml:space="preserve">6.2 Revenue outside financial reports </w:t>
            </w:r>
          </w:p>
        </w:tc>
        <w:tc>
          <w:tcPr>
            <w:tcW w:w="567" w:type="dxa"/>
            <w:shd w:val="clear" w:color="auto" w:fill="auto"/>
          </w:tcPr>
          <w:p w14:paraId="18536136" w14:textId="77777777" w:rsidR="003E5B0C" w:rsidRPr="00EE1698" w:rsidRDefault="003E5B0C" w:rsidP="00BC764F">
            <w:pPr>
              <w:jc w:val="center"/>
              <w:rPr>
                <w:sz w:val="20"/>
                <w:szCs w:val="20"/>
              </w:rPr>
            </w:pPr>
            <w:r w:rsidRPr="00EE1698">
              <w:rPr>
                <w:sz w:val="20"/>
                <w:szCs w:val="20"/>
              </w:rPr>
              <w:t>D*</w:t>
            </w:r>
          </w:p>
        </w:tc>
        <w:tc>
          <w:tcPr>
            <w:tcW w:w="5004" w:type="dxa"/>
            <w:shd w:val="clear" w:color="auto" w:fill="auto"/>
          </w:tcPr>
          <w:p w14:paraId="51C513DB" w14:textId="48C2D552" w:rsidR="003E5B0C" w:rsidRPr="00EE1698" w:rsidRDefault="003E5B0C" w:rsidP="003A5747">
            <w:pPr>
              <w:rPr>
                <w:i/>
                <w:sz w:val="20"/>
                <w:szCs w:val="20"/>
                <w:u w:val="words"/>
              </w:rPr>
            </w:pPr>
            <w:r w:rsidRPr="00EE1698">
              <w:rPr>
                <w:sz w:val="20"/>
                <w:szCs w:val="20"/>
              </w:rPr>
              <w:t>Data required for scoring the component was not avail</w:t>
            </w:r>
            <w:r w:rsidR="005B0A9A">
              <w:rPr>
                <w:sz w:val="20"/>
                <w:szCs w:val="20"/>
              </w:rPr>
              <w:t>able</w:t>
            </w:r>
            <w:r w:rsidRPr="00EE1698">
              <w:rPr>
                <w:sz w:val="20"/>
                <w:szCs w:val="20"/>
              </w:rPr>
              <w:t>.</w:t>
            </w:r>
          </w:p>
        </w:tc>
      </w:tr>
      <w:tr w:rsidR="003E5B0C" w:rsidRPr="00EE1698" w14:paraId="41BD1B89" w14:textId="77777777" w:rsidTr="006E7B98">
        <w:trPr>
          <w:trHeight w:val="53"/>
          <w:tblHeader/>
        </w:trPr>
        <w:tc>
          <w:tcPr>
            <w:tcW w:w="3969" w:type="dxa"/>
            <w:shd w:val="clear" w:color="auto" w:fill="auto"/>
          </w:tcPr>
          <w:p w14:paraId="2398908E" w14:textId="757E8227" w:rsidR="003E5B0C" w:rsidRPr="00EE1698" w:rsidRDefault="003E5B0C" w:rsidP="003A5747">
            <w:pPr>
              <w:rPr>
                <w:sz w:val="20"/>
                <w:szCs w:val="20"/>
              </w:rPr>
            </w:pPr>
            <w:r w:rsidRPr="00EE1698">
              <w:rPr>
                <w:sz w:val="20"/>
                <w:szCs w:val="20"/>
              </w:rPr>
              <w:t xml:space="preserve">6.3 Financial reports of </w:t>
            </w:r>
            <w:r w:rsidRPr="000A7E03">
              <w:rPr>
                <w:sz w:val="20"/>
                <w:szCs w:val="20"/>
              </w:rPr>
              <w:t>extra</w:t>
            </w:r>
            <w:r w:rsidR="000A7E03">
              <w:rPr>
                <w:sz w:val="20"/>
                <w:szCs w:val="20"/>
              </w:rPr>
              <w:t xml:space="preserve"> </w:t>
            </w:r>
            <w:r w:rsidRPr="000A7E03">
              <w:rPr>
                <w:sz w:val="20"/>
                <w:szCs w:val="20"/>
              </w:rPr>
              <w:t>budgetary</w:t>
            </w:r>
            <w:r w:rsidRPr="00EE1698">
              <w:rPr>
                <w:sz w:val="20"/>
                <w:szCs w:val="20"/>
              </w:rPr>
              <w:t xml:space="preserve"> units </w:t>
            </w:r>
          </w:p>
        </w:tc>
        <w:tc>
          <w:tcPr>
            <w:tcW w:w="567" w:type="dxa"/>
            <w:shd w:val="clear" w:color="auto" w:fill="auto"/>
          </w:tcPr>
          <w:p w14:paraId="2EEE53E8" w14:textId="77777777" w:rsidR="003E5B0C" w:rsidRPr="00EE1698" w:rsidRDefault="003E5B0C" w:rsidP="00BC764F">
            <w:pPr>
              <w:jc w:val="center"/>
              <w:rPr>
                <w:sz w:val="20"/>
                <w:szCs w:val="20"/>
              </w:rPr>
            </w:pPr>
            <w:r w:rsidRPr="00EE1698">
              <w:rPr>
                <w:sz w:val="20"/>
                <w:szCs w:val="20"/>
              </w:rPr>
              <w:t>D*</w:t>
            </w:r>
          </w:p>
        </w:tc>
        <w:tc>
          <w:tcPr>
            <w:tcW w:w="5004" w:type="dxa"/>
            <w:shd w:val="clear" w:color="auto" w:fill="auto"/>
          </w:tcPr>
          <w:p w14:paraId="0815A73A" w14:textId="6020E5F7" w:rsidR="003E5B0C" w:rsidRPr="00EE1698" w:rsidRDefault="003E5B0C" w:rsidP="003A5747">
            <w:pPr>
              <w:rPr>
                <w:sz w:val="20"/>
                <w:szCs w:val="20"/>
              </w:rPr>
            </w:pPr>
            <w:r w:rsidRPr="00EE1698">
              <w:rPr>
                <w:sz w:val="20"/>
                <w:szCs w:val="20"/>
              </w:rPr>
              <w:t xml:space="preserve">The financial reports of the </w:t>
            </w:r>
            <w:r w:rsidRPr="000A7E03">
              <w:rPr>
                <w:sz w:val="20"/>
                <w:szCs w:val="20"/>
              </w:rPr>
              <w:t>extra</w:t>
            </w:r>
            <w:r w:rsidR="00BC764F" w:rsidRPr="000A7E03">
              <w:rPr>
                <w:sz w:val="20"/>
                <w:szCs w:val="20"/>
              </w:rPr>
              <w:t xml:space="preserve"> </w:t>
            </w:r>
            <w:r w:rsidRPr="000A7E03">
              <w:rPr>
                <w:sz w:val="20"/>
                <w:szCs w:val="20"/>
              </w:rPr>
              <w:t>budgetary units</w:t>
            </w:r>
            <w:r w:rsidRPr="00EE1698">
              <w:rPr>
                <w:sz w:val="20"/>
                <w:szCs w:val="20"/>
              </w:rPr>
              <w:t xml:space="preserve"> were not avail</w:t>
            </w:r>
            <w:r w:rsidR="005B0A9A">
              <w:rPr>
                <w:sz w:val="20"/>
                <w:szCs w:val="20"/>
              </w:rPr>
              <w:t>able</w:t>
            </w:r>
            <w:r w:rsidRPr="00EE1698">
              <w:rPr>
                <w:sz w:val="20"/>
                <w:szCs w:val="20"/>
              </w:rPr>
              <w:t>.</w:t>
            </w:r>
          </w:p>
        </w:tc>
      </w:tr>
    </w:tbl>
    <w:p w14:paraId="5CC91FBD" w14:textId="77777777" w:rsidR="008F1917" w:rsidRPr="00890A84" w:rsidRDefault="00642525" w:rsidP="00BA6B2B">
      <w:pPr>
        <w:pStyle w:val="Heading5"/>
      </w:pPr>
      <w:r w:rsidRPr="00890A84">
        <w:t>PI-</w:t>
      </w:r>
      <w:r w:rsidR="008F1917" w:rsidRPr="00890A84">
        <w:t xml:space="preserve">6.1. Expenditure outside financial reports </w:t>
      </w:r>
    </w:p>
    <w:p w14:paraId="263BE74F" w14:textId="692323EC" w:rsidR="00776E84" w:rsidRPr="005849E4" w:rsidRDefault="00BA5059" w:rsidP="00EE1698">
      <w:pPr>
        <w:spacing w:after="240"/>
        <w:rPr>
          <w:sz w:val="22"/>
        </w:rPr>
      </w:pPr>
      <w:r w:rsidRPr="005849E4">
        <w:rPr>
          <w:sz w:val="22"/>
        </w:rPr>
        <w:t>Kajiado has extra budgetary units</w:t>
      </w:r>
      <w:r w:rsidR="00371704" w:rsidRPr="005849E4">
        <w:rPr>
          <w:sz w:val="22"/>
        </w:rPr>
        <w:t xml:space="preserve">, such as schools and hospitals, </w:t>
      </w:r>
      <w:r w:rsidRPr="005849E4">
        <w:rPr>
          <w:sz w:val="22"/>
        </w:rPr>
        <w:t>but the financial statements were not avail</w:t>
      </w:r>
      <w:r w:rsidR="005B0A9A">
        <w:rPr>
          <w:sz w:val="22"/>
        </w:rPr>
        <w:t>able</w:t>
      </w:r>
      <w:r w:rsidRPr="005849E4">
        <w:rPr>
          <w:sz w:val="22"/>
        </w:rPr>
        <w:t xml:space="preserve">. </w:t>
      </w:r>
    </w:p>
    <w:p w14:paraId="65EEE216" w14:textId="042603DB" w:rsidR="00776E84" w:rsidRPr="005849E4" w:rsidRDefault="00776E84" w:rsidP="00776E84">
      <w:pPr>
        <w:rPr>
          <w:b/>
          <w:sz w:val="22"/>
        </w:rPr>
      </w:pPr>
      <w:r w:rsidRPr="005849E4">
        <w:rPr>
          <w:b/>
          <w:sz w:val="22"/>
        </w:rPr>
        <w:t>Dimension rating = D*</w:t>
      </w:r>
    </w:p>
    <w:p w14:paraId="0BB15B74" w14:textId="77777777" w:rsidR="008F1917" w:rsidRPr="00890A84" w:rsidRDefault="00642525" w:rsidP="00BA6B2B">
      <w:pPr>
        <w:pStyle w:val="Heading5"/>
      </w:pPr>
      <w:r w:rsidRPr="00890A84">
        <w:t>PI-</w:t>
      </w:r>
      <w:r w:rsidR="008F1917" w:rsidRPr="00890A84">
        <w:t xml:space="preserve">6.2. Revenue outside financial reports </w:t>
      </w:r>
    </w:p>
    <w:p w14:paraId="6D8F9ED3" w14:textId="416EAA59" w:rsidR="00776E84" w:rsidRPr="005849E4" w:rsidRDefault="00BA5059" w:rsidP="00EE1698">
      <w:pPr>
        <w:spacing w:after="240"/>
        <w:rPr>
          <w:sz w:val="22"/>
        </w:rPr>
      </w:pPr>
      <w:r w:rsidRPr="005849E4">
        <w:rPr>
          <w:sz w:val="22"/>
        </w:rPr>
        <w:t>Data about revenue f</w:t>
      </w:r>
      <w:r w:rsidR="000C3B27" w:rsidRPr="005849E4">
        <w:rPr>
          <w:sz w:val="22"/>
        </w:rPr>
        <w:t>rom</w:t>
      </w:r>
      <w:r w:rsidRPr="005849E4">
        <w:rPr>
          <w:sz w:val="22"/>
        </w:rPr>
        <w:t xml:space="preserve"> extra</w:t>
      </w:r>
      <w:r w:rsidR="00BC764F">
        <w:rPr>
          <w:sz w:val="22"/>
        </w:rPr>
        <w:t xml:space="preserve"> </w:t>
      </w:r>
      <w:r w:rsidRPr="005849E4">
        <w:rPr>
          <w:sz w:val="22"/>
        </w:rPr>
        <w:t>budgetary units ha</w:t>
      </w:r>
      <w:r w:rsidR="000C3B27" w:rsidRPr="005849E4">
        <w:rPr>
          <w:sz w:val="22"/>
        </w:rPr>
        <w:t>s</w:t>
      </w:r>
      <w:r w:rsidRPr="005849E4">
        <w:rPr>
          <w:sz w:val="22"/>
        </w:rPr>
        <w:t xml:space="preserve"> not been provided.</w:t>
      </w:r>
      <w:r w:rsidR="00E56226" w:rsidRPr="005849E4">
        <w:rPr>
          <w:sz w:val="22"/>
        </w:rPr>
        <w:t xml:space="preserve"> </w:t>
      </w:r>
    </w:p>
    <w:p w14:paraId="6508331D" w14:textId="4D89DE3D" w:rsidR="00776E84" w:rsidRPr="005849E4" w:rsidRDefault="00776E84" w:rsidP="00776E84">
      <w:pPr>
        <w:ind w:left="360" w:hanging="360"/>
        <w:rPr>
          <w:b/>
          <w:sz w:val="22"/>
        </w:rPr>
      </w:pPr>
      <w:r w:rsidRPr="005849E4">
        <w:rPr>
          <w:b/>
          <w:sz w:val="22"/>
        </w:rPr>
        <w:t>Dimension rating = D*</w:t>
      </w:r>
    </w:p>
    <w:p w14:paraId="6ED65C1F" w14:textId="3D1FB60F" w:rsidR="008F1917" w:rsidRPr="00890A84" w:rsidRDefault="00642525" w:rsidP="00BA6B2B">
      <w:pPr>
        <w:pStyle w:val="Heading5"/>
      </w:pPr>
      <w:r w:rsidRPr="00890A84">
        <w:t>PI-</w:t>
      </w:r>
      <w:r w:rsidR="008F1917" w:rsidRPr="00890A84">
        <w:t>6.3. Financial re</w:t>
      </w:r>
      <w:r w:rsidR="006E7B98">
        <w:t xml:space="preserve">ports of </w:t>
      </w:r>
      <w:r w:rsidR="006E7B98" w:rsidRPr="000A7E03">
        <w:t>extra</w:t>
      </w:r>
      <w:r w:rsidR="000A7E03">
        <w:t xml:space="preserve"> </w:t>
      </w:r>
      <w:r w:rsidR="006E7B98" w:rsidRPr="000A7E03">
        <w:t>budgetary</w:t>
      </w:r>
      <w:r w:rsidR="006E7B98">
        <w:t xml:space="preserve"> units</w:t>
      </w:r>
    </w:p>
    <w:p w14:paraId="49137F53" w14:textId="04982682" w:rsidR="00776E84" w:rsidRPr="005849E4" w:rsidRDefault="008F1917" w:rsidP="00EE1698">
      <w:pPr>
        <w:spacing w:after="240"/>
        <w:rPr>
          <w:sz w:val="22"/>
        </w:rPr>
      </w:pPr>
      <w:r w:rsidRPr="005849E4">
        <w:rPr>
          <w:sz w:val="22"/>
        </w:rPr>
        <w:t xml:space="preserve">The financial reports of the </w:t>
      </w:r>
      <w:r w:rsidRPr="000A7E03">
        <w:rPr>
          <w:sz w:val="22"/>
        </w:rPr>
        <w:t>extra</w:t>
      </w:r>
      <w:r w:rsidR="000A7E03">
        <w:rPr>
          <w:sz w:val="22"/>
        </w:rPr>
        <w:t xml:space="preserve"> </w:t>
      </w:r>
      <w:r w:rsidRPr="000A7E03">
        <w:rPr>
          <w:sz w:val="22"/>
        </w:rPr>
        <w:t>budgetary</w:t>
      </w:r>
      <w:r w:rsidRPr="005849E4">
        <w:rPr>
          <w:sz w:val="22"/>
        </w:rPr>
        <w:t xml:space="preserve"> units </w:t>
      </w:r>
      <w:r w:rsidR="00BA5059" w:rsidRPr="005849E4">
        <w:rPr>
          <w:sz w:val="22"/>
        </w:rPr>
        <w:t>have not been provided</w:t>
      </w:r>
      <w:r w:rsidR="009E3EF3" w:rsidRPr="005849E4">
        <w:rPr>
          <w:sz w:val="22"/>
        </w:rPr>
        <w:t>.</w:t>
      </w:r>
      <w:r w:rsidR="00E56226" w:rsidRPr="005849E4">
        <w:rPr>
          <w:sz w:val="22"/>
        </w:rPr>
        <w:t xml:space="preserve"> </w:t>
      </w:r>
    </w:p>
    <w:p w14:paraId="4A0FDF58" w14:textId="5C0A0086" w:rsidR="00776E84" w:rsidRPr="005849E4" w:rsidRDefault="00776E84" w:rsidP="005849E4">
      <w:pPr>
        <w:spacing w:after="240"/>
        <w:ind w:left="360" w:hanging="360"/>
        <w:rPr>
          <w:b/>
          <w:sz w:val="22"/>
        </w:rPr>
      </w:pPr>
      <w:r w:rsidRPr="005849E4">
        <w:rPr>
          <w:b/>
          <w:sz w:val="22"/>
        </w:rPr>
        <w:t>Dimension rating = D*</w:t>
      </w:r>
    </w:p>
    <w:p w14:paraId="3C16443A" w14:textId="505BC575" w:rsidR="00BB1084" w:rsidRPr="00890A84" w:rsidRDefault="00BB1084" w:rsidP="00590C8E">
      <w:pPr>
        <w:pStyle w:val="Heading4"/>
      </w:pPr>
      <w:r w:rsidRPr="00890A84">
        <w:t xml:space="preserve">PI-7. Transfers to </w:t>
      </w:r>
      <w:r w:rsidR="006412D7" w:rsidRPr="00890A84">
        <w:t>sub</w:t>
      </w:r>
      <w:r w:rsidR="00BC764F">
        <w:t>n</w:t>
      </w:r>
      <w:r w:rsidR="00607B97">
        <w:t xml:space="preserve">ational </w:t>
      </w:r>
      <w:r w:rsidR="00BC764F">
        <w:t>g</w:t>
      </w:r>
      <w:r w:rsidR="00607B97">
        <w:t>overnment</w:t>
      </w:r>
      <w:r w:rsidRPr="00890A84">
        <w:t xml:space="preserve">s </w:t>
      </w:r>
    </w:p>
    <w:p w14:paraId="557AE996" w14:textId="77777777" w:rsidR="003E5B0C" w:rsidRPr="00890A84" w:rsidRDefault="003E5B0C" w:rsidP="00BA6B2B">
      <w:pPr>
        <w:pStyle w:val="Heading5"/>
      </w:pPr>
      <w:r>
        <w:t>Summary of scores and performance table</w:t>
      </w:r>
    </w:p>
    <w:tbl>
      <w:tblPr>
        <w:tblW w:w="9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3240"/>
        <w:gridCol w:w="589"/>
        <w:gridCol w:w="5531"/>
      </w:tblGrid>
      <w:tr w:rsidR="003E5B0C" w:rsidRPr="006E7B98" w14:paraId="20CD9750" w14:textId="77777777" w:rsidTr="006E7B98">
        <w:trPr>
          <w:trHeight w:val="548"/>
        </w:trPr>
        <w:tc>
          <w:tcPr>
            <w:tcW w:w="3240" w:type="dxa"/>
            <w:shd w:val="clear" w:color="auto" w:fill="5B9BD5"/>
          </w:tcPr>
          <w:p w14:paraId="675FF548" w14:textId="6BB2F18B" w:rsidR="003E5B0C" w:rsidRPr="006E7B98" w:rsidRDefault="003E5B0C" w:rsidP="00BC764F">
            <w:pPr>
              <w:jc w:val="center"/>
              <w:rPr>
                <w:b/>
                <w:color w:val="FFFFFF" w:themeColor="background1"/>
                <w:sz w:val="20"/>
                <w:szCs w:val="20"/>
              </w:rPr>
            </w:pPr>
            <w:r w:rsidRPr="006E7B98">
              <w:rPr>
                <w:b/>
                <w:color w:val="FFFFFF" w:themeColor="background1"/>
                <w:sz w:val="20"/>
                <w:szCs w:val="20"/>
              </w:rPr>
              <w:t>PI-7</w:t>
            </w:r>
            <w:r w:rsidR="00BC764F">
              <w:rPr>
                <w:b/>
                <w:color w:val="FFFFFF" w:themeColor="background1"/>
                <w:sz w:val="20"/>
                <w:szCs w:val="20"/>
              </w:rPr>
              <w:t>.</w:t>
            </w:r>
            <w:r w:rsidRPr="006E7B98">
              <w:rPr>
                <w:b/>
                <w:color w:val="FFFFFF" w:themeColor="background1"/>
                <w:sz w:val="20"/>
                <w:szCs w:val="20"/>
              </w:rPr>
              <w:t xml:space="preserve"> Transfers to subnational </w:t>
            </w:r>
            <w:r w:rsidR="00BC764F">
              <w:rPr>
                <w:b/>
                <w:color w:val="FFFFFF" w:themeColor="background1"/>
                <w:sz w:val="20"/>
                <w:szCs w:val="20"/>
              </w:rPr>
              <w:t>g</w:t>
            </w:r>
            <w:r w:rsidRPr="006E7B98">
              <w:rPr>
                <w:b/>
                <w:color w:val="FFFFFF" w:themeColor="background1"/>
                <w:sz w:val="20"/>
                <w:szCs w:val="20"/>
              </w:rPr>
              <w:t>overnments (M2)</w:t>
            </w:r>
          </w:p>
        </w:tc>
        <w:tc>
          <w:tcPr>
            <w:tcW w:w="589" w:type="dxa"/>
            <w:shd w:val="clear" w:color="auto" w:fill="5B9BD5"/>
          </w:tcPr>
          <w:p w14:paraId="6751CA88" w14:textId="052558C2" w:rsidR="003E5B0C" w:rsidRPr="006E7B98" w:rsidRDefault="00EB09D7" w:rsidP="00BC764F">
            <w:pPr>
              <w:jc w:val="center"/>
              <w:rPr>
                <w:b/>
                <w:color w:val="FFFFFF" w:themeColor="background1"/>
                <w:sz w:val="20"/>
                <w:szCs w:val="20"/>
              </w:rPr>
            </w:pPr>
            <w:r>
              <w:rPr>
                <w:b/>
                <w:color w:val="FFFFFF" w:themeColor="background1"/>
                <w:sz w:val="20"/>
                <w:szCs w:val="20"/>
              </w:rPr>
              <w:t>N/A</w:t>
            </w:r>
          </w:p>
        </w:tc>
        <w:tc>
          <w:tcPr>
            <w:tcW w:w="5531" w:type="dxa"/>
            <w:shd w:val="clear" w:color="auto" w:fill="5B9BD5"/>
          </w:tcPr>
          <w:p w14:paraId="47D3BB84" w14:textId="77777777" w:rsidR="003E5B0C" w:rsidRPr="006E7B98" w:rsidRDefault="003E5B0C" w:rsidP="00BC764F">
            <w:pPr>
              <w:jc w:val="center"/>
              <w:rPr>
                <w:b/>
                <w:color w:val="FFFFFF" w:themeColor="background1"/>
                <w:sz w:val="20"/>
                <w:szCs w:val="20"/>
              </w:rPr>
            </w:pPr>
            <w:r w:rsidRPr="006E7B98">
              <w:rPr>
                <w:b/>
                <w:color w:val="FFFFFF" w:themeColor="background1"/>
                <w:sz w:val="20"/>
                <w:szCs w:val="20"/>
              </w:rPr>
              <w:t>Brief justification for score</w:t>
            </w:r>
          </w:p>
        </w:tc>
      </w:tr>
      <w:tr w:rsidR="006E7B98" w:rsidRPr="006E7B98" w14:paraId="64F26287" w14:textId="77777777" w:rsidTr="006E7B98">
        <w:trPr>
          <w:trHeight w:val="242"/>
        </w:trPr>
        <w:tc>
          <w:tcPr>
            <w:tcW w:w="3240" w:type="dxa"/>
            <w:shd w:val="clear" w:color="auto" w:fill="auto"/>
          </w:tcPr>
          <w:p w14:paraId="0A32A22C" w14:textId="77777777" w:rsidR="006E7B98" w:rsidRPr="006E7B98" w:rsidRDefault="006E7B98" w:rsidP="006E7B98">
            <w:pPr>
              <w:jc w:val="left"/>
              <w:rPr>
                <w:sz w:val="20"/>
                <w:szCs w:val="20"/>
              </w:rPr>
            </w:pPr>
            <w:r w:rsidRPr="006E7B98">
              <w:rPr>
                <w:sz w:val="20"/>
                <w:szCs w:val="20"/>
              </w:rPr>
              <w:t xml:space="preserve">7.1 System for allocating transfers </w:t>
            </w:r>
          </w:p>
        </w:tc>
        <w:tc>
          <w:tcPr>
            <w:tcW w:w="589" w:type="dxa"/>
            <w:shd w:val="clear" w:color="auto" w:fill="auto"/>
          </w:tcPr>
          <w:p w14:paraId="538417BF" w14:textId="6F539D6A" w:rsidR="006E7B98" w:rsidRPr="006E7B98" w:rsidRDefault="00EB09D7" w:rsidP="006E7B98">
            <w:pPr>
              <w:jc w:val="center"/>
              <w:rPr>
                <w:sz w:val="20"/>
                <w:szCs w:val="20"/>
              </w:rPr>
            </w:pPr>
            <w:r>
              <w:rPr>
                <w:sz w:val="20"/>
                <w:szCs w:val="20"/>
              </w:rPr>
              <w:t>N/A</w:t>
            </w:r>
          </w:p>
        </w:tc>
        <w:tc>
          <w:tcPr>
            <w:tcW w:w="5531" w:type="dxa"/>
            <w:shd w:val="clear" w:color="auto" w:fill="auto"/>
          </w:tcPr>
          <w:p w14:paraId="0D8FE936" w14:textId="212EF732" w:rsidR="006E7B98" w:rsidRPr="006E7B98" w:rsidRDefault="006E7B98" w:rsidP="006E7B98">
            <w:pPr>
              <w:jc w:val="left"/>
              <w:rPr>
                <w:sz w:val="20"/>
                <w:szCs w:val="20"/>
              </w:rPr>
            </w:pPr>
            <w:r w:rsidRPr="006E7B98">
              <w:rPr>
                <w:sz w:val="20"/>
                <w:szCs w:val="20"/>
              </w:rPr>
              <w:t>Not applicable at the level of sub</w:t>
            </w:r>
            <w:r w:rsidR="00BC764F">
              <w:rPr>
                <w:sz w:val="20"/>
                <w:szCs w:val="20"/>
              </w:rPr>
              <w:t>n</w:t>
            </w:r>
            <w:r w:rsidRPr="006E7B98">
              <w:rPr>
                <w:sz w:val="20"/>
                <w:szCs w:val="20"/>
              </w:rPr>
              <w:t xml:space="preserve">ational </w:t>
            </w:r>
            <w:r w:rsidR="00BC764F">
              <w:rPr>
                <w:sz w:val="20"/>
                <w:szCs w:val="20"/>
              </w:rPr>
              <w:t>g</w:t>
            </w:r>
            <w:r w:rsidRPr="006E7B98">
              <w:rPr>
                <w:sz w:val="20"/>
                <w:szCs w:val="20"/>
              </w:rPr>
              <w:t>overnment</w:t>
            </w:r>
          </w:p>
        </w:tc>
      </w:tr>
      <w:tr w:rsidR="006E7B98" w:rsidRPr="006E7B98" w14:paraId="74220D28" w14:textId="77777777" w:rsidTr="006E7B98">
        <w:trPr>
          <w:trHeight w:val="53"/>
        </w:trPr>
        <w:tc>
          <w:tcPr>
            <w:tcW w:w="3240" w:type="dxa"/>
            <w:shd w:val="clear" w:color="auto" w:fill="auto"/>
          </w:tcPr>
          <w:p w14:paraId="41BAD1CC" w14:textId="77777777" w:rsidR="006E7B98" w:rsidRPr="006E7B98" w:rsidRDefault="006E7B98" w:rsidP="006E7B98">
            <w:pPr>
              <w:jc w:val="left"/>
              <w:rPr>
                <w:sz w:val="20"/>
                <w:szCs w:val="20"/>
              </w:rPr>
            </w:pPr>
            <w:r w:rsidRPr="006E7B98">
              <w:rPr>
                <w:sz w:val="20"/>
                <w:szCs w:val="20"/>
              </w:rPr>
              <w:t>7.2 Timeliness of information on transfers</w:t>
            </w:r>
          </w:p>
        </w:tc>
        <w:tc>
          <w:tcPr>
            <w:tcW w:w="589" w:type="dxa"/>
            <w:shd w:val="clear" w:color="auto" w:fill="auto"/>
          </w:tcPr>
          <w:p w14:paraId="370F6982" w14:textId="04E9B50F" w:rsidR="006E7B98" w:rsidRPr="006E7B98" w:rsidRDefault="00EB09D7" w:rsidP="006E7B98">
            <w:pPr>
              <w:jc w:val="center"/>
              <w:rPr>
                <w:sz w:val="20"/>
                <w:szCs w:val="20"/>
              </w:rPr>
            </w:pPr>
            <w:r>
              <w:rPr>
                <w:sz w:val="20"/>
                <w:szCs w:val="20"/>
              </w:rPr>
              <w:t>N/A</w:t>
            </w:r>
          </w:p>
        </w:tc>
        <w:tc>
          <w:tcPr>
            <w:tcW w:w="5531" w:type="dxa"/>
            <w:shd w:val="clear" w:color="auto" w:fill="auto"/>
          </w:tcPr>
          <w:p w14:paraId="654F775E" w14:textId="0298CAA8" w:rsidR="006E7B98" w:rsidRPr="006E7B98" w:rsidRDefault="006E7B98" w:rsidP="006E7B98">
            <w:pPr>
              <w:jc w:val="left"/>
              <w:rPr>
                <w:sz w:val="20"/>
                <w:szCs w:val="20"/>
              </w:rPr>
            </w:pPr>
            <w:r w:rsidRPr="006E7B98">
              <w:rPr>
                <w:sz w:val="20"/>
                <w:szCs w:val="20"/>
              </w:rPr>
              <w:t>Not applicable at the level of sub</w:t>
            </w:r>
            <w:r w:rsidR="00BC764F">
              <w:rPr>
                <w:sz w:val="20"/>
                <w:szCs w:val="20"/>
              </w:rPr>
              <w:t>n</w:t>
            </w:r>
            <w:r w:rsidRPr="006E7B98">
              <w:rPr>
                <w:sz w:val="20"/>
                <w:szCs w:val="20"/>
              </w:rPr>
              <w:t xml:space="preserve">ational </w:t>
            </w:r>
            <w:r w:rsidR="00BC764F">
              <w:rPr>
                <w:sz w:val="20"/>
                <w:szCs w:val="20"/>
              </w:rPr>
              <w:t>g</w:t>
            </w:r>
            <w:r w:rsidRPr="006E7B98">
              <w:rPr>
                <w:sz w:val="20"/>
                <w:szCs w:val="20"/>
              </w:rPr>
              <w:t>overnment</w:t>
            </w:r>
          </w:p>
          <w:p w14:paraId="34A33481" w14:textId="77777777" w:rsidR="006E7B98" w:rsidRPr="006E7B98" w:rsidRDefault="006E7B98" w:rsidP="006E7B98">
            <w:pPr>
              <w:jc w:val="left"/>
              <w:rPr>
                <w:sz w:val="20"/>
                <w:szCs w:val="20"/>
              </w:rPr>
            </w:pPr>
          </w:p>
        </w:tc>
      </w:tr>
    </w:tbl>
    <w:p w14:paraId="7BEC7C4F" w14:textId="5815A9A0" w:rsidR="00D86117" w:rsidRPr="00890A84" w:rsidRDefault="00642525" w:rsidP="00BA6B2B">
      <w:pPr>
        <w:pStyle w:val="Heading5"/>
      </w:pPr>
      <w:r w:rsidRPr="00890A84">
        <w:t>PI-</w:t>
      </w:r>
      <w:r w:rsidR="00D86117" w:rsidRPr="00890A84">
        <w:t>7.1</w:t>
      </w:r>
      <w:r w:rsidR="00BC764F">
        <w:t>.</w:t>
      </w:r>
      <w:r w:rsidR="00D86117" w:rsidRPr="00890A84">
        <w:t xml:space="preserve"> System for allocating transfers </w:t>
      </w:r>
    </w:p>
    <w:p w14:paraId="1EFAB0BB" w14:textId="4C5A9BC9" w:rsidR="00776E84" w:rsidRPr="005849E4" w:rsidRDefault="009E3EF3" w:rsidP="00EE1698">
      <w:pPr>
        <w:spacing w:after="240"/>
        <w:rPr>
          <w:sz w:val="22"/>
        </w:rPr>
      </w:pPr>
      <w:r w:rsidRPr="005849E4">
        <w:rPr>
          <w:sz w:val="22"/>
        </w:rPr>
        <w:t>Not applicable at the level of sub</w:t>
      </w:r>
      <w:r w:rsidR="00BC764F">
        <w:rPr>
          <w:sz w:val="22"/>
        </w:rPr>
        <w:t>n</w:t>
      </w:r>
      <w:r w:rsidR="00607B97" w:rsidRPr="005849E4">
        <w:rPr>
          <w:sz w:val="22"/>
        </w:rPr>
        <w:t xml:space="preserve">ational </w:t>
      </w:r>
      <w:r w:rsidR="00BC764F">
        <w:rPr>
          <w:sz w:val="22"/>
        </w:rPr>
        <w:t>g</w:t>
      </w:r>
      <w:r w:rsidR="00607B97" w:rsidRPr="005849E4">
        <w:rPr>
          <w:sz w:val="22"/>
        </w:rPr>
        <w:t>overnment</w:t>
      </w:r>
      <w:r w:rsidRPr="005849E4">
        <w:rPr>
          <w:sz w:val="22"/>
        </w:rPr>
        <w:t>.</w:t>
      </w:r>
      <w:r w:rsidR="00E56226" w:rsidRPr="005849E4">
        <w:rPr>
          <w:sz w:val="22"/>
        </w:rPr>
        <w:t xml:space="preserve"> </w:t>
      </w:r>
    </w:p>
    <w:p w14:paraId="42A42D66" w14:textId="4B175E30" w:rsidR="00776E84" w:rsidRPr="005849E4" w:rsidRDefault="00776E84" w:rsidP="00776E84">
      <w:pPr>
        <w:ind w:left="360" w:hanging="360"/>
        <w:rPr>
          <w:b/>
          <w:sz w:val="22"/>
        </w:rPr>
      </w:pPr>
      <w:r w:rsidRPr="005849E4">
        <w:rPr>
          <w:b/>
          <w:sz w:val="22"/>
        </w:rPr>
        <w:t xml:space="preserve">Dimension rating = </w:t>
      </w:r>
      <w:r w:rsidR="00EB09D7">
        <w:rPr>
          <w:b/>
          <w:sz w:val="20"/>
          <w:szCs w:val="20"/>
        </w:rPr>
        <w:t>N/A</w:t>
      </w:r>
    </w:p>
    <w:p w14:paraId="08C88566" w14:textId="77777777" w:rsidR="00D86117" w:rsidRPr="00890A84" w:rsidRDefault="00642525" w:rsidP="00BA6B2B">
      <w:pPr>
        <w:pStyle w:val="Heading5"/>
      </w:pPr>
      <w:r w:rsidRPr="00890A84">
        <w:t>PI-</w:t>
      </w:r>
      <w:r w:rsidR="00D86117" w:rsidRPr="00890A84">
        <w:t>7.2. Timeliness of information on transfers</w:t>
      </w:r>
    </w:p>
    <w:p w14:paraId="0E4CE72E" w14:textId="5EEEDF52" w:rsidR="00776E84" w:rsidRPr="00BA08FC" w:rsidRDefault="00085029" w:rsidP="00EE1698">
      <w:pPr>
        <w:spacing w:after="240"/>
        <w:rPr>
          <w:sz w:val="22"/>
        </w:rPr>
      </w:pPr>
      <w:r w:rsidRPr="00BA08FC">
        <w:rPr>
          <w:sz w:val="22"/>
        </w:rPr>
        <w:t xml:space="preserve">Not applicable </w:t>
      </w:r>
      <w:r w:rsidR="000E4A0A" w:rsidRPr="00BA08FC">
        <w:rPr>
          <w:sz w:val="22"/>
        </w:rPr>
        <w:t xml:space="preserve">at the level of </w:t>
      </w:r>
      <w:r w:rsidRPr="00BA08FC">
        <w:rPr>
          <w:sz w:val="22"/>
        </w:rPr>
        <w:t>sub</w:t>
      </w:r>
      <w:r w:rsidR="00BC764F">
        <w:rPr>
          <w:sz w:val="22"/>
        </w:rPr>
        <w:t>n</w:t>
      </w:r>
      <w:r w:rsidR="00607B97" w:rsidRPr="00BA08FC">
        <w:rPr>
          <w:sz w:val="22"/>
        </w:rPr>
        <w:t xml:space="preserve">ational </w:t>
      </w:r>
      <w:r w:rsidR="00BC764F">
        <w:rPr>
          <w:sz w:val="22"/>
        </w:rPr>
        <w:t>g</w:t>
      </w:r>
      <w:r w:rsidR="00607B97" w:rsidRPr="00BA08FC">
        <w:rPr>
          <w:sz w:val="22"/>
        </w:rPr>
        <w:t>overnment</w:t>
      </w:r>
      <w:r w:rsidRPr="00BA08FC">
        <w:rPr>
          <w:sz w:val="22"/>
        </w:rPr>
        <w:t xml:space="preserve">. </w:t>
      </w:r>
    </w:p>
    <w:p w14:paraId="7DB9F7C2" w14:textId="0CFA3145" w:rsidR="00776E84" w:rsidRPr="00BA08FC" w:rsidRDefault="00776E84" w:rsidP="00BA08FC">
      <w:pPr>
        <w:spacing w:after="240"/>
        <w:rPr>
          <w:b/>
          <w:sz w:val="22"/>
        </w:rPr>
      </w:pPr>
      <w:r w:rsidRPr="00BA08FC">
        <w:rPr>
          <w:b/>
          <w:sz w:val="22"/>
        </w:rPr>
        <w:t xml:space="preserve">Dimension rating = </w:t>
      </w:r>
      <w:r w:rsidR="00EB09D7">
        <w:rPr>
          <w:b/>
          <w:sz w:val="22"/>
        </w:rPr>
        <w:t>N/A</w:t>
      </w:r>
    </w:p>
    <w:p w14:paraId="248626AE" w14:textId="77777777" w:rsidR="00BB1084" w:rsidRPr="00890A84" w:rsidRDefault="00BB1084" w:rsidP="00590C8E">
      <w:pPr>
        <w:pStyle w:val="Heading4"/>
      </w:pPr>
      <w:r w:rsidRPr="00890A84">
        <w:t>PI-8. Performance information for service delivery</w:t>
      </w:r>
    </w:p>
    <w:p w14:paraId="4176FD1A" w14:textId="77777777" w:rsidR="003E5B0C" w:rsidRDefault="003E5B0C" w:rsidP="00BA6B2B">
      <w:pPr>
        <w:pStyle w:val="Heading5"/>
      </w:pPr>
      <w:r>
        <w:t>Summary of scores and performance table</w:t>
      </w:r>
    </w:p>
    <w:tbl>
      <w:tblPr>
        <w:tblW w:w="935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20" w:firstRow="1" w:lastRow="0" w:firstColumn="0" w:lastColumn="0" w:noHBand="1" w:noVBand="1"/>
      </w:tblPr>
      <w:tblGrid>
        <w:gridCol w:w="3078"/>
        <w:gridCol w:w="630"/>
        <w:gridCol w:w="5643"/>
      </w:tblGrid>
      <w:tr w:rsidR="003E5B0C" w:rsidRPr="006E7B98" w14:paraId="419638F1" w14:textId="77777777" w:rsidTr="003A5747">
        <w:trPr>
          <w:trHeight w:val="458"/>
        </w:trPr>
        <w:tc>
          <w:tcPr>
            <w:tcW w:w="3078" w:type="dxa"/>
            <w:shd w:val="clear" w:color="auto" w:fill="5B9BD5"/>
          </w:tcPr>
          <w:p w14:paraId="0CD89555" w14:textId="45F14975" w:rsidR="003E5B0C" w:rsidRPr="006E7B98" w:rsidRDefault="003E5B0C" w:rsidP="00BA08FC">
            <w:pPr>
              <w:jc w:val="center"/>
              <w:rPr>
                <w:b/>
                <w:color w:val="FFFFFF" w:themeColor="background1"/>
                <w:sz w:val="20"/>
                <w:szCs w:val="20"/>
              </w:rPr>
            </w:pPr>
            <w:r w:rsidRPr="006E7B98">
              <w:rPr>
                <w:b/>
                <w:color w:val="FFFFFF" w:themeColor="background1"/>
                <w:sz w:val="20"/>
                <w:szCs w:val="20"/>
              </w:rPr>
              <w:t>PI-8</w:t>
            </w:r>
            <w:r w:rsidR="001D510A">
              <w:rPr>
                <w:b/>
                <w:color w:val="FFFFFF" w:themeColor="background1"/>
                <w:sz w:val="20"/>
                <w:szCs w:val="20"/>
              </w:rPr>
              <w:t>.</w:t>
            </w:r>
            <w:r w:rsidRPr="006E7B98">
              <w:rPr>
                <w:b/>
                <w:color w:val="FFFFFF" w:themeColor="background1"/>
                <w:sz w:val="20"/>
                <w:szCs w:val="20"/>
              </w:rPr>
              <w:t xml:space="preserve"> Performance information for service delivery (M2)</w:t>
            </w:r>
          </w:p>
        </w:tc>
        <w:tc>
          <w:tcPr>
            <w:tcW w:w="630" w:type="dxa"/>
            <w:shd w:val="clear" w:color="auto" w:fill="5B9BD5"/>
          </w:tcPr>
          <w:p w14:paraId="600EECDA" w14:textId="390A77D2" w:rsidR="003E5B0C" w:rsidRPr="006E7B98" w:rsidRDefault="003E5B0C" w:rsidP="00BA08FC">
            <w:pPr>
              <w:jc w:val="center"/>
              <w:rPr>
                <w:b/>
                <w:color w:val="FFFFFF" w:themeColor="background1"/>
                <w:sz w:val="20"/>
                <w:szCs w:val="20"/>
              </w:rPr>
            </w:pPr>
            <w:r w:rsidRPr="006E7B98">
              <w:rPr>
                <w:b/>
                <w:color w:val="FFFFFF" w:themeColor="background1"/>
                <w:sz w:val="20"/>
                <w:szCs w:val="20"/>
              </w:rPr>
              <w:t>D+</w:t>
            </w:r>
          </w:p>
        </w:tc>
        <w:tc>
          <w:tcPr>
            <w:tcW w:w="5643" w:type="dxa"/>
            <w:shd w:val="clear" w:color="auto" w:fill="5B9BD5"/>
          </w:tcPr>
          <w:p w14:paraId="37A149BA" w14:textId="77777777" w:rsidR="003E5B0C" w:rsidRPr="006E7B98" w:rsidRDefault="003E5B0C" w:rsidP="00BA08FC">
            <w:pPr>
              <w:jc w:val="center"/>
              <w:rPr>
                <w:b/>
                <w:color w:val="FFFFFF" w:themeColor="background1"/>
                <w:sz w:val="20"/>
                <w:szCs w:val="20"/>
              </w:rPr>
            </w:pPr>
            <w:r w:rsidRPr="006E7B98">
              <w:rPr>
                <w:b/>
                <w:color w:val="FFFFFF" w:themeColor="background1"/>
                <w:sz w:val="20"/>
                <w:szCs w:val="20"/>
              </w:rPr>
              <w:t>Brief justification for score</w:t>
            </w:r>
          </w:p>
        </w:tc>
      </w:tr>
      <w:tr w:rsidR="003E5B0C" w:rsidRPr="006E7B98" w14:paraId="14DC1790" w14:textId="77777777" w:rsidTr="003A5747">
        <w:trPr>
          <w:trHeight w:val="485"/>
        </w:trPr>
        <w:tc>
          <w:tcPr>
            <w:tcW w:w="3078" w:type="dxa"/>
            <w:shd w:val="clear" w:color="auto" w:fill="auto"/>
          </w:tcPr>
          <w:p w14:paraId="3B133D42" w14:textId="77777777" w:rsidR="003E5B0C" w:rsidRPr="006E7B98" w:rsidRDefault="003E5B0C" w:rsidP="006E7B98">
            <w:pPr>
              <w:jc w:val="left"/>
              <w:rPr>
                <w:sz w:val="20"/>
                <w:szCs w:val="20"/>
              </w:rPr>
            </w:pPr>
            <w:r w:rsidRPr="006E7B98">
              <w:rPr>
                <w:sz w:val="20"/>
                <w:szCs w:val="20"/>
              </w:rPr>
              <w:t xml:space="preserve">8.1 Performance plans for service delivery </w:t>
            </w:r>
          </w:p>
        </w:tc>
        <w:tc>
          <w:tcPr>
            <w:tcW w:w="630" w:type="dxa"/>
            <w:shd w:val="clear" w:color="auto" w:fill="auto"/>
          </w:tcPr>
          <w:p w14:paraId="6C21E04B" w14:textId="77777777" w:rsidR="003E5B0C" w:rsidRPr="006E7B98" w:rsidRDefault="003E5B0C" w:rsidP="003A5747">
            <w:pPr>
              <w:jc w:val="center"/>
              <w:rPr>
                <w:sz w:val="20"/>
                <w:szCs w:val="20"/>
              </w:rPr>
            </w:pPr>
            <w:r w:rsidRPr="006E7B98">
              <w:rPr>
                <w:sz w:val="20"/>
                <w:szCs w:val="20"/>
              </w:rPr>
              <w:t>B</w:t>
            </w:r>
          </w:p>
        </w:tc>
        <w:tc>
          <w:tcPr>
            <w:tcW w:w="5643" w:type="dxa"/>
            <w:shd w:val="clear" w:color="auto" w:fill="auto"/>
          </w:tcPr>
          <w:p w14:paraId="6AA69CD9" w14:textId="3C45419D" w:rsidR="003E5B0C" w:rsidRPr="006E7B98" w:rsidRDefault="003E5B0C" w:rsidP="006E7B98">
            <w:pPr>
              <w:jc w:val="left"/>
              <w:rPr>
                <w:sz w:val="20"/>
                <w:szCs w:val="20"/>
              </w:rPr>
            </w:pPr>
            <w:r w:rsidRPr="006E7B98">
              <w:rPr>
                <w:sz w:val="20"/>
                <w:szCs w:val="20"/>
              </w:rPr>
              <w:t xml:space="preserve">Performance plans are published in </w:t>
            </w:r>
            <w:r w:rsidR="008B6A0A">
              <w:rPr>
                <w:sz w:val="20"/>
                <w:szCs w:val="20"/>
              </w:rPr>
              <w:t>A</w:t>
            </w:r>
            <w:r w:rsidRPr="006E7B98">
              <w:rPr>
                <w:sz w:val="20"/>
                <w:szCs w:val="20"/>
              </w:rPr>
              <w:t xml:space="preserve">nnual </w:t>
            </w:r>
            <w:r w:rsidR="008B6A0A">
              <w:rPr>
                <w:sz w:val="20"/>
                <w:szCs w:val="20"/>
              </w:rPr>
              <w:t>D</w:t>
            </w:r>
            <w:r w:rsidRPr="006E7B98">
              <w:rPr>
                <w:sz w:val="20"/>
                <w:szCs w:val="20"/>
              </w:rPr>
              <w:t xml:space="preserve">evelopment </w:t>
            </w:r>
            <w:r w:rsidR="008B6A0A">
              <w:rPr>
                <w:sz w:val="20"/>
                <w:szCs w:val="20"/>
              </w:rPr>
              <w:t>P</w:t>
            </w:r>
            <w:r w:rsidRPr="006E7B98">
              <w:rPr>
                <w:sz w:val="20"/>
                <w:szCs w:val="20"/>
              </w:rPr>
              <w:t>lans (ADP</w:t>
            </w:r>
            <w:r w:rsidR="008B6A0A">
              <w:rPr>
                <w:sz w:val="20"/>
                <w:szCs w:val="20"/>
              </w:rPr>
              <w:t>s</w:t>
            </w:r>
            <w:r w:rsidRPr="006E7B98">
              <w:rPr>
                <w:sz w:val="20"/>
                <w:szCs w:val="20"/>
              </w:rPr>
              <w:t xml:space="preserve">), detailed for </w:t>
            </w:r>
            <w:r w:rsidRPr="006E7B98">
              <w:rPr>
                <w:b/>
                <w:i/>
                <w:sz w:val="20"/>
                <w:szCs w:val="20"/>
              </w:rPr>
              <w:t>all</w:t>
            </w:r>
            <w:r w:rsidRPr="006E7B98">
              <w:rPr>
                <w:sz w:val="20"/>
                <w:szCs w:val="20"/>
              </w:rPr>
              <w:t xml:space="preserve"> ministries by program objectives, key performance indicators, and outputs.</w:t>
            </w:r>
          </w:p>
        </w:tc>
      </w:tr>
      <w:tr w:rsidR="003E5B0C" w:rsidRPr="006E7B98" w14:paraId="6FD4EC96" w14:textId="77777777" w:rsidTr="003A5747">
        <w:trPr>
          <w:trHeight w:val="296"/>
        </w:trPr>
        <w:tc>
          <w:tcPr>
            <w:tcW w:w="3078" w:type="dxa"/>
            <w:shd w:val="clear" w:color="auto" w:fill="auto"/>
          </w:tcPr>
          <w:p w14:paraId="5A80A3E9" w14:textId="77777777" w:rsidR="003E5B0C" w:rsidRPr="006E7B98" w:rsidRDefault="003E5B0C" w:rsidP="006E7B98">
            <w:pPr>
              <w:jc w:val="left"/>
              <w:rPr>
                <w:sz w:val="20"/>
                <w:szCs w:val="20"/>
              </w:rPr>
            </w:pPr>
            <w:r w:rsidRPr="006E7B98">
              <w:rPr>
                <w:sz w:val="20"/>
                <w:szCs w:val="20"/>
              </w:rPr>
              <w:t xml:space="preserve">8.2 Performance achieved for service delivery </w:t>
            </w:r>
          </w:p>
        </w:tc>
        <w:tc>
          <w:tcPr>
            <w:tcW w:w="630" w:type="dxa"/>
            <w:shd w:val="clear" w:color="auto" w:fill="auto"/>
          </w:tcPr>
          <w:p w14:paraId="141D0F1E" w14:textId="77777777" w:rsidR="003E5B0C" w:rsidRPr="006E7B98" w:rsidRDefault="003E5B0C" w:rsidP="003A5747">
            <w:pPr>
              <w:jc w:val="center"/>
              <w:rPr>
                <w:sz w:val="20"/>
                <w:szCs w:val="20"/>
              </w:rPr>
            </w:pPr>
            <w:r w:rsidRPr="006E7B98">
              <w:rPr>
                <w:sz w:val="20"/>
                <w:szCs w:val="20"/>
              </w:rPr>
              <w:t>D</w:t>
            </w:r>
          </w:p>
        </w:tc>
        <w:tc>
          <w:tcPr>
            <w:tcW w:w="5643" w:type="dxa"/>
            <w:shd w:val="clear" w:color="auto" w:fill="auto"/>
          </w:tcPr>
          <w:p w14:paraId="39D9B3D6" w14:textId="77777777" w:rsidR="003E5B0C" w:rsidRPr="006E7B98" w:rsidRDefault="003E5B0C" w:rsidP="006E7B98">
            <w:pPr>
              <w:jc w:val="left"/>
              <w:rPr>
                <w:sz w:val="20"/>
                <w:szCs w:val="20"/>
              </w:rPr>
            </w:pPr>
            <w:r w:rsidRPr="006E7B98">
              <w:rPr>
                <w:sz w:val="20"/>
                <w:szCs w:val="20"/>
              </w:rPr>
              <w:t>The county government has not established a unit to conduct performance evaluation.</w:t>
            </w:r>
          </w:p>
        </w:tc>
      </w:tr>
      <w:tr w:rsidR="003E5B0C" w:rsidRPr="006E7B98" w14:paraId="7A31D39A" w14:textId="77777777" w:rsidTr="003A5747">
        <w:trPr>
          <w:trHeight w:val="827"/>
        </w:trPr>
        <w:tc>
          <w:tcPr>
            <w:tcW w:w="3078" w:type="dxa"/>
            <w:shd w:val="clear" w:color="auto" w:fill="auto"/>
          </w:tcPr>
          <w:p w14:paraId="56851A25" w14:textId="77777777" w:rsidR="003E5B0C" w:rsidRPr="006E7B98" w:rsidRDefault="003E5B0C" w:rsidP="006E7B98">
            <w:pPr>
              <w:jc w:val="left"/>
              <w:rPr>
                <w:sz w:val="20"/>
                <w:szCs w:val="20"/>
              </w:rPr>
            </w:pPr>
            <w:r w:rsidRPr="006E7B98">
              <w:rPr>
                <w:sz w:val="20"/>
                <w:szCs w:val="20"/>
              </w:rPr>
              <w:t xml:space="preserve">8.3 Resources received by service delivery units </w:t>
            </w:r>
          </w:p>
        </w:tc>
        <w:tc>
          <w:tcPr>
            <w:tcW w:w="630" w:type="dxa"/>
            <w:shd w:val="clear" w:color="auto" w:fill="auto"/>
          </w:tcPr>
          <w:p w14:paraId="4B48EDC2" w14:textId="77777777" w:rsidR="003E5B0C" w:rsidRPr="006E7B98" w:rsidRDefault="003E5B0C" w:rsidP="003A5747">
            <w:pPr>
              <w:jc w:val="center"/>
              <w:rPr>
                <w:sz w:val="20"/>
                <w:szCs w:val="20"/>
              </w:rPr>
            </w:pPr>
            <w:r w:rsidRPr="006E7B98">
              <w:rPr>
                <w:sz w:val="20"/>
                <w:szCs w:val="20"/>
              </w:rPr>
              <w:t>D</w:t>
            </w:r>
          </w:p>
        </w:tc>
        <w:tc>
          <w:tcPr>
            <w:tcW w:w="5643" w:type="dxa"/>
            <w:shd w:val="clear" w:color="auto" w:fill="auto"/>
          </w:tcPr>
          <w:p w14:paraId="47D61008" w14:textId="77777777" w:rsidR="003E5B0C" w:rsidRPr="006E7B98" w:rsidRDefault="003E5B0C" w:rsidP="006E7B98">
            <w:pPr>
              <w:jc w:val="left"/>
              <w:rPr>
                <w:sz w:val="20"/>
                <w:szCs w:val="20"/>
              </w:rPr>
            </w:pPr>
            <w:r w:rsidRPr="006E7B98">
              <w:rPr>
                <w:sz w:val="20"/>
                <w:szCs w:val="20"/>
              </w:rPr>
              <w:t>Information on resources received by frontline service delivery units is collected and recorded in the budget implementation review reports, but the source of funds is not included, and no survey has been carried out in one of the last three years.</w:t>
            </w:r>
          </w:p>
        </w:tc>
      </w:tr>
      <w:tr w:rsidR="003E5B0C" w:rsidRPr="006E7B98" w14:paraId="2993BCC4" w14:textId="77777777" w:rsidTr="003A5747">
        <w:trPr>
          <w:trHeight w:val="197"/>
        </w:trPr>
        <w:tc>
          <w:tcPr>
            <w:tcW w:w="3078" w:type="dxa"/>
            <w:shd w:val="clear" w:color="auto" w:fill="auto"/>
          </w:tcPr>
          <w:p w14:paraId="648FACD6" w14:textId="77777777" w:rsidR="003E5B0C" w:rsidRPr="006E7B98" w:rsidRDefault="003E5B0C" w:rsidP="006E7B98">
            <w:pPr>
              <w:jc w:val="left"/>
              <w:rPr>
                <w:sz w:val="20"/>
                <w:szCs w:val="20"/>
              </w:rPr>
            </w:pPr>
            <w:r w:rsidRPr="006E7B98">
              <w:rPr>
                <w:sz w:val="20"/>
                <w:szCs w:val="20"/>
              </w:rPr>
              <w:t xml:space="preserve">8.4 Performance evaluation for service delivery </w:t>
            </w:r>
          </w:p>
        </w:tc>
        <w:tc>
          <w:tcPr>
            <w:tcW w:w="630" w:type="dxa"/>
            <w:shd w:val="clear" w:color="auto" w:fill="auto"/>
          </w:tcPr>
          <w:p w14:paraId="76E66B2D" w14:textId="77777777" w:rsidR="003E5B0C" w:rsidRPr="006E7B98" w:rsidRDefault="003E5B0C" w:rsidP="003A5747">
            <w:pPr>
              <w:jc w:val="center"/>
              <w:rPr>
                <w:sz w:val="20"/>
                <w:szCs w:val="20"/>
              </w:rPr>
            </w:pPr>
            <w:r w:rsidRPr="006E7B98">
              <w:rPr>
                <w:sz w:val="20"/>
                <w:szCs w:val="20"/>
              </w:rPr>
              <w:t>D</w:t>
            </w:r>
          </w:p>
        </w:tc>
        <w:tc>
          <w:tcPr>
            <w:tcW w:w="5643" w:type="dxa"/>
            <w:shd w:val="clear" w:color="auto" w:fill="auto"/>
          </w:tcPr>
          <w:p w14:paraId="00AA8A99" w14:textId="47F2F568" w:rsidR="003E5B0C" w:rsidRPr="006E7B98" w:rsidRDefault="003E5B0C" w:rsidP="006E7B98">
            <w:pPr>
              <w:jc w:val="left"/>
              <w:rPr>
                <w:sz w:val="20"/>
                <w:szCs w:val="20"/>
              </w:rPr>
            </w:pPr>
            <w:r w:rsidRPr="006E7B98">
              <w:rPr>
                <w:sz w:val="20"/>
                <w:szCs w:val="20"/>
              </w:rPr>
              <w:t>Evaluation of the efficiency or effectiveness of the service delivery units ha</w:t>
            </w:r>
            <w:r w:rsidR="000A7E03">
              <w:rPr>
                <w:sz w:val="20"/>
                <w:szCs w:val="20"/>
              </w:rPr>
              <w:t>s</w:t>
            </w:r>
            <w:r w:rsidRPr="006E7B98">
              <w:rPr>
                <w:sz w:val="20"/>
                <w:szCs w:val="20"/>
              </w:rPr>
              <w:t xml:space="preserve"> not been carried out for the last three fiscal years.</w:t>
            </w:r>
          </w:p>
        </w:tc>
      </w:tr>
    </w:tbl>
    <w:p w14:paraId="4E2211A8" w14:textId="77777777" w:rsidR="00A12A71" w:rsidRPr="00890A84" w:rsidRDefault="00642525" w:rsidP="00BA6B2B">
      <w:pPr>
        <w:pStyle w:val="Heading5"/>
      </w:pPr>
      <w:r w:rsidRPr="00890A84">
        <w:t>PI-</w:t>
      </w:r>
      <w:r w:rsidR="00A12A71" w:rsidRPr="00890A84">
        <w:t xml:space="preserve">8.1. Performance plans for service delivery </w:t>
      </w:r>
    </w:p>
    <w:p w14:paraId="25C40723" w14:textId="64DDF4F3" w:rsidR="00DB3114" w:rsidRPr="006E7B98" w:rsidRDefault="00DB3114" w:rsidP="00EE1698">
      <w:pPr>
        <w:spacing w:after="240"/>
        <w:rPr>
          <w:sz w:val="22"/>
        </w:rPr>
      </w:pPr>
      <w:r w:rsidRPr="006E7B98">
        <w:rPr>
          <w:sz w:val="22"/>
        </w:rPr>
        <w:t xml:space="preserve">According to the </w:t>
      </w:r>
      <w:r w:rsidR="00C5583C" w:rsidRPr="006E7B98">
        <w:rPr>
          <w:sz w:val="22"/>
        </w:rPr>
        <w:t>constitutional obligation of Article 220(2)</w:t>
      </w:r>
      <w:r w:rsidRPr="006E7B98">
        <w:rPr>
          <w:sz w:val="22"/>
        </w:rPr>
        <w:t xml:space="preserve"> and the PFM Act</w:t>
      </w:r>
      <w:r w:rsidR="001D510A">
        <w:rPr>
          <w:sz w:val="22"/>
        </w:rPr>
        <w:t>,</w:t>
      </w:r>
      <w:r w:rsidRPr="006E7B98">
        <w:rPr>
          <w:sz w:val="22"/>
        </w:rPr>
        <w:t xml:space="preserve"> 2012, Sec (126)</w:t>
      </w:r>
      <w:r w:rsidR="001D510A">
        <w:rPr>
          <w:sz w:val="22"/>
        </w:rPr>
        <w:t>,</w:t>
      </w:r>
      <w:r w:rsidRPr="006E7B98">
        <w:rPr>
          <w:sz w:val="22"/>
        </w:rPr>
        <w:t xml:space="preserve"> every county government must prepare a development plan and an ADP t</w:t>
      </w:r>
      <w:r w:rsidR="00C5583C" w:rsidRPr="006E7B98">
        <w:rPr>
          <w:sz w:val="22"/>
        </w:rPr>
        <w:t>o give a broad outline of expenditure programme priorities and allocation of funds</w:t>
      </w:r>
      <w:r w:rsidRPr="006E7B98">
        <w:rPr>
          <w:sz w:val="22"/>
        </w:rPr>
        <w:t xml:space="preserve"> for the next fiscal year and </w:t>
      </w:r>
      <w:r w:rsidR="00C5583C" w:rsidRPr="006E7B98">
        <w:rPr>
          <w:sz w:val="22"/>
        </w:rPr>
        <w:t>to ensure consistency in terms of program/project activities implemented</w:t>
      </w:r>
      <w:r w:rsidRPr="006E7B98">
        <w:rPr>
          <w:sz w:val="22"/>
        </w:rPr>
        <w:t xml:space="preserve"> </w:t>
      </w:r>
      <w:r w:rsidR="00C5583C" w:rsidRPr="006E7B98">
        <w:rPr>
          <w:sz w:val="22"/>
        </w:rPr>
        <w:t>in reference to Programme</w:t>
      </w:r>
      <w:r w:rsidR="001D510A">
        <w:rPr>
          <w:sz w:val="22"/>
        </w:rPr>
        <w:t>-</w:t>
      </w:r>
      <w:r w:rsidR="00C5583C" w:rsidRPr="006E7B98">
        <w:rPr>
          <w:sz w:val="22"/>
        </w:rPr>
        <w:t xml:space="preserve">Based Budget (PBB). </w:t>
      </w:r>
    </w:p>
    <w:p w14:paraId="30E2BF74" w14:textId="1E9606D7" w:rsidR="00B90F6E" w:rsidRPr="006E7B98" w:rsidRDefault="00BA5059" w:rsidP="00EE1698">
      <w:pPr>
        <w:spacing w:after="240"/>
        <w:rPr>
          <w:sz w:val="22"/>
        </w:rPr>
      </w:pPr>
      <w:r w:rsidRPr="006E7B98">
        <w:rPr>
          <w:sz w:val="22"/>
        </w:rPr>
        <w:t xml:space="preserve">The </w:t>
      </w:r>
      <w:r w:rsidR="00596DF9" w:rsidRPr="006E7B98">
        <w:rPr>
          <w:sz w:val="22"/>
        </w:rPr>
        <w:t xml:space="preserve">county government </w:t>
      </w:r>
      <w:r w:rsidRPr="006E7B98">
        <w:rPr>
          <w:sz w:val="22"/>
        </w:rPr>
        <w:t>prepares the budget</w:t>
      </w:r>
      <w:r w:rsidR="001D510A">
        <w:rPr>
          <w:sz w:val="22"/>
        </w:rPr>
        <w:t>,</w:t>
      </w:r>
      <w:r w:rsidRPr="006E7B98">
        <w:rPr>
          <w:sz w:val="22"/>
        </w:rPr>
        <w:t xml:space="preserve"> involving members of the public through participatory forums. The ADP </w:t>
      </w:r>
      <w:r w:rsidR="001746C8" w:rsidRPr="006E7B98">
        <w:rPr>
          <w:sz w:val="22"/>
        </w:rPr>
        <w:t>2016/17 lists</w:t>
      </w:r>
      <w:r w:rsidRPr="006E7B98">
        <w:rPr>
          <w:sz w:val="22"/>
        </w:rPr>
        <w:t xml:space="preserve"> </w:t>
      </w:r>
      <w:r w:rsidR="00DB3114" w:rsidRPr="006E7B98">
        <w:rPr>
          <w:sz w:val="22"/>
        </w:rPr>
        <w:t xml:space="preserve">the </w:t>
      </w:r>
      <w:r w:rsidR="001D510A">
        <w:rPr>
          <w:sz w:val="22"/>
        </w:rPr>
        <w:t>p</w:t>
      </w:r>
      <w:r w:rsidR="00DB3114" w:rsidRPr="006E7B98">
        <w:rPr>
          <w:sz w:val="22"/>
        </w:rPr>
        <w:t xml:space="preserve">rogram, the </w:t>
      </w:r>
      <w:r w:rsidR="001D510A">
        <w:rPr>
          <w:sz w:val="22"/>
        </w:rPr>
        <w:t>s</w:t>
      </w:r>
      <w:r w:rsidR="00DB3114" w:rsidRPr="006E7B98">
        <w:rPr>
          <w:sz w:val="22"/>
        </w:rPr>
        <w:t>ub</w:t>
      </w:r>
      <w:r w:rsidR="001D510A">
        <w:rPr>
          <w:sz w:val="22"/>
        </w:rPr>
        <w:t>p</w:t>
      </w:r>
      <w:r w:rsidR="00DB3114" w:rsidRPr="006E7B98">
        <w:rPr>
          <w:sz w:val="22"/>
        </w:rPr>
        <w:t>rogram</w:t>
      </w:r>
      <w:r w:rsidR="001746C8" w:rsidRPr="006E7B98">
        <w:rPr>
          <w:sz w:val="22"/>
        </w:rPr>
        <w:t xml:space="preserve">, </w:t>
      </w:r>
      <w:r w:rsidR="00DB3114" w:rsidRPr="006E7B98">
        <w:rPr>
          <w:sz w:val="22"/>
        </w:rPr>
        <w:t xml:space="preserve">the </w:t>
      </w:r>
      <w:r w:rsidR="001D510A">
        <w:rPr>
          <w:sz w:val="22"/>
        </w:rPr>
        <w:t>o</w:t>
      </w:r>
      <w:r w:rsidR="00DB3114" w:rsidRPr="006E7B98">
        <w:rPr>
          <w:sz w:val="22"/>
        </w:rPr>
        <w:t>bjective</w:t>
      </w:r>
      <w:r w:rsidR="001746C8" w:rsidRPr="006E7B98">
        <w:rPr>
          <w:sz w:val="22"/>
        </w:rPr>
        <w:t xml:space="preserve">, the </w:t>
      </w:r>
      <w:r w:rsidR="001D510A">
        <w:rPr>
          <w:sz w:val="22"/>
        </w:rPr>
        <w:t>p</w:t>
      </w:r>
      <w:r w:rsidR="00DB3114" w:rsidRPr="006E7B98">
        <w:rPr>
          <w:sz w:val="22"/>
        </w:rPr>
        <w:t xml:space="preserve">roject </w:t>
      </w:r>
      <w:r w:rsidR="001D510A">
        <w:rPr>
          <w:sz w:val="22"/>
        </w:rPr>
        <w:t>n</w:t>
      </w:r>
      <w:r w:rsidR="00DB3114" w:rsidRPr="006E7B98">
        <w:rPr>
          <w:sz w:val="22"/>
        </w:rPr>
        <w:t>ame</w:t>
      </w:r>
      <w:r w:rsidR="001746C8" w:rsidRPr="006E7B98">
        <w:rPr>
          <w:sz w:val="22"/>
        </w:rPr>
        <w:t xml:space="preserve">, </w:t>
      </w:r>
      <w:r w:rsidR="001D510A">
        <w:rPr>
          <w:sz w:val="22"/>
        </w:rPr>
        <w:t>p</w:t>
      </w:r>
      <w:r w:rsidR="001746C8" w:rsidRPr="006E7B98">
        <w:rPr>
          <w:sz w:val="22"/>
        </w:rPr>
        <w:t>erformance</w:t>
      </w:r>
      <w:r w:rsidR="00DB3114" w:rsidRPr="006E7B98">
        <w:rPr>
          <w:sz w:val="22"/>
        </w:rPr>
        <w:t xml:space="preserve"> </w:t>
      </w:r>
      <w:r w:rsidR="001D510A">
        <w:rPr>
          <w:sz w:val="22"/>
        </w:rPr>
        <w:t>i</w:t>
      </w:r>
      <w:r w:rsidR="00DB3114" w:rsidRPr="006E7B98">
        <w:rPr>
          <w:sz w:val="22"/>
        </w:rPr>
        <w:t>ndicators</w:t>
      </w:r>
      <w:r w:rsidR="001746C8" w:rsidRPr="006E7B98">
        <w:rPr>
          <w:sz w:val="22"/>
        </w:rPr>
        <w:t>,</w:t>
      </w:r>
      <w:r w:rsidR="00DB3114" w:rsidRPr="006E7B98">
        <w:rPr>
          <w:sz w:val="22"/>
        </w:rPr>
        <w:t xml:space="preserve"> </w:t>
      </w:r>
      <w:r w:rsidR="001D510A">
        <w:rPr>
          <w:sz w:val="22"/>
        </w:rPr>
        <w:t>t</w:t>
      </w:r>
      <w:r w:rsidR="00DB3114" w:rsidRPr="006E7B98">
        <w:rPr>
          <w:sz w:val="22"/>
        </w:rPr>
        <w:t>arget</w:t>
      </w:r>
      <w:r w:rsidR="00B90F6E" w:rsidRPr="006E7B98">
        <w:rPr>
          <w:sz w:val="22"/>
        </w:rPr>
        <w:t xml:space="preserve"> (</w:t>
      </w:r>
      <w:r w:rsidR="001746C8" w:rsidRPr="006E7B98">
        <w:rPr>
          <w:sz w:val="22"/>
        </w:rPr>
        <w:t>output/outcome</w:t>
      </w:r>
      <w:r w:rsidR="00B90F6E" w:rsidRPr="006E7B98">
        <w:rPr>
          <w:sz w:val="22"/>
        </w:rPr>
        <w:t>)</w:t>
      </w:r>
      <w:r w:rsidR="001746C8" w:rsidRPr="006E7B98">
        <w:rPr>
          <w:sz w:val="22"/>
        </w:rPr>
        <w:t>,</w:t>
      </w:r>
      <w:r w:rsidR="00DB3114" w:rsidRPr="006E7B98">
        <w:rPr>
          <w:sz w:val="22"/>
        </w:rPr>
        <w:t xml:space="preserve"> </w:t>
      </w:r>
      <w:r w:rsidR="001D510A">
        <w:rPr>
          <w:sz w:val="22"/>
        </w:rPr>
        <w:t>i</w:t>
      </w:r>
      <w:r w:rsidR="00DB3114" w:rsidRPr="006E7B98">
        <w:rPr>
          <w:sz w:val="22"/>
        </w:rPr>
        <w:t>mplementing</w:t>
      </w:r>
      <w:r w:rsidR="001746C8" w:rsidRPr="006E7B98">
        <w:rPr>
          <w:sz w:val="22"/>
        </w:rPr>
        <w:t xml:space="preserve"> </w:t>
      </w:r>
      <w:r w:rsidR="001D510A">
        <w:rPr>
          <w:sz w:val="22"/>
        </w:rPr>
        <w:t>a</w:t>
      </w:r>
      <w:r w:rsidR="00DB3114" w:rsidRPr="006E7B98">
        <w:rPr>
          <w:sz w:val="22"/>
        </w:rPr>
        <w:t>gency</w:t>
      </w:r>
      <w:r w:rsidR="001746C8" w:rsidRPr="006E7B98">
        <w:rPr>
          <w:sz w:val="22"/>
        </w:rPr>
        <w:t xml:space="preserve">, </w:t>
      </w:r>
      <w:r w:rsidR="001D510A">
        <w:rPr>
          <w:sz w:val="22"/>
        </w:rPr>
        <w:t>s</w:t>
      </w:r>
      <w:r w:rsidR="00DB3114" w:rsidRPr="006E7B98">
        <w:rPr>
          <w:sz w:val="22"/>
        </w:rPr>
        <w:t>ource of</w:t>
      </w:r>
      <w:r w:rsidR="001746C8" w:rsidRPr="006E7B98">
        <w:rPr>
          <w:sz w:val="22"/>
        </w:rPr>
        <w:t xml:space="preserve"> </w:t>
      </w:r>
      <w:r w:rsidR="001D510A">
        <w:rPr>
          <w:sz w:val="22"/>
        </w:rPr>
        <w:t>f</w:t>
      </w:r>
      <w:r w:rsidR="00DB3114" w:rsidRPr="006E7B98">
        <w:rPr>
          <w:sz w:val="22"/>
        </w:rPr>
        <w:t>unds</w:t>
      </w:r>
      <w:r w:rsidR="001D510A">
        <w:rPr>
          <w:sz w:val="22"/>
        </w:rPr>
        <w:t>,</w:t>
      </w:r>
      <w:r w:rsidR="001746C8" w:rsidRPr="006E7B98">
        <w:rPr>
          <w:sz w:val="22"/>
        </w:rPr>
        <w:t xml:space="preserve"> and </w:t>
      </w:r>
      <w:r w:rsidR="001D510A">
        <w:rPr>
          <w:sz w:val="22"/>
        </w:rPr>
        <w:t>c</w:t>
      </w:r>
      <w:r w:rsidR="00DB3114" w:rsidRPr="006E7B98">
        <w:rPr>
          <w:sz w:val="22"/>
        </w:rPr>
        <w:t xml:space="preserve">ost </w:t>
      </w:r>
      <w:r w:rsidR="001D510A">
        <w:rPr>
          <w:sz w:val="22"/>
        </w:rPr>
        <w:t>(</w:t>
      </w:r>
      <w:r w:rsidR="00DB3114" w:rsidRPr="006E7B98">
        <w:rPr>
          <w:sz w:val="22"/>
        </w:rPr>
        <w:t>in</w:t>
      </w:r>
      <w:r w:rsidR="001746C8" w:rsidRPr="006E7B98">
        <w:rPr>
          <w:sz w:val="22"/>
        </w:rPr>
        <w:t xml:space="preserve"> </w:t>
      </w:r>
      <w:r w:rsidR="00E73ED7">
        <w:rPr>
          <w:sz w:val="22"/>
        </w:rPr>
        <w:t>Ksh</w:t>
      </w:r>
      <w:r w:rsidR="001D510A">
        <w:rPr>
          <w:sz w:val="22"/>
        </w:rPr>
        <w:t>,</w:t>
      </w:r>
      <w:r w:rsidR="001D510A" w:rsidRPr="006E7B98">
        <w:rPr>
          <w:sz w:val="22"/>
        </w:rPr>
        <w:t xml:space="preserve"> </w:t>
      </w:r>
      <w:r w:rsidR="001746C8" w:rsidRPr="006E7B98">
        <w:rPr>
          <w:sz w:val="22"/>
        </w:rPr>
        <w:t>m</w:t>
      </w:r>
      <w:r w:rsidR="00DB3114" w:rsidRPr="006E7B98">
        <w:rPr>
          <w:sz w:val="22"/>
        </w:rPr>
        <w:t>illion</w:t>
      </w:r>
      <w:r w:rsidR="001D510A">
        <w:rPr>
          <w:sz w:val="22"/>
        </w:rPr>
        <w:t>s)</w:t>
      </w:r>
      <w:r w:rsidR="001746C8" w:rsidRPr="006E7B98">
        <w:rPr>
          <w:sz w:val="22"/>
        </w:rPr>
        <w:t xml:space="preserve"> for </w:t>
      </w:r>
      <w:r w:rsidR="001746C8" w:rsidRPr="006E7B98">
        <w:rPr>
          <w:b/>
          <w:i/>
          <w:sz w:val="22"/>
        </w:rPr>
        <w:t>all</w:t>
      </w:r>
      <w:r w:rsidR="001746C8" w:rsidRPr="006E7B98">
        <w:rPr>
          <w:sz w:val="22"/>
        </w:rPr>
        <w:t xml:space="preserve"> ministries in the county government.</w:t>
      </w:r>
      <w:r w:rsidR="00B90F6E" w:rsidRPr="006E7B98">
        <w:rPr>
          <w:sz w:val="22"/>
        </w:rPr>
        <w:t xml:space="preserve"> However, target output and outcome are mixed in one column and most ministries present only output.</w:t>
      </w:r>
    </w:p>
    <w:p w14:paraId="74529596" w14:textId="00375D93" w:rsidR="00776E84" w:rsidRPr="006E7B98" w:rsidRDefault="00525393" w:rsidP="00EE1698">
      <w:pPr>
        <w:spacing w:after="240"/>
        <w:rPr>
          <w:sz w:val="22"/>
        </w:rPr>
      </w:pPr>
      <w:r w:rsidRPr="006E7B98">
        <w:rPr>
          <w:sz w:val="22"/>
        </w:rPr>
        <w:t xml:space="preserve">In summary, performance plans for service delivery </w:t>
      </w:r>
      <w:r w:rsidR="00E40ABE" w:rsidRPr="006E7B98">
        <w:rPr>
          <w:sz w:val="22"/>
        </w:rPr>
        <w:t>are</w:t>
      </w:r>
      <w:r w:rsidRPr="006E7B98">
        <w:rPr>
          <w:sz w:val="22"/>
        </w:rPr>
        <w:t xml:space="preserve"> published in </w:t>
      </w:r>
      <w:r w:rsidR="001D510A">
        <w:rPr>
          <w:sz w:val="22"/>
        </w:rPr>
        <w:t>ADP</w:t>
      </w:r>
      <w:r w:rsidRPr="006E7B98">
        <w:rPr>
          <w:sz w:val="22"/>
        </w:rPr>
        <w:t xml:space="preserve">s, detailed for </w:t>
      </w:r>
      <w:r w:rsidRPr="006E7B98">
        <w:rPr>
          <w:b/>
          <w:i/>
          <w:sz w:val="22"/>
        </w:rPr>
        <w:t>all</w:t>
      </w:r>
      <w:r w:rsidRPr="006E7B98">
        <w:rPr>
          <w:sz w:val="22"/>
        </w:rPr>
        <w:t xml:space="preserve"> ministries by program objectives, key performance indicators, and outputs.</w:t>
      </w:r>
      <w:r w:rsidR="00E56226" w:rsidRPr="006E7B98">
        <w:rPr>
          <w:sz w:val="22"/>
        </w:rPr>
        <w:t xml:space="preserve"> </w:t>
      </w:r>
    </w:p>
    <w:p w14:paraId="5AC30F44" w14:textId="670D7AF6" w:rsidR="00776E84" w:rsidRPr="006E7B98" w:rsidRDefault="00776E84" w:rsidP="00776E84">
      <w:pPr>
        <w:ind w:left="360" w:hanging="360"/>
        <w:rPr>
          <w:b/>
          <w:sz w:val="22"/>
        </w:rPr>
      </w:pPr>
      <w:r w:rsidRPr="006E7B98">
        <w:rPr>
          <w:b/>
          <w:sz w:val="22"/>
        </w:rPr>
        <w:t>Dimension rating = B</w:t>
      </w:r>
    </w:p>
    <w:p w14:paraId="4BE6BB68" w14:textId="77777777" w:rsidR="008F1917" w:rsidRPr="00890A84" w:rsidRDefault="00642525" w:rsidP="00BA6B2B">
      <w:pPr>
        <w:pStyle w:val="Heading5"/>
      </w:pPr>
      <w:r w:rsidRPr="00890A84">
        <w:t>PI-</w:t>
      </w:r>
      <w:r w:rsidR="008F1917" w:rsidRPr="00890A84">
        <w:t xml:space="preserve">8.2. Performance achieved for service delivery </w:t>
      </w:r>
    </w:p>
    <w:p w14:paraId="6DB062F7" w14:textId="5305F633" w:rsidR="00BA5059" w:rsidRPr="006E7B98" w:rsidRDefault="00BA5059" w:rsidP="00EE1698">
      <w:pPr>
        <w:spacing w:after="240"/>
        <w:rPr>
          <w:sz w:val="22"/>
        </w:rPr>
      </w:pPr>
      <w:r w:rsidRPr="006E7B98">
        <w:rPr>
          <w:sz w:val="22"/>
        </w:rPr>
        <w:t xml:space="preserve">The County Treasury prepares annual budget implementation reports which outline the status of implementation of projects and highlight key outputs. </w:t>
      </w:r>
      <w:r w:rsidR="001D510A">
        <w:rPr>
          <w:sz w:val="22"/>
        </w:rPr>
        <w:t>A</w:t>
      </w:r>
      <w:r w:rsidR="00596DF9" w:rsidRPr="006E7B98">
        <w:rPr>
          <w:sz w:val="22"/>
        </w:rPr>
        <w:t xml:space="preserve"> section in these reports discusses key outputs and achievements on the implementation of the budget. </w:t>
      </w:r>
      <w:r w:rsidRPr="006E7B98">
        <w:rPr>
          <w:sz w:val="22"/>
        </w:rPr>
        <w:t>However, these reports are not published. The reports are submitted to the COB according to the PFMA</w:t>
      </w:r>
      <w:r w:rsidR="001D510A">
        <w:rPr>
          <w:sz w:val="22"/>
        </w:rPr>
        <w:t xml:space="preserve"> Act,</w:t>
      </w:r>
      <w:r w:rsidRPr="006E7B98">
        <w:rPr>
          <w:sz w:val="22"/>
        </w:rPr>
        <w:t xml:space="preserve"> 2012, </w:t>
      </w:r>
      <w:r w:rsidR="001D510A">
        <w:rPr>
          <w:sz w:val="22"/>
        </w:rPr>
        <w:t>S</w:t>
      </w:r>
      <w:r w:rsidRPr="006E7B98">
        <w:rPr>
          <w:sz w:val="22"/>
        </w:rPr>
        <w:t xml:space="preserve">ection 39 (8). </w:t>
      </w:r>
      <w:r w:rsidR="00096008" w:rsidRPr="006E7B98">
        <w:rPr>
          <w:sz w:val="22"/>
        </w:rPr>
        <w:t>The COB publishes the quarterly budget implementation review reports on its website</w:t>
      </w:r>
      <w:r w:rsidR="001D510A">
        <w:rPr>
          <w:sz w:val="22"/>
        </w:rPr>
        <w:t>.</w:t>
      </w:r>
      <w:r w:rsidR="00096008" w:rsidRPr="006E7B98">
        <w:rPr>
          <w:rStyle w:val="FootnoteReference"/>
          <w:sz w:val="22"/>
        </w:rPr>
        <w:footnoteReference w:id="1"/>
      </w:r>
      <w:r w:rsidR="00096008" w:rsidRPr="006E7B98">
        <w:rPr>
          <w:sz w:val="22"/>
        </w:rPr>
        <w:t xml:space="preserve"> These reports do not present the quantity of outputs produced or outcomes achieved</w:t>
      </w:r>
      <w:r w:rsidR="001D510A">
        <w:rPr>
          <w:sz w:val="22"/>
        </w:rPr>
        <w:t>,</w:t>
      </w:r>
      <w:r w:rsidR="00096008" w:rsidRPr="006E7B98">
        <w:rPr>
          <w:sz w:val="22"/>
        </w:rPr>
        <w:t xml:space="preserve"> referring to indicators and objectives defined in the performance plans, but present at least the budget execution by </w:t>
      </w:r>
      <w:r w:rsidR="003A2516" w:rsidRPr="006E7B98">
        <w:rPr>
          <w:sz w:val="22"/>
        </w:rPr>
        <w:t>major</w:t>
      </w:r>
      <w:r w:rsidR="00096008" w:rsidRPr="006E7B98">
        <w:rPr>
          <w:sz w:val="22"/>
        </w:rPr>
        <w:t xml:space="preserve"> categories of expenditure, a list of development projects with th</w:t>
      </w:r>
      <w:r w:rsidR="003A2516" w:rsidRPr="006E7B98">
        <w:rPr>
          <w:sz w:val="22"/>
        </w:rPr>
        <w:t>e</w:t>
      </w:r>
      <w:r w:rsidR="00096008" w:rsidRPr="006E7B98">
        <w:rPr>
          <w:sz w:val="22"/>
        </w:rPr>
        <w:t xml:space="preserve"> highest expenditure, the budget expenditure by departments, </w:t>
      </w:r>
      <w:r w:rsidR="009D21FC">
        <w:rPr>
          <w:sz w:val="22"/>
        </w:rPr>
        <w:t>and so on</w:t>
      </w:r>
      <w:r w:rsidR="00096008" w:rsidRPr="006E7B98">
        <w:rPr>
          <w:sz w:val="22"/>
        </w:rPr>
        <w:t>.</w:t>
      </w:r>
    </w:p>
    <w:p w14:paraId="029E868C" w14:textId="03DBEF82" w:rsidR="00776E84" w:rsidRPr="006E7B98" w:rsidRDefault="003A04F0" w:rsidP="00EE1698">
      <w:pPr>
        <w:spacing w:after="240"/>
        <w:rPr>
          <w:sz w:val="22"/>
        </w:rPr>
      </w:pPr>
      <w:r w:rsidRPr="006E7B98">
        <w:rPr>
          <w:sz w:val="22"/>
        </w:rPr>
        <w:t>In summary, t</w:t>
      </w:r>
      <w:r w:rsidR="00DB3114" w:rsidRPr="006E7B98">
        <w:rPr>
          <w:sz w:val="22"/>
        </w:rPr>
        <w:t xml:space="preserve">he county government has not established a unit to conduct performance evaluation and has limitations in terms </w:t>
      </w:r>
      <w:r w:rsidR="001D510A">
        <w:rPr>
          <w:sz w:val="22"/>
        </w:rPr>
        <w:t xml:space="preserve">of </w:t>
      </w:r>
      <w:r w:rsidR="00DB3114" w:rsidRPr="006E7B98">
        <w:rPr>
          <w:sz w:val="22"/>
        </w:rPr>
        <w:t>human capacity to prepare performance evaluation reports for each service delivery unit that received funding.</w:t>
      </w:r>
      <w:r w:rsidR="00E56226" w:rsidRPr="006E7B98">
        <w:rPr>
          <w:sz w:val="22"/>
        </w:rPr>
        <w:t xml:space="preserve"> </w:t>
      </w:r>
    </w:p>
    <w:p w14:paraId="75F7E99B" w14:textId="26C2EE93" w:rsidR="00776E84" w:rsidRPr="006E7B98" w:rsidRDefault="00776E84" w:rsidP="00776E84">
      <w:pPr>
        <w:ind w:left="360" w:hanging="360"/>
        <w:rPr>
          <w:b/>
          <w:sz w:val="22"/>
        </w:rPr>
      </w:pPr>
      <w:r w:rsidRPr="006E7B98">
        <w:rPr>
          <w:b/>
          <w:sz w:val="22"/>
        </w:rPr>
        <w:t>Dimension rating = D</w:t>
      </w:r>
    </w:p>
    <w:p w14:paraId="22D183EF" w14:textId="77777777" w:rsidR="008F1917" w:rsidRPr="00890A84" w:rsidRDefault="00642525" w:rsidP="00BA6B2B">
      <w:pPr>
        <w:pStyle w:val="Heading5"/>
      </w:pPr>
      <w:r w:rsidRPr="00890A84">
        <w:t>PI-</w:t>
      </w:r>
      <w:r w:rsidR="008F1917" w:rsidRPr="00890A84">
        <w:t xml:space="preserve">8.3. Resources received by service delivery units </w:t>
      </w:r>
    </w:p>
    <w:p w14:paraId="12B31A7D" w14:textId="035B46AE" w:rsidR="001D2B72" w:rsidRPr="006E7B98" w:rsidRDefault="001D2B72" w:rsidP="00EE1698">
      <w:pPr>
        <w:spacing w:after="240"/>
        <w:rPr>
          <w:sz w:val="22"/>
        </w:rPr>
      </w:pPr>
      <w:r w:rsidRPr="006E7B98">
        <w:rPr>
          <w:sz w:val="22"/>
        </w:rPr>
        <w:t xml:space="preserve">Budget allocation </w:t>
      </w:r>
      <w:r w:rsidR="00BA5059" w:rsidRPr="006E7B98">
        <w:rPr>
          <w:sz w:val="22"/>
        </w:rPr>
        <w:t>o</w:t>
      </w:r>
      <w:r w:rsidRPr="006E7B98">
        <w:rPr>
          <w:sz w:val="22"/>
        </w:rPr>
        <w:t>f</w:t>
      </w:r>
      <w:r w:rsidR="00BA5059" w:rsidRPr="006E7B98">
        <w:rPr>
          <w:sz w:val="22"/>
        </w:rPr>
        <w:t xml:space="preserve"> resources received by </w:t>
      </w:r>
      <w:r w:rsidRPr="006E7B98">
        <w:rPr>
          <w:sz w:val="22"/>
        </w:rPr>
        <w:t xml:space="preserve">ministries </w:t>
      </w:r>
      <w:r w:rsidR="00BA5059" w:rsidRPr="006E7B98">
        <w:rPr>
          <w:sz w:val="22"/>
        </w:rPr>
        <w:t xml:space="preserve">is </w:t>
      </w:r>
      <w:r w:rsidRPr="006E7B98">
        <w:rPr>
          <w:sz w:val="22"/>
        </w:rPr>
        <w:t>reported</w:t>
      </w:r>
      <w:r w:rsidR="00BA5059" w:rsidRPr="006E7B98">
        <w:rPr>
          <w:sz w:val="22"/>
        </w:rPr>
        <w:t xml:space="preserve"> in the </w:t>
      </w:r>
      <w:r w:rsidR="0047250B">
        <w:rPr>
          <w:sz w:val="22"/>
        </w:rPr>
        <w:t>B</w:t>
      </w:r>
      <w:r w:rsidR="00BA5059" w:rsidRPr="006E7B98">
        <w:rPr>
          <w:sz w:val="22"/>
        </w:rPr>
        <w:t xml:space="preserve">udget </w:t>
      </w:r>
      <w:r w:rsidR="0047250B">
        <w:rPr>
          <w:sz w:val="22"/>
        </w:rPr>
        <w:t>I</w:t>
      </w:r>
      <w:r w:rsidR="00BA5059" w:rsidRPr="006E7B98">
        <w:rPr>
          <w:sz w:val="22"/>
        </w:rPr>
        <w:t xml:space="preserve">mplementation </w:t>
      </w:r>
      <w:r w:rsidR="0047250B">
        <w:rPr>
          <w:sz w:val="22"/>
        </w:rPr>
        <w:t>R</w:t>
      </w:r>
      <w:r w:rsidR="00BA5059" w:rsidRPr="006E7B98">
        <w:rPr>
          <w:sz w:val="22"/>
        </w:rPr>
        <w:t xml:space="preserve">eview </w:t>
      </w:r>
      <w:r w:rsidR="0047250B">
        <w:rPr>
          <w:sz w:val="22"/>
        </w:rPr>
        <w:t>R</w:t>
      </w:r>
      <w:r w:rsidR="00BA5059" w:rsidRPr="006E7B98">
        <w:rPr>
          <w:sz w:val="22"/>
        </w:rPr>
        <w:t>eports</w:t>
      </w:r>
      <w:r w:rsidR="00E14DFD" w:rsidRPr="006E7B98">
        <w:rPr>
          <w:sz w:val="22"/>
        </w:rPr>
        <w:t xml:space="preserve"> (BIRR</w:t>
      </w:r>
      <w:r w:rsidR="001D510A">
        <w:rPr>
          <w:sz w:val="22"/>
        </w:rPr>
        <w:t>s</w:t>
      </w:r>
      <w:r w:rsidR="00E14DFD" w:rsidRPr="006E7B98">
        <w:rPr>
          <w:sz w:val="22"/>
        </w:rPr>
        <w:t>)</w:t>
      </w:r>
      <w:r w:rsidRPr="006E7B98">
        <w:rPr>
          <w:sz w:val="22"/>
        </w:rPr>
        <w:t xml:space="preserve"> produced quarterly by the C</w:t>
      </w:r>
      <w:r w:rsidR="001D510A">
        <w:rPr>
          <w:sz w:val="22"/>
        </w:rPr>
        <w:t>O</w:t>
      </w:r>
      <w:r w:rsidRPr="006E7B98">
        <w:rPr>
          <w:sz w:val="22"/>
        </w:rPr>
        <w:t>B</w:t>
      </w:r>
      <w:r w:rsidR="00BA5059" w:rsidRPr="006E7B98">
        <w:rPr>
          <w:sz w:val="22"/>
        </w:rPr>
        <w:t xml:space="preserve">, but the </w:t>
      </w:r>
      <w:r w:rsidRPr="006E7B98">
        <w:rPr>
          <w:sz w:val="22"/>
        </w:rPr>
        <w:t xml:space="preserve">only performance </w:t>
      </w:r>
      <w:r w:rsidR="00B16FA8" w:rsidRPr="006E7B98">
        <w:rPr>
          <w:sz w:val="22"/>
        </w:rPr>
        <w:t>indicator presented in</w:t>
      </w:r>
      <w:r w:rsidRPr="006E7B98">
        <w:rPr>
          <w:sz w:val="22"/>
        </w:rPr>
        <w:t xml:space="preserve"> the report is the e</w:t>
      </w:r>
      <w:r w:rsidR="002014A5" w:rsidRPr="006E7B98">
        <w:rPr>
          <w:sz w:val="22"/>
        </w:rPr>
        <w:t>xpenditure</w:t>
      </w:r>
      <w:r w:rsidRPr="006E7B98">
        <w:rPr>
          <w:sz w:val="22"/>
        </w:rPr>
        <w:t xml:space="preserve"> to b</w:t>
      </w:r>
      <w:r w:rsidR="002014A5" w:rsidRPr="006E7B98">
        <w:rPr>
          <w:sz w:val="22"/>
        </w:rPr>
        <w:t>udget</w:t>
      </w:r>
      <w:r w:rsidRPr="006E7B98">
        <w:rPr>
          <w:sz w:val="22"/>
        </w:rPr>
        <w:t xml:space="preserve"> a</w:t>
      </w:r>
      <w:r w:rsidR="002014A5" w:rsidRPr="006E7B98">
        <w:rPr>
          <w:sz w:val="22"/>
        </w:rPr>
        <w:t>llocation</w:t>
      </w:r>
      <w:r w:rsidRPr="006E7B98">
        <w:rPr>
          <w:sz w:val="22"/>
        </w:rPr>
        <w:t xml:space="preserve"> a</w:t>
      </w:r>
      <w:r w:rsidR="002014A5" w:rsidRPr="006E7B98">
        <w:rPr>
          <w:sz w:val="22"/>
        </w:rPr>
        <w:t>bsorption</w:t>
      </w:r>
      <w:r w:rsidRPr="006E7B98">
        <w:rPr>
          <w:sz w:val="22"/>
        </w:rPr>
        <w:t xml:space="preserve"> </w:t>
      </w:r>
      <w:r w:rsidR="002014A5" w:rsidRPr="006E7B98">
        <w:rPr>
          <w:sz w:val="22"/>
        </w:rPr>
        <w:t>rate</w:t>
      </w:r>
      <w:r w:rsidRPr="006E7B98">
        <w:rPr>
          <w:sz w:val="22"/>
        </w:rPr>
        <w:t xml:space="preserve">. </w:t>
      </w:r>
      <w:r w:rsidR="00333A7D" w:rsidRPr="006E7B98">
        <w:rPr>
          <w:sz w:val="22"/>
        </w:rPr>
        <w:t xml:space="preserve">No report presents </w:t>
      </w:r>
      <w:bookmarkStart w:id="84" w:name="_Hlk526600242"/>
      <w:r w:rsidR="00333A7D" w:rsidRPr="006E7B98">
        <w:rPr>
          <w:sz w:val="22"/>
        </w:rPr>
        <w:t>the amount of resources received by frontline service delivery units</w:t>
      </w:r>
      <w:bookmarkEnd w:id="84"/>
      <w:r w:rsidR="00333A7D" w:rsidRPr="006E7B98">
        <w:rPr>
          <w:sz w:val="22"/>
        </w:rPr>
        <w:t>, performing activities on the behalf of the ministries.</w:t>
      </w:r>
    </w:p>
    <w:p w14:paraId="5C43E3BA" w14:textId="77777777" w:rsidR="00D7430A" w:rsidRPr="006E7B98" w:rsidRDefault="00035673" w:rsidP="00EE1698">
      <w:pPr>
        <w:spacing w:after="240"/>
        <w:rPr>
          <w:sz w:val="22"/>
        </w:rPr>
      </w:pPr>
      <w:r w:rsidRPr="006E7B98">
        <w:rPr>
          <w:sz w:val="22"/>
        </w:rPr>
        <w:t xml:space="preserve">In summary, </w:t>
      </w:r>
      <w:r w:rsidR="00333A7D" w:rsidRPr="006E7B98">
        <w:rPr>
          <w:sz w:val="22"/>
        </w:rPr>
        <w:t>no reports avail the amount of resources received by frontline service delivery units</w:t>
      </w:r>
      <w:r w:rsidR="00415351" w:rsidRPr="006E7B98">
        <w:rPr>
          <w:sz w:val="22"/>
        </w:rPr>
        <w:t>.</w:t>
      </w:r>
      <w:r w:rsidR="00E56226" w:rsidRPr="006E7B98">
        <w:rPr>
          <w:sz w:val="22"/>
        </w:rPr>
        <w:t xml:space="preserve"> </w:t>
      </w:r>
    </w:p>
    <w:p w14:paraId="79F97E34" w14:textId="5FB33908" w:rsidR="00D7430A" w:rsidRPr="006E7B98" w:rsidRDefault="00D7430A" w:rsidP="00D7430A">
      <w:pPr>
        <w:ind w:left="360" w:hanging="360"/>
        <w:rPr>
          <w:b/>
          <w:sz w:val="22"/>
        </w:rPr>
      </w:pPr>
      <w:r w:rsidRPr="006E7B98">
        <w:rPr>
          <w:b/>
          <w:sz w:val="22"/>
        </w:rPr>
        <w:t>Dimension rating = D</w:t>
      </w:r>
    </w:p>
    <w:p w14:paraId="74E27877" w14:textId="425243D8" w:rsidR="008F1917" w:rsidRPr="00890A84" w:rsidRDefault="00642525" w:rsidP="00BA6B2B">
      <w:pPr>
        <w:pStyle w:val="Heading5"/>
      </w:pPr>
      <w:r w:rsidRPr="00890A84">
        <w:t>PI-</w:t>
      </w:r>
      <w:r w:rsidR="008F1917" w:rsidRPr="00890A84">
        <w:t xml:space="preserve">8.4. Performance evaluation for service delivery </w:t>
      </w:r>
    </w:p>
    <w:p w14:paraId="2F3452E9" w14:textId="7E999DC3" w:rsidR="008F1917" w:rsidRPr="006E7B98" w:rsidRDefault="00596DF9" w:rsidP="00EE1698">
      <w:pPr>
        <w:spacing w:after="240"/>
        <w:rPr>
          <w:sz w:val="22"/>
        </w:rPr>
      </w:pPr>
      <w:r w:rsidRPr="006E7B98">
        <w:rPr>
          <w:sz w:val="22"/>
        </w:rPr>
        <w:t xml:space="preserve">The county does not have a </w:t>
      </w:r>
      <w:r w:rsidR="008F1917" w:rsidRPr="006E7B98">
        <w:rPr>
          <w:sz w:val="22"/>
        </w:rPr>
        <w:t>Monitoring and Evaluation Department to evaluate service delivery in all aspects</w:t>
      </w:r>
      <w:r w:rsidRPr="006E7B98">
        <w:rPr>
          <w:sz w:val="22"/>
        </w:rPr>
        <w:t>. The CBROP has a r</w:t>
      </w:r>
      <w:r w:rsidR="00897EF6" w:rsidRPr="006E7B98">
        <w:rPr>
          <w:sz w:val="22"/>
        </w:rPr>
        <w:t>evenue analysis section showing the estimated and a</w:t>
      </w:r>
      <w:r w:rsidR="008F1917" w:rsidRPr="006E7B98">
        <w:rPr>
          <w:sz w:val="22"/>
        </w:rPr>
        <w:t>ctual revenue performance for each stream and type and the challenges of underperformance and mitigation address</w:t>
      </w:r>
      <w:r w:rsidR="007C0845" w:rsidRPr="006E7B98">
        <w:rPr>
          <w:sz w:val="22"/>
        </w:rPr>
        <w:t>ing</w:t>
      </w:r>
      <w:r w:rsidR="008F1917" w:rsidRPr="006E7B98">
        <w:rPr>
          <w:sz w:val="22"/>
        </w:rPr>
        <w:t xml:space="preserve"> the shortfall to boost collection. The expenditure section</w:t>
      </w:r>
      <w:r w:rsidR="007C0845" w:rsidRPr="006E7B98">
        <w:rPr>
          <w:sz w:val="22"/>
        </w:rPr>
        <w:t xml:space="preserve"> gives</w:t>
      </w:r>
      <w:r w:rsidR="008F1917" w:rsidRPr="006E7B98">
        <w:rPr>
          <w:sz w:val="22"/>
        </w:rPr>
        <w:t xml:space="preserve"> the ceiling</w:t>
      </w:r>
      <w:r w:rsidR="008F5984" w:rsidRPr="006E7B98">
        <w:rPr>
          <w:sz w:val="22"/>
        </w:rPr>
        <w:t>,</w:t>
      </w:r>
      <w:r w:rsidR="008F1917" w:rsidRPr="006E7B98">
        <w:rPr>
          <w:sz w:val="22"/>
        </w:rPr>
        <w:t xml:space="preserve"> the variances</w:t>
      </w:r>
      <w:r w:rsidR="001D510A">
        <w:rPr>
          <w:sz w:val="22"/>
        </w:rPr>
        <w:t>,</w:t>
      </w:r>
      <w:r w:rsidR="008F1917" w:rsidRPr="006E7B98">
        <w:rPr>
          <w:sz w:val="22"/>
        </w:rPr>
        <w:t xml:space="preserve"> and reasons for </w:t>
      </w:r>
      <w:r w:rsidR="009E3EF3" w:rsidRPr="006E7B98">
        <w:rPr>
          <w:sz w:val="22"/>
        </w:rPr>
        <w:t>underutili</w:t>
      </w:r>
      <w:r w:rsidR="004F5FBA" w:rsidRPr="006E7B98">
        <w:rPr>
          <w:sz w:val="22"/>
        </w:rPr>
        <w:t>z</w:t>
      </w:r>
      <w:r w:rsidR="009E3EF3" w:rsidRPr="006E7B98">
        <w:rPr>
          <w:sz w:val="22"/>
        </w:rPr>
        <w:t>ation.</w:t>
      </w:r>
    </w:p>
    <w:p w14:paraId="59F2B2AC" w14:textId="3A85EC6F" w:rsidR="00D7430A" w:rsidRPr="006E7B98" w:rsidRDefault="00AE7C64" w:rsidP="00EE1698">
      <w:pPr>
        <w:spacing w:after="240"/>
        <w:rPr>
          <w:sz w:val="22"/>
        </w:rPr>
      </w:pPr>
      <w:r w:rsidRPr="006E7B98">
        <w:rPr>
          <w:sz w:val="22"/>
        </w:rPr>
        <w:t xml:space="preserve">In summary, information on resources received by frontline service delivery units is collected and recorded in </w:t>
      </w:r>
      <w:r w:rsidR="001D510A">
        <w:rPr>
          <w:sz w:val="22"/>
        </w:rPr>
        <w:t>BIRR</w:t>
      </w:r>
      <w:r w:rsidRPr="006E7B98">
        <w:rPr>
          <w:sz w:val="22"/>
        </w:rPr>
        <w:t>s, but the source of funds is not included. Evaluation of the efficiency or effectiveness of the service delivery units ha</w:t>
      </w:r>
      <w:r w:rsidR="001D510A">
        <w:rPr>
          <w:sz w:val="22"/>
        </w:rPr>
        <w:t>s</w:t>
      </w:r>
      <w:r w:rsidRPr="006E7B98">
        <w:rPr>
          <w:sz w:val="22"/>
        </w:rPr>
        <w:t xml:space="preserve"> not been carried out for the last three </w:t>
      </w:r>
      <w:r w:rsidR="001D510A">
        <w:rPr>
          <w:sz w:val="22"/>
        </w:rPr>
        <w:t>FY</w:t>
      </w:r>
      <w:r w:rsidRPr="006E7B98">
        <w:rPr>
          <w:sz w:val="22"/>
        </w:rPr>
        <w:t>s.</w:t>
      </w:r>
      <w:r w:rsidR="00B8438A" w:rsidRPr="006E7B98">
        <w:rPr>
          <w:sz w:val="22"/>
        </w:rPr>
        <w:t xml:space="preserve"> </w:t>
      </w:r>
    </w:p>
    <w:p w14:paraId="31F67E1D" w14:textId="3ECC20DC" w:rsidR="00D7430A" w:rsidRPr="006E7B98" w:rsidRDefault="00D7430A" w:rsidP="00BA08FC">
      <w:pPr>
        <w:spacing w:after="240"/>
        <w:ind w:left="360" w:hanging="360"/>
        <w:rPr>
          <w:b/>
          <w:sz w:val="22"/>
        </w:rPr>
      </w:pPr>
      <w:r w:rsidRPr="006E7B98">
        <w:rPr>
          <w:b/>
          <w:sz w:val="22"/>
        </w:rPr>
        <w:t>Dimension rating = D</w:t>
      </w:r>
    </w:p>
    <w:p w14:paraId="05FB4134" w14:textId="77777777" w:rsidR="00BB1084" w:rsidRPr="00890A84" w:rsidRDefault="00BB1084" w:rsidP="00590C8E">
      <w:pPr>
        <w:pStyle w:val="Heading4"/>
      </w:pPr>
      <w:r w:rsidRPr="00890A84">
        <w:t>PI-9. Public access to fiscal information</w:t>
      </w:r>
    </w:p>
    <w:p w14:paraId="7373881C" w14:textId="77777777" w:rsidR="003E5B0C" w:rsidRPr="00890A84" w:rsidRDefault="003E5B0C" w:rsidP="00BA6B2B">
      <w:pPr>
        <w:pStyle w:val="Heading5"/>
      </w:pPr>
      <w:r>
        <w:t>Summary of scores and performance table</w:t>
      </w:r>
    </w:p>
    <w:tbl>
      <w:tblPr>
        <w:tblW w:w="935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20" w:firstRow="1" w:lastRow="0" w:firstColumn="0" w:lastColumn="0" w:noHBand="1" w:noVBand="1"/>
      </w:tblPr>
      <w:tblGrid>
        <w:gridCol w:w="3510"/>
        <w:gridCol w:w="454"/>
        <w:gridCol w:w="5387"/>
      </w:tblGrid>
      <w:tr w:rsidR="003E5B0C" w:rsidRPr="006E7B98" w14:paraId="49CA15F0" w14:textId="77777777" w:rsidTr="003A5747">
        <w:trPr>
          <w:trHeight w:val="548"/>
        </w:trPr>
        <w:tc>
          <w:tcPr>
            <w:tcW w:w="0" w:type="dxa"/>
            <w:shd w:val="clear" w:color="auto" w:fill="5B9BD5"/>
          </w:tcPr>
          <w:p w14:paraId="32399F05" w14:textId="75B11455" w:rsidR="003E5B0C" w:rsidRPr="006E7B98" w:rsidRDefault="003E5B0C" w:rsidP="00BA08FC">
            <w:pPr>
              <w:jc w:val="center"/>
              <w:rPr>
                <w:b/>
                <w:color w:val="FFFFFF" w:themeColor="background1"/>
                <w:sz w:val="20"/>
                <w:szCs w:val="20"/>
              </w:rPr>
            </w:pPr>
            <w:r w:rsidRPr="006E7B98">
              <w:rPr>
                <w:b/>
                <w:color w:val="FFFFFF" w:themeColor="background1"/>
                <w:sz w:val="20"/>
                <w:szCs w:val="20"/>
              </w:rPr>
              <w:t>PI-9</w:t>
            </w:r>
            <w:r w:rsidR="001D510A">
              <w:rPr>
                <w:b/>
                <w:color w:val="FFFFFF" w:themeColor="background1"/>
                <w:sz w:val="20"/>
                <w:szCs w:val="20"/>
              </w:rPr>
              <w:t>.</w:t>
            </w:r>
            <w:r w:rsidRPr="006E7B98">
              <w:rPr>
                <w:b/>
                <w:color w:val="FFFFFF" w:themeColor="background1"/>
                <w:sz w:val="20"/>
                <w:szCs w:val="20"/>
              </w:rPr>
              <w:t xml:space="preserve"> Public access to fiscal information (M1)</w:t>
            </w:r>
          </w:p>
        </w:tc>
        <w:tc>
          <w:tcPr>
            <w:tcW w:w="454" w:type="dxa"/>
            <w:shd w:val="clear" w:color="auto" w:fill="5B9BD5"/>
          </w:tcPr>
          <w:p w14:paraId="67965E9A" w14:textId="77777777" w:rsidR="003E5B0C" w:rsidRPr="006E7B98" w:rsidRDefault="003E5B0C" w:rsidP="00BA08FC">
            <w:pPr>
              <w:jc w:val="center"/>
              <w:rPr>
                <w:b/>
                <w:color w:val="FFFFFF" w:themeColor="background1"/>
                <w:sz w:val="20"/>
                <w:szCs w:val="20"/>
              </w:rPr>
            </w:pPr>
            <w:r w:rsidRPr="006E7B98">
              <w:rPr>
                <w:b/>
                <w:color w:val="FFFFFF" w:themeColor="background1"/>
                <w:sz w:val="20"/>
                <w:szCs w:val="20"/>
              </w:rPr>
              <w:t>D</w:t>
            </w:r>
          </w:p>
        </w:tc>
        <w:tc>
          <w:tcPr>
            <w:tcW w:w="5387" w:type="dxa"/>
            <w:shd w:val="clear" w:color="auto" w:fill="5B9BD5"/>
          </w:tcPr>
          <w:p w14:paraId="0EB82758" w14:textId="77777777" w:rsidR="003E5B0C" w:rsidRPr="006E7B98" w:rsidRDefault="003E5B0C" w:rsidP="00BA08FC">
            <w:pPr>
              <w:jc w:val="center"/>
              <w:rPr>
                <w:b/>
                <w:color w:val="FFFFFF" w:themeColor="background1"/>
                <w:sz w:val="20"/>
                <w:szCs w:val="20"/>
              </w:rPr>
            </w:pPr>
            <w:r w:rsidRPr="006E7B98">
              <w:rPr>
                <w:b/>
                <w:color w:val="FFFFFF" w:themeColor="background1"/>
                <w:sz w:val="20"/>
                <w:szCs w:val="20"/>
              </w:rPr>
              <w:t>Brief justification for score</w:t>
            </w:r>
          </w:p>
        </w:tc>
      </w:tr>
      <w:tr w:rsidR="003E5B0C" w:rsidRPr="006E7B98" w14:paraId="782E18AA" w14:textId="77777777" w:rsidTr="003A5747">
        <w:trPr>
          <w:trHeight w:val="413"/>
        </w:trPr>
        <w:tc>
          <w:tcPr>
            <w:tcW w:w="3510" w:type="dxa"/>
            <w:shd w:val="clear" w:color="auto" w:fill="auto"/>
          </w:tcPr>
          <w:p w14:paraId="68B87027" w14:textId="77777777" w:rsidR="003E5B0C" w:rsidRPr="006E7B98" w:rsidRDefault="003E5B0C" w:rsidP="006E7B98">
            <w:pPr>
              <w:jc w:val="left"/>
              <w:rPr>
                <w:sz w:val="20"/>
                <w:szCs w:val="20"/>
              </w:rPr>
            </w:pPr>
            <w:r w:rsidRPr="006E7B98">
              <w:rPr>
                <w:sz w:val="20"/>
                <w:szCs w:val="20"/>
              </w:rPr>
              <w:t xml:space="preserve">9.1 Public access to fiscal information </w:t>
            </w:r>
          </w:p>
        </w:tc>
        <w:tc>
          <w:tcPr>
            <w:tcW w:w="454" w:type="dxa"/>
            <w:shd w:val="clear" w:color="auto" w:fill="auto"/>
          </w:tcPr>
          <w:p w14:paraId="06B36B74" w14:textId="2565F864" w:rsidR="003E5B0C" w:rsidRPr="006E7B98" w:rsidRDefault="003E5B0C" w:rsidP="001D510A">
            <w:pPr>
              <w:jc w:val="center"/>
              <w:rPr>
                <w:sz w:val="20"/>
                <w:szCs w:val="20"/>
              </w:rPr>
            </w:pPr>
            <w:r w:rsidRPr="006E7B98">
              <w:rPr>
                <w:sz w:val="20"/>
                <w:szCs w:val="20"/>
              </w:rPr>
              <w:t>D</w:t>
            </w:r>
          </w:p>
        </w:tc>
        <w:tc>
          <w:tcPr>
            <w:tcW w:w="5387" w:type="dxa"/>
            <w:shd w:val="clear" w:color="auto" w:fill="auto"/>
          </w:tcPr>
          <w:p w14:paraId="2C2DE81B" w14:textId="77777777" w:rsidR="003E5B0C" w:rsidRPr="006E7B98" w:rsidRDefault="003E5B0C" w:rsidP="006E7B98">
            <w:pPr>
              <w:jc w:val="left"/>
              <w:rPr>
                <w:sz w:val="20"/>
                <w:szCs w:val="20"/>
              </w:rPr>
            </w:pPr>
            <w:r w:rsidRPr="006E7B98">
              <w:rPr>
                <w:sz w:val="20"/>
                <w:szCs w:val="20"/>
              </w:rPr>
              <w:t>Public access to fiscal information does not fulfil any basic element and fulfils only one additional element.</w:t>
            </w:r>
          </w:p>
        </w:tc>
      </w:tr>
    </w:tbl>
    <w:p w14:paraId="1B752F31" w14:textId="77777777" w:rsidR="003E5B0C" w:rsidRPr="00890A84" w:rsidRDefault="003E5B0C" w:rsidP="003E5B0C"/>
    <w:p w14:paraId="2D4FCDA4" w14:textId="5CF3B55C" w:rsidR="00D42D4D" w:rsidRPr="00890A84" w:rsidRDefault="00867DDD" w:rsidP="00BA6B2B">
      <w:pPr>
        <w:pStyle w:val="Heading5"/>
      </w:pPr>
      <w:r w:rsidRPr="00890A84">
        <w:t>PI-</w:t>
      </w:r>
      <w:r w:rsidR="00D42D4D" w:rsidRPr="00890A84">
        <w:t xml:space="preserve">9.1 Public </w:t>
      </w:r>
      <w:r w:rsidR="00552A7E">
        <w:t>a</w:t>
      </w:r>
      <w:r w:rsidR="00D42D4D" w:rsidRPr="00890A84">
        <w:t xml:space="preserve">ccess to </w:t>
      </w:r>
      <w:r w:rsidR="00552A7E">
        <w:t>f</w:t>
      </w:r>
      <w:r w:rsidR="00D42D4D" w:rsidRPr="00890A84">
        <w:t xml:space="preserve">iscal </w:t>
      </w:r>
      <w:r w:rsidR="00552A7E">
        <w:t>i</w:t>
      </w:r>
      <w:r w:rsidR="00D42D4D" w:rsidRPr="00890A84">
        <w:t xml:space="preserve">nformation </w:t>
      </w:r>
    </w:p>
    <w:p w14:paraId="6990CDEA" w14:textId="5B03344F" w:rsidR="0071129E" w:rsidRPr="006E7B98" w:rsidRDefault="00D42D4D" w:rsidP="00EE1698">
      <w:pPr>
        <w:spacing w:after="240"/>
        <w:rPr>
          <w:sz w:val="22"/>
        </w:rPr>
      </w:pPr>
      <w:r w:rsidRPr="006E7B98">
        <w:rPr>
          <w:sz w:val="22"/>
        </w:rPr>
        <w:t>During the preparation and approval process of the annual budget</w:t>
      </w:r>
      <w:r w:rsidR="00897EF6" w:rsidRPr="006E7B98">
        <w:rPr>
          <w:sz w:val="22"/>
        </w:rPr>
        <w:t>,</w:t>
      </w:r>
      <w:r w:rsidRPr="006E7B98">
        <w:rPr>
          <w:sz w:val="22"/>
        </w:rPr>
        <w:t xml:space="preserve"> the public parti</w:t>
      </w:r>
      <w:r w:rsidR="00950BEC" w:rsidRPr="006E7B98">
        <w:rPr>
          <w:sz w:val="22"/>
        </w:rPr>
        <w:t>cipates through various forums</w:t>
      </w:r>
      <w:r w:rsidRPr="006E7B98">
        <w:rPr>
          <w:sz w:val="22"/>
        </w:rPr>
        <w:t xml:space="preserve">. </w:t>
      </w:r>
      <w:r w:rsidR="00897EF6" w:rsidRPr="006E7B98">
        <w:rPr>
          <w:sz w:val="22"/>
        </w:rPr>
        <w:t xml:space="preserve">The </w:t>
      </w:r>
      <w:r w:rsidRPr="006E7B98">
        <w:rPr>
          <w:sz w:val="22"/>
        </w:rPr>
        <w:t xml:space="preserve">Appropriation Act </w:t>
      </w:r>
      <w:r w:rsidR="00897EF6" w:rsidRPr="006E7B98">
        <w:rPr>
          <w:sz w:val="22"/>
        </w:rPr>
        <w:t>is</w:t>
      </w:r>
      <w:r w:rsidRPr="006E7B98">
        <w:rPr>
          <w:sz w:val="22"/>
        </w:rPr>
        <w:t xml:space="preserve"> gazetted and </w:t>
      </w:r>
      <w:r w:rsidR="00897EF6" w:rsidRPr="006E7B98">
        <w:rPr>
          <w:sz w:val="22"/>
        </w:rPr>
        <w:t xml:space="preserve">made </w:t>
      </w:r>
      <w:r w:rsidRPr="006E7B98">
        <w:rPr>
          <w:sz w:val="22"/>
        </w:rPr>
        <w:t>available</w:t>
      </w:r>
      <w:r w:rsidR="00897EF6" w:rsidRPr="006E7B98">
        <w:rPr>
          <w:sz w:val="22"/>
        </w:rPr>
        <w:t xml:space="preserve"> to</w:t>
      </w:r>
      <w:r w:rsidRPr="006E7B98">
        <w:rPr>
          <w:sz w:val="22"/>
        </w:rPr>
        <w:t xml:space="preserve"> the public</w:t>
      </w:r>
      <w:r w:rsidR="00897EF6" w:rsidRPr="006E7B98">
        <w:rPr>
          <w:sz w:val="22"/>
        </w:rPr>
        <w:t xml:space="preserve"> but was</w:t>
      </w:r>
      <w:r w:rsidRPr="006E7B98">
        <w:rPr>
          <w:sz w:val="22"/>
        </w:rPr>
        <w:t xml:space="preserve"> not available </w:t>
      </w:r>
      <w:r w:rsidR="0047250B">
        <w:rPr>
          <w:sz w:val="22"/>
        </w:rPr>
        <w:t>o</w:t>
      </w:r>
      <w:r w:rsidRPr="006E7B98">
        <w:rPr>
          <w:sz w:val="22"/>
        </w:rPr>
        <w:t xml:space="preserve">n the </w:t>
      </w:r>
      <w:r w:rsidR="00897EF6" w:rsidRPr="006E7B98">
        <w:rPr>
          <w:sz w:val="22"/>
        </w:rPr>
        <w:t>c</w:t>
      </w:r>
      <w:r w:rsidRPr="006E7B98">
        <w:rPr>
          <w:sz w:val="22"/>
        </w:rPr>
        <w:t xml:space="preserve">ounty </w:t>
      </w:r>
      <w:r w:rsidR="00897EF6" w:rsidRPr="006E7B98">
        <w:rPr>
          <w:sz w:val="22"/>
        </w:rPr>
        <w:t>g</w:t>
      </w:r>
      <w:r w:rsidRPr="006E7B98">
        <w:rPr>
          <w:sz w:val="22"/>
        </w:rPr>
        <w:t>overnment website</w:t>
      </w:r>
      <w:r w:rsidR="0047250B">
        <w:rPr>
          <w:sz w:val="22"/>
        </w:rPr>
        <w:t>,</w:t>
      </w:r>
      <w:r w:rsidR="00834899" w:rsidRPr="006E7B98">
        <w:rPr>
          <w:sz w:val="22"/>
        </w:rPr>
        <w:t xml:space="preserve"> https://www.kajiado.go.ke</w:t>
      </w:r>
      <w:r w:rsidR="0047250B">
        <w:rPr>
          <w:sz w:val="22"/>
        </w:rPr>
        <w:t>,</w:t>
      </w:r>
      <w:r w:rsidRPr="006E7B98">
        <w:rPr>
          <w:sz w:val="22"/>
        </w:rPr>
        <w:t xml:space="preserve"> or </w:t>
      </w:r>
      <w:r w:rsidR="00897EF6" w:rsidRPr="006E7B98">
        <w:rPr>
          <w:sz w:val="22"/>
        </w:rPr>
        <w:t xml:space="preserve">the </w:t>
      </w:r>
      <w:r w:rsidR="0047250B">
        <w:rPr>
          <w:sz w:val="22"/>
        </w:rPr>
        <w:t>s</w:t>
      </w:r>
      <w:r w:rsidR="00897EF6" w:rsidRPr="006E7B98">
        <w:rPr>
          <w:sz w:val="22"/>
        </w:rPr>
        <w:t>ubc</w:t>
      </w:r>
      <w:r w:rsidRPr="006E7B98">
        <w:rPr>
          <w:sz w:val="22"/>
        </w:rPr>
        <w:t>ounty notice boards</w:t>
      </w:r>
      <w:r w:rsidR="00897EF6" w:rsidRPr="006E7B98">
        <w:rPr>
          <w:sz w:val="22"/>
        </w:rPr>
        <w:t xml:space="preserve">. </w:t>
      </w:r>
      <w:r w:rsidRPr="006E7B98">
        <w:rPr>
          <w:sz w:val="22"/>
        </w:rPr>
        <w:t>The County Assembly has a library where the document</w:t>
      </w:r>
      <w:r w:rsidR="00897EF6" w:rsidRPr="006E7B98">
        <w:rPr>
          <w:sz w:val="22"/>
        </w:rPr>
        <w:t>s</w:t>
      </w:r>
      <w:r w:rsidRPr="006E7B98">
        <w:rPr>
          <w:sz w:val="22"/>
        </w:rPr>
        <w:t xml:space="preserve"> may be accessed by the public. </w:t>
      </w:r>
    </w:p>
    <w:p w14:paraId="733872D4" w14:textId="0264C268" w:rsidR="00834899" w:rsidRPr="006E7B98" w:rsidRDefault="00834899" w:rsidP="00EE1698">
      <w:pPr>
        <w:spacing w:after="240"/>
        <w:rPr>
          <w:sz w:val="22"/>
        </w:rPr>
      </w:pPr>
      <w:r w:rsidRPr="006E7B98">
        <w:rPr>
          <w:sz w:val="22"/>
        </w:rPr>
        <w:t xml:space="preserve">In-year and </w:t>
      </w:r>
      <w:r w:rsidR="00FD6956" w:rsidRPr="006E7B98">
        <w:rPr>
          <w:sz w:val="22"/>
        </w:rPr>
        <w:t>annual budget execution report</w:t>
      </w:r>
      <w:r w:rsidR="007C0845" w:rsidRPr="006E7B98">
        <w:rPr>
          <w:sz w:val="22"/>
        </w:rPr>
        <w:t>s</w:t>
      </w:r>
      <w:r w:rsidR="00FD6956" w:rsidRPr="006E7B98">
        <w:rPr>
          <w:sz w:val="22"/>
        </w:rPr>
        <w:t xml:space="preserve"> are not published on the </w:t>
      </w:r>
      <w:r w:rsidR="0047250B">
        <w:rPr>
          <w:sz w:val="22"/>
        </w:rPr>
        <w:t>c</w:t>
      </w:r>
      <w:r w:rsidR="00FD6956" w:rsidRPr="006E7B98">
        <w:rPr>
          <w:sz w:val="22"/>
        </w:rPr>
        <w:t>ounty website</w:t>
      </w:r>
      <w:r w:rsidRPr="006E7B98">
        <w:rPr>
          <w:sz w:val="22"/>
        </w:rPr>
        <w:t xml:space="preserve"> either</w:t>
      </w:r>
      <w:r w:rsidR="00FD6956" w:rsidRPr="006E7B98">
        <w:rPr>
          <w:sz w:val="22"/>
        </w:rPr>
        <w:t xml:space="preserve">. </w:t>
      </w:r>
      <w:r w:rsidR="00D42D4D" w:rsidRPr="006E7B98">
        <w:rPr>
          <w:sz w:val="22"/>
        </w:rPr>
        <w:t>The information is avail</w:t>
      </w:r>
      <w:r w:rsidR="00552A7E">
        <w:rPr>
          <w:sz w:val="22"/>
        </w:rPr>
        <w:t>able</w:t>
      </w:r>
      <w:r w:rsidR="00D42D4D" w:rsidRPr="006E7B98">
        <w:rPr>
          <w:sz w:val="22"/>
        </w:rPr>
        <w:t xml:space="preserve"> </w:t>
      </w:r>
      <w:r w:rsidR="00552A7E" w:rsidRPr="006E7B98">
        <w:rPr>
          <w:sz w:val="22"/>
        </w:rPr>
        <w:t xml:space="preserve">only </w:t>
      </w:r>
      <w:r w:rsidR="00D42D4D" w:rsidRPr="006E7B98">
        <w:rPr>
          <w:sz w:val="22"/>
        </w:rPr>
        <w:t xml:space="preserve">in </w:t>
      </w:r>
      <w:r w:rsidR="00400265" w:rsidRPr="006E7B98">
        <w:rPr>
          <w:sz w:val="22"/>
        </w:rPr>
        <w:t>English,</w:t>
      </w:r>
      <w:r w:rsidR="00D42D4D" w:rsidRPr="006E7B98">
        <w:rPr>
          <w:sz w:val="22"/>
        </w:rPr>
        <w:t xml:space="preserve"> but a translator is engaged during the public participation forum session. </w:t>
      </w:r>
      <w:r w:rsidR="00897EF6" w:rsidRPr="006E7B98">
        <w:rPr>
          <w:sz w:val="22"/>
        </w:rPr>
        <w:t>L</w:t>
      </w:r>
      <w:r w:rsidR="00D42D4D" w:rsidRPr="006E7B98">
        <w:rPr>
          <w:sz w:val="22"/>
        </w:rPr>
        <w:t xml:space="preserve">ocal radio discussions are also </w:t>
      </w:r>
      <w:r w:rsidR="00153D60" w:rsidRPr="006E7B98">
        <w:rPr>
          <w:sz w:val="22"/>
        </w:rPr>
        <w:t>mad</w:t>
      </w:r>
      <w:r w:rsidR="00D42D4D" w:rsidRPr="006E7B98">
        <w:rPr>
          <w:sz w:val="22"/>
        </w:rPr>
        <w:t>e in the local dialect</w:t>
      </w:r>
      <w:r w:rsidR="0047250B">
        <w:rPr>
          <w:sz w:val="22"/>
        </w:rPr>
        <w:t>,</w:t>
      </w:r>
      <w:r w:rsidR="00D42D4D" w:rsidRPr="006E7B98">
        <w:rPr>
          <w:sz w:val="22"/>
        </w:rPr>
        <w:t xml:space="preserve"> where the public </w:t>
      </w:r>
      <w:r w:rsidR="00400265" w:rsidRPr="006E7B98">
        <w:rPr>
          <w:sz w:val="22"/>
        </w:rPr>
        <w:t>can</w:t>
      </w:r>
      <w:r w:rsidR="00D42D4D" w:rsidRPr="006E7B98">
        <w:rPr>
          <w:sz w:val="22"/>
        </w:rPr>
        <w:t xml:space="preserve"> call in and contribute on the fiscal documents before and after </w:t>
      </w:r>
      <w:r w:rsidR="0047250B">
        <w:rPr>
          <w:sz w:val="22"/>
        </w:rPr>
        <w:t xml:space="preserve">they are </w:t>
      </w:r>
      <w:r w:rsidR="00D42D4D" w:rsidRPr="006E7B98">
        <w:rPr>
          <w:sz w:val="22"/>
        </w:rPr>
        <w:t>tabled in the County Assembly.</w:t>
      </w:r>
      <w:r w:rsidR="00ED2A55" w:rsidRPr="006E7B98">
        <w:rPr>
          <w:sz w:val="22"/>
        </w:rPr>
        <w:t xml:space="preserve"> </w:t>
      </w:r>
      <w:r w:rsidR="00CD7F09" w:rsidRPr="006E7B98">
        <w:rPr>
          <w:sz w:val="22"/>
        </w:rPr>
        <w:t xml:space="preserve">The </w:t>
      </w:r>
      <w:r w:rsidR="0047250B">
        <w:rPr>
          <w:sz w:val="22"/>
        </w:rPr>
        <w:t>c</w:t>
      </w:r>
      <w:r w:rsidR="00CD7F09" w:rsidRPr="006E7B98">
        <w:rPr>
          <w:sz w:val="22"/>
        </w:rPr>
        <w:t xml:space="preserve">ounty </w:t>
      </w:r>
      <w:r w:rsidR="0047250B">
        <w:rPr>
          <w:sz w:val="22"/>
        </w:rPr>
        <w:t>g</w:t>
      </w:r>
      <w:r w:rsidR="00CD7F09" w:rsidRPr="006E7B98">
        <w:rPr>
          <w:sz w:val="22"/>
        </w:rPr>
        <w:t xml:space="preserve">overnment has partnered with an NGO to prepare </w:t>
      </w:r>
      <w:r w:rsidR="00552A7E">
        <w:rPr>
          <w:sz w:val="22"/>
        </w:rPr>
        <w:t xml:space="preserve">the </w:t>
      </w:r>
      <w:r w:rsidR="0047250B">
        <w:rPr>
          <w:sz w:val="22"/>
        </w:rPr>
        <w:t>‘</w:t>
      </w:r>
      <w:r w:rsidR="00552A7E">
        <w:rPr>
          <w:sz w:val="22"/>
        </w:rPr>
        <w:t>c</w:t>
      </w:r>
      <w:r w:rsidR="00CD7F09" w:rsidRPr="006E7B98">
        <w:rPr>
          <w:sz w:val="22"/>
        </w:rPr>
        <w:t>itizen</w:t>
      </w:r>
      <w:r w:rsidR="00552A7E">
        <w:rPr>
          <w:sz w:val="22"/>
        </w:rPr>
        <w:t>’s</w:t>
      </w:r>
      <w:r w:rsidR="00CD7F09" w:rsidRPr="006E7B98">
        <w:rPr>
          <w:sz w:val="22"/>
        </w:rPr>
        <w:t xml:space="preserve"> </w:t>
      </w:r>
      <w:r w:rsidR="00552A7E">
        <w:rPr>
          <w:sz w:val="22"/>
        </w:rPr>
        <w:t>b</w:t>
      </w:r>
      <w:r w:rsidR="00CD7F09" w:rsidRPr="006E7B98">
        <w:rPr>
          <w:sz w:val="22"/>
        </w:rPr>
        <w:t>udget</w:t>
      </w:r>
      <w:r w:rsidR="0047250B">
        <w:rPr>
          <w:sz w:val="22"/>
        </w:rPr>
        <w:t>’</w:t>
      </w:r>
      <w:r w:rsidR="00CD7F09" w:rsidRPr="006E7B98">
        <w:rPr>
          <w:sz w:val="22"/>
        </w:rPr>
        <w:t xml:space="preserve"> in Kiswahili and Maasai for the local community. This will be done in the FY2017/18 budget though </w:t>
      </w:r>
      <w:r w:rsidR="00552A7E">
        <w:rPr>
          <w:sz w:val="22"/>
        </w:rPr>
        <w:t xml:space="preserve">there was </w:t>
      </w:r>
      <w:r w:rsidR="00CD7F09" w:rsidRPr="006E7B98">
        <w:rPr>
          <w:sz w:val="22"/>
        </w:rPr>
        <w:t xml:space="preserve">no evidence to support this claim. </w:t>
      </w:r>
    </w:p>
    <w:p w14:paraId="51BBE189" w14:textId="5E88B5FA" w:rsidR="00834899" w:rsidRPr="006E7B98" w:rsidRDefault="00834899" w:rsidP="00EE1698">
      <w:pPr>
        <w:spacing w:after="240"/>
        <w:rPr>
          <w:sz w:val="22"/>
        </w:rPr>
      </w:pPr>
      <w:r w:rsidRPr="006E7B98">
        <w:rPr>
          <w:sz w:val="22"/>
        </w:rPr>
        <w:t xml:space="preserve">Quarterly </w:t>
      </w:r>
      <w:r w:rsidR="0000454C" w:rsidRPr="006E7B98">
        <w:rPr>
          <w:sz w:val="22"/>
        </w:rPr>
        <w:t>and annual</w:t>
      </w:r>
      <w:r w:rsidRPr="006E7B98">
        <w:rPr>
          <w:sz w:val="22"/>
        </w:rPr>
        <w:t xml:space="preserve"> </w:t>
      </w:r>
      <w:r w:rsidR="0047250B">
        <w:rPr>
          <w:sz w:val="22"/>
        </w:rPr>
        <w:t>c</w:t>
      </w:r>
      <w:r w:rsidRPr="006E7B98">
        <w:rPr>
          <w:sz w:val="22"/>
        </w:rPr>
        <w:t>ounty BIRR</w:t>
      </w:r>
      <w:r w:rsidR="0047250B">
        <w:rPr>
          <w:sz w:val="22"/>
        </w:rPr>
        <w:t>s</w:t>
      </w:r>
      <w:r w:rsidRPr="006E7B98">
        <w:rPr>
          <w:sz w:val="22"/>
        </w:rPr>
        <w:t xml:space="preserve">, presenting information detailed by </w:t>
      </w:r>
      <w:r w:rsidR="0047250B">
        <w:rPr>
          <w:sz w:val="22"/>
        </w:rPr>
        <w:t>c</w:t>
      </w:r>
      <w:r w:rsidRPr="006E7B98">
        <w:rPr>
          <w:sz w:val="22"/>
        </w:rPr>
        <w:t xml:space="preserve">ounty, are published by the OCOB </w:t>
      </w:r>
      <w:r w:rsidR="0000454C" w:rsidRPr="006E7B98">
        <w:rPr>
          <w:sz w:val="22"/>
        </w:rPr>
        <w:t xml:space="preserve">but only </w:t>
      </w:r>
      <w:r w:rsidR="0047250B">
        <w:rPr>
          <w:sz w:val="22"/>
        </w:rPr>
        <w:t>three</w:t>
      </w:r>
      <w:r w:rsidR="0047250B" w:rsidRPr="006E7B98">
        <w:rPr>
          <w:sz w:val="22"/>
        </w:rPr>
        <w:t xml:space="preserve"> </w:t>
      </w:r>
      <w:r w:rsidRPr="006E7B98">
        <w:rPr>
          <w:sz w:val="22"/>
        </w:rPr>
        <w:t xml:space="preserve">months after the end of the period, </w:t>
      </w:r>
      <w:r w:rsidR="0000454C" w:rsidRPr="006E7B98">
        <w:rPr>
          <w:sz w:val="22"/>
        </w:rPr>
        <w:t>which does</w:t>
      </w:r>
      <w:r w:rsidRPr="006E7B98">
        <w:rPr>
          <w:sz w:val="22"/>
        </w:rPr>
        <w:t xml:space="preserve"> not respect the PEFA criteria.</w:t>
      </w:r>
    </w:p>
    <w:p w14:paraId="2B5F3771" w14:textId="55962745" w:rsidR="00D42D4D" w:rsidRPr="006E7B98" w:rsidRDefault="00347277" w:rsidP="00EE1698">
      <w:pPr>
        <w:spacing w:after="240"/>
        <w:rPr>
          <w:sz w:val="22"/>
        </w:rPr>
      </w:pPr>
      <w:r w:rsidRPr="006E7B98">
        <w:rPr>
          <w:sz w:val="22"/>
        </w:rPr>
        <w:t xml:space="preserve">The audited financial statements are available </w:t>
      </w:r>
      <w:r w:rsidR="00BA77EE">
        <w:rPr>
          <w:sz w:val="22"/>
        </w:rPr>
        <w:t>on</w:t>
      </w:r>
      <w:r w:rsidR="00BA77EE" w:rsidRPr="006E7B98">
        <w:rPr>
          <w:sz w:val="22"/>
        </w:rPr>
        <w:t xml:space="preserve"> </w:t>
      </w:r>
      <w:r w:rsidRPr="006E7B98">
        <w:rPr>
          <w:sz w:val="22"/>
        </w:rPr>
        <w:t>the OAG</w:t>
      </w:r>
      <w:r w:rsidR="00BA77EE">
        <w:rPr>
          <w:sz w:val="22"/>
        </w:rPr>
        <w:t xml:space="preserve"> </w:t>
      </w:r>
      <w:r w:rsidRPr="006E7B98">
        <w:rPr>
          <w:sz w:val="22"/>
        </w:rPr>
        <w:t>website and can be accessed by any person once the</w:t>
      </w:r>
      <w:r w:rsidR="0047250B">
        <w:rPr>
          <w:sz w:val="22"/>
        </w:rPr>
        <w:t xml:space="preserve"> statements</w:t>
      </w:r>
      <w:r w:rsidRPr="006E7B98">
        <w:rPr>
          <w:sz w:val="22"/>
        </w:rPr>
        <w:t xml:space="preserve"> are posted after the audit</w:t>
      </w:r>
      <w:r w:rsidR="0000454C" w:rsidRPr="006E7B98">
        <w:rPr>
          <w:sz w:val="22"/>
        </w:rPr>
        <w:t xml:space="preserve"> although not within </w:t>
      </w:r>
      <w:r w:rsidR="0047250B">
        <w:rPr>
          <w:sz w:val="22"/>
        </w:rPr>
        <w:t>12</w:t>
      </w:r>
      <w:r w:rsidR="0047250B" w:rsidRPr="006E7B98">
        <w:rPr>
          <w:sz w:val="22"/>
        </w:rPr>
        <w:t xml:space="preserve"> </w:t>
      </w:r>
      <w:r w:rsidR="0000454C" w:rsidRPr="006E7B98">
        <w:rPr>
          <w:sz w:val="22"/>
        </w:rPr>
        <w:t>months after the end of the year, which does not respect the PEFA criteria</w:t>
      </w:r>
      <w:r w:rsidR="00BA77EE">
        <w:rPr>
          <w:sz w:val="22"/>
        </w:rPr>
        <w:t>.</w:t>
      </w:r>
      <w:r w:rsidR="00231420" w:rsidRPr="006E7B98">
        <w:rPr>
          <w:rStyle w:val="FootnoteReference"/>
          <w:sz w:val="22"/>
        </w:rPr>
        <w:footnoteReference w:id="2"/>
      </w:r>
      <w:r w:rsidRPr="006E7B98">
        <w:rPr>
          <w:sz w:val="22"/>
        </w:rPr>
        <w:t xml:space="preserve"> Thus, the county g</w:t>
      </w:r>
      <w:r w:rsidR="00D42D4D" w:rsidRPr="006E7B98">
        <w:rPr>
          <w:sz w:val="22"/>
        </w:rPr>
        <w:t xml:space="preserve">overnment </w:t>
      </w:r>
      <w:r w:rsidR="00FD6956" w:rsidRPr="006E7B98">
        <w:rPr>
          <w:sz w:val="22"/>
        </w:rPr>
        <w:t>fulfils</w:t>
      </w:r>
      <w:r w:rsidR="00867DDD" w:rsidRPr="006E7B98">
        <w:rPr>
          <w:sz w:val="22"/>
        </w:rPr>
        <w:t xml:space="preserve"> </w:t>
      </w:r>
      <w:r w:rsidR="00FD6956" w:rsidRPr="006E7B98">
        <w:rPr>
          <w:sz w:val="22"/>
        </w:rPr>
        <w:t>no</w:t>
      </w:r>
      <w:r w:rsidR="00D42D4D" w:rsidRPr="006E7B98">
        <w:rPr>
          <w:sz w:val="22"/>
        </w:rPr>
        <w:t xml:space="preserve"> basic element and </w:t>
      </w:r>
      <w:r w:rsidR="00FD6956" w:rsidRPr="006E7B98">
        <w:rPr>
          <w:sz w:val="22"/>
        </w:rPr>
        <w:t>only one</w:t>
      </w:r>
      <w:r w:rsidR="00D42D4D" w:rsidRPr="006E7B98">
        <w:rPr>
          <w:sz w:val="22"/>
        </w:rPr>
        <w:t xml:space="preserve"> additional </w:t>
      </w:r>
      <w:r w:rsidR="007C0845" w:rsidRPr="006E7B98">
        <w:rPr>
          <w:sz w:val="22"/>
        </w:rPr>
        <w:t>element</w:t>
      </w:r>
      <w:r w:rsidR="00D42D4D" w:rsidRPr="006E7B98">
        <w:rPr>
          <w:sz w:val="22"/>
        </w:rPr>
        <w:t xml:space="preserve"> under this indicator. </w:t>
      </w:r>
      <w:r w:rsidR="0000454C" w:rsidRPr="006E7B98">
        <w:rPr>
          <w:sz w:val="22"/>
        </w:rPr>
        <w:t xml:space="preserve">Other </w:t>
      </w:r>
      <w:r w:rsidR="00864D78" w:rsidRPr="006E7B98">
        <w:rPr>
          <w:sz w:val="22"/>
        </w:rPr>
        <w:t>nonconfidential</w:t>
      </w:r>
      <w:r w:rsidR="0000454C" w:rsidRPr="006E7B98">
        <w:rPr>
          <w:sz w:val="22"/>
        </w:rPr>
        <w:t xml:space="preserve"> reports on </w:t>
      </w:r>
      <w:r w:rsidR="0047250B">
        <w:rPr>
          <w:sz w:val="22"/>
        </w:rPr>
        <w:t>c</w:t>
      </w:r>
      <w:r w:rsidR="0000454C" w:rsidRPr="006E7B98">
        <w:rPr>
          <w:sz w:val="22"/>
        </w:rPr>
        <w:t>ounty government consolidated operations are made available on the OAG website within six months of submission, which satisfies one criteria of additional elements.</w:t>
      </w:r>
    </w:p>
    <w:p w14:paraId="7432531F" w14:textId="08629D46" w:rsidR="00085824" w:rsidRDefault="00085824" w:rsidP="00085824">
      <w:pPr>
        <w:pStyle w:val="TableStyle"/>
      </w:pPr>
      <w:bookmarkStart w:id="85" w:name="_Toc532426099"/>
      <w:r w:rsidRPr="007929DF">
        <w:t>Table</w:t>
      </w:r>
      <w:r>
        <w:t xml:space="preserve"> </w:t>
      </w:r>
      <w:r w:rsidR="008B59A7">
        <w:rPr>
          <w:noProof/>
        </w:rPr>
        <w:fldChar w:fldCharType="begin"/>
      </w:r>
      <w:r w:rsidR="008B59A7">
        <w:rPr>
          <w:noProof/>
        </w:rPr>
        <w:instrText xml:space="preserve"> STYLEREF</w:instrText>
      </w:r>
      <w:r w:rsidR="008B59A7">
        <w:rPr>
          <w:noProof/>
        </w:rPr>
        <w:instrText xml:space="preserve">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12</w:t>
      </w:r>
      <w:r w:rsidR="008B59A7">
        <w:rPr>
          <w:noProof/>
        </w:rPr>
        <w:fldChar w:fldCharType="end"/>
      </w:r>
      <w:r>
        <w:t>:</w:t>
      </w:r>
      <w:bookmarkEnd w:id="85"/>
      <w:r w:rsidR="0063392B">
        <w:t xml:space="preserve"> Summary of basic elements on public access to fiscal information</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7912"/>
        <w:gridCol w:w="1438"/>
      </w:tblGrid>
      <w:tr w:rsidR="009E3EF3" w:rsidRPr="006E7B98" w14:paraId="74F18FA4" w14:textId="77777777" w:rsidTr="0047250B">
        <w:trPr>
          <w:trHeight w:val="300"/>
          <w:tblHeader/>
        </w:trPr>
        <w:tc>
          <w:tcPr>
            <w:tcW w:w="4231" w:type="pct"/>
            <w:shd w:val="clear" w:color="auto" w:fill="5B9BD5"/>
            <w:noWrap/>
            <w:hideMark/>
          </w:tcPr>
          <w:p w14:paraId="3EA9E611" w14:textId="61A38974" w:rsidR="009E3EF3" w:rsidRPr="006E7B98" w:rsidRDefault="009E3EF3" w:rsidP="00BA08FC">
            <w:pPr>
              <w:jc w:val="center"/>
              <w:rPr>
                <w:b/>
                <w:color w:val="FFFFFF" w:themeColor="background1"/>
                <w:sz w:val="20"/>
                <w:szCs w:val="20"/>
              </w:rPr>
            </w:pPr>
            <w:r w:rsidRPr="006E7B98">
              <w:rPr>
                <w:b/>
                <w:color w:val="FFFFFF" w:themeColor="background1"/>
                <w:sz w:val="20"/>
                <w:szCs w:val="20"/>
              </w:rPr>
              <w:t>Elements</w:t>
            </w:r>
          </w:p>
        </w:tc>
        <w:tc>
          <w:tcPr>
            <w:tcW w:w="769" w:type="pct"/>
            <w:shd w:val="clear" w:color="auto" w:fill="5B9BD5"/>
            <w:noWrap/>
            <w:hideMark/>
          </w:tcPr>
          <w:p w14:paraId="16EBF3B8" w14:textId="78E74E2E" w:rsidR="009E3EF3" w:rsidRPr="006E7B98" w:rsidRDefault="008C12B8" w:rsidP="00BA08FC">
            <w:pPr>
              <w:jc w:val="center"/>
              <w:rPr>
                <w:b/>
                <w:color w:val="FFFFFF" w:themeColor="background1"/>
                <w:sz w:val="20"/>
                <w:szCs w:val="20"/>
              </w:rPr>
            </w:pPr>
            <w:r w:rsidRPr="006E7B98">
              <w:rPr>
                <w:b/>
                <w:color w:val="FFFFFF" w:themeColor="background1"/>
                <w:sz w:val="20"/>
                <w:szCs w:val="20"/>
              </w:rPr>
              <w:t>Compliance</w:t>
            </w:r>
          </w:p>
        </w:tc>
      </w:tr>
      <w:tr w:rsidR="009E3EF3" w:rsidRPr="006E7B98" w14:paraId="0E23A470" w14:textId="77777777" w:rsidTr="0047250B">
        <w:trPr>
          <w:trHeight w:val="70"/>
        </w:trPr>
        <w:tc>
          <w:tcPr>
            <w:tcW w:w="4231" w:type="pct"/>
            <w:shd w:val="clear" w:color="auto" w:fill="5B9BD5"/>
            <w:noWrap/>
            <w:hideMark/>
          </w:tcPr>
          <w:p w14:paraId="72207073" w14:textId="59DD22FF" w:rsidR="009E3EF3" w:rsidRPr="006E7B98" w:rsidRDefault="009E3EF3" w:rsidP="00BA08FC">
            <w:pPr>
              <w:jc w:val="center"/>
              <w:rPr>
                <w:rStyle w:val="Strong"/>
                <w:color w:val="FFFFFF" w:themeColor="background1"/>
                <w:sz w:val="20"/>
                <w:szCs w:val="20"/>
              </w:rPr>
            </w:pPr>
            <w:r w:rsidRPr="006E7B98">
              <w:rPr>
                <w:rStyle w:val="Strong"/>
                <w:color w:val="FFFFFF" w:themeColor="background1"/>
                <w:sz w:val="20"/>
                <w:szCs w:val="20"/>
              </w:rPr>
              <w:t>Basic elements</w:t>
            </w:r>
          </w:p>
        </w:tc>
        <w:tc>
          <w:tcPr>
            <w:tcW w:w="769" w:type="pct"/>
            <w:shd w:val="clear" w:color="auto" w:fill="5B9BD5"/>
            <w:noWrap/>
            <w:hideMark/>
          </w:tcPr>
          <w:p w14:paraId="6186DEF1" w14:textId="77777777" w:rsidR="009E3EF3" w:rsidRPr="006E7B98" w:rsidRDefault="009E3EF3" w:rsidP="00BA08FC">
            <w:pPr>
              <w:jc w:val="center"/>
              <w:rPr>
                <w:rStyle w:val="Strong"/>
                <w:color w:val="FFFFFF" w:themeColor="background1"/>
                <w:sz w:val="20"/>
                <w:szCs w:val="20"/>
              </w:rPr>
            </w:pPr>
          </w:p>
        </w:tc>
      </w:tr>
      <w:tr w:rsidR="008C12B8" w:rsidRPr="006E7B98" w14:paraId="0F6EABCB" w14:textId="77777777" w:rsidTr="0047250B">
        <w:trPr>
          <w:trHeight w:val="132"/>
        </w:trPr>
        <w:tc>
          <w:tcPr>
            <w:tcW w:w="4231" w:type="pct"/>
            <w:shd w:val="clear" w:color="auto" w:fill="auto"/>
            <w:noWrap/>
            <w:hideMark/>
          </w:tcPr>
          <w:p w14:paraId="08680AD9" w14:textId="77777777" w:rsidR="008C12B8" w:rsidRPr="006E7B98" w:rsidRDefault="007C0845" w:rsidP="006E7B98">
            <w:pPr>
              <w:jc w:val="left"/>
              <w:rPr>
                <w:sz w:val="20"/>
                <w:szCs w:val="20"/>
              </w:rPr>
            </w:pPr>
            <w:r w:rsidRPr="006E7B98">
              <w:rPr>
                <w:sz w:val="20"/>
                <w:szCs w:val="20"/>
              </w:rPr>
              <w:t>1.</w:t>
            </w:r>
            <w:r w:rsidRPr="006E7B98">
              <w:rPr>
                <w:b/>
                <w:bCs/>
                <w:sz w:val="20"/>
                <w:szCs w:val="20"/>
              </w:rPr>
              <w:t xml:space="preserve"> Annual</w:t>
            </w:r>
            <w:r w:rsidR="008C12B8" w:rsidRPr="006E7B98">
              <w:rPr>
                <w:b/>
                <w:bCs/>
                <w:sz w:val="20"/>
                <w:szCs w:val="20"/>
              </w:rPr>
              <w:t xml:space="preserve"> executive budget proposal documentation</w:t>
            </w:r>
            <w:r w:rsidR="008C12B8" w:rsidRPr="0047250B">
              <w:rPr>
                <w:b/>
                <w:sz w:val="20"/>
                <w:szCs w:val="20"/>
              </w:rPr>
              <w:t xml:space="preserve">. </w:t>
            </w:r>
            <w:r w:rsidR="008C12B8" w:rsidRPr="006E7B98">
              <w:rPr>
                <w:sz w:val="20"/>
                <w:szCs w:val="20"/>
              </w:rPr>
              <w:t xml:space="preserve">A complete set of executive budget proposal documents (as presented by the country in PI-5) is available to the public within one week of the executive’s submission of them to the legislature. </w:t>
            </w:r>
          </w:p>
        </w:tc>
        <w:tc>
          <w:tcPr>
            <w:tcW w:w="769" w:type="pct"/>
            <w:shd w:val="clear" w:color="auto" w:fill="auto"/>
            <w:noWrap/>
            <w:hideMark/>
          </w:tcPr>
          <w:p w14:paraId="1A74D61D" w14:textId="77777777" w:rsidR="008C12B8" w:rsidRPr="006E7B98" w:rsidRDefault="008C12B8" w:rsidP="006E7B98">
            <w:pPr>
              <w:jc w:val="left"/>
              <w:rPr>
                <w:sz w:val="20"/>
                <w:szCs w:val="20"/>
              </w:rPr>
            </w:pPr>
            <w:r w:rsidRPr="006E7B98">
              <w:rPr>
                <w:sz w:val="20"/>
                <w:szCs w:val="20"/>
              </w:rPr>
              <w:t>No</w:t>
            </w:r>
          </w:p>
          <w:p w14:paraId="0F46E19E" w14:textId="77777777" w:rsidR="008C12B8" w:rsidRPr="006E7B98" w:rsidRDefault="008C12B8" w:rsidP="006E7B98">
            <w:pPr>
              <w:jc w:val="left"/>
              <w:rPr>
                <w:sz w:val="20"/>
                <w:szCs w:val="20"/>
              </w:rPr>
            </w:pPr>
          </w:p>
          <w:p w14:paraId="2D4A1E07" w14:textId="77777777" w:rsidR="008C12B8" w:rsidRPr="006E7B98" w:rsidRDefault="008C12B8" w:rsidP="006E7B98">
            <w:pPr>
              <w:jc w:val="left"/>
              <w:rPr>
                <w:sz w:val="20"/>
                <w:szCs w:val="20"/>
              </w:rPr>
            </w:pPr>
          </w:p>
        </w:tc>
      </w:tr>
      <w:tr w:rsidR="008C12B8" w:rsidRPr="006E7B98" w14:paraId="251D8150" w14:textId="77777777" w:rsidTr="0047250B">
        <w:trPr>
          <w:trHeight w:val="300"/>
        </w:trPr>
        <w:tc>
          <w:tcPr>
            <w:tcW w:w="4231" w:type="pct"/>
            <w:shd w:val="clear" w:color="auto" w:fill="auto"/>
            <w:noWrap/>
            <w:hideMark/>
          </w:tcPr>
          <w:p w14:paraId="23C13588" w14:textId="77777777" w:rsidR="008C12B8" w:rsidRPr="006E7B98" w:rsidRDefault="007C0845" w:rsidP="006E7B98">
            <w:pPr>
              <w:jc w:val="left"/>
              <w:rPr>
                <w:sz w:val="20"/>
                <w:szCs w:val="20"/>
              </w:rPr>
            </w:pPr>
            <w:r w:rsidRPr="006E7B98">
              <w:rPr>
                <w:sz w:val="20"/>
                <w:szCs w:val="20"/>
              </w:rPr>
              <w:t>2.</w:t>
            </w:r>
            <w:r w:rsidRPr="006E7B98">
              <w:rPr>
                <w:b/>
                <w:bCs/>
                <w:sz w:val="20"/>
                <w:szCs w:val="20"/>
              </w:rPr>
              <w:t xml:space="preserve"> Enacted</w:t>
            </w:r>
            <w:r w:rsidR="008C12B8" w:rsidRPr="006E7B98">
              <w:rPr>
                <w:b/>
                <w:bCs/>
                <w:sz w:val="20"/>
                <w:szCs w:val="20"/>
              </w:rPr>
              <w:t xml:space="preserve"> budget.</w:t>
            </w:r>
            <w:r w:rsidR="008C12B8" w:rsidRPr="006E7B98">
              <w:rPr>
                <w:sz w:val="20"/>
                <w:szCs w:val="20"/>
              </w:rPr>
              <w:t xml:space="preserve"> The annual budget law approved by the legislature is publicized within two weeks of passage of the law. </w:t>
            </w:r>
          </w:p>
        </w:tc>
        <w:tc>
          <w:tcPr>
            <w:tcW w:w="769" w:type="pct"/>
            <w:shd w:val="clear" w:color="auto" w:fill="auto"/>
            <w:noWrap/>
            <w:hideMark/>
          </w:tcPr>
          <w:p w14:paraId="462F7161" w14:textId="77777777" w:rsidR="008C12B8" w:rsidRPr="006E7B98" w:rsidRDefault="008C12B8" w:rsidP="006E7B98">
            <w:pPr>
              <w:jc w:val="left"/>
              <w:rPr>
                <w:sz w:val="20"/>
                <w:szCs w:val="20"/>
              </w:rPr>
            </w:pPr>
            <w:r w:rsidRPr="006E7B98">
              <w:rPr>
                <w:sz w:val="20"/>
                <w:szCs w:val="20"/>
              </w:rPr>
              <w:t>No</w:t>
            </w:r>
          </w:p>
        </w:tc>
      </w:tr>
      <w:tr w:rsidR="008C12B8" w:rsidRPr="006E7B98" w14:paraId="565C1AB3" w14:textId="77777777" w:rsidTr="0047250B">
        <w:trPr>
          <w:trHeight w:val="300"/>
        </w:trPr>
        <w:tc>
          <w:tcPr>
            <w:tcW w:w="4231" w:type="pct"/>
            <w:shd w:val="clear" w:color="auto" w:fill="auto"/>
            <w:noWrap/>
            <w:hideMark/>
          </w:tcPr>
          <w:p w14:paraId="77F6A330" w14:textId="76D5C0DA" w:rsidR="008C12B8" w:rsidRPr="006E7B98" w:rsidRDefault="008C12B8" w:rsidP="006E7B98">
            <w:pPr>
              <w:jc w:val="left"/>
              <w:rPr>
                <w:sz w:val="20"/>
                <w:szCs w:val="20"/>
              </w:rPr>
            </w:pPr>
            <w:r w:rsidRPr="006E7B98">
              <w:rPr>
                <w:sz w:val="20"/>
                <w:szCs w:val="20"/>
              </w:rPr>
              <w:t>3.</w:t>
            </w:r>
            <w:r w:rsidR="00ED5A71">
              <w:rPr>
                <w:sz w:val="20"/>
                <w:szCs w:val="20"/>
              </w:rPr>
              <w:t xml:space="preserve"> </w:t>
            </w:r>
            <w:r w:rsidRPr="006E7B98">
              <w:rPr>
                <w:b/>
                <w:bCs/>
                <w:sz w:val="20"/>
                <w:szCs w:val="20"/>
              </w:rPr>
              <w:t>In-year budget execution reports.</w:t>
            </w:r>
            <w:r w:rsidRPr="006E7B98">
              <w:rPr>
                <w:sz w:val="20"/>
                <w:szCs w:val="20"/>
              </w:rPr>
              <w:t xml:space="preserve"> The reports are routinely made available to the public within one month </w:t>
            </w:r>
            <w:r w:rsidR="007C0845" w:rsidRPr="006E7B98">
              <w:rPr>
                <w:sz w:val="20"/>
                <w:szCs w:val="20"/>
              </w:rPr>
              <w:t>of their</w:t>
            </w:r>
            <w:r w:rsidRPr="006E7B98">
              <w:rPr>
                <w:sz w:val="20"/>
                <w:szCs w:val="20"/>
              </w:rPr>
              <w:t xml:space="preserve"> issuance, as assessed in PI-27. </w:t>
            </w:r>
          </w:p>
        </w:tc>
        <w:tc>
          <w:tcPr>
            <w:tcW w:w="769" w:type="pct"/>
            <w:shd w:val="clear" w:color="auto" w:fill="auto"/>
            <w:noWrap/>
            <w:hideMark/>
          </w:tcPr>
          <w:p w14:paraId="4BDF736E" w14:textId="77777777" w:rsidR="008C12B8" w:rsidRPr="006E7B98" w:rsidRDefault="008C12B8" w:rsidP="006E7B98">
            <w:pPr>
              <w:jc w:val="left"/>
              <w:rPr>
                <w:sz w:val="20"/>
                <w:szCs w:val="20"/>
              </w:rPr>
            </w:pPr>
            <w:r w:rsidRPr="006E7B98">
              <w:rPr>
                <w:sz w:val="20"/>
                <w:szCs w:val="20"/>
              </w:rPr>
              <w:t>No</w:t>
            </w:r>
          </w:p>
        </w:tc>
      </w:tr>
      <w:tr w:rsidR="008C12B8" w:rsidRPr="006E7B98" w14:paraId="79182DEC" w14:textId="77777777" w:rsidTr="0047250B">
        <w:trPr>
          <w:trHeight w:val="107"/>
        </w:trPr>
        <w:tc>
          <w:tcPr>
            <w:tcW w:w="4231" w:type="pct"/>
            <w:shd w:val="clear" w:color="auto" w:fill="auto"/>
            <w:noWrap/>
            <w:hideMark/>
          </w:tcPr>
          <w:p w14:paraId="267939C4" w14:textId="2A88F7C1" w:rsidR="008C12B8" w:rsidRPr="006E7B98" w:rsidRDefault="007C0845" w:rsidP="006E7B98">
            <w:pPr>
              <w:jc w:val="left"/>
              <w:rPr>
                <w:sz w:val="20"/>
                <w:szCs w:val="20"/>
              </w:rPr>
            </w:pPr>
            <w:r w:rsidRPr="006E7B98">
              <w:rPr>
                <w:sz w:val="20"/>
                <w:szCs w:val="20"/>
              </w:rPr>
              <w:t>4.</w:t>
            </w:r>
            <w:r w:rsidRPr="006E7B98">
              <w:rPr>
                <w:b/>
                <w:bCs/>
                <w:sz w:val="20"/>
                <w:szCs w:val="20"/>
              </w:rPr>
              <w:t xml:space="preserve"> Annual</w:t>
            </w:r>
            <w:r w:rsidR="008C12B8" w:rsidRPr="006E7B98">
              <w:rPr>
                <w:b/>
                <w:bCs/>
                <w:sz w:val="20"/>
                <w:szCs w:val="20"/>
              </w:rPr>
              <w:t xml:space="preserve"> budget execution </w:t>
            </w:r>
            <w:r w:rsidR="008C12B8" w:rsidRPr="00ED5A71">
              <w:rPr>
                <w:b/>
                <w:bCs/>
                <w:sz w:val="20"/>
                <w:szCs w:val="20"/>
              </w:rPr>
              <w:t>report</w:t>
            </w:r>
            <w:r w:rsidR="008C12B8" w:rsidRPr="00ED5A71">
              <w:rPr>
                <w:b/>
                <w:sz w:val="20"/>
                <w:szCs w:val="20"/>
              </w:rPr>
              <w:t>.</w:t>
            </w:r>
            <w:r w:rsidR="008C12B8" w:rsidRPr="006E7B98">
              <w:rPr>
                <w:sz w:val="20"/>
                <w:szCs w:val="20"/>
              </w:rPr>
              <w:t xml:space="preserve"> The report is made available to the public within six months of the </w:t>
            </w:r>
            <w:r w:rsidR="00ED5A71">
              <w:rPr>
                <w:sz w:val="20"/>
                <w:szCs w:val="20"/>
              </w:rPr>
              <w:t xml:space="preserve">FY </w:t>
            </w:r>
            <w:r w:rsidR="008C12B8" w:rsidRPr="006E7B98">
              <w:rPr>
                <w:sz w:val="20"/>
                <w:szCs w:val="20"/>
              </w:rPr>
              <w:t xml:space="preserve">end. </w:t>
            </w:r>
          </w:p>
        </w:tc>
        <w:tc>
          <w:tcPr>
            <w:tcW w:w="769" w:type="pct"/>
            <w:shd w:val="clear" w:color="auto" w:fill="auto"/>
            <w:noWrap/>
            <w:hideMark/>
          </w:tcPr>
          <w:p w14:paraId="13A9EDE5" w14:textId="77777777" w:rsidR="008C12B8" w:rsidRPr="006E7B98" w:rsidRDefault="00FD6956" w:rsidP="006E7B98">
            <w:pPr>
              <w:jc w:val="left"/>
              <w:rPr>
                <w:sz w:val="20"/>
                <w:szCs w:val="20"/>
              </w:rPr>
            </w:pPr>
            <w:r w:rsidRPr="006E7B98">
              <w:rPr>
                <w:sz w:val="20"/>
                <w:szCs w:val="20"/>
              </w:rPr>
              <w:t>No</w:t>
            </w:r>
          </w:p>
        </w:tc>
      </w:tr>
      <w:tr w:rsidR="008C12B8" w:rsidRPr="006E7B98" w14:paraId="4E7743CF" w14:textId="77777777" w:rsidTr="0047250B">
        <w:trPr>
          <w:trHeight w:val="458"/>
        </w:trPr>
        <w:tc>
          <w:tcPr>
            <w:tcW w:w="4231" w:type="pct"/>
            <w:shd w:val="clear" w:color="auto" w:fill="auto"/>
            <w:noWrap/>
            <w:hideMark/>
          </w:tcPr>
          <w:p w14:paraId="2FA6BEBB" w14:textId="7986A20D" w:rsidR="008C12B8" w:rsidRPr="006E7B98" w:rsidRDefault="007C0845" w:rsidP="006E7B98">
            <w:pPr>
              <w:jc w:val="left"/>
              <w:rPr>
                <w:sz w:val="20"/>
                <w:szCs w:val="20"/>
              </w:rPr>
            </w:pPr>
            <w:r w:rsidRPr="006E7B98">
              <w:rPr>
                <w:sz w:val="20"/>
                <w:szCs w:val="20"/>
              </w:rPr>
              <w:t>5.</w:t>
            </w:r>
            <w:r w:rsidRPr="006E7B98">
              <w:rPr>
                <w:b/>
                <w:sz w:val="20"/>
                <w:szCs w:val="20"/>
              </w:rPr>
              <w:t xml:space="preserve"> Audited</w:t>
            </w:r>
            <w:r w:rsidR="008C12B8" w:rsidRPr="006E7B98">
              <w:rPr>
                <w:b/>
                <w:sz w:val="20"/>
                <w:szCs w:val="20"/>
              </w:rPr>
              <w:t xml:space="preserve"> annual financial report,</w:t>
            </w:r>
            <w:r w:rsidR="008C12B8" w:rsidRPr="006E7B98">
              <w:rPr>
                <w:sz w:val="20"/>
                <w:szCs w:val="20"/>
              </w:rPr>
              <w:t xml:space="preserve"> incorporating or accompanied by the external auditor’s report. The reports are made available to the public within </w:t>
            </w:r>
            <w:r w:rsidR="00ED5A71">
              <w:rPr>
                <w:sz w:val="20"/>
                <w:szCs w:val="20"/>
              </w:rPr>
              <w:t>12</w:t>
            </w:r>
            <w:r w:rsidR="00ED5A71" w:rsidRPr="006E7B98">
              <w:rPr>
                <w:sz w:val="20"/>
                <w:szCs w:val="20"/>
              </w:rPr>
              <w:t xml:space="preserve"> </w:t>
            </w:r>
            <w:r w:rsidR="008C12B8" w:rsidRPr="006E7B98">
              <w:rPr>
                <w:sz w:val="20"/>
                <w:szCs w:val="20"/>
              </w:rPr>
              <w:t xml:space="preserve">months of the </w:t>
            </w:r>
            <w:r w:rsidR="00ED5A71">
              <w:rPr>
                <w:sz w:val="20"/>
                <w:szCs w:val="20"/>
              </w:rPr>
              <w:t>FY</w:t>
            </w:r>
            <w:r w:rsidR="008C12B8" w:rsidRPr="006E7B98">
              <w:rPr>
                <w:sz w:val="20"/>
                <w:szCs w:val="20"/>
              </w:rPr>
              <w:t xml:space="preserve"> end. </w:t>
            </w:r>
          </w:p>
        </w:tc>
        <w:tc>
          <w:tcPr>
            <w:tcW w:w="769" w:type="pct"/>
            <w:shd w:val="clear" w:color="auto" w:fill="auto"/>
            <w:noWrap/>
            <w:hideMark/>
          </w:tcPr>
          <w:p w14:paraId="2AEFD97C" w14:textId="77777777" w:rsidR="008C12B8" w:rsidRPr="006E7B98" w:rsidRDefault="008C12B8" w:rsidP="006E7B98">
            <w:pPr>
              <w:jc w:val="left"/>
              <w:rPr>
                <w:sz w:val="20"/>
                <w:szCs w:val="20"/>
              </w:rPr>
            </w:pPr>
            <w:r w:rsidRPr="006E7B98">
              <w:rPr>
                <w:sz w:val="20"/>
                <w:szCs w:val="20"/>
              </w:rPr>
              <w:t>No</w:t>
            </w:r>
          </w:p>
        </w:tc>
      </w:tr>
      <w:tr w:rsidR="009E3EF3" w:rsidRPr="006E7B98" w14:paraId="205796D5" w14:textId="77777777" w:rsidTr="0047250B">
        <w:trPr>
          <w:trHeight w:val="70"/>
        </w:trPr>
        <w:tc>
          <w:tcPr>
            <w:tcW w:w="4231" w:type="pct"/>
            <w:shd w:val="clear" w:color="auto" w:fill="5B9BD5"/>
            <w:noWrap/>
            <w:hideMark/>
          </w:tcPr>
          <w:p w14:paraId="50714D44" w14:textId="77777777" w:rsidR="009E3EF3" w:rsidRPr="006E7B98" w:rsidRDefault="009E3EF3" w:rsidP="006E7B98">
            <w:pPr>
              <w:jc w:val="left"/>
              <w:rPr>
                <w:rStyle w:val="Strong"/>
                <w:color w:val="FFFFFF" w:themeColor="background1"/>
                <w:sz w:val="20"/>
                <w:szCs w:val="20"/>
              </w:rPr>
            </w:pPr>
            <w:r w:rsidRPr="006E7B98">
              <w:rPr>
                <w:rStyle w:val="Strong"/>
                <w:color w:val="FFFFFF" w:themeColor="background1"/>
                <w:sz w:val="20"/>
                <w:szCs w:val="20"/>
              </w:rPr>
              <w:t xml:space="preserve">Additional elements </w:t>
            </w:r>
          </w:p>
        </w:tc>
        <w:tc>
          <w:tcPr>
            <w:tcW w:w="769" w:type="pct"/>
            <w:shd w:val="clear" w:color="auto" w:fill="5B9BD5"/>
            <w:noWrap/>
            <w:hideMark/>
          </w:tcPr>
          <w:p w14:paraId="25AE0737" w14:textId="77777777" w:rsidR="009E3EF3" w:rsidRPr="006E7B98" w:rsidRDefault="009E3EF3" w:rsidP="006E7B98">
            <w:pPr>
              <w:jc w:val="left"/>
              <w:rPr>
                <w:rStyle w:val="Strong"/>
                <w:color w:val="FFFFFF" w:themeColor="background1"/>
                <w:sz w:val="20"/>
                <w:szCs w:val="20"/>
              </w:rPr>
            </w:pPr>
          </w:p>
        </w:tc>
      </w:tr>
      <w:tr w:rsidR="008C12B8" w:rsidRPr="006E7B98" w14:paraId="6A7B5942" w14:textId="77777777" w:rsidTr="0047250B">
        <w:trPr>
          <w:trHeight w:val="233"/>
        </w:trPr>
        <w:tc>
          <w:tcPr>
            <w:tcW w:w="4231" w:type="pct"/>
            <w:shd w:val="clear" w:color="auto" w:fill="auto"/>
            <w:noWrap/>
            <w:hideMark/>
          </w:tcPr>
          <w:p w14:paraId="5B4238A7" w14:textId="548C00D8" w:rsidR="008C12B8" w:rsidRPr="006E7B98" w:rsidRDefault="007C0845" w:rsidP="006E7B98">
            <w:pPr>
              <w:jc w:val="left"/>
              <w:rPr>
                <w:sz w:val="20"/>
                <w:szCs w:val="20"/>
              </w:rPr>
            </w:pPr>
            <w:r w:rsidRPr="006E7B98">
              <w:rPr>
                <w:sz w:val="20"/>
                <w:szCs w:val="20"/>
              </w:rPr>
              <w:t>6.</w:t>
            </w:r>
            <w:r w:rsidRPr="006E7B98">
              <w:rPr>
                <w:b/>
                <w:bCs/>
                <w:sz w:val="20"/>
                <w:szCs w:val="20"/>
              </w:rPr>
              <w:t xml:space="preserve"> Pre</w:t>
            </w:r>
            <w:r w:rsidR="008C12B8" w:rsidRPr="006E7B98">
              <w:rPr>
                <w:b/>
                <w:bCs/>
                <w:sz w:val="20"/>
                <w:szCs w:val="20"/>
              </w:rPr>
              <w:t xml:space="preserve">-budget </w:t>
            </w:r>
            <w:r w:rsidR="00ED5A71">
              <w:rPr>
                <w:b/>
                <w:bCs/>
                <w:sz w:val="20"/>
                <w:szCs w:val="20"/>
              </w:rPr>
              <w:t>s</w:t>
            </w:r>
            <w:r w:rsidR="008C12B8" w:rsidRPr="006E7B98">
              <w:rPr>
                <w:b/>
                <w:bCs/>
                <w:sz w:val="20"/>
                <w:szCs w:val="20"/>
              </w:rPr>
              <w:t xml:space="preserve">tatement. </w:t>
            </w:r>
            <w:r w:rsidR="008C12B8" w:rsidRPr="006E7B98">
              <w:rPr>
                <w:sz w:val="20"/>
                <w:szCs w:val="20"/>
              </w:rPr>
              <w:t xml:space="preserve">The broad parameters for the executive budget proposal regarding expenditure, planned revenue, and debt are made available to the public at least four months before the start of the </w:t>
            </w:r>
            <w:r w:rsidR="00ED5A71">
              <w:rPr>
                <w:sz w:val="20"/>
                <w:szCs w:val="20"/>
              </w:rPr>
              <w:t>FY</w:t>
            </w:r>
            <w:r w:rsidR="008C12B8" w:rsidRPr="006E7B98">
              <w:rPr>
                <w:sz w:val="20"/>
                <w:szCs w:val="20"/>
              </w:rPr>
              <w:t xml:space="preserve">. </w:t>
            </w:r>
          </w:p>
        </w:tc>
        <w:tc>
          <w:tcPr>
            <w:tcW w:w="769" w:type="pct"/>
            <w:shd w:val="clear" w:color="auto" w:fill="auto"/>
            <w:noWrap/>
            <w:hideMark/>
          </w:tcPr>
          <w:p w14:paraId="16843F41" w14:textId="77777777" w:rsidR="008C12B8" w:rsidRPr="006E7B98" w:rsidRDefault="008C12B8" w:rsidP="006E7B98">
            <w:pPr>
              <w:jc w:val="left"/>
              <w:rPr>
                <w:sz w:val="20"/>
                <w:szCs w:val="20"/>
              </w:rPr>
            </w:pPr>
            <w:r w:rsidRPr="006E7B98">
              <w:rPr>
                <w:sz w:val="20"/>
                <w:szCs w:val="20"/>
              </w:rPr>
              <w:t>No</w:t>
            </w:r>
          </w:p>
        </w:tc>
      </w:tr>
      <w:tr w:rsidR="008C12B8" w:rsidRPr="006E7B98" w14:paraId="0ACE760B" w14:textId="77777777" w:rsidTr="0047250B">
        <w:trPr>
          <w:trHeight w:val="620"/>
        </w:trPr>
        <w:tc>
          <w:tcPr>
            <w:tcW w:w="4231" w:type="pct"/>
            <w:shd w:val="clear" w:color="auto" w:fill="auto"/>
            <w:noWrap/>
            <w:hideMark/>
          </w:tcPr>
          <w:p w14:paraId="191C1F1B" w14:textId="466CB096" w:rsidR="008C12B8" w:rsidRPr="006E7B98" w:rsidRDefault="007C0845" w:rsidP="006E7B98">
            <w:pPr>
              <w:jc w:val="left"/>
              <w:rPr>
                <w:sz w:val="20"/>
                <w:szCs w:val="20"/>
              </w:rPr>
            </w:pPr>
            <w:r w:rsidRPr="006E7B98">
              <w:rPr>
                <w:sz w:val="20"/>
                <w:szCs w:val="20"/>
              </w:rPr>
              <w:t>7.</w:t>
            </w:r>
            <w:r w:rsidRPr="006E7B98">
              <w:rPr>
                <w:b/>
                <w:bCs/>
                <w:sz w:val="20"/>
                <w:szCs w:val="20"/>
              </w:rPr>
              <w:t xml:space="preserve"> Other</w:t>
            </w:r>
            <w:r w:rsidR="008C12B8" w:rsidRPr="006E7B98">
              <w:rPr>
                <w:b/>
                <w:bCs/>
                <w:sz w:val="20"/>
                <w:szCs w:val="20"/>
              </w:rPr>
              <w:t xml:space="preserve"> external audit </w:t>
            </w:r>
            <w:r w:rsidRPr="006E7B98">
              <w:rPr>
                <w:b/>
                <w:bCs/>
                <w:sz w:val="20"/>
                <w:szCs w:val="20"/>
              </w:rPr>
              <w:t>reports.</w:t>
            </w:r>
            <w:r w:rsidRPr="006E7B98">
              <w:rPr>
                <w:sz w:val="20"/>
                <w:szCs w:val="20"/>
              </w:rPr>
              <w:t xml:space="preserve"> </w:t>
            </w:r>
            <w:r w:rsidR="00ED5A71">
              <w:rPr>
                <w:sz w:val="20"/>
                <w:szCs w:val="20"/>
              </w:rPr>
              <w:t xml:space="preserve">All </w:t>
            </w:r>
            <w:r w:rsidR="00000DE4" w:rsidRPr="00ED5A71">
              <w:rPr>
                <w:sz w:val="20"/>
                <w:szCs w:val="20"/>
              </w:rPr>
              <w:t>confidential</w:t>
            </w:r>
            <w:r w:rsidR="008C12B8" w:rsidRPr="00ED5A71">
              <w:rPr>
                <w:sz w:val="20"/>
                <w:szCs w:val="20"/>
              </w:rPr>
              <w:t xml:space="preserve"> reports</w:t>
            </w:r>
            <w:r w:rsidR="008C12B8" w:rsidRPr="006E7B98">
              <w:rPr>
                <w:sz w:val="20"/>
                <w:szCs w:val="20"/>
              </w:rPr>
              <w:t xml:space="preserve"> on </w:t>
            </w:r>
            <w:r w:rsidR="00ED5A71">
              <w:rPr>
                <w:sz w:val="20"/>
                <w:szCs w:val="20"/>
              </w:rPr>
              <w:t>c</w:t>
            </w:r>
            <w:r w:rsidR="005C6920" w:rsidRPr="006E7B98">
              <w:rPr>
                <w:sz w:val="20"/>
                <w:szCs w:val="20"/>
              </w:rPr>
              <w:t>ounty government</w:t>
            </w:r>
            <w:r w:rsidR="008C12B8" w:rsidRPr="006E7B98">
              <w:rPr>
                <w:sz w:val="20"/>
                <w:szCs w:val="20"/>
              </w:rPr>
              <w:t xml:space="preserve"> consolidated operations are made available to the public within six months of submission. </w:t>
            </w:r>
          </w:p>
        </w:tc>
        <w:tc>
          <w:tcPr>
            <w:tcW w:w="769" w:type="pct"/>
            <w:shd w:val="clear" w:color="auto" w:fill="auto"/>
            <w:noWrap/>
            <w:hideMark/>
          </w:tcPr>
          <w:p w14:paraId="66E21863" w14:textId="77777777" w:rsidR="008C12B8" w:rsidRPr="006E7B98" w:rsidRDefault="00FD6956" w:rsidP="006E7B98">
            <w:pPr>
              <w:jc w:val="left"/>
              <w:rPr>
                <w:sz w:val="20"/>
                <w:szCs w:val="20"/>
              </w:rPr>
            </w:pPr>
            <w:r w:rsidRPr="006E7B98">
              <w:rPr>
                <w:sz w:val="20"/>
                <w:szCs w:val="20"/>
              </w:rPr>
              <w:t>Yes</w:t>
            </w:r>
          </w:p>
        </w:tc>
      </w:tr>
      <w:tr w:rsidR="008C12B8" w:rsidRPr="006E7B98" w14:paraId="76BBB925" w14:textId="77777777" w:rsidTr="0047250B">
        <w:trPr>
          <w:trHeight w:val="900"/>
        </w:trPr>
        <w:tc>
          <w:tcPr>
            <w:tcW w:w="4231" w:type="pct"/>
            <w:shd w:val="clear" w:color="auto" w:fill="auto"/>
            <w:noWrap/>
            <w:hideMark/>
          </w:tcPr>
          <w:p w14:paraId="2D9342F0" w14:textId="0DD2CC62" w:rsidR="008C12B8" w:rsidRPr="006E7B98" w:rsidRDefault="007C0845" w:rsidP="006E7B98">
            <w:pPr>
              <w:jc w:val="left"/>
              <w:rPr>
                <w:sz w:val="20"/>
                <w:szCs w:val="20"/>
              </w:rPr>
            </w:pPr>
            <w:r w:rsidRPr="006E7B98">
              <w:rPr>
                <w:sz w:val="20"/>
                <w:szCs w:val="20"/>
              </w:rPr>
              <w:t>8.</w:t>
            </w:r>
            <w:r w:rsidRPr="006E7B98">
              <w:rPr>
                <w:b/>
                <w:bCs/>
                <w:sz w:val="20"/>
                <w:szCs w:val="20"/>
              </w:rPr>
              <w:t xml:space="preserve"> Summary</w:t>
            </w:r>
            <w:r w:rsidR="008C12B8" w:rsidRPr="006E7B98">
              <w:rPr>
                <w:b/>
                <w:bCs/>
                <w:sz w:val="20"/>
                <w:szCs w:val="20"/>
              </w:rPr>
              <w:t xml:space="preserve"> of the budget proposal</w:t>
            </w:r>
            <w:r w:rsidR="008C12B8" w:rsidRPr="00ED5A71">
              <w:rPr>
                <w:b/>
                <w:sz w:val="20"/>
                <w:szCs w:val="20"/>
              </w:rPr>
              <w:t>.</w:t>
            </w:r>
            <w:r w:rsidR="008C12B8" w:rsidRPr="006E7B98">
              <w:rPr>
                <w:sz w:val="20"/>
                <w:szCs w:val="20"/>
              </w:rPr>
              <w:t xml:space="preserve"> A clear, simple summary of the executive budget proposal or the enacted budget accessible to the </w:t>
            </w:r>
            <w:r w:rsidR="00000DE4" w:rsidRPr="006E7B98">
              <w:rPr>
                <w:sz w:val="20"/>
                <w:szCs w:val="20"/>
              </w:rPr>
              <w:t>non-budget</w:t>
            </w:r>
            <w:r w:rsidR="008C12B8" w:rsidRPr="006E7B98">
              <w:rPr>
                <w:sz w:val="20"/>
                <w:szCs w:val="20"/>
              </w:rPr>
              <w:t xml:space="preserve"> experts, often referred to as a </w:t>
            </w:r>
            <w:r w:rsidR="00ED5A71">
              <w:rPr>
                <w:sz w:val="20"/>
                <w:szCs w:val="20"/>
              </w:rPr>
              <w:t>‘</w:t>
            </w:r>
            <w:r w:rsidR="008C12B8" w:rsidRPr="006E7B98">
              <w:rPr>
                <w:sz w:val="20"/>
                <w:szCs w:val="20"/>
              </w:rPr>
              <w:t>citizens’ budget</w:t>
            </w:r>
            <w:r w:rsidR="00ED5A71">
              <w:rPr>
                <w:sz w:val="20"/>
                <w:szCs w:val="20"/>
              </w:rPr>
              <w:t>’</w:t>
            </w:r>
            <w:r w:rsidR="008C12B8" w:rsidRPr="006E7B98">
              <w:rPr>
                <w:sz w:val="20"/>
                <w:szCs w:val="20"/>
              </w:rPr>
              <w:t xml:space="preserve">, and where appropriate translated into the most commonly spoken local language, is publicly available within two weeks of the executive budget proposal’s submission to the legislature and within one month of the budget’s approval. </w:t>
            </w:r>
          </w:p>
        </w:tc>
        <w:tc>
          <w:tcPr>
            <w:tcW w:w="769" w:type="pct"/>
            <w:shd w:val="clear" w:color="auto" w:fill="auto"/>
            <w:noWrap/>
            <w:hideMark/>
          </w:tcPr>
          <w:p w14:paraId="057BBAD9" w14:textId="77777777" w:rsidR="008C12B8" w:rsidRPr="006E7B98" w:rsidRDefault="008C12B8" w:rsidP="006E7B98">
            <w:pPr>
              <w:jc w:val="left"/>
              <w:rPr>
                <w:sz w:val="20"/>
                <w:szCs w:val="20"/>
              </w:rPr>
            </w:pPr>
            <w:r w:rsidRPr="006E7B98">
              <w:rPr>
                <w:sz w:val="20"/>
                <w:szCs w:val="20"/>
              </w:rPr>
              <w:t>No</w:t>
            </w:r>
          </w:p>
        </w:tc>
      </w:tr>
      <w:tr w:rsidR="008C12B8" w:rsidRPr="006E7B98" w14:paraId="5DC20894" w14:textId="77777777" w:rsidTr="0047250B">
        <w:trPr>
          <w:trHeight w:val="300"/>
        </w:trPr>
        <w:tc>
          <w:tcPr>
            <w:tcW w:w="4231" w:type="pct"/>
            <w:shd w:val="clear" w:color="auto" w:fill="auto"/>
            <w:noWrap/>
            <w:hideMark/>
          </w:tcPr>
          <w:p w14:paraId="1ABAC7FD" w14:textId="77777777" w:rsidR="008C12B8" w:rsidRPr="006E7B98" w:rsidRDefault="007C0845" w:rsidP="006E7B98">
            <w:pPr>
              <w:jc w:val="left"/>
              <w:rPr>
                <w:sz w:val="20"/>
                <w:szCs w:val="20"/>
              </w:rPr>
            </w:pPr>
            <w:r w:rsidRPr="006E7B98">
              <w:rPr>
                <w:sz w:val="20"/>
                <w:szCs w:val="20"/>
              </w:rPr>
              <w:t>9.</w:t>
            </w:r>
            <w:r w:rsidRPr="006E7B98">
              <w:rPr>
                <w:b/>
                <w:bCs/>
                <w:sz w:val="20"/>
                <w:szCs w:val="20"/>
              </w:rPr>
              <w:t xml:space="preserve"> Macroeconomic</w:t>
            </w:r>
            <w:r w:rsidR="008C12B8" w:rsidRPr="006E7B98">
              <w:rPr>
                <w:b/>
                <w:bCs/>
                <w:sz w:val="20"/>
                <w:szCs w:val="20"/>
              </w:rPr>
              <w:t xml:space="preserve"> forecasts. </w:t>
            </w:r>
            <w:r w:rsidR="008C12B8" w:rsidRPr="006E7B98">
              <w:rPr>
                <w:bCs/>
                <w:sz w:val="20"/>
                <w:szCs w:val="20"/>
              </w:rPr>
              <w:t>The forecasts</w:t>
            </w:r>
            <w:r w:rsidR="008C12B8" w:rsidRPr="006E7B98">
              <w:rPr>
                <w:b/>
                <w:bCs/>
                <w:sz w:val="20"/>
                <w:szCs w:val="20"/>
              </w:rPr>
              <w:t>,</w:t>
            </w:r>
            <w:r w:rsidR="008C12B8" w:rsidRPr="006E7B98">
              <w:rPr>
                <w:sz w:val="20"/>
                <w:szCs w:val="20"/>
              </w:rPr>
              <w:t xml:space="preserve"> as assessed in PI-14.1, are available within one week of their endorsement. </w:t>
            </w:r>
          </w:p>
        </w:tc>
        <w:tc>
          <w:tcPr>
            <w:tcW w:w="769" w:type="pct"/>
            <w:shd w:val="clear" w:color="auto" w:fill="auto"/>
            <w:noWrap/>
            <w:hideMark/>
          </w:tcPr>
          <w:p w14:paraId="0A96FF05" w14:textId="77777777" w:rsidR="008C12B8" w:rsidRPr="006E7B98" w:rsidRDefault="008C12B8" w:rsidP="006E7B98">
            <w:pPr>
              <w:jc w:val="left"/>
              <w:rPr>
                <w:sz w:val="20"/>
                <w:szCs w:val="20"/>
              </w:rPr>
            </w:pPr>
            <w:r w:rsidRPr="006E7B98">
              <w:rPr>
                <w:sz w:val="20"/>
                <w:szCs w:val="20"/>
              </w:rPr>
              <w:t>No</w:t>
            </w:r>
          </w:p>
        </w:tc>
      </w:tr>
    </w:tbl>
    <w:p w14:paraId="5850F573" w14:textId="77777777" w:rsidR="00D7430A" w:rsidRPr="006E7B98" w:rsidRDefault="00035673" w:rsidP="00ED5A71">
      <w:pPr>
        <w:spacing w:before="240" w:after="240"/>
        <w:rPr>
          <w:sz w:val="22"/>
        </w:rPr>
      </w:pPr>
      <w:r w:rsidRPr="006E7B98">
        <w:rPr>
          <w:sz w:val="22"/>
        </w:rPr>
        <w:t xml:space="preserve">In summary, public access to fiscal information does not fulfil any basic element and fulfils only one additional element. </w:t>
      </w:r>
    </w:p>
    <w:p w14:paraId="40643487" w14:textId="6AF784EB" w:rsidR="00D7430A" w:rsidRPr="006E7B98" w:rsidRDefault="00D7430A" w:rsidP="006E7B98">
      <w:pPr>
        <w:spacing w:after="240"/>
        <w:ind w:left="360" w:hanging="360"/>
        <w:rPr>
          <w:b/>
          <w:sz w:val="22"/>
        </w:rPr>
      </w:pPr>
      <w:r w:rsidRPr="006E7B98">
        <w:rPr>
          <w:b/>
          <w:sz w:val="22"/>
        </w:rPr>
        <w:t>Dimension rating = D</w:t>
      </w:r>
    </w:p>
    <w:p w14:paraId="48FF4935" w14:textId="77777777" w:rsidR="00BB1084" w:rsidRPr="00890A84" w:rsidRDefault="00BB1084" w:rsidP="00776E84">
      <w:pPr>
        <w:pStyle w:val="Heading2"/>
      </w:pPr>
      <w:bookmarkStart w:id="86" w:name="_Toc150863"/>
      <w:bookmarkStart w:id="87" w:name="_Toc532426039"/>
      <w:r w:rsidRPr="00890A84">
        <w:t>Pillar III. Management of assets and liabilities</w:t>
      </w:r>
      <w:bookmarkEnd w:id="86"/>
      <w:bookmarkEnd w:id="87"/>
    </w:p>
    <w:p w14:paraId="414A3F1C" w14:textId="77777777" w:rsidR="00BB1084" w:rsidRPr="00890A84" w:rsidRDefault="00BB1084" w:rsidP="00590C8E">
      <w:pPr>
        <w:pStyle w:val="Heading4"/>
      </w:pPr>
      <w:r w:rsidRPr="00890A84">
        <w:t>PI-10. Fiscal risk reporting</w:t>
      </w:r>
    </w:p>
    <w:p w14:paraId="465915AA" w14:textId="77777777" w:rsidR="003E5B0C" w:rsidRPr="00890A84" w:rsidRDefault="003E5B0C" w:rsidP="00BA6B2B">
      <w:pPr>
        <w:pStyle w:val="Heading5"/>
      </w:pPr>
      <w:r>
        <w:t>Summary of scores and performance table</w:t>
      </w:r>
    </w:p>
    <w:tbl>
      <w:tblPr>
        <w:tblW w:w="910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A0" w:firstRow="1" w:lastRow="0" w:firstColumn="1" w:lastColumn="0" w:noHBand="1" w:noVBand="1"/>
      </w:tblPr>
      <w:tblGrid>
        <w:gridCol w:w="3119"/>
        <w:gridCol w:w="709"/>
        <w:gridCol w:w="5273"/>
      </w:tblGrid>
      <w:tr w:rsidR="003E5B0C" w:rsidRPr="006E7B98" w14:paraId="5B82FB3C" w14:textId="77777777" w:rsidTr="006E7B98">
        <w:trPr>
          <w:trHeight w:val="107"/>
        </w:trPr>
        <w:tc>
          <w:tcPr>
            <w:tcW w:w="3119" w:type="dxa"/>
            <w:shd w:val="clear" w:color="auto" w:fill="5B9BD5"/>
          </w:tcPr>
          <w:p w14:paraId="62A100A9" w14:textId="54EFD3ED" w:rsidR="003E5B0C" w:rsidRPr="006E7B98" w:rsidRDefault="003E5B0C" w:rsidP="00BA08FC">
            <w:pPr>
              <w:jc w:val="center"/>
              <w:rPr>
                <w:b/>
                <w:color w:val="FFFFFF" w:themeColor="background1"/>
                <w:sz w:val="20"/>
                <w:szCs w:val="20"/>
              </w:rPr>
            </w:pPr>
            <w:r w:rsidRPr="006E7B98">
              <w:rPr>
                <w:b/>
                <w:color w:val="FFFFFF" w:themeColor="background1"/>
                <w:sz w:val="20"/>
                <w:szCs w:val="20"/>
              </w:rPr>
              <w:t>PI-10</w:t>
            </w:r>
            <w:r w:rsidR="00D10942">
              <w:rPr>
                <w:b/>
                <w:color w:val="FFFFFF" w:themeColor="background1"/>
                <w:sz w:val="20"/>
                <w:szCs w:val="20"/>
              </w:rPr>
              <w:t>.</w:t>
            </w:r>
            <w:r w:rsidRPr="006E7B98">
              <w:rPr>
                <w:b/>
                <w:color w:val="FFFFFF" w:themeColor="background1"/>
                <w:sz w:val="20"/>
                <w:szCs w:val="20"/>
              </w:rPr>
              <w:t xml:space="preserve"> Fiscal risk reporting (M2)</w:t>
            </w:r>
          </w:p>
        </w:tc>
        <w:tc>
          <w:tcPr>
            <w:tcW w:w="709" w:type="dxa"/>
            <w:shd w:val="clear" w:color="auto" w:fill="5B9BD5"/>
          </w:tcPr>
          <w:p w14:paraId="55A32E6E" w14:textId="77777777" w:rsidR="003E5B0C" w:rsidRPr="006E7B98" w:rsidRDefault="003E5B0C" w:rsidP="00BA08FC">
            <w:pPr>
              <w:jc w:val="center"/>
              <w:rPr>
                <w:b/>
                <w:color w:val="FFFFFF" w:themeColor="background1"/>
                <w:sz w:val="20"/>
                <w:szCs w:val="20"/>
              </w:rPr>
            </w:pPr>
            <w:r w:rsidRPr="006E7B98">
              <w:rPr>
                <w:b/>
                <w:color w:val="FFFFFF" w:themeColor="background1"/>
                <w:sz w:val="20"/>
                <w:szCs w:val="20"/>
              </w:rPr>
              <w:t>D</w:t>
            </w:r>
          </w:p>
        </w:tc>
        <w:tc>
          <w:tcPr>
            <w:tcW w:w="5273" w:type="dxa"/>
            <w:shd w:val="clear" w:color="auto" w:fill="5B9BD5"/>
          </w:tcPr>
          <w:p w14:paraId="70392666" w14:textId="77777777" w:rsidR="003E5B0C" w:rsidRPr="006E7B98" w:rsidRDefault="003E5B0C" w:rsidP="00BA08FC">
            <w:pPr>
              <w:jc w:val="center"/>
              <w:rPr>
                <w:b/>
                <w:color w:val="FFFFFF" w:themeColor="background1"/>
                <w:sz w:val="20"/>
                <w:szCs w:val="20"/>
              </w:rPr>
            </w:pPr>
            <w:r w:rsidRPr="006E7B98">
              <w:rPr>
                <w:b/>
                <w:color w:val="FFFFFF" w:themeColor="background1"/>
                <w:sz w:val="20"/>
                <w:szCs w:val="20"/>
              </w:rPr>
              <w:t>Brief justification for score</w:t>
            </w:r>
          </w:p>
        </w:tc>
      </w:tr>
      <w:tr w:rsidR="003E5B0C" w:rsidRPr="006E7B98" w14:paraId="224785C8" w14:textId="77777777" w:rsidTr="006E7B98">
        <w:trPr>
          <w:trHeight w:val="53"/>
        </w:trPr>
        <w:tc>
          <w:tcPr>
            <w:tcW w:w="3119" w:type="dxa"/>
            <w:shd w:val="clear" w:color="auto" w:fill="auto"/>
          </w:tcPr>
          <w:p w14:paraId="4AED0117" w14:textId="77777777" w:rsidR="003E5B0C" w:rsidRPr="006E7B98" w:rsidRDefault="003E5B0C" w:rsidP="006E7B98">
            <w:pPr>
              <w:jc w:val="left"/>
              <w:rPr>
                <w:sz w:val="20"/>
                <w:szCs w:val="20"/>
              </w:rPr>
            </w:pPr>
            <w:r w:rsidRPr="006E7B98">
              <w:rPr>
                <w:sz w:val="20"/>
                <w:szCs w:val="20"/>
              </w:rPr>
              <w:t xml:space="preserve">10.1 Monitoring of public corporations </w:t>
            </w:r>
          </w:p>
        </w:tc>
        <w:tc>
          <w:tcPr>
            <w:tcW w:w="709" w:type="dxa"/>
            <w:shd w:val="clear" w:color="auto" w:fill="auto"/>
          </w:tcPr>
          <w:p w14:paraId="014FB676" w14:textId="7FDBE524" w:rsidR="003E5B0C" w:rsidRPr="006E7B98" w:rsidRDefault="00EB09D7" w:rsidP="003A5747">
            <w:pPr>
              <w:jc w:val="center"/>
              <w:rPr>
                <w:sz w:val="20"/>
                <w:szCs w:val="20"/>
              </w:rPr>
            </w:pPr>
            <w:r>
              <w:rPr>
                <w:sz w:val="20"/>
                <w:szCs w:val="20"/>
              </w:rPr>
              <w:t>N/A</w:t>
            </w:r>
          </w:p>
        </w:tc>
        <w:tc>
          <w:tcPr>
            <w:tcW w:w="5273" w:type="dxa"/>
            <w:shd w:val="clear" w:color="auto" w:fill="auto"/>
          </w:tcPr>
          <w:p w14:paraId="6A177DF1" w14:textId="77777777" w:rsidR="003E5B0C" w:rsidRPr="006E7B98" w:rsidRDefault="003E5B0C" w:rsidP="006E7B98">
            <w:pPr>
              <w:jc w:val="left"/>
              <w:rPr>
                <w:sz w:val="20"/>
                <w:szCs w:val="20"/>
              </w:rPr>
            </w:pPr>
            <w:r w:rsidRPr="006E7B98">
              <w:rPr>
                <w:sz w:val="20"/>
                <w:szCs w:val="20"/>
              </w:rPr>
              <w:t xml:space="preserve">The county is yet to constitute any public corporations. </w:t>
            </w:r>
          </w:p>
        </w:tc>
      </w:tr>
      <w:tr w:rsidR="003E5B0C" w:rsidRPr="006E7B98" w14:paraId="5701F87D" w14:textId="77777777" w:rsidTr="006E7B98">
        <w:trPr>
          <w:trHeight w:val="89"/>
        </w:trPr>
        <w:tc>
          <w:tcPr>
            <w:tcW w:w="3119" w:type="dxa"/>
            <w:shd w:val="clear" w:color="auto" w:fill="auto"/>
          </w:tcPr>
          <w:p w14:paraId="2CE418EF" w14:textId="77777777" w:rsidR="003E5B0C" w:rsidRPr="006E7B98" w:rsidRDefault="003E5B0C" w:rsidP="006E7B98">
            <w:pPr>
              <w:jc w:val="left"/>
              <w:rPr>
                <w:sz w:val="20"/>
                <w:szCs w:val="20"/>
              </w:rPr>
            </w:pPr>
            <w:r w:rsidRPr="006E7B98">
              <w:rPr>
                <w:sz w:val="20"/>
                <w:szCs w:val="20"/>
              </w:rPr>
              <w:t xml:space="preserve">10.2 Monitoring of subnational Governments </w:t>
            </w:r>
          </w:p>
        </w:tc>
        <w:tc>
          <w:tcPr>
            <w:tcW w:w="709" w:type="dxa"/>
            <w:shd w:val="clear" w:color="auto" w:fill="auto"/>
          </w:tcPr>
          <w:p w14:paraId="459D430B" w14:textId="445C2461" w:rsidR="003E5B0C" w:rsidRPr="006E7B98" w:rsidRDefault="00EB09D7" w:rsidP="003A5747">
            <w:pPr>
              <w:jc w:val="center"/>
              <w:rPr>
                <w:sz w:val="20"/>
                <w:szCs w:val="20"/>
              </w:rPr>
            </w:pPr>
            <w:r>
              <w:rPr>
                <w:sz w:val="20"/>
                <w:szCs w:val="20"/>
              </w:rPr>
              <w:t>N/A</w:t>
            </w:r>
          </w:p>
        </w:tc>
        <w:tc>
          <w:tcPr>
            <w:tcW w:w="5273" w:type="dxa"/>
            <w:shd w:val="clear" w:color="auto" w:fill="auto"/>
          </w:tcPr>
          <w:p w14:paraId="3D21DC01" w14:textId="77777777" w:rsidR="003E5B0C" w:rsidRPr="006E7B98" w:rsidRDefault="003E5B0C" w:rsidP="006E7B98">
            <w:pPr>
              <w:jc w:val="left"/>
              <w:rPr>
                <w:sz w:val="20"/>
                <w:szCs w:val="20"/>
              </w:rPr>
            </w:pPr>
            <w:r w:rsidRPr="006E7B98">
              <w:rPr>
                <w:sz w:val="20"/>
                <w:szCs w:val="20"/>
              </w:rPr>
              <w:t xml:space="preserve">Kajiado County does not have further devolved units. </w:t>
            </w:r>
          </w:p>
        </w:tc>
      </w:tr>
      <w:tr w:rsidR="003E5B0C" w:rsidRPr="006E7B98" w14:paraId="2E791535" w14:textId="77777777" w:rsidTr="006E7B98">
        <w:trPr>
          <w:trHeight w:val="53"/>
        </w:trPr>
        <w:tc>
          <w:tcPr>
            <w:tcW w:w="3119" w:type="dxa"/>
            <w:shd w:val="clear" w:color="auto" w:fill="auto"/>
          </w:tcPr>
          <w:p w14:paraId="01A6C35B" w14:textId="77777777" w:rsidR="003E5B0C" w:rsidRPr="006E7B98" w:rsidRDefault="003E5B0C" w:rsidP="006E7B98">
            <w:pPr>
              <w:jc w:val="left"/>
              <w:rPr>
                <w:sz w:val="20"/>
                <w:szCs w:val="20"/>
              </w:rPr>
            </w:pPr>
            <w:r w:rsidRPr="006E7B98">
              <w:rPr>
                <w:sz w:val="20"/>
                <w:szCs w:val="20"/>
              </w:rPr>
              <w:t xml:space="preserve">10.3 Contingent liabilities and other fiscal risks </w:t>
            </w:r>
          </w:p>
        </w:tc>
        <w:tc>
          <w:tcPr>
            <w:tcW w:w="709" w:type="dxa"/>
            <w:shd w:val="clear" w:color="auto" w:fill="auto"/>
          </w:tcPr>
          <w:p w14:paraId="75A13BC5" w14:textId="77777777" w:rsidR="003E5B0C" w:rsidRPr="006E7B98" w:rsidRDefault="003E5B0C" w:rsidP="003A5747">
            <w:pPr>
              <w:jc w:val="center"/>
              <w:rPr>
                <w:sz w:val="20"/>
                <w:szCs w:val="20"/>
              </w:rPr>
            </w:pPr>
            <w:r w:rsidRPr="006E7B98">
              <w:rPr>
                <w:sz w:val="20"/>
                <w:szCs w:val="20"/>
              </w:rPr>
              <w:t>D</w:t>
            </w:r>
          </w:p>
        </w:tc>
        <w:tc>
          <w:tcPr>
            <w:tcW w:w="5273" w:type="dxa"/>
            <w:shd w:val="clear" w:color="auto" w:fill="auto"/>
          </w:tcPr>
          <w:p w14:paraId="457ED9DF" w14:textId="08E065E5" w:rsidR="003E5B0C" w:rsidRPr="006E7B98" w:rsidRDefault="003E5B0C" w:rsidP="006E7B98">
            <w:pPr>
              <w:jc w:val="left"/>
              <w:rPr>
                <w:sz w:val="20"/>
                <w:szCs w:val="20"/>
              </w:rPr>
            </w:pPr>
            <w:r w:rsidRPr="006E7B98">
              <w:rPr>
                <w:sz w:val="20"/>
                <w:szCs w:val="20"/>
              </w:rPr>
              <w:t>Contingent liabilities and other fiscal risks have not been specified in the budget but have been outlined in the CBROP and the CFSP.</w:t>
            </w:r>
          </w:p>
        </w:tc>
      </w:tr>
    </w:tbl>
    <w:p w14:paraId="79AD996C" w14:textId="77777777" w:rsidR="00A12A71" w:rsidRPr="00890A84" w:rsidRDefault="00867DDD" w:rsidP="00BA6B2B">
      <w:pPr>
        <w:pStyle w:val="Heading5"/>
      </w:pPr>
      <w:r w:rsidRPr="00890A84">
        <w:t>PI-</w:t>
      </w:r>
      <w:r w:rsidR="00A12A71" w:rsidRPr="00890A84">
        <w:t xml:space="preserve">10.1. Monitoring of public corporations </w:t>
      </w:r>
    </w:p>
    <w:p w14:paraId="5F400398" w14:textId="23B1C76D" w:rsidR="00D7430A" w:rsidRPr="006E7B98" w:rsidRDefault="00FE3FB2" w:rsidP="00EE1698">
      <w:pPr>
        <w:spacing w:after="240"/>
        <w:rPr>
          <w:sz w:val="22"/>
        </w:rPr>
      </w:pPr>
      <w:r w:rsidRPr="006E7B98">
        <w:rPr>
          <w:sz w:val="22"/>
        </w:rPr>
        <w:t xml:space="preserve">The </w:t>
      </w:r>
      <w:r w:rsidR="00D10942">
        <w:rPr>
          <w:sz w:val="22"/>
        </w:rPr>
        <w:t>c</w:t>
      </w:r>
      <w:r w:rsidRPr="006E7B98">
        <w:rPr>
          <w:sz w:val="22"/>
        </w:rPr>
        <w:t>ounty is yet to constitute any public corporation and for that reason there is no list of public corporation</w:t>
      </w:r>
      <w:r w:rsidR="004A608C" w:rsidRPr="006E7B98">
        <w:rPr>
          <w:sz w:val="22"/>
        </w:rPr>
        <w:t>s</w:t>
      </w:r>
      <w:r w:rsidRPr="006E7B98">
        <w:rPr>
          <w:sz w:val="22"/>
        </w:rPr>
        <w:t xml:space="preserve">. </w:t>
      </w:r>
    </w:p>
    <w:p w14:paraId="3EC47503" w14:textId="763C7424" w:rsidR="00D7430A" w:rsidRPr="006E7B98" w:rsidRDefault="00D7430A" w:rsidP="00EE1698">
      <w:pPr>
        <w:spacing w:after="240"/>
        <w:rPr>
          <w:b/>
          <w:sz w:val="22"/>
        </w:rPr>
      </w:pPr>
      <w:r w:rsidRPr="006E7B98">
        <w:rPr>
          <w:b/>
          <w:sz w:val="22"/>
        </w:rPr>
        <w:t xml:space="preserve">Dimension rating = </w:t>
      </w:r>
      <w:r w:rsidR="00EB09D7">
        <w:rPr>
          <w:b/>
          <w:sz w:val="22"/>
        </w:rPr>
        <w:t>N/A</w:t>
      </w:r>
    </w:p>
    <w:p w14:paraId="212AEE82" w14:textId="0840773A" w:rsidR="00FE3FB2" w:rsidRPr="00890A84" w:rsidRDefault="00867DDD" w:rsidP="006E7B98">
      <w:pPr>
        <w:pStyle w:val="Heading5"/>
        <w:spacing w:before="0"/>
      </w:pPr>
      <w:r w:rsidRPr="00890A84">
        <w:t>PI-</w:t>
      </w:r>
      <w:r w:rsidR="00FE3FB2" w:rsidRPr="00890A84">
        <w:t xml:space="preserve">10.2. Monitoring of </w:t>
      </w:r>
      <w:r w:rsidR="00D11013" w:rsidRPr="00890A84">
        <w:t>sub</w:t>
      </w:r>
      <w:r w:rsidR="00D11013">
        <w:t>national</w:t>
      </w:r>
      <w:r w:rsidR="00607B97">
        <w:t xml:space="preserve"> </w:t>
      </w:r>
      <w:r w:rsidR="00D10942">
        <w:t>g</w:t>
      </w:r>
      <w:r w:rsidR="00607B97">
        <w:t>overnment</w:t>
      </w:r>
      <w:r w:rsidR="00FE3FB2" w:rsidRPr="00890A84">
        <w:t xml:space="preserve">s </w:t>
      </w:r>
    </w:p>
    <w:p w14:paraId="605E6332" w14:textId="77777777" w:rsidR="00D7430A" w:rsidRPr="006E7B98" w:rsidRDefault="00FE3FB2" w:rsidP="00EE1698">
      <w:pPr>
        <w:spacing w:after="240"/>
        <w:rPr>
          <w:sz w:val="22"/>
        </w:rPr>
      </w:pPr>
      <w:r w:rsidRPr="006E7B98">
        <w:rPr>
          <w:sz w:val="22"/>
        </w:rPr>
        <w:t>Functions are conducted centrally by the county government because the further devolved units are yet to be activated.</w:t>
      </w:r>
      <w:r w:rsidR="00B8438A" w:rsidRPr="006E7B98">
        <w:rPr>
          <w:sz w:val="22"/>
        </w:rPr>
        <w:t xml:space="preserve"> </w:t>
      </w:r>
    </w:p>
    <w:p w14:paraId="130B8F48" w14:textId="2C2AA026" w:rsidR="00D7430A" w:rsidRPr="006E7B98" w:rsidRDefault="00D7430A" w:rsidP="00EE1698">
      <w:pPr>
        <w:spacing w:after="240"/>
        <w:rPr>
          <w:b/>
          <w:sz w:val="22"/>
        </w:rPr>
      </w:pPr>
      <w:r w:rsidRPr="006E7B98">
        <w:rPr>
          <w:b/>
          <w:sz w:val="22"/>
        </w:rPr>
        <w:t>Dimension rating = N/A</w:t>
      </w:r>
    </w:p>
    <w:p w14:paraId="0FC04965" w14:textId="77777777" w:rsidR="00FE3FB2" w:rsidRPr="00890A84" w:rsidRDefault="00867DDD" w:rsidP="00BA6B2B">
      <w:pPr>
        <w:pStyle w:val="Heading5"/>
      </w:pPr>
      <w:r w:rsidRPr="00890A84">
        <w:t>PI-</w:t>
      </w:r>
      <w:r w:rsidR="00FE3FB2" w:rsidRPr="00890A84">
        <w:t xml:space="preserve">10.3. Contingent liabilities and other fiscal risks </w:t>
      </w:r>
    </w:p>
    <w:p w14:paraId="0B3C1D12" w14:textId="57A35FDD" w:rsidR="00D7430A" w:rsidRPr="006E7B98" w:rsidRDefault="00FE3FB2" w:rsidP="00EE1698">
      <w:pPr>
        <w:spacing w:after="240"/>
        <w:rPr>
          <w:sz w:val="22"/>
        </w:rPr>
      </w:pPr>
      <w:r w:rsidRPr="006E7B98">
        <w:rPr>
          <w:sz w:val="22"/>
        </w:rPr>
        <w:t xml:space="preserve">Contingent liabilities have not been isolated as an item within the budget. Other fiscal risks have been mentioned in the </w:t>
      </w:r>
      <w:r w:rsidRPr="00D10942">
        <w:rPr>
          <w:sz w:val="22"/>
        </w:rPr>
        <w:t>CFSP</w:t>
      </w:r>
      <w:r w:rsidRPr="006E7B98">
        <w:rPr>
          <w:sz w:val="22"/>
        </w:rPr>
        <w:t xml:space="preserve"> and the </w:t>
      </w:r>
      <w:r w:rsidR="00381DE1" w:rsidRPr="006E7B98">
        <w:rPr>
          <w:sz w:val="22"/>
        </w:rPr>
        <w:t>CBROP but</w:t>
      </w:r>
      <w:r w:rsidRPr="006E7B98">
        <w:rPr>
          <w:sz w:val="22"/>
        </w:rPr>
        <w:t xml:space="preserve"> have not been quantified in the </w:t>
      </w:r>
      <w:r w:rsidR="00A82FF9" w:rsidRPr="006E7B98">
        <w:rPr>
          <w:sz w:val="22"/>
        </w:rPr>
        <w:t>budget. Risks</w:t>
      </w:r>
      <w:r w:rsidR="00556C13" w:rsidRPr="006E7B98">
        <w:rPr>
          <w:sz w:val="22"/>
        </w:rPr>
        <w:t xml:space="preserve"> to the </w:t>
      </w:r>
      <w:r w:rsidR="00D10942">
        <w:rPr>
          <w:sz w:val="22"/>
        </w:rPr>
        <w:t>o</w:t>
      </w:r>
      <w:r w:rsidR="00556C13" w:rsidRPr="006E7B98">
        <w:rPr>
          <w:sz w:val="22"/>
        </w:rPr>
        <w:t>utlook in the CBROP 2016 mention that the county should establish the level of pending bills before it becomes a hidden budget deficit.</w:t>
      </w:r>
      <w:r w:rsidR="00B8438A" w:rsidRPr="006E7B98">
        <w:rPr>
          <w:sz w:val="22"/>
        </w:rPr>
        <w:t xml:space="preserve"> </w:t>
      </w:r>
    </w:p>
    <w:p w14:paraId="2A3A78F8" w14:textId="31A17E1F" w:rsidR="00D7430A" w:rsidRPr="006E7B98" w:rsidRDefault="00D7430A" w:rsidP="00EE1698">
      <w:pPr>
        <w:spacing w:after="240"/>
        <w:rPr>
          <w:b/>
          <w:sz w:val="22"/>
        </w:rPr>
      </w:pPr>
      <w:r w:rsidRPr="006E7B98">
        <w:rPr>
          <w:b/>
          <w:sz w:val="22"/>
        </w:rPr>
        <w:t>Dimension rating = D</w:t>
      </w:r>
    </w:p>
    <w:p w14:paraId="149955CF" w14:textId="77777777" w:rsidR="00BB1084" w:rsidRPr="00890A84" w:rsidRDefault="00BB1084" w:rsidP="006E7B98">
      <w:pPr>
        <w:pStyle w:val="Heading4"/>
      </w:pPr>
      <w:r w:rsidRPr="00890A84">
        <w:t>PI-11. Public investment management</w:t>
      </w:r>
    </w:p>
    <w:p w14:paraId="5D3C5AFA" w14:textId="77777777" w:rsidR="003E5B0C" w:rsidRPr="00890A84" w:rsidRDefault="003E5B0C" w:rsidP="00BA6B2B">
      <w:pPr>
        <w:pStyle w:val="Heading5"/>
      </w:pPr>
      <w:r>
        <w:t>Summary of scores and performance table</w:t>
      </w:r>
    </w:p>
    <w:tbl>
      <w:tblPr>
        <w:tblW w:w="5049" w:type="pct"/>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460"/>
        <w:gridCol w:w="497"/>
        <w:gridCol w:w="6485"/>
      </w:tblGrid>
      <w:tr w:rsidR="003E5B0C" w:rsidRPr="006E7B98" w14:paraId="2C5C275B" w14:textId="77777777" w:rsidTr="003A5747">
        <w:trPr>
          <w:trHeight w:val="548"/>
          <w:tblHeader/>
        </w:trPr>
        <w:tc>
          <w:tcPr>
            <w:tcW w:w="1303" w:type="pct"/>
            <w:shd w:val="clear" w:color="auto" w:fill="5B9BD5"/>
          </w:tcPr>
          <w:p w14:paraId="6F7B0B0C" w14:textId="77777777" w:rsidR="003E5B0C" w:rsidRPr="006E7B98" w:rsidRDefault="003E5B0C" w:rsidP="00BA08FC">
            <w:pPr>
              <w:jc w:val="center"/>
              <w:rPr>
                <w:b/>
                <w:color w:val="FFFFFF" w:themeColor="background1"/>
                <w:sz w:val="20"/>
                <w:szCs w:val="20"/>
              </w:rPr>
            </w:pPr>
            <w:r w:rsidRPr="006E7B98">
              <w:rPr>
                <w:b/>
                <w:color w:val="FFFFFF" w:themeColor="background1"/>
                <w:sz w:val="20"/>
                <w:szCs w:val="20"/>
              </w:rPr>
              <w:t>PI-11 Public investment management (M2)</w:t>
            </w:r>
          </w:p>
        </w:tc>
        <w:tc>
          <w:tcPr>
            <w:tcW w:w="263" w:type="pct"/>
            <w:shd w:val="clear" w:color="auto" w:fill="5B9BD5"/>
          </w:tcPr>
          <w:p w14:paraId="5E63D095" w14:textId="77777777" w:rsidR="003E5B0C" w:rsidRPr="006E7B98" w:rsidRDefault="003E5B0C" w:rsidP="00BA08FC">
            <w:pPr>
              <w:jc w:val="center"/>
              <w:rPr>
                <w:b/>
                <w:color w:val="FFFFFF" w:themeColor="background1"/>
                <w:sz w:val="20"/>
                <w:szCs w:val="20"/>
              </w:rPr>
            </w:pPr>
            <w:r w:rsidRPr="006E7B98">
              <w:rPr>
                <w:b/>
                <w:color w:val="FFFFFF" w:themeColor="background1"/>
                <w:sz w:val="20"/>
                <w:szCs w:val="20"/>
              </w:rPr>
              <w:t>D+</w:t>
            </w:r>
          </w:p>
        </w:tc>
        <w:tc>
          <w:tcPr>
            <w:tcW w:w="3434" w:type="pct"/>
            <w:shd w:val="clear" w:color="auto" w:fill="5B9BD5"/>
          </w:tcPr>
          <w:p w14:paraId="3645BC78" w14:textId="77777777" w:rsidR="003E5B0C" w:rsidRPr="006E7B98" w:rsidRDefault="003E5B0C" w:rsidP="00BA08FC">
            <w:pPr>
              <w:jc w:val="center"/>
              <w:rPr>
                <w:b/>
                <w:color w:val="FFFFFF" w:themeColor="background1"/>
                <w:sz w:val="20"/>
                <w:szCs w:val="20"/>
              </w:rPr>
            </w:pPr>
            <w:r w:rsidRPr="006E7B98">
              <w:rPr>
                <w:b/>
                <w:color w:val="FFFFFF" w:themeColor="background1"/>
                <w:sz w:val="20"/>
                <w:szCs w:val="20"/>
              </w:rPr>
              <w:t>Brief justification for score</w:t>
            </w:r>
          </w:p>
        </w:tc>
      </w:tr>
      <w:tr w:rsidR="003E5B0C" w:rsidRPr="006E7B98" w14:paraId="4201B978" w14:textId="77777777" w:rsidTr="003A5747">
        <w:trPr>
          <w:trHeight w:val="413"/>
        </w:trPr>
        <w:tc>
          <w:tcPr>
            <w:tcW w:w="1303" w:type="pct"/>
            <w:shd w:val="clear" w:color="auto" w:fill="auto"/>
          </w:tcPr>
          <w:p w14:paraId="665E86C7" w14:textId="77777777" w:rsidR="003E5B0C" w:rsidRPr="006E7B98" w:rsidRDefault="003E5B0C" w:rsidP="006E7B98">
            <w:pPr>
              <w:jc w:val="left"/>
              <w:rPr>
                <w:sz w:val="20"/>
                <w:szCs w:val="20"/>
              </w:rPr>
            </w:pPr>
            <w:r w:rsidRPr="006E7B98">
              <w:rPr>
                <w:sz w:val="20"/>
                <w:szCs w:val="20"/>
              </w:rPr>
              <w:t xml:space="preserve">11.1 Economic analysis of investment proposals </w:t>
            </w:r>
          </w:p>
        </w:tc>
        <w:tc>
          <w:tcPr>
            <w:tcW w:w="263" w:type="pct"/>
            <w:shd w:val="clear" w:color="auto" w:fill="auto"/>
          </w:tcPr>
          <w:p w14:paraId="53656D63" w14:textId="77777777" w:rsidR="003E5B0C" w:rsidRPr="006E7B98" w:rsidRDefault="003E5B0C" w:rsidP="003A5747">
            <w:pPr>
              <w:rPr>
                <w:sz w:val="20"/>
                <w:szCs w:val="20"/>
              </w:rPr>
            </w:pPr>
            <w:r w:rsidRPr="006E7B98">
              <w:rPr>
                <w:sz w:val="20"/>
                <w:szCs w:val="20"/>
              </w:rPr>
              <w:t>D</w:t>
            </w:r>
          </w:p>
        </w:tc>
        <w:tc>
          <w:tcPr>
            <w:tcW w:w="3434" w:type="pct"/>
            <w:shd w:val="clear" w:color="auto" w:fill="auto"/>
          </w:tcPr>
          <w:p w14:paraId="75225AC9" w14:textId="77777777" w:rsidR="003E5B0C" w:rsidRPr="006E7B98" w:rsidRDefault="003E5B0C" w:rsidP="006E7B98">
            <w:pPr>
              <w:jc w:val="left"/>
              <w:rPr>
                <w:sz w:val="20"/>
                <w:szCs w:val="20"/>
              </w:rPr>
            </w:pPr>
            <w:r w:rsidRPr="006E7B98">
              <w:rPr>
                <w:sz w:val="20"/>
                <w:szCs w:val="20"/>
              </w:rPr>
              <w:t xml:space="preserve">No rigorous economic analyses techniques are employed for major investment projects beyond the public participation. </w:t>
            </w:r>
          </w:p>
        </w:tc>
      </w:tr>
      <w:tr w:rsidR="003E5B0C" w:rsidRPr="006E7B98" w14:paraId="2C0BFDAB" w14:textId="77777777" w:rsidTr="003A5747">
        <w:trPr>
          <w:trHeight w:val="170"/>
        </w:trPr>
        <w:tc>
          <w:tcPr>
            <w:tcW w:w="1303" w:type="pct"/>
            <w:shd w:val="clear" w:color="auto" w:fill="auto"/>
          </w:tcPr>
          <w:p w14:paraId="57351286" w14:textId="77777777" w:rsidR="003E5B0C" w:rsidRPr="006E7B98" w:rsidRDefault="003E5B0C" w:rsidP="006E7B98">
            <w:pPr>
              <w:jc w:val="left"/>
              <w:rPr>
                <w:sz w:val="20"/>
                <w:szCs w:val="20"/>
              </w:rPr>
            </w:pPr>
            <w:r w:rsidRPr="006E7B98">
              <w:rPr>
                <w:sz w:val="20"/>
                <w:szCs w:val="20"/>
              </w:rPr>
              <w:t xml:space="preserve">11.2 Investment project selection </w:t>
            </w:r>
          </w:p>
        </w:tc>
        <w:tc>
          <w:tcPr>
            <w:tcW w:w="263" w:type="pct"/>
            <w:shd w:val="clear" w:color="auto" w:fill="auto"/>
          </w:tcPr>
          <w:p w14:paraId="2A148808" w14:textId="2D221C5B" w:rsidR="003E5B0C" w:rsidRPr="006E7B98" w:rsidRDefault="003E5B0C" w:rsidP="003A5747">
            <w:pPr>
              <w:rPr>
                <w:sz w:val="20"/>
                <w:szCs w:val="20"/>
              </w:rPr>
            </w:pPr>
            <w:r w:rsidRPr="006E7B98">
              <w:rPr>
                <w:sz w:val="20"/>
                <w:szCs w:val="20"/>
              </w:rPr>
              <w:t>D</w:t>
            </w:r>
            <w:r w:rsidR="001D22A8" w:rsidRPr="006E7B98">
              <w:rPr>
                <w:sz w:val="20"/>
                <w:szCs w:val="20"/>
              </w:rPr>
              <w:t>*</w:t>
            </w:r>
          </w:p>
        </w:tc>
        <w:tc>
          <w:tcPr>
            <w:tcW w:w="3434" w:type="pct"/>
            <w:shd w:val="clear" w:color="auto" w:fill="auto"/>
          </w:tcPr>
          <w:p w14:paraId="70B35D37" w14:textId="6B82F46B" w:rsidR="003E5B0C" w:rsidRPr="006E7B98" w:rsidRDefault="003E5B0C" w:rsidP="006E7B98">
            <w:pPr>
              <w:jc w:val="left"/>
              <w:rPr>
                <w:sz w:val="20"/>
                <w:szCs w:val="20"/>
              </w:rPr>
            </w:pPr>
            <w:r w:rsidRPr="006E7B98">
              <w:rPr>
                <w:sz w:val="20"/>
                <w:szCs w:val="20"/>
              </w:rPr>
              <w:t xml:space="preserve">The </w:t>
            </w:r>
            <w:r w:rsidR="00A4152D">
              <w:rPr>
                <w:sz w:val="20"/>
                <w:szCs w:val="20"/>
              </w:rPr>
              <w:t>B</w:t>
            </w:r>
            <w:r w:rsidRPr="006E7B98">
              <w:rPr>
                <w:sz w:val="20"/>
                <w:szCs w:val="20"/>
              </w:rPr>
              <w:t xml:space="preserve">udget and </w:t>
            </w:r>
            <w:r w:rsidR="00A4152D">
              <w:rPr>
                <w:sz w:val="20"/>
                <w:szCs w:val="20"/>
              </w:rPr>
              <w:t>P</w:t>
            </w:r>
            <w:r w:rsidRPr="006E7B98">
              <w:rPr>
                <w:sz w:val="20"/>
                <w:szCs w:val="20"/>
              </w:rPr>
              <w:t xml:space="preserve">lanning </w:t>
            </w:r>
            <w:r w:rsidR="00A4152D">
              <w:rPr>
                <w:sz w:val="20"/>
                <w:szCs w:val="20"/>
              </w:rPr>
              <w:t>U</w:t>
            </w:r>
            <w:r w:rsidRPr="006E7B98">
              <w:rPr>
                <w:sz w:val="20"/>
                <w:szCs w:val="20"/>
              </w:rPr>
              <w:t xml:space="preserve">nit is responsible for project selection but the selection criteria </w:t>
            </w:r>
            <w:r w:rsidR="00362511">
              <w:rPr>
                <w:sz w:val="20"/>
                <w:szCs w:val="20"/>
              </w:rPr>
              <w:t>are</w:t>
            </w:r>
            <w:r w:rsidR="00362511" w:rsidRPr="006E7B98">
              <w:rPr>
                <w:sz w:val="20"/>
                <w:szCs w:val="20"/>
              </w:rPr>
              <w:t xml:space="preserve"> </w:t>
            </w:r>
            <w:r w:rsidRPr="006E7B98">
              <w:rPr>
                <w:sz w:val="20"/>
                <w:szCs w:val="20"/>
              </w:rPr>
              <w:t xml:space="preserve">not documented. Most of the practices and rules have not been formalized and evidence showing the major investment projects selected by the cabinet </w:t>
            </w:r>
            <w:r w:rsidR="00362511">
              <w:rPr>
                <w:sz w:val="20"/>
                <w:szCs w:val="20"/>
              </w:rPr>
              <w:t>before</w:t>
            </w:r>
            <w:r w:rsidRPr="006E7B98">
              <w:rPr>
                <w:sz w:val="20"/>
                <w:szCs w:val="20"/>
              </w:rPr>
              <w:t xml:space="preserve"> their inclusion in the budget was not </w:t>
            </w:r>
            <w:r w:rsidR="000A7E03">
              <w:rPr>
                <w:sz w:val="20"/>
                <w:szCs w:val="20"/>
              </w:rPr>
              <w:t>provided</w:t>
            </w:r>
            <w:r w:rsidRPr="006E7B98">
              <w:rPr>
                <w:sz w:val="20"/>
                <w:szCs w:val="20"/>
              </w:rPr>
              <w:t>.</w:t>
            </w:r>
          </w:p>
        </w:tc>
      </w:tr>
      <w:tr w:rsidR="003E5B0C" w:rsidRPr="006E7B98" w14:paraId="089F3D36" w14:textId="77777777" w:rsidTr="003A5747">
        <w:trPr>
          <w:trHeight w:val="53"/>
        </w:trPr>
        <w:tc>
          <w:tcPr>
            <w:tcW w:w="1303" w:type="pct"/>
            <w:shd w:val="clear" w:color="auto" w:fill="auto"/>
          </w:tcPr>
          <w:p w14:paraId="630F582B" w14:textId="77777777" w:rsidR="003E5B0C" w:rsidRPr="006E7B98" w:rsidRDefault="003E5B0C" w:rsidP="006E7B98">
            <w:pPr>
              <w:jc w:val="left"/>
              <w:rPr>
                <w:sz w:val="20"/>
                <w:szCs w:val="20"/>
              </w:rPr>
            </w:pPr>
            <w:r w:rsidRPr="006E7B98">
              <w:rPr>
                <w:sz w:val="20"/>
                <w:szCs w:val="20"/>
              </w:rPr>
              <w:t xml:space="preserve">11.3 Investment project costing </w:t>
            </w:r>
          </w:p>
        </w:tc>
        <w:tc>
          <w:tcPr>
            <w:tcW w:w="263" w:type="pct"/>
            <w:shd w:val="clear" w:color="auto" w:fill="auto"/>
          </w:tcPr>
          <w:p w14:paraId="5EB65BA9" w14:textId="77777777" w:rsidR="003E5B0C" w:rsidRPr="006E7B98" w:rsidRDefault="003E5B0C" w:rsidP="003A5747">
            <w:pPr>
              <w:rPr>
                <w:sz w:val="20"/>
                <w:szCs w:val="20"/>
              </w:rPr>
            </w:pPr>
            <w:r w:rsidRPr="006E7B98">
              <w:rPr>
                <w:sz w:val="20"/>
                <w:szCs w:val="20"/>
              </w:rPr>
              <w:t>C</w:t>
            </w:r>
          </w:p>
        </w:tc>
        <w:tc>
          <w:tcPr>
            <w:tcW w:w="3434" w:type="pct"/>
            <w:shd w:val="clear" w:color="auto" w:fill="auto"/>
          </w:tcPr>
          <w:p w14:paraId="14E74DC5" w14:textId="77777777" w:rsidR="003E5B0C" w:rsidRPr="006E7B98" w:rsidRDefault="003E5B0C" w:rsidP="006E7B98">
            <w:pPr>
              <w:jc w:val="left"/>
              <w:rPr>
                <w:sz w:val="20"/>
                <w:szCs w:val="20"/>
              </w:rPr>
            </w:pPr>
            <w:r w:rsidRPr="006E7B98">
              <w:rPr>
                <w:sz w:val="20"/>
                <w:szCs w:val="20"/>
              </w:rPr>
              <w:t>Projections of the total capital cost of major investment projects, together with the capital costs for the forthcoming budget year, are included in the budget documents.</w:t>
            </w:r>
          </w:p>
        </w:tc>
      </w:tr>
      <w:tr w:rsidR="003E5B0C" w:rsidRPr="006E7B98" w14:paraId="61EBF0A8" w14:textId="77777777" w:rsidTr="003A5747">
        <w:trPr>
          <w:trHeight w:val="53"/>
        </w:trPr>
        <w:tc>
          <w:tcPr>
            <w:tcW w:w="1303" w:type="pct"/>
            <w:shd w:val="clear" w:color="auto" w:fill="auto"/>
          </w:tcPr>
          <w:p w14:paraId="5FFBEE66" w14:textId="77777777" w:rsidR="003E5B0C" w:rsidRPr="006E7B98" w:rsidRDefault="003E5B0C" w:rsidP="006E7B98">
            <w:pPr>
              <w:jc w:val="left"/>
              <w:rPr>
                <w:sz w:val="20"/>
                <w:szCs w:val="20"/>
              </w:rPr>
            </w:pPr>
            <w:r w:rsidRPr="006E7B98">
              <w:rPr>
                <w:sz w:val="20"/>
                <w:szCs w:val="20"/>
              </w:rPr>
              <w:t xml:space="preserve">11.4 Investment project monitoring </w:t>
            </w:r>
          </w:p>
        </w:tc>
        <w:tc>
          <w:tcPr>
            <w:tcW w:w="263" w:type="pct"/>
            <w:shd w:val="clear" w:color="auto" w:fill="auto"/>
          </w:tcPr>
          <w:p w14:paraId="5EF59838" w14:textId="77777777" w:rsidR="003E5B0C" w:rsidRPr="006E7B98" w:rsidRDefault="003E5B0C" w:rsidP="003A5747">
            <w:pPr>
              <w:rPr>
                <w:sz w:val="20"/>
                <w:szCs w:val="20"/>
              </w:rPr>
            </w:pPr>
            <w:r w:rsidRPr="006E7B98">
              <w:rPr>
                <w:sz w:val="20"/>
                <w:szCs w:val="20"/>
              </w:rPr>
              <w:t>D*</w:t>
            </w:r>
          </w:p>
        </w:tc>
        <w:tc>
          <w:tcPr>
            <w:tcW w:w="3434" w:type="pct"/>
            <w:shd w:val="clear" w:color="auto" w:fill="auto"/>
          </w:tcPr>
          <w:p w14:paraId="0EDD7C08" w14:textId="77777777" w:rsidR="003E5B0C" w:rsidRPr="006E7B98" w:rsidRDefault="003E5B0C" w:rsidP="006E7B98">
            <w:pPr>
              <w:jc w:val="left"/>
              <w:rPr>
                <w:sz w:val="20"/>
                <w:szCs w:val="20"/>
              </w:rPr>
            </w:pPr>
            <w:r w:rsidRPr="006E7B98">
              <w:rPr>
                <w:sz w:val="20"/>
                <w:szCs w:val="20"/>
              </w:rPr>
              <w:t>The total cost and physical progress of major investment projects are monitored by a team, which has been constituted by the county. But no information on implementation of major investment projects has been provided.</w:t>
            </w:r>
          </w:p>
        </w:tc>
      </w:tr>
    </w:tbl>
    <w:p w14:paraId="465FE6C6" w14:textId="77777777" w:rsidR="00A12A71" w:rsidRPr="00890A84" w:rsidRDefault="00867DDD" w:rsidP="00BA6B2B">
      <w:pPr>
        <w:pStyle w:val="Heading5"/>
      </w:pPr>
      <w:r w:rsidRPr="00890A84">
        <w:t>PI-</w:t>
      </w:r>
      <w:r w:rsidR="00A12A71" w:rsidRPr="00890A84">
        <w:t xml:space="preserve">11.1. Economic analysis of investment proposals </w:t>
      </w:r>
    </w:p>
    <w:p w14:paraId="203F9E2F" w14:textId="77777777" w:rsidR="00D7430A" w:rsidRPr="006E7B98" w:rsidRDefault="00FE3FB2" w:rsidP="00EE1698">
      <w:pPr>
        <w:spacing w:after="240"/>
        <w:rPr>
          <w:sz w:val="22"/>
        </w:rPr>
      </w:pPr>
      <w:r w:rsidRPr="006E7B98">
        <w:rPr>
          <w:sz w:val="22"/>
        </w:rPr>
        <w:t xml:space="preserve">Public forums at the ward level are used to populate a list of desired projects, which are then collated by the </w:t>
      </w:r>
      <w:r w:rsidR="00CD7F09" w:rsidRPr="006E7B98">
        <w:rPr>
          <w:sz w:val="22"/>
        </w:rPr>
        <w:t>County T</w:t>
      </w:r>
      <w:r w:rsidRPr="006E7B98">
        <w:rPr>
          <w:sz w:val="22"/>
        </w:rPr>
        <w:t>reasury. Prioritization is then done considering the money allocated to each ward by the county. There is no evidence of the use of economic analyses methods to establish feasibility of investment projects.</w:t>
      </w:r>
      <w:r w:rsidR="00B8438A" w:rsidRPr="006E7B98">
        <w:rPr>
          <w:sz w:val="22"/>
        </w:rPr>
        <w:t xml:space="preserve"> </w:t>
      </w:r>
    </w:p>
    <w:p w14:paraId="462C655A" w14:textId="19E795D9" w:rsidR="00D7430A" w:rsidRPr="006E7B98" w:rsidRDefault="00D7430A" w:rsidP="00EE1698">
      <w:pPr>
        <w:spacing w:after="240"/>
        <w:rPr>
          <w:b/>
          <w:sz w:val="22"/>
        </w:rPr>
      </w:pPr>
      <w:r w:rsidRPr="006E7B98">
        <w:rPr>
          <w:b/>
          <w:sz w:val="22"/>
        </w:rPr>
        <w:t>Dimension rating = D</w:t>
      </w:r>
    </w:p>
    <w:p w14:paraId="706BCA22" w14:textId="77777777" w:rsidR="00FE3FB2" w:rsidRPr="00890A84" w:rsidRDefault="00867DDD" w:rsidP="00BA6B2B">
      <w:pPr>
        <w:pStyle w:val="Heading5"/>
      </w:pPr>
      <w:r w:rsidRPr="00890A84">
        <w:t>PI-</w:t>
      </w:r>
      <w:r w:rsidR="00FE3FB2" w:rsidRPr="00890A84">
        <w:t xml:space="preserve">11.2. Investment project selection </w:t>
      </w:r>
    </w:p>
    <w:p w14:paraId="7236759B" w14:textId="4CA6F5F7" w:rsidR="00AE7C64" w:rsidRPr="006E7B98" w:rsidRDefault="00FE3FB2" w:rsidP="00EE1698">
      <w:pPr>
        <w:spacing w:after="240"/>
        <w:rPr>
          <w:sz w:val="22"/>
        </w:rPr>
      </w:pPr>
      <w:r w:rsidRPr="006E7B98">
        <w:rPr>
          <w:sz w:val="22"/>
        </w:rPr>
        <w:t xml:space="preserve">Investment projects are selected jointly by representatives from the Budget </w:t>
      </w:r>
      <w:r w:rsidR="00362511">
        <w:rPr>
          <w:sz w:val="22"/>
        </w:rPr>
        <w:t>O</w:t>
      </w:r>
      <w:r w:rsidRPr="006E7B98">
        <w:rPr>
          <w:sz w:val="22"/>
        </w:rPr>
        <w:t>ffice, County Assembly</w:t>
      </w:r>
      <w:r w:rsidR="00362511">
        <w:rPr>
          <w:sz w:val="22"/>
        </w:rPr>
        <w:t>,</w:t>
      </w:r>
      <w:r w:rsidRPr="006E7B98">
        <w:rPr>
          <w:sz w:val="22"/>
        </w:rPr>
        <w:t xml:space="preserve"> and the implementing department. The standard criterion for project selection has not been presented but the central entity responsible for conducting project appraisal is the </w:t>
      </w:r>
      <w:r w:rsidR="00362511">
        <w:rPr>
          <w:sz w:val="22"/>
        </w:rPr>
        <w:t>B</w:t>
      </w:r>
      <w:r w:rsidRPr="006E7B98">
        <w:rPr>
          <w:sz w:val="22"/>
        </w:rPr>
        <w:t xml:space="preserve">udget and </w:t>
      </w:r>
      <w:r w:rsidR="00362511">
        <w:rPr>
          <w:sz w:val="22"/>
        </w:rPr>
        <w:t>P</w:t>
      </w:r>
      <w:r w:rsidRPr="006E7B98">
        <w:rPr>
          <w:sz w:val="22"/>
        </w:rPr>
        <w:t xml:space="preserve">lanning </w:t>
      </w:r>
      <w:r w:rsidR="00362511">
        <w:rPr>
          <w:sz w:val="22"/>
        </w:rPr>
        <w:t>U</w:t>
      </w:r>
      <w:r w:rsidRPr="006E7B98">
        <w:rPr>
          <w:sz w:val="22"/>
        </w:rPr>
        <w:t xml:space="preserve">nit. </w:t>
      </w:r>
      <w:r w:rsidR="00AE7C64" w:rsidRPr="006E7B98">
        <w:rPr>
          <w:sz w:val="22"/>
        </w:rPr>
        <w:t>Th</w:t>
      </w:r>
      <w:r w:rsidR="00362511">
        <w:rPr>
          <w:sz w:val="22"/>
        </w:rPr>
        <w:t>is</w:t>
      </w:r>
      <w:r w:rsidR="00AE7C64" w:rsidRPr="006E7B98">
        <w:rPr>
          <w:sz w:val="22"/>
        </w:rPr>
        <w:t xml:space="preserve"> unit is responsible for project </w:t>
      </w:r>
      <w:r w:rsidR="00400265" w:rsidRPr="006E7B98">
        <w:rPr>
          <w:sz w:val="22"/>
        </w:rPr>
        <w:t>selection,</w:t>
      </w:r>
      <w:r w:rsidR="00AE7C64" w:rsidRPr="006E7B98">
        <w:rPr>
          <w:sz w:val="22"/>
        </w:rPr>
        <w:t xml:space="preserve"> but the selection </w:t>
      </w:r>
      <w:r w:rsidR="00115997" w:rsidRPr="006E7B98">
        <w:rPr>
          <w:sz w:val="22"/>
        </w:rPr>
        <w:t>criterion is</w:t>
      </w:r>
      <w:r w:rsidR="00AE7C64" w:rsidRPr="006E7B98">
        <w:rPr>
          <w:sz w:val="22"/>
        </w:rPr>
        <w:t xml:space="preserve"> not documented. Most of the practices and rules have not been formalized.</w:t>
      </w:r>
    </w:p>
    <w:p w14:paraId="303902E4" w14:textId="643976DC" w:rsidR="00D7430A" w:rsidRPr="006E7B98" w:rsidRDefault="00B8438A" w:rsidP="00EE1698">
      <w:pPr>
        <w:spacing w:after="240"/>
        <w:rPr>
          <w:sz w:val="22"/>
        </w:rPr>
      </w:pPr>
      <w:r w:rsidRPr="006E7B98">
        <w:rPr>
          <w:sz w:val="22"/>
        </w:rPr>
        <w:t>In summary</w:t>
      </w:r>
      <w:r w:rsidR="00075996" w:rsidRPr="006E7B98">
        <w:rPr>
          <w:sz w:val="22"/>
        </w:rPr>
        <w:t xml:space="preserve">, evidence that the major investment projects selected by the cabinet </w:t>
      </w:r>
      <w:r w:rsidR="00362511">
        <w:rPr>
          <w:sz w:val="22"/>
        </w:rPr>
        <w:t>before</w:t>
      </w:r>
      <w:r w:rsidR="00075996" w:rsidRPr="006E7B98">
        <w:rPr>
          <w:sz w:val="22"/>
        </w:rPr>
        <w:t xml:space="preserve"> their inclusion in the budget</w:t>
      </w:r>
      <w:r w:rsidR="00362511">
        <w:rPr>
          <w:sz w:val="22"/>
        </w:rPr>
        <w:t>,</w:t>
      </w:r>
      <w:r w:rsidR="00075996" w:rsidRPr="006E7B98">
        <w:rPr>
          <w:sz w:val="22"/>
        </w:rPr>
        <w:t xml:space="preserve"> represent</w:t>
      </w:r>
      <w:r w:rsidR="00362511">
        <w:rPr>
          <w:sz w:val="22"/>
        </w:rPr>
        <w:t>ing</w:t>
      </w:r>
      <w:r w:rsidR="00075996" w:rsidRPr="006E7B98">
        <w:rPr>
          <w:sz w:val="22"/>
        </w:rPr>
        <w:t xml:space="preserve"> at least 25</w:t>
      </w:r>
      <w:r w:rsidR="00362511">
        <w:rPr>
          <w:sz w:val="22"/>
        </w:rPr>
        <w:t xml:space="preserve"> percent</w:t>
      </w:r>
      <w:r w:rsidR="00075996" w:rsidRPr="006E7B98">
        <w:rPr>
          <w:sz w:val="22"/>
        </w:rPr>
        <w:t xml:space="preserve"> in value of all the major investment projects</w:t>
      </w:r>
      <w:r w:rsidR="00362511">
        <w:rPr>
          <w:sz w:val="22"/>
        </w:rPr>
        <w:t>,</w:t>
      </w:r>
      <w:r w:rsidR="00075996" w:rsidRPr="006E7B98">
        <w:rPr>
          <w:sz w:val="22"/>
        </w:rPr>
        <w:t xml:space="preserve"> was not avail</w:t>
      </w:r>
      <w:r w:rsidR="005B0A9A">
        <w:rPr>
          <w:sz w:val="22"/>
        </w:rPr>
        <w:t>able</w:t>
      </w:r>
      <w:r w:rsidR="00075996" w:rsidRPr="006E7B98">
        <w:rPr>
          <w:sz w:val="22"/>
        </w:rPr>
        <w:t xml:space="preserve">. </w:t>
      </w:r>
    </w:p>
    <w:p w14:paraId="2A9CFCB5" w14:textId="0B91B994" w:rsidR="00D7430A" w:rsidRPr="006E7B98" w:rsidRDefault="00D7430A" w:rsidP="00EE1698">
      <w:pPr>
        <w:spacing w:after="240"/>
        <w:rPr>
          <w:b/>
          <w:sz w:val="22"/>
        </w:rPr>
      </w:pPr>
      <w:r w:rsidRPr="006E7B98">
        <w:rPr>
          <w:b/>
          <w:sz w:val="22"/>
        </w:rPr>
        <w:t>Dimension rating = D*</w:t>
      </w:r>
    </w:p>
    <w:p w14:paraId="2E4AB3DF" w14:textId="77777777" w:rsidR="00FE3FB2" w:rsidRPr="00890A84" w:rsidRDefault="00867DDD" w:rsidP="00BA6B2B">
      <w:pPr>
        <w:pStyle w:val="Heading5"/>
      </w:pPr>
      <w:r w:rsidRPr="00890A84">
        <w:t>PI-</w:t>
      </w:r>
      <w:r w:rsidR="00FE3FB2" w:rsidRPr="00890A84">
        <w:t xml:space="preserve">11.3. Investment project costing </w:t>
      </w:r>
    </w:p>
    <w:p w14:paraId="0B980850" w14:textId="362A773D" w:rsidR="00B8438A" w:rsidRPr="006E7B98" w:rsidRDefault="00FE3FB2" w:rsidP="00EE1698">
      <w:pPr>
        <w:spacing w:after="240"/>
        <w:rPr>
          <w:sz w:val="22"/>
        </w:rPr>
      </w:pPr>
      <w:r w:rsidRPr="006E7B98">
        <w:rPr>
          <w:sz w:val="22"/>
        </w:rPr>
        <w:t xml:space="preserve">Costing is done by the relevant department with the aid of </w:t>
      </w:r>
      <w:r w:rsidR="004F5FBA" w:rsidRPr="006E7B98">
        <w:rPr>
          <w:sz w:val="22"/>
        </w:rPr>
        <w:t xml:space="preserve">the </w:t>
      </w:r>
      <w:r w:rsidR="00362511">
        <w:rPr>
          <w:sz w:val="22"/>
        </w:rPr>
        <w:t>D</w:t>
      </w:r>
      <w:r w:rsidRPr="006E7B98">
        <w:rPr>
          <w:sz w:val="22"/>
        </w:rPr>
        <w:t xml:space="preserve">epartment of </w:t>
      </w:r>
      <w:r w:rsidR="00362511">
        <w:rPr>
          <w:sz w:val="22"/>
        </w:rPr>
        <w:t>P</w:t>
      </w:r>
      <w:r w:rsidRPr="006E7B98">
        <w:rPr>
          <w:sz w:val="22"/>
        </w:rPr>
        <w:t xml:space="preserve">ublic </w:t>
      </w:r>
      <w:r w:rsidR="00362511">
        <w:rPr>
          <w:sz w:val="22"/>
        </w:rPr>
        <w:t>W</w:t>
      </w:r>
      <w:r w:rsidRPr="006E7B98">
        <w:rPr>
          <w:sz w:val="22"/>
        </w:rPr>
        <w:t>orks wh</w:t>
      </w:r>
      <w:r w:rsidR="00362511">
        <w:rPr>
          <w:sz w:val="22"/>
        </w:rPr>
        <w:t>ich</w:t>
      </w:r>
      <w:r w:rsidRPr="006E7B98">
        <w:rPr>
          <w:sz w:val="22"/>
        </w:rPr>
        <w:t xml:space="preserve"> </w:t>
      </w:r>
      <w:r w:rsidR="003B6EB5" w:rsidRPr="006E7B98">
        <w:rPr>
          <w:sz w:val="22"/>
        </w:rPr>
        <w:t>prepare</w:t>
      </w:r>
      <w:r w:rsidR="00362511">
        <w:rPr>
          <w:sz w:val="22"/>
        </w:rPr>
        <w:t>s</w:t>
      </w:r>
      <w:r w:rsidR="003B6EB5" w:rsidRPr="006E7B98">
        <w:rPr>
          <w:sz w:val="22"/>
        </w:rPr>
        <w:t xml:space="preserve"> the</w:t>
      </w:r>
      <w:r w:rsidRPr="006E7B98">
        <w:rPr>
          <w:sz w:val="22"/>
        </w:rPr>
        <w:t xml:space="preserve"> bill of quantities. Evidence of medium</w:t>
      </w:r>
      <w:r w:rsidR="004F5FBA" w:rsidRPr="006E7B98">
        <w:rPr>
          <w:sz w:val="22"/>
        </w:rPr>
        <w:t>-</w:t>
      </w:r>
      <w:r w:rsidRPr="006E7B98">
        <w:rPr>
          <w:sz w:val="22"/>
        </w:rPr>
        <w:t xml:space="preserve">term projections </w:t>
      </w:r>
      <w:r w:rsidR="0099665D" w:rsidRPr="006E7B98">
        <w:rPr>
          <w:sz w:val="22"/>
        </w:rPr>
        <w:t>was not</w:t>
      </w:r>
      <w:r w:rsidR="001D7E75" w:rsidRPr="006E7B98">
        <w:rPr>
          <w:sz w:val="22"/>
        </w:rPr>
        <w:t xml:space="preserve"> </w:t>
      </w:r>
      <w:r w:rsidRPr="006E7B98">
        <w:rPr>
          <w:sz w:val="22"/>
        </w:rPr>
        <w:t>pr</w:t>
      </w:r>
      <w:r w:rsidR="0099665D" w:rsidRPr="006E7B98">
        <w:rPr>
          <w:sz w:val="22"/>
        </w:rPr>
        <w:t>ovid</w:t>
      </w:r>
      <w:r w:rsidRPr="006E7B98">
        <w:rPr>
          <w:sz w:val="22"/>
        </w:rPr>
        <w:t>ed.</w:t>
      </w:r>
      <w:r w:rsidR="001D7E75" w:rsidRPr="006E7B98">
        <w:rPr>
          <w:sz w:val="22"/>
        </w:rPr>
        <w:t xml:space="preserve"> </w:t>
      </w:r>
      <w:r w:rsidR="00AE7C64" w:rsidRPr="006E7B98">
        <w:rPr>
          <w:sz w:val="22"/>
        </w:rPr>
        <w:t xml:space="preserve">The budget process for recurrent and capital expenditure is not fully integrated. </w:t>
      </w:r>
      <w:r w:rsidR="00A82FF9" w:rsidRPr="006E7B98">
        <w:rPr>
          <w:sz w:val="22"/>
        </w:rPr>
        <w:t>Projections for recurrent expenditure on capital investment</w:t>
      </w:r>
      <w:r w:rsidR="004F5FBA" w:rsidRPr="006E7B98">
        <w:rPr>
          <w:sz w:val="22"/>
        </w:rPr>
        <w:t xml:space="preserve">s </w:t>
      </w:r>
      <w:r w:rsidR="00A82FF9" w:rsidRPr="006E7B98">
        <w:rPr>
          <w:sz w:val="22"/>
        </w:rPr>
        <w:t>are</w:t>
      </w:r>
      <w:r w:rsidR="00AE7C64" w:rsidRPr="006E7B98">
        <w:rPr>
          <w:sz w:val="22"/>
        </w:rPr>
        <w:t xml:space="preserve"> normally done once the project is complete.</w:t>
      </w:r>
      <w:r w:rsidR="001D7E75" w:rsidRPr="006E7B98">
        <w:rPr>
          <w:sz w:val="22"/>
        </w:rPr>
        <w:t xml:space="preserve"> </w:t>
      </w:r>
    </w:p>
    <w:p w14:paraId="430A56A3" w14:textId="77777777" w:rsidR="00D7430A" w:rsidRPr="006E7B98" w:rsidRDefault="00B8438A" w:rsidP="00EE1698">
      <w:pPr>
        <w:spacing w:after="240"/>
        <w:rPr>
          <w:sz w:val="22"/>
        </w:rPr>
      </w:pPr>
      <w:r w:rsidRPr="006E7B98">
        <w:rPr>
          <w:sz w:val="22"/>
        </w:rPr>
        <w:t>In summary, t</w:t>
      </w:r>
      <w:r w:rsidR="003B6EB5" w:rsidRPr="006E7B98">
        <w:rPr>
          <w:sz w:val="22"/>
        </w:rPr>
        <w:t>he</w:t>
      </w:r>
      <w:r w:rsidR="00B472D0" w:rsidRPr="006E7B98">
        <w:rPr>
          <w:sz w:val="22"/>
        </w:rPr>
        <w:t xml:space="preserve"> projections of the total capital cost of major investment projects</w:t>
      </w:r>
      <w:r w:rsidR="003B6EB5" w:rsidRPr="006E7B98">
        <w:rPr>
          <w:sz w:val="22"/>
        </w:rPr>
        <w:t xml:space="preserve"> and</w:t>
      </w:r>
      <w:r w:rsidR="00B472D0" w:rsidRPr="006E7B98">
        <w:rPr>
          <w:sz w:val="22"/>
        </w:rPr>
        <w:t xml:space="preserve"> capital costs for the </w:t>
      </w:r>
      <w:r w:rsidR="003B6EB5" w:rsidRPr="006E7B98">
        <w:rPr>
          <w:sz w:val="22"/>
        </w:rPr>
        <w:t>next</w:t>
      </w:r>
      <w:r w:rsidR="00B472D0" w:rsidRPr="006E7B98">
        <w:rPr>
          <w:sz w:val="22"/>
        </w:rPr>
        <w:t xml:space="preserve"> budget year are included in the budget documents.</w:t>
      </w:r>
      <w:r w:rsidRPr="006E7B98">
        <w:rPr>
          <w:sz w:val="22"/>
        </w:rPr>
        <w:t xml:space="preserve"> </w:t>
      </w:r>
    </w:p>
    <w:p w14:paraId="2F657245" w14:textId="162D1D47" w:rsidR="00D7430A" w:rsidRPr="006E7B98" w:rsidRDefault="00D7430A" w:rsidP="00EE1698">
      <w:pPr>
        <w:spacing w:after="240"/>
        <w:rPr>
          <w:b/>
          <w:sz w:val="22"/>
        </w:rPr>
      </w:pPr>
      <w:r w:rsidRPr="006E7B98">
        <w:rPr>
          <w:b/>
          <w:sz w:val="22"/>
        </w:rPr>
        <w:t>Dimension rating = C</w:t>
      </w:r>
    </w:p>
    <w:p w14:paraId="60A32CC0" w14:textId="77777777" w:rsidR="00FE3FB2" w:rsidRPr="00890A84" w:rsidRDefault="00867DDD" w:rsidP="00BA6B2B">
      <w:pPr>
        <w:pStyle w:val="Heading5"/>
      </w:pPr>
      <w:r w:rsidRPr="00890A84">
        <w:t>PI-</w:t>
      </w:r>
      <w:r w:rsidR="00FE3FB2" w:rsidRPr="00890A84">
        <w:t xml:space="preserve">11.4. Investment project monitoring </w:t>
      </w:r>
    </w:p>
    <w:p w14:paraId="6D475DC6" w14:textId="47A64254" w:rsidR="00D7430A" w:rsidRPr="006E7B98" w:rsidRDefault="003B6EB5" w:rsidP="00EE1698">
      <w:pPr>
        <w:spacing w:after="240"/>
        <w:rPr>
          <w:sz w:val="22"/>
        </w:rPr>
      </w:pPr>
      <w:r w:rsidRPr="006E7B98">
        <w:rPr>
          <w:sz w:val="22"/>
        </w:rPr>
        <w:t>Although there is no M</w:t>
      </w:r>
      <w:r w:rsidR="00362511">
        <w:rPr>
          <w:sz w:val="22"/>
        </w:rPr>
        <w:t xml:space="preserve">onitoring and </w:t>
      </w:r>
      <w:r w:rsidRPr="006E7B98">
        <w:rPr>
          <w:sz w:val="22"/>
        </w:rPr>
        <w:t>E</w:t>
      </w:r>
      <w:r w:rsidR="00362511">
        <w:rPr>
          <w:sz w:val="22"/>
        </w:rPr>
        <w:t>valuation</w:t>
      </w:r>
      <w:r w:rsidRPr="006E7B98">
        <w:rPr>
          <w:sz w:val="22"/>
        </w:rPr>
        <w:t xml:space="preserve"> </w:t>
      </w:r>
      <w:r w:rsidR="00362511">
        <w:rPr>
          <w:sz w:val="22"/>
        </w:rPr>
        <w:t>D</w:t>
      </w:r>
      <w:r w:rsidRPr="006E7B98">
        <w:rPr>
          <w:sz w:val="22"/>
        </w:rPr>
        <w:t>epartment, the Public Investment Committee, which comprises members from various departments, carries out</w:t>
      </w:r>
      <w:r w:rsidR="00AE7C64" w:rsidRPr="006E7B98">
        <w:rPr>
          <w:sz w:val="22"/>
        </w:rPr>
        <w:t xml:space="preserve"> monitoring and evaluation. The</w:t>
      </w:r>
      <w:r w:rsidRPr="006E7B98">
        <w:rPr>
          <w:sz w:val="22"/>
        </w:rPr>
        <w:t xml:space="preserve"> committee receives </w:t>
      </w:r>
      <w:r w:rsidR="00AE7C64" w:rsidRPr="006E7B98">
        <w:rPr>
          <w:sz w:val="22"/>
        </w:rPr>
        <w:t>project details</w:t>
      </w:r>
      <w:r w:rsidRPr="006E7B98">
        <w:rPr>
          <w:sz w:val="22"/>
        </w:rPr>
        <w:t xml:space="preserve"> to enable </w:t>
      </w:r>
      <w:r w:rsidR="00AE7C64" w:rsidRPr="006E7B98">
        <w:rPr>
          <w:sz w:val="22"/>
        </w:rPr>
        <w:t>them conduct evaluation</w:t>
      </w:r>
      <w:r w:rsidRPr="006E7B98">
        <w:rPr>
          <w:sz w:val="22"/>
        </w:rPr>
        <w:t>s</w:t>
      </w:r>
      <w:r w:rsidR="00AE7C64" w:rsidRPr="006E7B98">
        <w:rPr>
          <w:sz w:val="22"/>
        </w:rPr>
        <w:t>.</w:t>
      </w:r>
      <w:r w:rsidR="001D7E75" w:rsidRPr="006E7B98">
        <w:rPr>
          <w:sz w:val="22"/>
        </w:rPr>
        <w:t xml:space="preserve"> </w:t>
      </w:r>
      <w:r w:rsidR="00B472D0" w:rsidRPr="006E7B98">
        <w:rPr>
          <w:sz w:val="22"/>
        </w:rPr>
        <w:t>However</w:t>
      </w:r>
      <w:r w:rsidR="001D7E75" w:rsidRPr="006E7B98">
        <w:rPr>
          <w:sz w:val="22"/>
        </w:rPr>
        <w:t>,</w:t>
      </w:r>
      <w:r w:rsidR="00B472D0" w:rsidRPr="006E7B98">
        <w:rPr>
          <w:sz w:val="22"/>
        </w:rPr>
        <w:t xml:space="preserve"> no information on implementation of major investment projects </w:t>
      </w:r>
      <w:r w:rsidRPr="006E7B98">
        <w:rPr>
          <w:sz w:val="22"/>
        </w:rPr>
        <w:t>was</w:t>
      </w:r>
      <w:r w:rsidR="00B472D0" w:rsidRPr="006E7B98">
        <w:rPr>
          <w:sz w:val="22"/>
        </w:rPr>
        <w:t xml:space="preserve"> provided.</w:t>
      </w:r>
      <w:r w:rsidR="00B8438A" w:rsidRPr="006E7B98">
        <w:rPr>
          <w:sz w:val="22"/>
        </w:rPr>
        <w:t xml:space="preserve"> </w:t>
      </w:r>
    </w:p>
    <w:p w14:paraId="4701D545" w14:textId="504B6D93" w:rsidR="00D7430A" w:rsidRPr="006E7B98" w:rsidRDefault="00D7430A" w:rsidP="00EE1698">
      <w:pPr>
        <w:spacing w:after="240"/>
        <w:rPr>
          <w:b/>
          <w:sz w:val="22"/>
        </w:rPr>
      </w:pPr>
      <w:r w:rsidRPr="006E7B98">
        <w:rPr>
          <w:b/>
          <w:sz w:val="22"/>
        </w:rPr>
        <w:t>Dimension rating = D*</w:t>
      </w:r>
    </w:p>
    <w:p w14:paraId="5388AA30" w14:textId="77777777" w:rsidR="00BB1084" w:rsidRPr="00890A84" w:rsidRDefault="00BB1084" w:rsidP="00590C8E">
      <w:pPr>
        <w:pStyle w:val="Heading4"/>
      </w:pPr>
      <w:r w:rsidRPr="00890A84">
        <w:t>PI-12. Public asset management</w:t>
      </w:r>
    </w:p>
    <w:p w14:paraId="34996283" w14:textId="77777777" w:rsidR="003E5B0C" w:rsidRPr="00890A84" w:rsidRDefault="003E5B0C" w:rsidP="00BA6B2B">
      <w:pPr>
        <w:pStyle w:val="Heading5"/>
      </w:pPr>
      <w:r>
        <w:t>Summary of scores and performance table</w:t>
      </w:r>
    </w:p>
    <w:tbl>
      <w:tblPr>
        <w:tblW w:w="9498"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520"/>
        <w:gridCol w:w="465"/>
        <w:gridCol w:w="6513"/>
      </w:tblGrid>
      <w:tr w:rsidR="003E5B0C" w:rsidRPr="006E7B98" w14:paraId="356B1270" w14:textId="77777777" w:rsidTr="00D7430A">
        <w:trPr>
          <w:trHeight w:val="53"/>
          <w:tblHeader/>
        </w:trPr>
        <w:tc>
          <w:tcPr>
            <w:tcW w:w="2520" w:type="dxa"/>
            <w:shd w:val="clear" w:color="auto" w:fill="5B9BD5"/>
          </w:tcPr>
          <w:p w14:paraId="7B64FC40" w14:textId="2AF91BF2" w:rsidR="003E5B0C" w:rsidRPr="006E7B98" w:rsidRDefault="00362511" w:rsidP="006E7B98">
            <w:pPr>
              <w:jc w:val="center"/>
              <w:rPr>
                <w:b/>
                <w:color w:val="FFFFFF" w:themeColor="background1"/>
                <w:sz w:val="20"/>
                <w:szCs w:val="20"/>
              </w:rPr>
            </w:pPr>
            <w:r>
              <w:rPr>
                <w:b/>
                <w:color w:val="FFFFFF" w:themeColor="background1"/>
                <w:sz w:val="20"/>
                <w:szCs w:val="20"/>
              </w:rPr>
              <w:t xml:space="preserve">PI-12. </w:t>
            </w:r>
            <w:r w:rsidR="003E5B0C" w:rsidRPr="006E7B98">
              <w:rPr>
                <w:b/>
                <w:color w:val="FFFFFF" w:themeColor="background1"/>
                <w:sz w:val="20"/>
                <w:szCs w:val="20"/>
              </w:rPr>
              <w:t>Public asset management (M2)</w:t>
            </w:r>
          </w:p>
        </w:tc>
        <w:tc>
          <w:tcPr>
            <w:tcW w:w="465" w:type="dxa"/>
            <w:shd w:val="clear" w:color="auto" w:fill="5B9BD5"/>
          </w:tcPr>
          <w:p w14:paraId="6C2E1A15" w14:textId="77777777" w:rsidR="003E5B0C" w:rsidRPr="006E7B98" w:rsidRDefault="003E5B0C" w:rsidP="006E7B98">
            <w:pPr>
              <w:jc w:val="center"/>
              <w:rPr>
                <w:b/>
                <w:color w:val="FFFFFF" w:themeColor="background1"/>
                <w:sz w:val="20"/>
                <w:szCs w:val="20"/>
              </w:rPr>
            </w:pPr>
            <w:r w:rsidRPr="006E7B98">
              <w:rPr>
                <w:b/>
                <w:color w:val="FFFFFF" w:themeColor="background1"/>
                <w:sz w:val="20"/>
                <w:szCs w:val="20"/>
              </w:rPr>
              <w:t>D</w:t>
            </w:r>
          </w:p>
        </w:tc>
        <w:tc>
          <w:tcPr>
            <w:tcW w:w="6513" w:type="dxa"/>
            <w:shd w:val="clear" w:color="auto" w:fill="5B9BD5"/>
          </w:tcPr>
          <w:p w14:paraId="3FAB9B21" w14:textId="77777777" w:rsidR="003E5B0C" w:rsidRPr="006E7B98" w:rsidRDefault="003E5B0C" w:rsidP="006E7B98">
            <w:pPr>
              <w:jc w:val="center"/>
              <w:rPr>
                <w:b/>
                <w:color w:val="FFFFFF" w:themeColor="background1"/>
                <w:sz w:val="20"/>
                <w:szCs w:val="20"/>
              </w:rPr>
            </w:pPr>
            <w:r w:rsidRPr="006E7B98">
              <w:rPr>
                <w:b/>
                <w:color w:val="FFFFFF" w:themeColor="background1"/>
                <w:sz w:val="20"/>
                <w:szCs w:val="20"/>
              </w:rPr>
              <w:t>Brief justification for score</w:t>
            </w:r>
          </w:p>
        </w:tc>
      </w:tr>
      <w:tr w:rsidR="003E5B0C" w:rsidRPr="006E7B98" w14:paraId="12B24874" w14:textId="77777777" w:rsidTr="00D7430A">
        <w:trPr>
          <w:trHeight w:val="737"/>
        </w:trPr>
        <w:tc>
          <w:tcPr>
            <w:tcW w:w="2520" w:type="dxa"/>
            <w:shd w:val="clear" w:color="auto" w:fill="auto"/>
          </w:tcPr>
          <w:p w14:paraId="67AF172B" w14:textId="77777777" w:rsidR="003E5B0C" w:rsidRPr="006E7B98" w:rsidRDefault="003E5B0C" w:rsidP="006E7B98">
            <w:pPr>
              <w:jc w:val="left"/>
              <w:rPr>
                <w:sz w:val="20"/>
                <w:szCs w:val="20"/>
              </w:rPr>
            </w:pPr>
            <w:r w:rsidRPr="006E7B98">
              <w:rPr>
                <w:sz w:val="20"/>
                <w:szCs w:val="20"/>
              </w:rPr>
              <w:t xml:space="preserve">12.1 Financial asset monitoring </w:t>
            </w:r>
          </w:p>
        </w:tc>
        <w:tc>
          <w:tcPr>
            <w:tcW w:w="465" w:type="dxa"/>
            <w:shd w:val="clear" w:color="auto" w:fill="auto"/>
          </w:tcPr>
          <w:p w14:paraId="4318CD93" w14:textId="77777777" w:rsidR="003E5B0C" w:rsidRPr="006E7B98" w:rsidRDefault="003E5B0C" w:rsidP="003A5747">
            <w:pPr>
              <w:jc w:val="center"/>
              <w:rPr>
                <w:sz w:val="20"/>
                <w:szCs w:val="20"/>
              </w:rPr>
            </w:pPr>
            <w:r w:rsidRPr="006E7B98">
              <w:rPr>
                <w:sz w:val="20"/>
                <w:szCs w:val="20"/>
              </w:rPr>
              <w:t>D</w:t>
            </w:r>
          </w:p>
        </w:tc>
        <w:tc>
          <w:tcPr>
            <w:tcW w:w="6513" w:type="dxa"/>
            <w:shd w:val="clear" w:color="auto" w:fill="auto"/>
          </w:tcPr>
          <w:p w14:paraId="29934B08" w14:textId="78B7912B" w:rsidR="003E5B0C" w:rsidRPr="006E7B98" w:rsidRDefault="003E5B0C" w:rsidP="006E7B98">
            <w:pPr>
              <w:jc w:val="left"/>
              <w:rPr>
                <w:sz w:val="20"/>
                <w:szCs w:val="20"/>
              </w:rPr>
            </w:pPr>
            <w:r w:rsidRPr="006E7B98">
              <w:rPr>
                <w:sz w:val="20"/>
                <w:szCs w:val="20"/>
              </w:rPr>
              <w:t>The government maintains a record of its holdings in major categories of financial assets, which are included into the report of the OAG published online. However, information on assets and liabilities contained in the bank reconciliation statement is not complete, especially those relating to the defunct local authorities.</w:t>
            </w:r>
          </w:p>
        </w:tc>
      </w:tr>
      <w:tr w:rsidR="003E5B0C" w:rsidRPr="006E7B98" w14:paraId="3C18FA65" w14:textId="77777777" w:rsidTr="00D7430A">
        <w:trPr>
          <w:trHeight w:val="548"/>
        </w:trPr>
        <w:tc>
          <w:tcPr>
            <w:tcW w:w="2520" w:type="dxa"/>
            <w:shd w:val="clear" w:color="auto" w:fill="auto"/>
          </w:tcPr>
          <w:p w14:paraId="5C9235BF" w14:textId="3549069F" w:rsidR="003E5B0C" w:rsidRPr="006E7B98" w:rsidRDefault="003E5B0C" w:rsidP="006E7B98">
            <w:pPr>
              <w:jc w:val="left"/>
              <w:rPr>
                <w:sz w:val="20"/>
                <w:szCs w:val="20"/>
              </w:rPr>
            </w:pPr>
            <w:r w:rsidRPr="006E7B98">
              <w:rPr>
                <w:sz w:val="20"/>
                <w:szCs w:val="20"/>
              </w:rPr>
              <w:t xml:space="preserve">12.2 </w:t>
            </w:r>
            <w:r w:rsidRPr="000A7E03">
              <w:rPr>
                <w:sz w:val="20"/>
                <w:szCs w:val="20"/>
              </w:rPr>
              <w:t>Nonfinancial a</w:t>
            </w:r>
            <w:r w:rsidRPr="006E7B98">
              <w:rPr>
                <w:sz w:val="20"/>
                <w:szCs w:val="20"/>
              </w:rPr>
              <w:t xml:space="preserve">sset monitoring </w:t>
            </w:r>
          </w:p>
        </w:tc>
        <w:tc>
          <w:tcPr>
            <w:tcW w:w="465" w:type="dxa"/>
            <w:shd w:val="clear" w:color="auto" w:fill="auto"/>
          </w:tcPr>
          <w:p w14:paraId="7024D5A6" w14:textId="77777777" w:rsidR="003E5B0C" w:rsidRPr="006E7B98" w:rsidRDefault="003E5B0C" w:rsidP="003A5747">
            <w:pPr>
              <w:jc w:val="center"/>
              <w:rPr>
                <w:sz w:val="20"/>
                <w:szCs w:val="20"/>
              </w:rPr>
            </w:pPr>
            <w:r w:rsidRPr="006E7B98">
              <w:rPr>
                <w:sz w:val="20"/>
                <w:szCs w:val="20"/>
              </w:rPr>
              <w:t>D</w:t>
            </w:r>
          </w:p>
        </w:tc>
        <w:tc>
          <w:tcPr>
            <w:tcW w:w="6513" w:type="dxa"/>
            <w:shd w:val="clear" w:color="auto" w:fill="auto"/>
          </w:tcPr>
          <w:p w14:paraId="50252569" w14:textId="77777777" w:rsidR="003E5B0C" w:rsidRPr="006E7B98" w:rsidRDefault="003E5B0C" w:rsidP="006E7B98">
            <w:pPr>
              <w:jc w:val="left"/>
              <w:rPr>
                <w:sz w:val="20"/>
                <w:szCs w:val="20"/>
              </w:rPr>
            </w:pPr>
            <w:r w:rsidRPr="006E7B98">
              <w:rPr>
                <w:sz w:val="20"/>
                <w:szCs w:val="20"/>
              </w:rPr>
              <w:t>The government maintains a register of its holdings of fixed assets, which is not complete and information on their usage and age is generally not available.</w:t>
            </w:r>
          </w:p>
        </w:tc>
      </w:tr>
      <w:tr w:rsidR="003E5B0C" w:rsidRPr="006E7B98" w14:paraId="66851070" w14:textId="77777777" w:rsidTr="00D7430A">
        <w:trPr>
          <w:trHeight w:val="644"/>
        </w:trPr>
        <w:tc>
          <w:tcPr>
            <w:tcW w:w="2520" w:type="dxa"/>
            <w:shd w:val="clear" w:color="auto" w:fill="auto"/>
          </w:tcPr>
          <w:p w14:paraId="254AD8F3" w14:textId="77777777" w:rsidR="003E5B0C" w:rsidRPr="006E7B98" w:rsidRDefault="003E5B0C" w:rsidP="006E7B98">
            <w:pPr>
              <w:jc w:val="left"/>
              <w:rPr>
                <w:sz w:val="20"/>
                <w:szCs w:val="20"/>
              </w:rPr>
            </w:pPr>
            <w:r w:rsidRPr="006E7B98">
              <w:rPr>
                <w:sz w:val="20"/>
                <w:szCs w:val="20"/>
              </w:rPr>
              <w:t xml:space="preserve">12.3 Transparency of asset disposal </w:t>
            </w:r>
          </w:p>
        </w:tc>
        <w:tc>
          <w:tcPr>
            <w:tcW w:w="465" w:type="dxa"/>
            <w:shd w:val="clear" w:color="auto" w:fill="auto"/>
          </w:tcPr>
          <w:p w14:paraId="4371971A" w14:textId="77777777" w:rsidR="003E5B0C" w:rsidRPr="006E7B98" w:rsidRDefault="003E5B0C" w:rsidP="003A5747">
            <w:pPr>
              <w:jc w:val="center"/>
              <w:rPr>
                <w:sz w:val="20"/>
                <w:szCs w:val="20"/>
              </w:rPr>
            </w:pPr>
            <w:r w:rsidRPr="006E7B98">
              <w:rPr>
                <w:sz w:val="20"/>
                <w:szCs w:val="20"/>
              </w:rPr>
              <w:t>D</w:t>
            </w:r>
          </w:p>
        </w:tc>
        <w:tc>
          <w:tcPr>
            <w:tcW w:w="6513" w:type="dxa"/>
            <w:shd w:val="clear" w:color="auto" w:fill="auto"/>
          </w:tcPr>
          <w:p w14:paraId="77BE9C74" w14:textId="2394ECDC" w:rsidR="003E5B0C" w:rsidRPr="006E7B98" w:rsidRDefault="003E5B0C" w:rsidP="006E7B98">
            <w:pPr>
              <w:jc w:val="left"/>
              <w:rPr>
                <w:sz w:val="20"/>
                <w:szCs w:val="20"/>
              </w:rPr>
            </w:pPr>
            <w:r w:rsidRPr="006E7B98">
              <w:rPr>
                <w:sz w:val="20"/>
                <w:szCs w:val="20"/>
              </w:rPr>
              <w:t xml:space="preserve">Procedures and rules for the transfer or disposal of nonfinancial assets are not established yet. The </w:t>
            </w:r>
            <w:r w:rsidR="00362511">
              <w:rPr>
                <w:sz w:val="20"/>
                <w:szCs w:val="20"/>
              </w:rPr>
              <w:t>c</w:t>
            </w:r>
            <w:r w:rsidRPr="006E7B98">
              <w:rPr>
                <w:sz w:val="20"/>
                <w:szCs w:val="20"/>
              </w:rPr>
              <w:t xml:space="preserve">ounty has not disposed of any assets except cash and cash equivalent. The </w:t>
            </w:r>
            <w:r w:rsidR="00362511">
              <w:rPr>
                <w:sz w:val="20"/>
                <w:szCs w:val="20"/>
              </w:rPr>
              <w:t>c</w:t>
            </w:r>
            <w:r w:rsidRPr="006E7B98">
              <w:rPr>
                <w:sz w:val="20"/>
                <w:szCs w:val="20"/>
              </w:rPr>
              <w:t>ounty has not set up any rule related to transfers of assets for the defunct authorities.</w:t>
            </w:r>
          </w:p>
        </w:tc>
      </w:tr>
    </w:tbl>
    <w:p w14:paraId="40910345" w14:textId="77777777" w:rsidR="00A12A71" w:rsidRPr="00890A84" w:rsidRDefault="00867DDD" w:rsidP="00BA6B2B">
      <w:pPr>
        <w:pStyle w:val="Heading5"/>
      </w:pPr>
      <w:r w:rsidRPr="00890A84">
        <w:t>PI-</w:t>
      </w:r>
      <w:r w:rsidR="00A12A71" w:rsidRPr="00890A84">
        <w:t xml:space="preserve">12.1. Financial asset monitoring </w:t>
      </w:r>
    </w:p>
    <w:p w14:paraId="16374C1B" w14:textId="35DA6DA5" w:rsidR="00603E0D" w:rsidRDefault="00A408C1" w:rsidP="00EE1698">
      <w:pPr>
        <w:spacing w:after="240"/>
        <w:rPr>
          <w:sz w:val="22"/>
        </w:rPr>
      </w:pPr>
      <w:r w:rsidRPr="00BA08FC">
        <w:rPr>
          <w:sz w:val="22"/>
        </w:rPr>
        <w:t>T</w:t>
      </w:r>
      <w:r w:rsidR="00FE3FB2" w:rsidRPr="00BA08FC">
        <w:rPr>
          <w:sz w:val="22"/>
        </w:rPr>
        <w:t xml:space="preserve">he only financial assets held by the county are cash in hand and cash at </w:t>
      </w:r>
      <w:r w:rsidR="00EA5E8A" w:rsidRPr="00BA08FC">
        <w:rPr>
          <w:sz w:val="22"/>
        </w:rPr>
        <w:t>bank. The</w:t>
      </w:r>
      <w:r w:rsidR="00AE7C64" w:rsidRPr="00BA08FC">
        <w:rPr>
          <w:sz w:val="22"/>
        </w:rPr>
        <w:t xml:space="preserve"> information on cash </w:t>
      </w:r>
      <w:r w:rsidR="00362511">
        <w:rPr>
          <w:sz w:val="22"/>
        </w:rPr>
        <w:t>in</w:t>
      </w:r>
      <w:r w:rsidR="00362511" w:rsidRPr="00BA08FC">
        <w:rPr>
          <w:sz w:val="22"/>
        </w:rPr>
        <w:t xml:space="preserve"> </w:t>
      </w:r>
      <w:r w:rsidR="00AE7C64" w:rsidRPr="00BA08FC">
        <w:rPr>
          <w:sz w:val="22"/>
        </w:rPr>
        <w:t xml:space="preserve">hand and at bank is contained in the </w:t>
      </w:r>
      <w:r w:rsidRPr="00BA08FC">
        <w:rPr>
          <w:sz w:val="22"/>
        </w:rPr>
        <w:t xml:space="preserve">annual financial and </w:t>
      </w:r>
      <w:r w:rsidR="00AE7C64" w:rsidRPr="00BA08FC">
        <w:rPr>
          <w:sz w:val="22"/>
        </w:rPr>
        <w:t>bank reconciliation statement</w:t>
      </w:r>
      <w:r w:rsidRPr="00BA08FC">
        <w:rPr>
          <w:sz w:val="22"/>
        </w:rPr>
        <w:t>s</w:t>
      </w:r>
      <w:r w:rsidR="00AE7C64" w:rsidRPr="00BA08FC">
        <w:rPr>
          <w:sz w:val="22"/>
        </w:rPr>
        <w:t>.</w:t>
      </w:r>
      <w:r w:rsidR="001D7E75" w:rsidRPr="00BA08FC">
        <w:rPr>
          <w:sz w:val="22"/>
        </w:rPr>
        <w:t xml:space="preserve"> </w:t>
      </w:r>
      <w:r w:rsidR="00D71D03" w:rsidRPr="00BA08FC">
        <w:rPr>
          <w:sz w:val="22"/>
        </w:rPr>
        <w:t xml:space="preserve">According to </w:t>
      </w:r>
      <w:r w:rsidRPr="00BA08FC">
        <w:rPr>
          <w:sz w:val="22"/>
        </w:rPr>
        <w:t>a</w:t>
      </w:r>
      <w:r w:rsidR="00D71D03" w:rsidRPr="00BA08FC">
        <w:rPr>
          <w:sz w:val="22"/>
        </w:rPr>
        <w:t xml:space="preserve">udit opinion, the </w:t>
      </w:r>
      <w:r w:rsidRPr="00BA08FC">
        <w:rPr>
          <w:sz w:val="22"/>
        </w:rPr>
        <w:t xml:space="preserve">financial statement </w:t>
      </w:r>
      <w:r w:rsidR="00D71D03" w:rsidRPr="00BA08FC">
        <w:rPr>
          <w:sz w:val="22"/>
        </w:rPr>
        <w:t>for FY2014/15 reflect</w:t>
      </w:r>
      <w:r w:rsidRPr="00BA08FC">
        <w:rPr>
          <w:sz w:val="22"/>
        </w:rPr>
        <w:t>ed</w:t>
      </w:r>
      <w:r w:rsidR="00D71D03" w:rsidRPr="00BA08FC">
        <w:rPr>
          <w:sz w:val="22"/>
        </w:rPr>
        <w:t xml:space="preserve"> an amount of </w:t>
      </w:r>
      <w:r w:rsidR="00E73ED7">
        <w:rPr>
          <w:sz w:val="22"/>
        </w:rPr>
        <w:t>Ksh</w:t>
      </w:r>
      <w:r w:rsidRPr="00BA08FC">
        <w:rPr>
          <w:sz w:val="22"/>
        </w:rPr>
        <w:t xml:space="preserve"> </w:t>
      </w:r>
      <w:r w:rsidR="00D71D03" w:rsidRPr="00BA08FC">
        <w:rPr>
          <w:sz w:val="22"/>
        </w:rPr>
        <w:t>271</w:t>
      </w:r>
      <w:r w:rsidR="00153D60" w:rsidRPr="00BA08FC">
        <w:rPr>
          <w:sz w:val="22"/>
        </w:rPr>
        <w:t>.</w:t>
      </w:r>
      <w:r w:rsidR="00D71D03" w:rsidRPr="00BA08FC">
        <w:rPr>
          <w:sz w:val="22"/>
        </w:rPr>
        <w:t xml:space="preserve">8 million under cash and bank balance, but </w:t>
      </w:r>
      <w:r w:rsidR="001D7E75" w:rsidRPr="00BA08FC">
        <w:rPr>
          <w:sz w:val="22"/>
        </w:rPr>
        <w:t>a deposit</w:t>
      </w:r>
      <w:r w:rsidR="00153D60" w:rsidRPr="00BA08FC">
        <w:rPr>
          <w:sz w:val="22"/>
        </w:rPr>
        <w:t xml:space="preserve"> amounting to </w:t>
      </w:r>
      <w:r w:rsidR="00E73ED7">
        <w:rPr>
          <w:sz w:val="22"/>
        </w:rPr>
        <w:t>Ksh</w:t>
      </w:r>
      <w:r w:rsidR="00EA5E8A" w:rsidRPr="00BA08FC">
        <w:rPr>
          <w:sz w:val="22"/>
        </w:rPr>
        <w:t xml:space="preserve"> </w:t>
      </w:r>
      <w:r w:rsidR="00153D60" w:rsidRPr="00BA08FC">
        <w:rPr>
          <w:sz w:val="22"/>
        </w:rPr>
        <w:t>47.</w:t>
      </w:r>
      <w:r w:rsidR="00D71D03" w:rsidRPr="00BA08FC">
        <w:rPr>
          <w:sz w:val="22"/>
        </w:rPr>
        <w:t xml:space="preserve">2 million </w:t>
      </w:r>
      <w:r w:rsidRPr="00BA08FC">
        <w:rPr>
          <w:sz w:val="22"/>
        </w:rPr>
        <w:t xml:space="preserve">could </w:t>
      </w:r>
      <w:r w:rsidR="00D71D03" w:rsidRPr="00BA08FC">
        <w:rPr>
          <w:sz w:val="22"/>
        </w:rPr>
        <w:t xml:space="preserve">not </w:t>
      </w:r>
      <w:r w:rsidRPr="00BA08FC">
        <w:rPr>
          <w:sz w:val="22"/>
        </w:rPr>
        <w:t xml:space="preserve">be </w:t>
      </w:r>
      <w:r w:rsidR="00D71D03" w:rsidRPr="00BA08FC">
        <w:rPr>
          <w:sz w:val="22"/>
        </w:rPr>
        <w:t>supported.</w:t>
      </w:r>
      <w:r w:rsidRPr="00BA08FC">
        <w:rPr>
          <w:sz w:val="22"/>
        </w:rPr>
        <w:t xml:space="preserve"> Under</w:t>
      </w:r>
      <w:r w:rsidR="00D71D03" w:rsidRPr="00BA08FC">
        <w:rPr>
          <w:sz w:val="22"/>
        </w:rPr>
        <w:t xml:space="preserve"> the circumstances, the completeness and accuracy of cash and cash equivalents balance reflected in the statement of financial position could not be confirmed by the OAG.</w:t>
      </w:r>
      <w:r w:rsidR="001D7E75" w:rsidRPr="00BA08FC">
        <w:rPr>
          <w:sz w:val="22"/>
        </w:rPr>
        <w:t xml:space="preserve"> </w:t>
      </w:r>
      <w:r w:rsidR="00603E0D" w:rsidRPr="00BA08FC">
        <w:rPr>
          <w:sz w:val="22"/>
        </w:rPr>
        <w:t xml:space="preserve">According to </w:t>
      </w:r>
      <w:r w:rsidR="00AB29C5">
        <w:rPr>
          <w:sz w:val="22"/>
        </w:rPr>
        <w:t xml:space="preserve">the </w:t>
      </w:r>
      <w:r w:rsidR="00583B98" w:rsidRPr="00BA08FC">
        <w:rPr>
          <w:sz w:val="22"/>
        </w:rPr>
        <w:t xml:space="preserve">audit report for </w:t>
      </w:r>
      <w:r w:rsidR="00AB29C5">
        <w:rPr>
          <w:sz w:val="22"/>
        </w:rPr>
        <w:t>FY</w:t>
      </w:r>
      <w:r w:rsidR="00583B98" w:rsidRPr="00BA08FC">
        <w:rPr>
          <w:sz w:val="22"/>
        </w:rPr>
        <w:t>2014/15,</w:t>
      </w:r>
      <w:r w:rsidR="00603E0D" w:rsidRPr="00BA08FC">
        <w:rPr>
          <w:sz w:val="22"/>
        </w:rPr>
        <w:t xml:space="preserve"> the OAG </w:t>
      </w:r>
      <w:r w:rsidR="00583B98" w:rsidRPr="00BA08FC">
        <w:rPr>
          <w:sz w:val="22"/>
        </w:rPr>
        <w:t>observed that</w:t>
      </w:r>
      <w:r w:rsidR="00603E0D" w:rsidRPr="00BA08FC">
        <w:rPr>
          <w:sz w:val="22"/>
        </w:rPr>
        <w:t xml:space="preserve"> the financial statement d</w:t>
      </w:r>
      <w:r w:rsidR="00583B98" w:rsidRPr="00BA08FC">
        <w:rPr>
          <w:sz w:val="22"/>
        </w:rPr>
        <w:t xml:space="preserve">id </w:t>
      </w:r>
      <w:r w:rsidR="00603E0D" w:rsidRPr="00BA08FC">
        <w:rPr>
          <w:sz w:val="22"/>
        </w:rPr>
        <w:t xml:space="preserve">not include assets amounting to </w:t>
      </w:r>
      <w:r w:rsidR="00E73ED7">
        <w:rPr>
          <w:sz w:val="22"/>
        </w:rPr>
        <w:t>Ksh</w:t>
      </w:r>
      <w:r w:rsidR="00EA5E8A" w:rsidRPr="00BA08FC">
        <w:rPr>
          <w:sz w:val="22"/>
        </w:rPr>
        <w:t xml:space="preserve"> </w:t>
      </w:r>
      <w:r w:rsidR="00603E0D" w:rsidRPr="00BA08FC">
        <w:rPr>
          <w:sz w:val="22"/>
        </w:rPr>
        <w:t>91</w:t>
      </w:r>
      <w:r w:rsidR="00583B98" w:rsidRPr="00BA08FC">
        <w:rPr>
          <w:sz w:val="22"/>
        </w:rPr>
        <w:t>.</w:t>
      </w:r>
      <w:r w:rsidR="00603E0D" w:rsidRPr="00BA08FC">
        <w:rPr>
          <w:sz w:val="22"/>
        </w:rPr>
        <w:t xml:space="preserve">6 million acquired in 2013 and assets and liabilities of the </w:t>
      </w:r>
      <w:r w:rsidR="00AB29C5">
        <w:rPr>
          <w:sz w:val="22"/>
        </w:rPr>
        <w:t>d</w:t>
      </w:r>
      <w:r w:rsidR="00603E0D" w:rsidRPr="00BA08FC">
        <w:rPr>
          <w:sz w:val="22"/>
        </w:rPr>
        <w:t xml:space="preserve">efunct </w:t>
      </w:r>
      <w:r w:rsidR="00AB29C5">
        <w:rPr>
          <w:sz w:val="22"/>
        </w:rPr>
        <w:t>l</w:t>
      </w:r>
      <w:r w:rsidR="00603E0D" w:rsidRPr="00BA08FC">
        <w:rPr>
          <w:sz w:val="22"/>
        </w:rPr>
        <w:t xml:space="preserve">ocal </w:t>
      </w:r>
      <w:r w:rsidR="00AB29C5">
        <w:rPr>
          <w:sz w:val="22"/>
        </w:rPr>
        <w:t>a</w:t>
      </w:r>
      <w:r w:rsidR="00603E0D" w:rsidRPr="00BA08FC">
        <w:rPr>
          <w:sz w:val="22"/>
        </w:rPr>
        <w:t>uthorities</w:t>
      </w:r>
      <w:r w:rsidR="00583B98" w:rsidRPr="00BA08FC">
        <w:rPr>
          <w:sz w:val="22"/>
        </w:rPr>
        <w:t>. The county government too</w:t>
      </w:r>
      <w:r w:rsidR="00603E0D" w:rsidRPr="00BA08FC">
        <w:rPr>
          <w:sz w:val="22"/>
        </w:rPr>
        <w:t>k possession of the</w:t>
      </w:r>
      <w:r w:rsidR="00583B98" w:rsidRPr="00BA08FC">
        <w:rPr>
          <w:sz w:val="22"/>
        </w:rPr>
        <w:t>se assets and liabilities.</w:t>
      </w:r>
      <w:r w:rsidR="00603E0D" w:rsidRPr="00BA08FC">
        <w:rPr>
          <w:sz w:val="22"/>
        </w:rPr>
        <w:t xml:space="preserve"> In addition, the Transition Authority did not formally transfer assets and liabilities of the defunct local author</w:t>
      </w:r>
      <w:r w:rsidR="00304CBD" w:rsidRPr="00BA08FC">
        <w:rPr>
          <w:sz w:val="22"/>
        </w:rPr>
        <w:t>ities in Kajiado to the county g</w:t>
      </w:r>
      <w:r w:rsidR="00603E0D" w:rsidRPr="00BA08FC">
        <w:rPr>
          <w:sz w:val="22"/>
        </w:rPr>
        <w:t xml:space="preserve">overnment. It is not yet clear when these assets and liabilities will be handed over to the </w:t>
      </w:r>
      <w:r w:rsidR="00AB29C5">
        <w:rPr>
          <w:sz w:val="22"/>
        </w:rPr>
        <w:t>c</w:t>
      </w:r>
      <w:r w:rsidR="00603E0D" w:rsidRPr="00BA08FC">
        <w:rPr>
          <w:sz w:val="22"/>
        </w:rPr>
        <w:t xml:space="preserve">ounty </w:t>
      </w:r>
      <w:r w:rsidR="00AB29C5">
        <w:rPr>
          <w:sz w:val="22"/>
        </w:rPr>
        <w:t>g</w:t>
      </w:r>
      <w:r w:rsidR="001D7E75" w:rsidRPr="00BA08FC">
        <w:rPr>
          <w:sz w:val="22"/>
        </w:rPr>
        <w:t>overnment. Consequently</w:t>
      </w:r>
      <w:r w:rsidR="00603E0D" w:rsidRPr="00BA08FC">
        <w:rPr>
          <w:sz w:val="22"/>
        </w:rPr>
        <w:t>, the completeness and accuracy of assets and liabilities reflected in the notes and annexes to the financial statements could not be confirmed.</w:t>
      </w:r>
    </w:p>
    <w:tbl>
      <w:tblPr>
        <w:tblStyle w:val="TableGrid0"/>
        <w:tblW w:w="0" w:type="auto"/>
        <w:tblLook w:val="04A0" w:firstRow="1" w:lastRow="0" w:firstColumn="1" w:lastColumn="0" w:noHBand="0" w:noVBand="1"/>
      </w:tblPr>
      <w:tblGrid>
        <w:gridCol w:w="9350"/>
      </w:tblGrid>
      <w:tr w:rsidR="00AB29C5" w14:paraId="64CA22D1" w14:textId="77777777" w:rsidTr="00AB29C5">
        <w:tc>
          <w:tcPr>
            <w:tcW w:w="9350" w:type="dxa"/>
          </w:tcPr>
          <w:p w14:paraId="14661353" w14:textId="70B3617C" w:rsidR="00AB29C5" w:rsidRDefault="00AB29C5" w:rsidP="00AB29C5">
            <w:pPr>
              <w:pStyle w:val="TableStyle"/>
            </w:pPr>
            <w:r>
              <w:t xml:space="preserve">Box </w:t>
            </w:r>
            <w:r>
              <w:rPr>
                <w:noProof/>
              </w:rPr>
              <w:fldChar w:fldCharType="begin"/>
            </w:r>
            <w:r>
              <w:rPr>
                <w:noProof/>
              </w:rPr>
              <w:instrText xml:space="preserve"> STYLEREF 1 \s </w:instrText>
            </w:r>
            <w:r>
              <w:rPr>
                <w:noProof/>
              </w:rPr>
              <w:fldChar w:fldCharType="separate"/>
            </w:r>
            <w:r>
              <w:rPr>
                <w:noProof/>
              </w:rPr>
              <w:t>3</w:t>
            </w:r>
            <w:r>
              <w:rPr>
                <w:noProof/>
              </w:rPr>
              <w:fldChar w:fldCharType="end"/>
            </w:r>
            <w:r>
              <w:rPr>
                <w:noProof/>
              </w:rPr>
              <w:t>.</w:t>
            </w:r>
            <w:r>
              <w:rPr>
                <w:noProof/>
              </w:rPr>
              <w:fldChar w:fldCharType="begin"/>
            </w:r>
            <w:r>
              <w:rPr>
                <w:noProof/>
              </w:rPr>
              <w:instrText xml:space="preserve"> SEQ Box:_ \* ARABIC \s 1 </w:instrText>
            </w:r>
            <w:r>
              <w:rPr>
                <w:noProof/>
              </w:rPr>
              <w:fldChar w:fldCharType="separate"/>
            </w:r>
            <w:r>
              <w:rPr>
                <w:noProof/>
              </w:rPr>
              <w:t>1</w:t>
            </w:r>
            <w:r>
              <w:rPr>
                <w:noProof/>
              </w:rPr>
              <w:fldChar w:fldCharType="end"/>
            </w:r>
            <w:r>
              <w:t>: Failure to hand over the assets and liabilities of the defunct local authorities</w:t>
            </w:r>
          </w:p>
          <w:p w14:paraId="168AC592" w14:textId="6666D119" w:rsidR="00AB29C5" w:rsidRDefault="00AB29C5" w:rsidP="00AB29C5">
            <w:pPr>
              <w:pStyle w:val="Italic"/>
              <w:rPr>
                <w:sz w:val="22"/>
              </w:rPr>
            </w:pPr>
            <w:r w:rsidRPr="00BA08FC">
              <w:rPr>
                <w:i w:val="0"/>
                <w:sz w:val="20"/>
              </w:rPr>
              <w:t xml:space="preserve">Proper handing over was not done though there was a statement of assets and liabilities as </w:t>
            </w:r>
            <w:r>
              <w:rPr>
                <w:i w:val="0"/>
                <w:sz w:val="20"/>
              </w:rPr>
              <w:t>of</w:t>
            </w:r>
            <w:r w:rsidRPr="00BA08FC">
              <w:rPr>
                <w:i w:val="0"/>
                <w:sz w:val="20"/>
              </w:rPr>
              <w:t xml:space="preserve"> February 28</w:t>
            </w:r>
            <w:r>
              <w:rPr>
                <w:i w:val="0"/>
                <w:sz w:val="20"/>
              </w:rPr>
              <w:t>,</w:t>
            </w:r>
            <w:r w:rsidRPr="00BA08FC">
              <w:rPr>
                <w:i w:val="0"/>
                <w:sz w:val="20"/>
              </w:rPr>
              <w:t xml:space="preserve"> 2013. This was contrary to the Ministry of Local Government, circular Ref. No. MLG/1333/TY/ (52) </w:t>
            </w:r>
            <w:r w:rsidR="007274DE" w:rsidRPr="00BA08FC">
              <w:rPr>
                <w:i w:val="0"/>
                <w:sz w:val="20"/>
              </w:rPr>
              <w:t>of February</w:t>
            </w:r>
            <w:r>
              <w:rPr>
                <w:i w:val="0"/>
                <w:sz w:val="20"/>
              </w:rPr>
              <w:t xml:space="preserve"> </w:t>
            </w:r>
            <w:r w:rsidRPr="00BA08FC">
              <w:rPr>
                <w:i w:val="0"/>
                <w:sz w:val="20"/>
              </w:rPr>
              <w:t>18, 2013</w:t>
            </w:r>
            <w:r>
              <w:rPr>
                <w:i w:val="0"/>
                <w:sz w:val="20"/>
              </w:rPr>
              <w:t>,</w:t>
            </w:r>
            <w:r w:rsidRPr="00BA08FC">
              <w:rPr>
                <w:i w:val="0"/>
                <w:sz w:val="20"/>
              </w:rPr>
              <w:t xml:space="preserve"> which had directed the Clerks being the Chief Officers of the </w:t>
            </w:r>
            <w:r>
              <w:rPr>
                <w:i w:val="0"/>
                <w:sz w:val="20"/>
              </w:rPr>
              <w:t>l</w:t>
            </w:r>
            <w:r w:rsidRPr="00BA08FC">
              <w:rPr>
                <w:i w:val="0"/>
                <w:sz w:val="20"/>
              </w:rPr>
              <w:t xml:space="preserve">ocal </w:t>
            </w:r>
            <w:r>
              <w:rPr>
                <w:i w:val="0"/>
                <w:sz w:val="20"/>
              </w:rPr>
              <w:t>a</w:t>
            </w:r>
            <w:r w:rsidRPr="00BA08FC">
              <w:rPr>
                <w:i w:val="0"/>
                <w:sz w:val="20"/>
              </w:rPr>
              <w:t xml:space="preserve">uthorities to ensure there was proper handing over to the incoming </w:t>
            </w:r>
            <w:r>
              <w:rPr>
                <w:i w:val="0"/>
                <w:sz w:val="20"/>
              </w:rPr>
              <w:t>c</w:t>
            </w:r>
            <w:r w:rsidRPr="00BA08FC">
              <w:rPr>
                <w:i w:val="0"/>
                <w:sz w:val="20"/>
              </w:rPr>
              <w:t xml:space="preserve">ounty </w:t>
            </w:r>
            <w:r>
              <w:rPr>
                <w:i w:val="0"/>
                <w:sz w:val="20"/>
              </w:rPr>
              <w:t>g</w:t>
            </w:r>
            <w:r w:rsidRPr="00BA08FC">
              <w:rPr>
                <w:i w:val="0"/>
                <w:sz w:val="20"/>
              </w:rPr>
              <w:t xml:space="preserve">overnment and to ensure that they also prepared statements of </w:t>
            </w:r>
            <w:r>
              <w:rPr>
                <w:i w:val="0"/>
                <w:sz w:val="20"/>
              </w:rPr>
              <w:t>a</w:t>
            </w:r>
            <w:r w:rsidRPr="00BA08FC">
              <w:rPr>
                <w:i w:val="0"/>
                <w:sz w:val="20"/>
              </w:rPr>
              <w:t xml:space="preserve">ssets and </w:t>
            </w:r>
            <w:r w:rsidR="00E605AB">
              <w:rPr>
                <w:i w:val="0"/>
                <w:sz w:val="20"/>
              </w:rPr>
              <w:t>l</w:t>
            </w:r>
            <w:r w:rsidRPr="00BA08FC">
              <w:rPr>
                <w:i w:val="0"/>
                <w:sz w:val="20"/>
              </w:rPr>
              <w:t xml:space="preserve">iabilities as </w:t>
            </w:r>
            <w:r>
              <w:rPr>
                <w:i w:val="0"/>
                <w:sz w:val="20"/>
              </w:rPr>
              <w:t>of</w:t>
            </w:r>
            <w:r w:rsidRPr="00BA08FC">
              <w:rPr>
                <w:i w:val="0"/>
                <w:sz w:val="20"/>
              </w:rPr>
              <w:t xml:space="preserve"> February </w:t>
            </w:r>
            <w:r>
              <w:rPr>
                <w:i w:val="0"/>
                <w:sz w:val="20"/>
              </w:rPr>
              <w:t xml:space="preserve">20, </w:t>
            </w:r>
            <w:r w:rsidRPr="00BA08FC">
              <w:rPr>
                <w:i w:val="0"/>
                <w:sz w:val="20"/>
              </w:rPr>
              <w:t xml:space="preserve">2013. A handing over report should be prepared by the Transition Authority so that what was transferred from the defunct </w:t>
            </w:r>
            <w:r>
              <w:rPr>
                <w:i w:val="0"/>
                <w:sz w:val="20"/>
              </w:rPr>
              <w:t>l</w:t>
            </w:r>
            <w:r w:rsidRPr="00BA08FC">
              <w:rPr>
                <w:i w:val="0"/>
                <w:sz w:val="20"/>
              </w:rPr>
              <w:t xml:space="preserve">ocal </w:t>
            </w:r>
            <w:r>
              <w:rPr>
                <w:i w:val="0"/>
                <w:sz w:val="20"/>
              </w:rPr>
              <w:t>a</w:t>
            </w:r>
            <w:r w:rsidRPr="00BA08FC">
              <w:rPr>
                <w:i w:val="0"/>
                <w:sz w:val="20"/>
              </w:rPr>
              <w:t xml:space="preserve">uthorities to the </w:t>
            </w:r>
            <w:r>
              <w:rPr>
                <w:i w:val="0"/>
                <w:sz w:val="20"/>
              </w:rPr>
              <w:t>c</w:t>
            </w:r>
            <w:r w:rsidRPr="00BA08FC">
              <w:rPr>
                <w:i w:val="0"/>
                <w:sz w:val="20"/>
              </w:rPr>
              <w:t xml:space="preserve">ounty </w:t>
            </w:r>
            <w:r>
              <w:rPr>
                <w:i w:val="0"/>
                <w:sz w:val="20"/>
              </w:rPr>
              <w:t>g</w:t>
            </w:r>
            <w:r w:rsidRPr="00BA08FC">
              <w:rPr>
                <w:i w:val="0"/>
                <w:sz w:val="20"/>
              </w:rPr>
              <w:t>overnment can be determined and properly accounted for.</w:t>
            </w:r>
          </w:p>
        </w:tc>
      </w:tr>
    </w:tbl>
    <w:p w14:paraId="5D15C3E1" w14:textId="67496510" w:rsidR="001F238A" w:rsidRPr="00BA08FC" w:rsidRDefault="001F238A" w:rsidP="00BA08FC">
      <w:pPr>
        <w:pStyle w:val="Italic"/>
        <w:spacing w:after="240"/>
        <w:rPr>
          <w:i w:val="0"/>
          <w:sz w:val="20"/>
        </w:rPr>
      </w:pPr>
      <w:r w:rsidRPr="00BA08FC">
        <w:rPr>
          <w:sz w:val="20"/>
        </w:rPr>
        <w:t xml:space="preserve">Source: </w:t>
      </w:r>
      <w:r w:rsidRPr="00BA08FC">
        <w:rPr>
          <w:i w:val="0"/>
          <w:sz w:val="20"/>
        </w:rPr>
        <w:t xml:space="preserve">Report of the </w:t>
      </w:r>
      <w:r w:rsidR="00AB29C5">
        <w:rPr>
          <w:i w:val="0"/>
          <w:sz w:val="20"/>
        </w:rPr>
        <w:t>A</w:t>
      </w:r>
      <w:r w:rsidRPr="00BA08FC">
        <w:rPr>
          <w:i w:val="0"/>
          <w:sz w:val="20"/>
        </w:rPr>
        <w:t>uditor</w:t>
      </w:r>
      <w:r w:rsidR="00AB29C5">
        <w:rPr>
          <w:i w:val="0"/>
          <w:sz w:val="20"/>
        </w:rPr>
        <w:t xml:space="preserve"> G</w:t>
      </w:r>
      <w:r w:rsidRPr="00BA08FC">
        <w:rPr>
          <w:i w:val="0"/>
          <w:sz w:val="20"/>
        </w:rPr>
        <w:t xml:space="preserve">eneral on the financial operations of the county government of Kajiado and its defunct local authorities for the period January </w:t>
      </w:r>
      <w:r w:rsidR="00AB29C5" w:rsidRPr="00BA08FC">
        <w:rPr>
          <w:i w:val="0"/>
          <w:sz w:val="20"/>
        </w:rPr>
        <w:t xml:space="preserve">1 </w:t>
      </w:r>
      <w:r w:rsidRPr="00BA08FC">
        <w:rPr>
          <w:i w:val="0"/>
          <w:sz w:val="20"/>
        </w:rPr>
        <w:t xml:space="preserve">to June </w:t>
      </w:r>
      <w:r w:rsidR="00AB29C5" w:rsidRPr="00BA08FC">
        <w:rPr>
          <w:i w:val="0"/>
          <w:sz w:val="20"/>
        </w:rPr>
        <w:t>30</w:t>
      </w:r>
      <w:r w:rsidR="00AB29C5">
        <w:rPr>
          <w:i w:val="0"/>
          <w:sz w:val="20"/>
        </w:rPr>
        <w:t>,</w:t>
      </w:r>
      <w:r w:rsidR="00AB29C5" w:rsidRPr="00BA08FC">
        <w:rPr>
          <w:i w:val="0"/>
          <w:sz w:val="20"/>
        </w:rPr>
        <w:t xml:space="preserve"> </w:t>
      </w:r>
      <w:r w:rsidRPr="00BA08FC">
        <w:rPr>
          <w:i w:val="0"/>
          <w:sz w:val="20"/>
        </w:rPr>
        <w:t>2013</w:t>
      </w:r>
      <w:r w:rsidR="00B8438A" w:rsidRPr="00BA08FC">
        <w:rPr>
          <w:i w:val="0"/>
          <w:sz w:val="20"/>
        </w:rPr>
        <w:t>.</w:t>
      </w:r>
    </w:p>
    <w:p w14:paraId="7BBF7EC6" w14:textId="77777777" w:rsidR="00D7430A" w:rsidRPr="00BA08FC" w:rsidRDefault="00035673" w:rsidP="00EE1698">
      <w:pPr>
        <w:spacing w:after="240"/>
        <w:rPr>
          <w:sz w:val="22"/>
        </w:rPr>
      </w:pPr>
      <w:r w:rsidRPr="00BA08FC">
        <w:rPr>
          <w:sz w:val="22"/>
        </w:rPr>
        <w:t>In summary, t</w:t>
      </w:r>
      <w:r w:rsidR="00B8438A" w:rsidRPr="00BA08FC">
        <w:rPr>
          <w:sz w:val="22"/>
        </w:rPr>
        <w:t xml:space="preserve">he government maintains a record of its holdings in major categories of financial assets, which are included into the report of the OAG published online. However, information on assets and liabilities is contained in the bank reconciliation statement is not complete, especially those relating to the defunct local authorities. </w:t>
      </w:r>
    </w:p>
    <w:p w14:paraId="27ADCFB5" w14:textId="05B6F7D9" w:rsidR="00D7430A" w:rsidRPr="00BA08FC" w:rsidRDefault="00D7430A" w:rsidP="00EE1698">
      <w:pPr>
        <w:spacing w:after="240"/>
        <w:rPr>
          <w:b/>
          <w:sz w:val="22"/>
        </w:rPr>
      </w:pPr>
      <w:r w:rsidRPr="00BA08FC">
        <w:rPr>
          <w:b/>
          <w:sz w:val="22"/>
        </w:rPr>
        <w:t>Dimension rating = D</w:t>
      </w:r>
    </w:p>
    <w:p w14:paraId="626F59B6" w14:textId="574EFBEC" w:rsidR="00FE3FB2" w:rsidRPr="00890A84" w:rsidRDefault="00867DDD" w:rsidP="00BA6B2B">
      <w:pPr>
        <w:pStyle w:val="Heading5"/>
      </w:pPr>
      <w:r w:rsidRPr="00890A84">
        <w:t>PI-</w:t>
      </w:r>
      <w:r w:rsidR="00FE3FB2" w:rsidRPr="00890A84">
        <w:t xml:space="preserve">12.2. </w:t>
      </w:r>
      <w:r w:rsidR="00AE7C64" w:rsidRPr="00890A84">
        <w:t>Nonfinancial</w:t>
      </w:r>
      <w:r w:rsidR="00FE3FB2" w:rsidRPr="00890A84">
        <w:t xml:space="preserve"> asset monitoring </w:t>
      </w:r>
    </w:p>
    <w:p w14:paraId="52586E7C" w14:textId="7232BB75" w:rsidR="00304CBD" w:rsidRPr="00BA08FC" w:rsidRDefault="00FE3FB2" w:rsidP="00EE1698">
      <w:pPr>
        <w:spacing w:after="240"/>
        <w:rPr>
          <w:sz w:val="22"/>
        </w:rPr>
      </w:pPr>
      <w:r w:rsidRPr="00BA08FC">
        <w:rPr>
          <w:sz w:val="22"/>
        </w:rPr>
        <w:t>This information is contained in the asset register though information on their value, usage</w:t>
      </w:r>
      <w:r w:rsidR="00AB29C5">
        <w:rPr>
          <w:sz w:val="22"/>
        </w:rPr>
        <w:t>,</w:t>
      </w:r>
      <w:r w:rsidRPr="00BA08FC">
        <w:rPr>
          <w:sz w:val="22"/>
        </w:rPr>
        <w:t xml:space="preserve"> and age is </w:t>
      </w:r>
      <w:r w:rsidR="007D522E" w:rsidRPr="00BA08FC">
        <w:rPr>
          <w:sz w:val="22"/>
        </w:rPr>
        <w:t xml:space="preserve">generally </w:t>
      </w:r>
      <w:r w:rsidRPr="00BA08FC">
        <w:rPr>
          <w:sz w:val="22"/>
        </w:rPr>
        <w:t xml:space="preserve">missing. </w:t>
      </w:r>
      <w:r w:rsidR="00AF2C61" w:rsidRPr="00BA08FC">
        <w:rPr>
          <w:sz w:val="22"/>
        </w:rPr>
        <w:t xml:space="preserve">This asset register </w:t>
      </w:r>
      <w:r w:rsidR="004F5FBA" w:rsidRPr="00BA08FC">
        <w:rPr>
          <w:sz w:val="22"/>
        </w:rPr>
        <w:t>sometimes contain</w:t>
      </w:r>
      <w:r w:rsidR="00C76ACC" w:rsidRPr="00BA08FC">
        <w:rPr>
          <w:sz w:val="22"/>
        </w:rPr>
        <w:t xml:space="preserve">s information on usage and age but </w:t>
      </w:r>
      <w:r w:rsidR="00AF2C61" w:rsidRPr="00BA08FC">
        <w:rPr>
          <w:sz w:val="22"/>
        </w:rPr>
        <w:t>is not necessarily complete and i</w:t>
      </w:r>
      <w:r w:rsidRPr="00BA08FC">
        <w:rPr>
          <w:sz w:val="22"/>
        </w:rPr>
        <w:t xml:space="preserve">nformation contained in </w:t>
      </w:r>
      <w:r w:rsidR="00AF2C61" w:rsidRPr="00BA08FC">
        <w:rPr>
          <w:sz w:val="22"/>
        </w:rPr>
        <w:t xml:space="preserve">this </w:t>
      </w:r>
      <w:r w:rsidRPr="00BA08FC">
        <w:rPr>
          <w:sz w:val="22"/>
        </w:rPr>
        <w:t xml:space="preserve">register is not </w:t>
      </w:r>
      <w:r w:rsidR="001D7E75" w:rsidRPr="00BA08FC">
        <w:rPr>
          <w:sz w:val="22"/>
        </w:rPr>
        <w:t>published. Table</w:t>
      </w:r>
      <w:r w:rsidR="00304CBD" w:rsidRPr="00BA08FC">
        <w:rPr>
          <w:sz w:val="22"/>
        </w:rPr>
        <w:t xml:space="preserve"> 3.</w:t>
      </w:r>
      <w:r w:rsidR="007929DF">
        <w:rPr>
          <w:sz w:val="22"/>
        </w:rPr>
        <w:t>13</w:t>
      </w:r>
      <w:r w:rsidR="00304CBD" w:rsidRPr="00BA08FC">
        <w:rPr>
          <w:sz w:val="22"/>
        </w:rPr>
        <w:t xml:space="preserve"> </w:t>
      </w:r>
      <w:r w:rsidR="00AF2C61" w:rsidRPr="00BA08FC">
        <w:rPr>
          <w:sz w:val="22"/>
        </w:rPr>
        <w:t xml:space="preserve">presents the categories of nonfinancial assets for the last </w:t>
      </w:r>
      <w:r w:rsidR="004B6441">
        <w:rPr>
          <w:sz w:val="22"/>
        </w:rPr>
        <w:t>FY</w:t>
      </w:r>
      <w:r w:rsidR="00AF2C61" w:rsidRPr="00BA08FC">
        <w:rPr>
          <w:sz w:val="22"/>
        </w:rPr>
        <w:t>.</w:t>
      </w:r>
    </w:p>
    <w:p w14:paraId="259377C5" w14:textId="1F4E7AA1" w:rsidR="00FE07C0" w:rsidRPr="00ED2A55" w:rsidRDefault="004B6441" w:rsidP="004B6441">
      <w:pPr>
        <w:pStyle w:val="TableStyle"/>
      </w:pPr>
      <w:bookmarkStart w:id="88" w:name="_Toc530420890"/>
      <w:bookmarkStart w:id="89" w:name="_Toc532426100"/>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13</w:t>
      </w:r>
      <w:r w:rsidR="008B59A7">
        <w:rPr>
          <w:noProof/>
        </w:rPr>
        <w:fldChar w:fldCharType="end"/>
      </w:r>
      <w:r w:rsidR="00FE07C0" w:rsidRPr="00ED2A55">
        <w:t>: Categories of nonfinancial assets</w:t>
      </w:r>
      <w:r>
        <w:t xml:space="preserve"> </w:t>
      </w:r>
      <w:r w:rsidR="00F9661B" w:rsidRPr="00ED2A55">
        <w:t>- FY2015/</w:t>
      </w:r>
      <w:r w:rsidR="00FE07C0" w:rsidRPr="00ED2A55">
        <w:t>16 (</w:t>
      </w:r>
      <w:r w:rsidR="00E73ED7">
        <w:t>Ksh</w:t>
      </w:r>
      <w:r>
        <w:t>,</w:t>
      </w:r>
      <w:r w:rsidR="00F9661B" w:rsidRPr="00ED2A55">
        <w:t xml:space="preserve"> </w:t>
      </w:r>
      <w:r w:rsidR="00FE07C0" w:rsidRPr="00ED2A55">
        <w:t>millions)</w:t>
      </w:r>
      <w:bookmarkEnd w:id="88"/>
      <w:bookmarkEnd w:id="89"/>
    </w:p>
    <w:tbl>
      <w:tblPr>
        <w:tblW w:w="9469" w:type="dxa"/>
        <w:tblInd w:w="2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335"/>
        <w:gridCol w:w="1134"/>
      </w:tblGrid>
      <w:tr w:rsidR="0091086E" w:rsidRPr="00BA08FC" w14:paraId="43177F22" w14:textId="77777777" w:rsidTr="007929DF">
        <w:trPr>
          <w:trHeight w:val="63"/>
          <w:tblHeader/>
        </w:trPr>
        <w:tc>
          <w:tcPr>
            <w:tcW w:w="8335" w:type="dxa"/>
            <w:shd w:val="clear" w:color="auto" w:fill="5B9BD5"/>
            <w:hideMark/>
          </w:tcPr>
          <w:p w14:paraId="2566898C" w14:textId="77777777" w:rsidR="000C7E3D" w:rsidRPr="00BA08FC" w:rsidRDefault="006F22A9" w:rsidP="00BA08FC">
            <w:pPr>
              <w:jc w:val="center"/>
              <w:rPr>
                <w:b/>
                <w:color w:val="FFFFFF" w:themeColor="background1"/>
                <w:sz w:val="20"/>
              </w:rPr>
            </w:pPr>
            <w:r w:rsidRPr="00BA08FC">
              <w:rPr>
                <w:b/>
                <w:color w:val="FFFFFF" w:themeColor="background1"/>
                <w:sz w:val="20"/>
              </w:rPr>
              <w:t>Asset class</w:t>
            </w:r>
          </w:p>
        </w:tc>
        <w:tc>
          <w:tcPr>
            <w:tcW w:w="1134" w:type="dxa"/>
            <w:shd w:val="clear" w:color="auto" w:fill="5B9BD5"/>
            <w:hideMark/>
          </w:tcPr>
          <w:p w14:paraId="69B7968D" w14:textId="5BDEB27E" w:rsidR="000C7E3D" w:rsidRPr="00BA08FC" w:rsidRDefault="009A1C28" w:rsidP="00BA08FC">
            <w:pPr>
              <w:jc w:val="center"/>
              <w:rPr>
                <w:b/>
                <w:color w:val="FFFFFF" w:themeColor="background1"/>
                <w:sz w:val="20"/>
              </w:rPr>
            </w:pPr>
            <w:r w:rsidRPr="00BA08FC">
              <w:rPr>
                <w:b/>
                <w:color w:val="FFFFFF" w:themeColor="background1"/>
                <w:sz w:val="20"/>
              </w:rPr>
              <w:t>Amount</w:t>
            </w:r>
          </w:p>
        </w:tc>
      </w:tr>
      <w:tr w:rsidR="000C7E3D" w:rsidRPr="00BA08FC" w14:paraId="0F8C797D" w14:textId="77777777" w:rsidTr="00BA08FC">
        <w:trPr>
          <w:trHeight w:val="48"/>
        </w:trPr>
        <w:tc>
          <w:tcPr>
            <w:tcW w:w="8335" w:type="dxa"/>
            <w:shd w:val="clear" w:color="auto" w:fill="auto"/>
            <w:hideMark/>
          </w:tcPr>
          <w:p w14:paraId="77750202" w14:textId="77777777" w:rsidR="000C7E3D" w:rsidRPr="00BA08FC" w:rsidRDefault="006F22A9" w:rsidP="001E3161">
            <w:pPr>
              <w:rPr>
                <w:sz w:val="20"/>
              </w:rPr>
            </w:pPr>
            <w:r w:rsidRPr="00BA08FC">
              <w:rPr>
                <w:sz w:val="20"/>
              </w:rPr>
              <w:t>Land</w:t>
            </w:r>
          </w:p>
        </w:tc>
        <w:tc>
          <w:tcPr>
            <w:tcW w:w="1134" w:type="dxa"/>
            <w:shd w:val="clear" w:color="auto" w:fill="auto"/>
            <w:vAlign w:val="center"/>
            <w:hideMark/>
          </w:tcPr>
          <w:p w14:paraId="5EDAEB94" w14:textId="61781603" w:rsidR="000C7E3D" w:rsidRPr="00BA08FC" w:rsidRDefault="004B6441" w:rsidP="00BA08FC">
            <w:pPr>
              <w:jc w:val="center"/>
              <w:rPr>
                <w:sz w:val="20"/>
              </w:rPr>
            </w:pPr>
            <w:r>
              <w:rPr>
                <w:sz w:val="20"/>
              </w:rPr>
              <w:t>—</w:t>
            </w:r>
          </w:p>
        </w:tc>
      </w:tr>
      <w:tr w:rsidR="000C7E3D" w:rsidRPr="00BA08FC" w14:paraId="68F447B9" w14:textId="77777777" w:rsidTr="00BA08FC">
        <w:trPr>
          <w:trHeight w:val="48"/>
        </w:trPr>
        <w:tc>
          <w:tcPr>
            <w:tcW w:w="8335" w:type="dxa"/>
            <w:shd w:val="clear" w:color="auto" w:fill="auto"/>
            <w:hideMark/>
          </w:tcPr>
          <w:p w14:paraId="1B1D7965" w14:textId="77777777" w:rsidR="000C7E3D" w:rsidRPr="00BA08FC" w:rsidRDefault="006F22A9" w:rsidP="001E3161">
            <w:pPr>
              <w:rPr>
                <w:sz w:val="20"/>
              </w:rPr>
            </w:pPr>
            <w:r w:rsidRPr="00BA08FC">
              <w:rPr>
                <w:sz w:val="20"/>
              </w:rPr>
              <w:t>Buildings and structures</w:t>
            </w:r>
          </w:p>
        </w:tc>
        <w:tc>
          <w:tcPr>
            <w:tcW w:w="1134" w:type="dxa"/>
            <w:shd w:val="clear" w:color="auto" w:fill="auto"/>
            <w:vAlign w:val="center"/>
            <w:hideMark/>
          </w:tcPr>
          <w:p w14:paraId="54C6C805" w14:textId="77777777" w:rsidR="000C7E3D" w:rsidRPr="00BA08FC" w:rsidRDefault="00304CBD" w:rsidP="004B6441">
            <w:pPr>
              <w:tabs>
                <w:tab w:val="decimal" w:pos="498"/>
              </w:tabs>
              <w:jc w:val="left"/>
              <w:rPr>
                <w:sz w:val="20"/>
              </w:rPr>
            </w:pPr>
            <w:r w:rsidRPr="00BA08FC">
              <w:rPr>
                <w:sz w:val="20"/>
              </w:rPr>
              <w:t>869.</w:t>
            </w:r>
            <w:r w:rsidR="006F22A9" w:rsidRPr="00BA08FC">
              <w:rPr>
                <w:sz w:val="20"/>
              </w:rPr>
              <w:t>1</w:t>
            </w:r>
          </w:p>
        </w:tc>
      </w:tr>
      <w:tr w:rsidR="000C7E3D" w:rsidRPr="00BA08FC" w14:paraId="3EDB2475" w14:textId="77777777" w:rsidTr="00BA08FC">
        <w:trPr>
          <w:trHeight w:val="48"/>
        </w:trPr>
        <w:tc>
          <w:tcPr>
            <w:tcW w:w="8335" w:type="dxa"/>
            <w:shd w:val="clear" w:color="auto" w:fill="auto"/>
            <w:hideMark/>
          </w:tcPr>
          <w:p w14:paraId="7E707139" w14:textId="77777777" w:rsidR="000C7E3D" w:rsidRPr="00BA08FC" w:rsidRDefault="006F22A9" w:rsidP="001E3161">
            <w:pPr>
              <w:rPr>
                <w:sz w:val="20"/>
              </w:rPr>
            </w:pPr>
            <w:r w:rsidRPr="00BA08FC">
              <w:rPr>
                <w:sz w:val="20"/>
              </w:rPr>
              <w:t>Transport equipment</w:t>
            </w:r>
          </w:p>
        </w:tc>
        <w:tc>
          <w:tcPr>
            <w:tcW w:w="1134" w:type="dxa"/>
            <w:shd w:val="clear" w:color="auto" w:fill="auto"/>
            <w:vAlign w:val="center"/>
            <w:hideMark/>
          </w:tcPr>
          <w:p w14:paraId="3AB4A2ED" w14:textId="77777777" w:rsidR="000C7E3D" w:rsidRPr="00BA08FC" w:rsidRDefault="00304CBD" w:rsidP="004B6441">
            <w:pPr>
              <w:tabs>
                <w:tab w:val="decimal" w:pos="498"/>
              </w:tabs>
              <w:jc w:val="left"/>
              <w:rPr>
                <w:sz w:val="20"/>
              </w:rPr>
            </w:pPr>
            <w:r w:rsidRPr="00BA08FC">
              <w:rPr>
                <w:sz w:val="20"/>
              </w:rPr>
              <w:t>109.</w:t>
            </w:r>
            <w:r w:rsidR="006F22A9" w:rsidRPr="00BA08FC">
              <w:rPr>
                <w:sz w:val="20"/>
              </w:rPr>
              <w:t>9</w:t>
            </w:r>
          </w:p>
        </w:tc>
      </w:tr>
      <w:tr w:rsidR="000C7E3D" w:rsidRPr="00BA08FC" w14:paraId="55775EA4" w14:textId="77777777" w:rsidTr="00BA08FC">
        <w:trPr>
          <w:trHeight w:val="48"/>
        </w:trPr>
        <w:tc>
          <w:tcPr>
            <w:tcW w:w="8335" w:type="dxa"/>
            <w:shd w:val="clear" w:color="auto" w:fill="auto"/>
            <w:hideMark/>
          </w:tcPr>
          <w:p w14:paraId="7812657B" w14:textId="1F11E92C" w:rsidR="000C7E3D" w:rsidRPr="00BA08FC" w:rsidRDefault="006F22A9" w:rsidP="001E3161">
            <w:pPr>
              <w:rPr>
                <w:sz w:val="20"/>
              </w:rPr>
            </w:pPr>
            <w:r w:rsidRPr="00BA08FC">
              <w:rPr>
                <w:sz w:val="20"/>
              </w:rPr>
              <w:t>Office equipment, furniture</w:t>
            </w:r>
            <w:r w:rsidR="004B6441">
              <w:rPr>
                <w:sz w:val="20"/>
              </w:rPr>
              <w:t>,</w:t>
            </w:r>
            <w:r w:rsidRPr="00BA08FC">
              <w:rPr>
                <w:sz w:val="20"/>
              </w:rPr>
              <w:t xml:space="preserve"> and fittings</w:t>
            </w:r>
          </w:p>
        </w:tc>
        <w:tc>
          <w:tcPr>
            <w:tcW w:w="1134" w:type="dxa"/>
            <w:shd w:val="clear" w:color="auto" w:fill="auto"/>
            <w:vAlign w:val="center"/>
            <w:hideMark/>
          </w:tcPr>
          <w:p w14:paraId="74CC1CBC" w14:textId="77777777" w:rsidR="000C7E3D" w:rsidRPr="00BA08FC" w:rsidRDefault="00304CBD" w:rsidP="004B6441">
            <w:pPr>
              <w:tabs>
                <w:tab w:val="decimal" w:pos="498"/>
              </w:tabs>
              <w:jc w:val="left"/>
              <w:rPr>
                <w:sz w:val="20"/>
              </w:rPr>
            </w:pPr>
            <w:r w:rsidRPr="00BA08FC">
              <w:rPr>
                <w:sz w:val="20"/>
              </w:rPr>
              <w:t>154.</w:t>
            </w:r>
            <w:r w:rsidR="006F22A9" w:rsidRPr="00BA08FC">
              <w:rPr>
                <w:sz w:val="20"/>
              </w:rPr>
              <w:t>4</w:t>
            </w:r>
          </w:p>
        </w:tc>
      </w:tr>
      <w:tr w:rsidR="000C7E3D" w:rsidRPr="00BA08FC" w14:paraId="2CDE109F" w14:textId="77777777" w:rsidTr="00BA08FC">
        <w:trPr>
          <w:trHeight w:val="48"/>
        </w:trPr>
        <w:tc>
          <w:tcPr>
            <w:tcW w:w="8335" w:type="dxa"/>
            <w:shd w:val="clear" w:color="auto" w:fill="auto"/>
            <w:hideMark/>
          </w:tcPr>
          <w:p w14:paraId="5F76ADA4" w14:textId="61CDC108" w:rsidR="000C7E3D" w:rsidRPr="00BA08FC" w:rsidRDefault="006F22A9" w:rsidP="001E3161">
            <w:pPr>
              <w:rPr>
                <w:sz w:val="20"/>
              </w:rPr>
            </w:pPr>
            <w:r w:rsidRPr="00BA08FC">
              <w:rPr>
                <w:sz w:val="20"/>
              </w:rPr>
              <w:t xml:space="preserve">ICT </w:t>
            </w:r>
            <w:r w:rsidR="004B6441">
              <w:rPr>
                <w:sz w:val="20"/>
              </w:rPr>
              <w:t>e</w:t>
            </w:r>
            <w:r w:rsidRPr="00BA08FC">
              <w:rPr>
                <w:sz w:val="20"/>
              </w:rPr>
              <w:t xml:space="preserve">quipment, </w:t>
            </w:r>
            <w:r w:rsidR="004B6441">
              <w:rPr>
                <w:sz w:val="20"/>
              </w:rPr>
              <w:t>s</w:t>
            </w:r>
            <w:r w:rsidRPr="00BA08FC">
              <w:rPr>
                <w:sz w:val="20"/>
              </w:rPr>
              <w:t>oftware</w:t>
            </w:r>
            <w:r w:rsidR="004B6441">
              <w:rPr>
                <w:sz w:val="20"/>
              </w:rPr>
              <w:t>,</w:t>
            </w:r>
            <w:r w:rsidRPr="00BA08FC">
              <w:rPr>
                <w:sz w:val="20"/>
              </w:rPr>
              <w:t xml:space="preserve"> and </w:t>
            </w:r>
            <w:r w:rsidR="004B6441">
              <w:rPr>
                <w:sz w:val="20"/>
              </w:rPr>
              <w:t>o</w:t>
            </w:r>
            <w:r w:rsidRPr="00BA08FC">
              <w:rPr>
                <w:sz w:val="20"/>
              </w:rPr>
              <w:t xml:space="preserve">ther ICT </w:t>
            </w:r>
            <w:r w:rsidR="004B6441">
              <w:rPr>
                <w:sz w:val="20"/>
              </w:rPr>
              <w:t>a</w:t>
            </w:r>
            <w:r w:rsidRPr="00BA08FC">
              <w:rPr>
                <w:sz w:val="20"/>
              </w:rPr>
              <w:t>ssets</w:t>
            </w:r>
          </w:p>
        </w:tc>
        <w:tc>
          <w:tcPr>
            <w:tcW w:w="1134" w:type="dxa"/>
            <w:shd w:val="clear" w:color="auto" w:fill="auto"/>
            <w:vAlign w:val="center"/>
            <w:hideMark/>
          </w:tcPr>
          <w:p w14:paraId="66F05447" w14:textId="5A1CA0BC" w:rsidR="000C7E3D" w:rsidRPr="00BA08FC" w:rsidRDefault="004B6441" w:rsidP="00BA08FC">
            <w:pPr>
              <w:jc w:val="center"/>
              <w:rPr>
                <w:sz w:val="20"/>
              </w:rPr>
            </w:pPr>
            <w:r>
              <w:rPr>
                <w:sz w:val="20"/>
              </w:rPr>
              <w:t>—</w:t>
            </w:r>
          </w:p>
        </w:tc>
      </w:tr>
      <w:tr w:rsidR="000C7E3D" w:rsidRPr="00BA08FC" w14:paraId="2BEE7C52" w14:textId="77777777" w:rsidTr="00BA08FC">
        <w:trPr>
          <w:trHeight w:val="48"/>
        </w:trPr>
        <w:tc>
          <w:tcPr>
            <w:tcW w:w="8335" w:type="dxa"/>
            <w:shd w:val="clear" w:color="auto" w:fill="auto"/>
            <w:hideMark/>
          </w:tcPr>
          <w:p w14:paraId="5E305BA8" w14:textId="3A960233" w:rsidR="000C7E3D" w:rsidRPr="00BA08FC" w:rsidRDefault="006F22A9" w:rsidP="001E3161">
            <w:pPr>
              <w:rPr>
                <w:sz w:val="20"/>
              </w:rPr>
            </w:pPr>
            <w:r w:rsidRPr="00BA08FC">
              <w:rPr>
                <w:sz w:val="20"/>
              </w:rPr>
              <w:t xml:space="preserve">Other </w:t>
            </w:r>
            <w:r w:rsidR="004B6441">
              <w:rPr>
                <w:sz w:val="20"/>
              </w:rPr>
              <w:t>m</w:t>
            </w:r>
            <w:r w:rsidRPr="00BA08FC">
              <w:rPr>
                <w:sz w:val="20"/>
              </w:rPr>
              <w:t xml:space="preserve">achinery and </w:t>
            </w:r>
            <w:r w:rsidR="004B6441">
              <w:rPr>
                <w:sz w:val="20"/>
              </w:rPr>
              <w:t>e</w:t>
            </w:r>
            <w:r w:rsidRPr="00BA08FC">
              <w:rPr>
                <w:sz w:val="20"/>
              </w:rPr>
              <w:t>quipment</w:t>
            </w:r>
          </w:p>
        </w:tc>
        <w:tc>
          <w:tcPr>
            <w:tcW w:w="1134" w:type="dxa"/>
            <w:shd w:val="clear" w:color="auto" w:fill="auto"/>
            <w:vAlign w:val="center"/>
            <w:hideMark/>
          </w:tcPr>
          <w:p w14:paraId="00392935" w14:textId="77777777" w:rsidR="000C7E3D" w:rsidRPr="00BA08FC" w:rsidRDefault="006F22A9" w:rsidP="004B6441">
            <w:pPr>
              <w:tabs>
                <w:tab w:val="decimal" w:pos="498"/>
              </w:tabs>
              <w:jc w:val="left"/>
              <w:rPr>
                <w:sz w:val="20"/>
              </w:rPr>
            </w:pPr>
            <w:r w:rsidRPr="00BA08FC">
              <w:rPr>
                <w:sz w:val="20"/>
              </w:rPr>
              <w:t>97</w:t>
            </w:r>
            <w:r w:rsidR="00304CBD" w:rsidRPr="00BA08FC">
              <w:rPr>
                <w:sz w:val="20"/>
              </w:rPr>
              <w:t>.</w:t>
            </w:r>
            <w:r w:rsidRPr="00BA08FC">
              <w:rPr>
                <w:sz w:val="20"/>
              </w:rPr>
              <w:t>8</w:t>
            </w:r>
          </w:p>
        </w:tc>
      </w:tr>
      <w:tr w:rsidR="000C7E3D" w:rsidRPr="00BA08FC" w14:paraId="0A5CD748" w14:textId="77777777" w:rsidTr="00BA08FC">
        <w:trPr>
          <w:trHeight w:val="148"/>
        </w:trPr>
        <w:tc>
          <w:tcPr>
            <w:tcW w:w="8335" w:type="dxa"/>
            <w:shd w:val="clear" w:color="auto" w:fill="auto"/>
            <w:hideMark/>
          </w:tcPr>
          <w:p w14:paraId="772413C1" w14:textId="5DB949E9" w:rsidR="000C7E3D" w:rsidRPr="00BA08FC" w:rsidRDefault="006F22A9" w:rsidP="001E3161">
            <w:pPr>
              <w:rPr>
                <w:sz w:val="20"/>
              </w:rPr>
            </w:pPr>
            <w:r w:rsidRPr="00BA08FC">
              <w:rPr>
                <w:sz w:val="20"/>
              </w:rPr>
              <w:t xml:space="preserve">Purchase of </w:t>
            </w:r>
            <w:r w:rsidR="004B6441">
              <w:rPr>
                <w:sz w:val="20"/>
              </w:rPr>
              <w:t>c</w:t>
            </w:r>
            <w:r w:rsidRPr="00BA08FC">
              <w:rPr>
                <w:sz w:val="20"/>
              </w:rPr>
              <w:t xml:space="preserve">ertified </w:t>
            </w:r>
            <w:r w:rsidR="004B6441">
              <w:rPr>
                <w:sz w:val="20"/>
              </w:rPr>
              <w:t>s</w:t>
            </w:r>
            <w:r w:rsidRPr="00BA08FC">
              <w:rPr>
                <w:sz w:val="20"/>
              </w:rPr>
              <w:t>eeds</w:t>
            </w:r>
            <w:r w:rsidR="004B6441">
              <w:rPr>
                <w:sz w:val="20"/>
              </w:rPr>
              <w:t>,</w:t>
            </w:r>
            <w:r w:rsidRPr="00BA08FC">
              <w:rPr>
                <w:sz w:val="20"/>
              </w:rPr>
              <w:t xml:space="preserve"> </w:t>
            </w:r>
            <w:r w:rsidR="004B6441">
              <w:rPr>
                <w:sz w:val="20"/>
              </w:rPr>
              <w:t>b</w:t>
            </w:r>
            <w:r w:rsidRPr="00BA08FC">
              <w:rPr>
                <w:sz w:val="20"/>
              </w:rPr>
              <w:t xml:space="preserve">reed </w:t>
            </w:r>
            <w:r w:rsidR="004B6441">
              <w:rPr>
                <w:sz w:val="20"/>
              </w:rPr>
              <w:t>s</w:t>
            </w:r>
            <w:r w:rsidRPr="00BA08FC">
              <w:rPr>
                <w:sz w:val="20"/>
              </w:rPr>
              <w:t>tock</w:t>
            </w:r>
            <w:r w:rsidR="004B6441">
              <w:rPr>
                <w:sz w:val="20"/>
              </w:rPr>
              <w:t>,</w:t>
            </w:r>
            <w:r w:rsidRPr="00BA08FC">
              <w:rPr>
                <w:sz w:val="20"/>
              </w:rPr>
              <w:t xml:space="preserve"> and </w:t>
            </w:r>
            <w:r w:rsidR="004B6441">
              <w:rPr>
                <w:sz w:val="20"/>
              </w:rPr>
              <w:t>l</w:t>
            </w:r>
            <w:r w:rsidRPr="00BA08FC">
              <w:rPr>
                <w:sz w:val="20"/>
              </w:rPr>
              <w:t>ive animals</w:t>
            </w:r>
          </w:p>
        </w:tc>
        <w:tc>
          <w:tcPr>
            <w:tcW w:w="1134" w:type="dxa"/>
            <w:shd w:val="clear" w:color="auto" w:fill="auto"/>
            <w:vAlign w:val="center"/>
            <w:hideMark/>
          </w:tcPr>
          <w:p w14:paraId="3E16C3A8" w14:textId="77777777" w:rsidR="000C7E3D" w:rsidRPr="00BA08FC" w:rsidRDefault="00304CBD" w:rsidP="004B6441">
            <w:pPr>
              <w:tabs>
                <w:tab w:val="decimal" w:pos="498"/>
              </w:tabs>
              <w:jc w:val="left"/>
              <w:rPr>
                <w:sz w:val="20"/>
              </w:rPr>
            </w:pPr>
            <w:r w:rsidRPr="00BA08FC">
              <w:rPr>
                <w:sz w:val="20"/>
              </w:rPr>
              <w:t>1.</w:t>
            </w:r>
            <w:r w:rsidR="006F22A9" w:rsidRPr="00BA08FC">
              <w:rPr>
                <w:sz w:val="20"/>
              </w:rPr>
              <w:t>7</w:t>
            </w:r>
          </w:p>
        </w:tc>
      </w:tr>
      <w:tr w:rsidR="000C7E3D" w:rsidRPr="00BA08FC" w14:paraId="47E5371D" w14:textId="77777777" w:rsidTr="00BA08FC">
        <w:trPr>
          <w:trHeight w:val="48"/>
        </w:trPr>
        <w:tc>
          <w:tcPr>
            <w:tcW w:w="8335" w:type="dxa"/>
            <w:shd w:val="clear" w:color="auto" w:fill="auto"/>
            <w:hideMark/>
          </w:tcPr>
          <w:p w14:paraId="26BB9111" w14:textId="11F6FA03" w:rsidR="000C7E3D" w:rsidRPr="00BA08FC" w:rsidRDefault="006F22A9" w:rsidP="001E3161">
            <w:pPr>
              <w:rPr>
                <w:sz w:val="20"/>
              </w:rPr>
            </w:pPr>
            <w:r w:rsidRPr="00BA08FC">
              <w:rPr>
                <w:sz w:val="20"/>
              </w:rPr>
              <w:t xml:space="preserve">Construction of </w:t>
            </w:r>
            <w:r w:rsidR="004B6441">
              <w:rPr>
                <w:sz w:val="20"/>
              </w:rPr>
              <w:t>r</w:t>
            </w:r>
            <w:r w:rsidRPr="00BA08FC">
              <w:rPr>
                <w:sz w:val="20"/>
              </w:rPr>
              <w:t xml:space="preserve">oads </w:t>
            </w:r>
            <w:r w:rsidR="004B6441">
              <w:rPr>
                <w:sz w:val="20"/>
              </w:rPr>
              <w:t>and</w:t>
            </w:r>
            <w:r w:rsidR="004B6441" w:rsidRPr="00BA08FC">
              <w:rPr>
                <w:sz w:val="20"/>
              </w:rPr>
              <w:t xml:space="preserve"> </w:t>
            </w:r>
            <w:r w:rsidR="004B6441">
              <w:rPr>
                <w:sz w:val="20"/>
              </w:rPr>
              <w:t>c</w:t>
            </w:r>
            <w:r w:rsidRPr="00BA08FC">
              <w:rPr>
                <w:sz w:val="20"/>
              </w:rPr>
              <w:t xml:space="preserve">ivil </w:t>
            </w:r>
            <w:r w:rsidR="004B6441">
              <w:rPr>
                <w:sz w:val="20"/>
              </w:rPr>
              <w:t>w</w:t>
            </w:r>
            <w:r w:rsidRPr="00BA08FC">
              <w:rPr>
                <w:sz w:val="20"/>
              </w:rPr>
              <w:t>orks</w:t>
            </w:r>
          </w:p>
        </w:tc>
        <w:tc>
          <w:tcPr>
            <w:tcW w:w="1134" w:type="dxa"/>
            <w:shd w:val="clear" w:color="auto" w:fill="auto"/>
            <w:vAlign w:val="center"/>
            <w:hideMark/>
          </w:tcPr>
          <w:p w14:paraId="04B8FD97" w14:textId="77777777" w:rsidR="000C7E3D" w:rsidRPr="00BA08FC" w:rsidRDefault="00304CBD" w:rsidP="004B6441">
            <w:pPr>
              <w:tabs>
                <w:tab w:val="decimal" w:pos="498"/>
              </w:tabs>
              <w:jc w:val="left"/>
              <w:rPr>
                <w:sz w:val="20"/>
              </w:rPr>
            </w:pPr>
            <w:r w:rsidRPr="00BA08FC">
              <w:rPr>
                <w:sz w:val="20"/>
              </w:rPr>
              <w:t>335.</w:t>
            </w:r>
            <w:r w:rsidR="006F22A9" w:rsidRPr="00BA08FC">
              <w:rPr>
                <w:sz w:val="20"/>
              </w:rPr>
              <w:t>2</w:t>
            </w:r>
          </w:p>
        </w:tc>
      </w:tr>
      <w:tr w:rsidR="000C7E3D" w:rsidRPr="00BA08FC" w14:paraId="4CE2D56E" w14:textId="77777777" w:rsidTr="00BA08FC">
        <w:trPr>
          <w:trHeight w:val="142"/>
        </w:trPr>
        <w:tc>
          <w:tcPr>
            <w:tcW w:w="8335" w:type="dxa"/>
            <w:shd w:val="clear" w:color="auto" w:fill="auto"/>
            <w:hideMark/>
          </w:tcPr>
          <w:p w14:paraId="3F802249" w14:textId="3170B7B8" w:rsidR="000C7E3D" w:rsidRPr="00BA08FC" w:rsidRDefault="006F22A9" w:rsidP="001E3161">
            <w:pPr>
              <w:rPr>
                <w:sz w:val="20"/>
              </w:rPr>
            </w:pPr>
            <w:r w:rsidRPr="00BA08FC">
              <w:rPr>
                <w:sz w:val="20"/>
              </w:rPr>
              <w:t xml:space="preserve">Research, </w:t>
            </w:r>
            <w:r w:rsidR="004B6441">
              <w:rPr>
                <w:sz w:val="20"/>
              </w:rPr>
              <w:t>f</w:t>
            </w:r>
            <w:r w:rsidRPr="00BA08FC">
              <w:rPr>
                <w:sz w:val="20"/>
              </w:rPr>
              <w:t xml:space="preserve">easibility studies, </w:t>
            </w:r>
            <w:r w:rsidR="004B6441">
              <w:rPr>
                <w:sz w:val="20"/>
              </w:rPr>
              <w:t>p</w:t>
            </w:r>
            <w:r w:rsidRPr="00BA08FC">
              <w:rPr>
                <w:sz w:val="20"/>
              </w:rPr>
              <w:t xml:space="preserve">roject </w:t>
            </w:r>
            <w:r w:rsidR="004B6441">
              <w:rPr>
                <w:sz w:val="20"/>
              </w:rPr>
              <w:t>p</w:t>
            </w:r>
            <w:r w:rsidRPr="00BA08FC">
              <w:rPr>
                <w:sz w:val="20"/>
              </w:rPr>
              <w:t xml:space="preserve">reparation and </w:t>
            </w:r>
            <w:r w:rsidR="004B6441">
              <w:rPr>
                <w:sz w:val="20"/>
              </w:rPr>
              <w:t>d</w:t>
            </w:r>
            <w:r w:rsidRPr="00BA08FC">
              <w:rPr>
                <w:sz w:val="20"/>
              </w:rPr>
              <w:t>esign</w:t>
            </w:r>
            <w:r w:rsidR="004B6441">
              <w:rPr>
                <w:sz w:val="20"/>
              </w:rPr>
              <w:t>,</w:t>
            </w:r>
            <w:r w:rsidRPr="00BA08FC">
              <w:rPr>
                <w:sz w:val="20"/>
              </w:rPr>
              <w:t xml:space="preserve"> </w:t>
            </w:r>
            <w:r w:rsidR="004B6441">
              <w:rPr>
                <w:sz w:val="20"/>
              </w:rPr>
              <w:t>p</w:t>
            </w:r>
            <w:r w:rsidRPr="00BA08FC">
              <w:rPr>
                <w:sz w:val="20"/>
              </w:rPr>
              <w:t xml:space="preserve">roject </w:t>
            </w:r>
            <w:r w:rsidR="004B6441">
              <w:rPr>
                <w:sz w:val="20"/>
              </w:rPr>
              <w:t>s</w:t>
            </w:r>
            <w:r w:rsidRPr="00BA08FC">
              <w:rPr>
                <w:sz w:val="20"/>
              </w:rPr>
              <w:t>upervision</w:t>
            </w:r>
          </w:p>
        </w:tc>
        <w:tc>
          <w:tcPr>
            <w:tcW w:w="1134" w:type="dxa"/>
            <w:shd w:val="clear" w:color="auto" w:fill="auto"/>
            <w:vAlign w:val="center"/>
            <w:hideMark/>
          </w:tcPr>
          <w:p w14:paraId="31B020B0" w14:textId="77777777" w:rsidR="000C7E3D" w:rsidRPr="00BA08FC" w:rsidRDefault="00304CBD" w:rsidP="004B6441">
            <w:pPr>
              <w:tabs>
                <w:tab w:val="decimal" w:pos="498"/>
              </w:tabs>
              <w:jc w:val="left"/>
              <w:rPr>
                <w:sz w:val="20"/>
              </w:rPr>
            </w:pPr>
            <w:r w:rsidRPr="00BA08FC">
              <w:rPr>
                <w:sz w:val="20"/>
              </w:rPr>
              <w:t>18.</w:t>
            </w:r>
            <w:r w:rsidR="006F22A9" w:rsidRPr="00BA08FC">
              <w:rPr>
                <w:sz w:val="20"/>
              </w:rPr>
              <w:t>7</w:t>
            </w:r>
          </w:p>
        </w:tc>
      </w:tr>
      <w:tr w:rsidR="004B6441" w:rsidRPr="00BA08FC" w14:paraId="2479C8BA" w14:textId="77777777" w:rsidTr="003E7509">
        <w:trPr>
          <w:trHeight w:val="48"/>
        </w:trPr>
        <w:tc>
          <w:tcPr>
            <w:tcW w:w="8335" w:type="dxa"/>
            <w:shd w:val="clear" w:color="auto" w:fill="auto"/>
            <w:hideMark/>
          </w:tcPr>
          <w:p w14:paraId="3522C077" w14:textId="77777777" w:rsidR="004B6441" w:rsidRPr="00BA08FC" w:rsidRDefault="004B6441" w:rsidP="004B6441">
            <w:pPr>
              <w:rPr>
                <w:sz w:val="20"/>
              </w:rPr>
            </w:pPr>
            <w:r w:rsidRPr="00BA08FC">
              <w:rPr>
                <w:sz w:val="20"/>
              </w:rPr>
              <w:t>Heritage and cultural assets</w:t>
            </w:r>
          </w:p>
        </w:tc>
        <w:tc>
          <w:tcPr>
            <w:tcW w:w="1134" w:type="dxa"/>
            <w:shd w:val="clear" w:color="auto" w:fill="auto"/>
            <w:hideMark/>
          </w:tcPr>
          <w:p w14:paraId="113E7777" w14:textId="01EA2055" w:rsidR="004B6441" w:rsidRPr="00BA08FC" w:rsidRDefault="004B6441" w:rsidP="004B6441">
            <w:pPr>
              <w:jc w:val="center"/>
              <w:rPr>
                <w:sz w:val="20"/>
              </w:rPr>
            </w:pPr>
            <w:r w:rsidRPr="00B65401">
              <w:rPr>
                <w:sz w:val="20"/>
              </w:rPr>
              <w:t>—</w:t>
            </w:r>
          </w:p>
        </w:tc>
      </w:tr>
      <w:tr w:rsidR="004B6441" w:rsidRPr="00BA08FC" w14:paraId="549B73B8" w14:textId="77777777" w:rsidTr="003E7509">
        <w:trPr>
          <w:trHeight w:val="136"/>
        </w:trPr>
        <w:tc>
          <w:tcPr>
            <w:tcW w:w="8335" w:type="dxa"/>
            <w:shd w:val="clear" w:color="auto" w:fill="auto"/>
            <w:hideMark/>
          </w:tcPr>
          <w:p w14:paraId="6F165FC2" w14:textId="77777777" w:rsidR="004B6441" w:rsidRPr="00BA08FC" w:rsidRDefault="004B6441" w:rsidP="004B6441">
            <w:pPr>
              <w:rPr>
                <w:sz w:val="20"/>
              </w:rPr>
            </w:pPr>
            <w:r w:rsidRPr="00BA08FC">
              <w:rPr>
                <w:sz w:val="20"/>
              </w:rPr>
              <w:t>Intangible assets</w:t>
            </w:r>
          </w:p>
        </w:tc>
        <w:tc>
          <w:tcPr>
            <w:tcW w:w="1134" w:type="dxa"/>
            <w:shd w:val="clear" w:color="auto" w:fill="auto"/>
            <w:hideMark/>
          </w:tcPr>
          <w:p w14:paraId="48648DA9" w14:textId="74208818" w:rsidR="004B6441" w:rsidRPr="00BA08FC" w:rsidRDefault="004B6441" w:rsidP="004B6441">
            <w:pPr>
              <w:jc w:val="center"/>
              <w:rPr>
                <w:sz w:val="20"/>
              </w:rPr>
            </w:pPr>
            <w:r w:rsidRPr="00B65401">
              <w:rPr>
                <w:sz w:val="20"/>
              </w:rPr>
              <w:t>—</w:t>
            </w:r>
          </w:p>
        </w:tc>
      </w:tr>
    </w:tbl>
    <w:p w14:paraId="6AB34630" w14:textId="09727713" w:rsidR="00FE3FB2" w:rsidRPr="00BA08FC" w:rsidRDefault="00FE3FB2" w:rsidP="00BA08FC">
      <w:pPr>
        <w:spacing w:after="240"/>
        <w:rPr>
          <w:rStyle w:val="Emphasis"/>
          <w:i w:val="0"/>
        </w:rPr>
      </w:pPr>
      <w:r w:rsidRPr="00BA08FC">
        <w:rPr>
          <w:rStyle w:val="Emphasis"/>
        </w:rPr>
        <w:t xml:space="preserve">Source: </w:t>
      </w:r>
      <w:r w:rsidR="000C7E3D" w:rsidRPr="00BA08FC">
        <w:rPr>
          <w:rStyle w:val="Emphasis"/>
          <w:i w:val="0"/>
        </w:rPr>
        <w:t>A</w:t>
      </w:r>
      <w:r w:rsidR="009A1C28" w:rsidRPr="00BA08FC">
        <w:rPr>
          <w:rStyle w:val="Emphasis"/>
          <w:i w:val="0"/>
        </w:rPr>
        <w:t>FS 2015/16</w:t>
      </w:r>
      <w:r w:rsidR="00BA08FC">
        <w:rPr>
          <w:rStyle w:val="Emphasis"/>
          <w:i w:val="0"/>
        </w:rPr>
        <w:t>.</w:t>
      </w:r>
    </w:p>
    <w:p w14:paraId="4A317F45" w14:textId="6A9CCE24" w:rsidR="009E3EF3" w:rsidRPr="00BA08FC" w:rsidRDefault="00AF5A81" w:rsidP="00EE1698">
      <w:pPr>
        <w:spacing w:after="240"/>
        <w:rPr>
          <w:sz w:val="22"/>
        </w:rPr>
      </w:pPr>
      <w:r w:rsidRPr="00BA08FC">
        <w:rPr>
          <w:sz w:val="22"/>
        </w:rPr>
        <w:t>The</w:t>
      </w:r>
      <w:r w:rsidR="00304CBD" w:rsidRPr="00BA08FC">
        <w:rPr>
          <w:sz w:val="22"/>
        </w:rPr>
        <w:t xml:space="preserve"> </w:t>
      </w:r>
      <w:r w:rsidR="00603E0D" w:rsidRPr="00BA08FC">
        <w:rPr>
          <w:sz w:val="22"/>
        </w:rPr>
        <w:t xml:space="preserve">OAG </w:t>
      </w:r>
      <w:r w:rsidR="00304CBD" w:rsidRPr="00BA08FC">
        <w:rPr>
          <w:sz w:val="22"/>
        </w:rPr>
        <w:t xml:space="preserve">report of </w:t>
      </w:r>
      <w:r w:rsidR="00603E0D" w:rsidRPr="00BA08FC">
        <w:rPr>
          <w:sz w:val="22"/>
        </w:rPr>
        <w:t>2015</w:t>
      </w:r>
      <w:r w:rsidR="00304CBD" w:rsidRPr="00BA08FC">
        <w:rPr>
          <w:sz w:val="22"/>
        </w:rPr>
        <w:t xml:space="preserve"> for </w:t>
      </w:r>
      <w:r w:rsidR="00603E0D" w:rsidRPr="00BA08FC">
        <w:rPr>
          <w:sz w:val="22"/>
        </w:rPr>
        <w:t xml:space="preserve">FY2014/15 </w:t>
      </w:r>
      <w:r w:rsidR="00304CBD" w:rsidRPr="00BA08FC">
        <w:rPr>
          <w:sz w:val="22"/>
        </w:rPr>
        <w:t xml:space="preserve">points out that </w:t>
      </w:r>
      <w:r w:rsidR="00603E0D" w:rsidRPr="00BA08FC">
        <w:rPr>
          <w:sz w:val="22"/>
        </w:rPr>
        <w:t xml:space="preserve">assets increased by </w:t>
      </w:r>
      <w:r w:rsidR="00E73ED7">
        <w:rPr>
          <w:sz w:val="22"/>
        </w:rPr>
        <w:t>Ksh</w:t>
      </w:r>
      <w:r w:rsidR="00603E0D" w:rsidRPr="00BA08FC">
        <w:rPr>
          <w:sz w:val="22"/>
        </w:rPr>
        <w:t xml:space="preserve"> 1,512,171,277</w:t>
      </w:r>
      <w:r w:rsidR="00304CBD" w:rsidRPr="00BA08FC">
        <w:rPr>
          <w:sz w:val="22"/>
        </w:rPr>
        <w:t>. A f</w:t>
      </w:r>
      <w:r w:rsidR="00603E0D" w:rsidRPr="00BA08FC">
        <w:rPr>
          <w:sz w:val="22"/>
        </w:rPr>
        <w:t xml:space="preserve">ixed </w:t>
      </w:r>
      <w:r w:rsidR="00304CBD" w:rsidRPr="00BA08FC">
        <w:rPr>
          <w:sz w:val="22"/>
        </w:rPr>
        <w:t>assets r</w:t>
      </w:r>
      <w:r w:rsidR="00603E0D" w:rsidRPr="00BA08FC">
        <w:rPr>
          <w:sz w:val="22"/>
        </w:rPr>
        <w:t>eg</w:t>
      </w:r>
      <w:r w:rsidR="00304CBD" w:rsidRPr="00BA08FC">
        <w:rPr>
          <w:sz w:val="22"/>
        </w:rPr>
        <w:t>ister maintained by the county g</w:t>
      </w:r>
      <w:r w:rsidR="00603E0D" w:rsidRPr="00BA08FC">
        <w:rPr>
          <w:sz w:val="22"/>
        </w:rPr>
        <w:t xml:space="preserve">overnment was not </w:t>
      </w:r>
      <w:r w:rsidR="00603E0D" w:rsidRPr="00071A61">
        <w:rPr>
          <w:sz w:val="22"/>
        </w:rPr>
        <w:t>up</w:t>
      </w:r>
      <w:r w:rsidR="00304CBD" w:rsidRPr="00071A61">
        <w:rPr>
          <w:sz w:val="22"/>
        </w:rPr>
        <w:t>-to-</w:t>
      </w:r>
      <w:r w:rsidR="00603E0D" w:rsidRPr="00071A61">
        <w:rPr>
          <w:sz w:val="22"/>
        </w:rPr>
        <w:t>date</w:t>
      </w:r>
      <w:r w:rsidR="00603E0D" w:rsidRPr="00BA08FC">
        <w:rPr>
          <w:sz w:val="22"/>
        </w:rPr>
        <w:t>. Consequently, the nature, state</w:t>
      </w:r>
      <w:r w:rsidR="004B6441">
        <w:rPr>
          <w:sz w:val="22"/>
        </w:rPr>
        <w:t>,</w:t>
      </w:r>
      <w:r w:rsidR="00603E0D" w:rsidRPr="00BA08FC">
        <w:rPr>
          <w:sz w:val="22"/>
        </w:rPr>
        <w:t xml:space="preserve"> and location of the assets could not be established when required.</w:t>
      </w:r>
    </w:p>
    <w:p w14:paraId="520625EC" w14:textId="77777777" w:rsidR="00D7430A" w:rsidRPr="00BA08FC" w:rsidRDefault="00035673" w:rsidP="00EE1698">
      <w:pPr>
        <w:spacing w:after="240"/>
        <w:rPr>
          <w:sz w:val="22"/>
        </w:rPr>
      </w:pPr>
      <w:r w:rsidRPr="00BA08FC">
        <w:rPr>
          <w:sz w:val="22"/>
        </w:rPr>
        <w:t>In summary, t</w:t>
      </w:r>
      <w:r w:rsidR="00B8438A" w:rsidRPr="00BA08FC">
        <w:rPr>
          <w:sz w:val="22"/>
        </w:rPr>
        <w:t xml:space="preserve">he government maintains a register of its holdings of fixed assets, which is not complete and information on their usage and age is generally not available. </w:t>
      </w:r>
    </w:p>
    <w:p w14:paraId="7EE2F885" w14:textId="1C9D269A" w:rsidR="00D7430A" w:rsidRPr="00BA08FC" w:rsidRDefault="00D7430A" w:rsidP="00EE1698">
      <w:pPr>
        <w:spacing w:after="240"/>
        <w:rPr>
          <w:b/>
          <w:sz w:val="22"/>
        </w:rPr>
      </w:pPr>
      <w:r w:rsidRPr="00BA08FC">
        <w:rPr>
          <w:b/>
          <w:sz w:val="22"/>
        </w:rPr>
        <w:t>Dimension rating = D</w:t>
      </w:r>
    </w:p>
    <w:p w14:paraId="67EC5819" w14:textId="01A7DEEA" w:rsidR="00FE3FB2" w:rsidRPr="00890A84" w:rsidRDefault="00867DDD" w:rsidP="00BA6B2B">
      <w:pPr>
        <w:pStyle w:val="Heading5"/>
      </w:pPr>
      <w:r w:rsidRPr="00890A84">
        <w:t>PI-</w:t>
      </w:r>
      <w:r w:rsidR="00FE3FB2" w:rsidRPr="00890A84">
        <w:t>12.3. Transparency of asset</w:t>
      </w:r>
      <w:r w:rsidR="000E1FDE">
        <w:t>s</w:t>
      </w:r>
      <w:r w:rsidR="00BA08FC">
        <w:t xml:space="preserve"> disposal</w:t>
      </w:r>
    </w:p>
    <w:p w14:paraId="70FCB5B5" w14:textId="136D8056" w:rsidR="00DA1651" w:rsidRPr="00BA08FC" w:rsidRDefault="009C0DF4" w:rsidP="00EE1698">
      <w:pPr>
        <w:spacing w:after="240"/>
        <w:rPr>
          <w:sz w:val="22"/>
        </w:rPr>
      </w:pPr>
      <w:r w:rsidRPr="00BA08FC">
        <w:rPr>
          <w:sz w:val="22"/>
        </w:rPr>
        <w:t xml:space="preserve">The county government has adopted the disposal procedure as per the </w:t>
      </w:r>
      <w:r w:rsidR="00304CBD" w:rsidRPr="00BA08FC">
        <w:rPr>
          <w:sz w:val="22"/>
        </w:rPr>
        <w:t>Public Procurement and Assets Disposal Act, 2015</w:t>
      </w:r>
      <w:r w:rsidR="004B6441">
        <w:rPr>
          <w:sz w:val="22"/>
        </w:rPr>
        <w:t>,</w:t>
      </w:r>
      <w:r w:rsidR="00304CBD" w:rsidRPr="00BA08FC">
        <w:rPr>
          <w:sz w:val="22"/>
        </w:rPr>
        <w:t xml:space="preserve"> </w:t>
      </w:r>
      <w:r w:rsidRPr="00BA08FC">
        <w:rPr>
          <w:sz w:val="22"/>
        </w:rPr>
        <w:t>provided under part 14 sections 163,</w:t>
      </w:r>
      <w:r w:rsidR="00304CBD" w:rsidRPr="00BA08FC">
        <w:rPr>
          <w:sz w:val="22"/>
        </w:rPr>
        <w:t xml:space="preserve"> 164, 165</w:t>
      </w:r>
      <w:r w:rsidR="004B6441">
        <w:rPr>
          <w:sz w:val="22"/>
        </w:rPr>
        <w:t>,</w:t>
      </w:r>
      <w:r w:rsidR="00304CBD" w:rsidRPr="00BA08FC">
        <w:rPr>
          <w:sz w:val="22"/>
        </w:rPr>
        <w:t xml:space="preserve"> and 166</w:t>
      </w:r>
      <w:r w:rsidRPr="00BA08FC">
        <w:rPr>
          <w:sz w:val="22"/>
        </w:rPr>
        <w:t>.</w:t>
      </w:r>
      <w:r w:rsidR="00DA1651" w:rsidRPr="00BA08FC">
        <w:rPr>
          <w:sz w:val="22"/>
        </w:rPr>
        <w:t>The county owns an agricultural demonstration farm and occasionally sells off bulls to f</w:t>
      </w:r>
      <w:r w:rsidRPr="00BA08FC">
        <w:rPr>
          <w:sz w:val="22"/>
        </w:rPr>
        <w:t xml:space="preserve">armers. </w:t>
      </w:r>
      <w:r w:rsidR="00DA1651" w:rsidRPr="00BA08FC">
        <w:rPr>
          <w:sz w:val="22"/>
        </w:rPr>
        <w:t>Public auction is used in the disposal of the bulls and t</w:t>
      </w:r>
      <w:r w:rsidRPr="00BA08FC">
        <w:rPr>
          <w:sz w:val="22"/>
        </w:rPr>
        <w:t xml:space="preserve">he proceeds go to the Agriculture Department’s livestock kitty. </w:t>
      </w:r>
    </w:p>
    <w:p w14:paraId="6464FEF3" w14:textId="20DA1696" w:rsidR="00D7430A" w:rsidRPr="00BA08FC" w:rsidRDefault="00035673" w:rsidP="00EE1698">
      <w:pPr>
        <w:spacing w:after="240"/>
        <w:rPr>
          <w:sz w:val="22"/>
        </w:rPr>
      </w:pPr>
      <w:r w:rsidRPr="00BA08FC">
        <w:rPr>
          <w:sz w:val="22"/>
        </w:rPr>
        <w:t>In summary, p</w:t>
      </w:r>
      <w:r w:rsidR="00B8438A" w:rsidRPr="00BA08FC">
        <w:rPr>
          <w:sz w:val="22"/>
        </w:rPr>
        <w:t xml:space="preserve">rocedures and rules for the transfer or disposal of nonfinancial assets are not established yet. The </w:t>
      </w:r>
      <w:r w:rsidR="004B6441">
        <w:rPr>
          <w:sz w:val="22"/>
        </w:rPr>
        <w:t>c</w:t>
      </w:r>
      <w:r w:rsidR="00B8438A" w:rsidRPr="00BA08FC">
        <w:rPr>
          <w:sz w:val="22"/>
        </w:rPr>
        <w:t xml:space="preserve">ounty has not disposed of any assets except cash and cash equivalent. The </w:t>
      </w:r>
      <w:r w:rsidR="004B6441">
        <w:rPr>
          <w:sz w:val="22"/>
        </w:rPr>
        <w:t>c</w:t>
      </w:r>
      <w:r w:rsidR="00B8438A" w:rsidRPr="00BA08FC">
        <w:rPr>
          <w:sz w:val="22"/>
        </w:rPr>
        <w:t xml:space="preserve">ounty has not set up any rule related to transfers of assets for the defunct authorities. </w:t>
      </w:r>
    </w:p>
    <w:p w14:paraId="644E737F" w14:textId="69A12C0A" w:rsidR="00D7430A" w:rsidRPr="00BA08FC" w:rsidRDefault="00D7430A" w:rsidP="00EE1698">
      <w:pPr>
        <w:spacing w:after="240"/>
        <w:rPr>
          <w:b/>
          <w:sz w:val="22"/>
        </w:rPr>
      </w:pPr>
      <w:r w:rsidRPr="00BA08FC">
        <w:rPr>
          <w:b/>
          <w:sz w:val="22"/>
        </w:rPr>
        <w:t>Dimension rating = D</w:t>
      </w:r>
    </w:p>
    <w:p w14:paraId="32112C2D" w14:textId="77777777" w:rsidR="00BB1084" w:rsidRPr="00890A84" w:rsidRDefault="00BB1084" w:rsidP="00590C8E">
      <w:pPr>
        <w:pStyle w:val="Heading4"/>
      </w:pPr>
      <w:r w:rsidRPr="00890A84">
        <w:t>PI-13. Debt management</w:t>
      </w:r>
    </w:p>
    <w:p w14:paraId="594A35AF" w14:textId="77777777" w:rsidR="003E5B0C" w:rsidRPr="00890A84" w:rsidRDefault="003E5B0C" w:rsidP="00BA6B2B">
      <w:pPr>
        <w:pStyle w:val="Heading5"/>
      </w:pPr>
      <w:r>
        <w:t>Summary of scores and performance table</w:t>
      </w:r>
    </w:p>
    <w:tbl>
      <w:tblPr>
        <w:tblW w:w="9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520"/>
        <w:gridCol w:w="630"/>
        <w:gridCol w:w="6210"/>
      </w:tblGrid>
      <w:tr w:rsidR="003E5B0C" w:rsidRPr="00BA08FC" w14:paraId="7FB7BDD0" w14:textId="77777777" w:rsidTr="004B6441">
        <w:tc>
          <w:tcPr>
            <w:tcW w:w="2520" w:type="dxa"/>
            <w:shd w:val="clear" w:color="auto" w:fill="5B9BD5"/>
          </w:tcPr>
          <w:p w14:paraId="0EFA52FE" w14:textId="3AAFCA8F" w:rsidR="003E5B0C" w:rsidRPr="00BA08FC" w:rsidRDefault="003E5B0C" w:rsidP="00BA08FC">
            <w:pPr>
              <w:jc w:val="center"/>
              <w:rPr>
                <w:b/>
                <w:color w:val="FFFFFF" w:themeColor="background1"/>
                <w:sz w:val="20"/>
              </w:rPr>
            </w:pPr>
            <w:r w:rsidRPr="00BA08FC">
              <w:rPr>
                <w:b/>
                <w:color w:val="FFFFFF" w:themeColor="background1"/>
                <w:sz w:val="20"/>
              </w:rPr>
              <w:t>PI-13</w:t>
            </w:r>
            <w:r w:rsidR="004B6441">
              <w:rPr>
                <w:b/>
                <w:color w:val="FFFFFF" w:themeColor="background1"/>
                <w:sz w:val="20"/>
              </w:rPr>
              <w:t>.</w:t>
            </w:r>
            <w:r w:rsidRPr="00BA08FC">
              <w:rPr>
                <w:b/>
                <w:color w:val="FFFFFF" w:themeColor="background1"/>
                <w:sz w:val="20"/>
              </w:rPr>
              <w:t xml:space="preserve"> Debt management (M2)</w:t>
            </w:r>
          </w:p>
        </w:tc>
        <w:tc>
          <w:tcPr>
            <w:tcW w:w="630" w:type="dxa"/>
            <w:shd w:val="clear" w:color="auto" w:fill="5B9BD5"/>
          </w:tcPr>
          <w:p w14:paraId="344E9AA3" w14:textId="77777777" w:rsidR="003E5B0C" w:rsidRPr="00BA08FC" w:rsidRDefault="003E5B0C" w:rsidP="00BA08FC">
            <w:pPr>
              <w:jc w:val="center"/>
              <w:rPr>
                <w:b/>
                <w:color w:val="FFFFFF" w:themeColor="background1"/>
                <w:sz w:val="20"/>
              </w:rPr>
            </w:pPr>
            <w:r w:rsidRPr="00BA08FC">
              <w:rPr>
                <w:b/>
                <w:color w:val="FFFFFF" w:themeColor="background1"/>
                <w:sz w:val="20"/>
              </w:rPr>
              <w:t>D</w:t>
            </w:r>
          </w:p>
        </w:tc>
        <w:tc>
          <w:tcPr>
            <w:tcW w:w="6210" w:type="dxa"/>
            <w:shd w:val="clear" w:color="auto" w:fill="5B9BD5"/>
          </w:tcPr>
          <w:p w14:paraId="468F3A2D" w14:textId="77777777" w:rsidR="003E5B0C" w:rsidRPr="00BA08FC" w:rsidRDefault="003E5B0C" w:rsidP="00BA08FC">
            <w:pPr>
              <w:jc w:val="center"/>
              <w:rPr>
                <w:b/>
                <w:color w:val="FFFFFF" w:themeColor="background1"/>
                <w:sz w:val="20"/>
              </w:rPr>
            </w:pPr>
            <w:r w:rsidRPr="00BA08FC">
              <w:rPr>
                <w:b/>
                <w:color w:val="FFFFFF" w:themeColor="background1"/>
                <w:sz w:val="20"/>
              </w:rPr>
              <w:t>Brief justification for score</w:t>
            </w:r>
          </w:p>
        </w:tc>
      </w:tr>
      <w:tr w:rsidR="003E5B0C" w:rsidRPr="00BA08FC" w14:paraId="715BFAB6" w14:textId="77777777" w:rsidTr="004B6441">
        <w:tc>
          <w:tcPr>
            <w:tcW w:w="2520" w:type="dxa"/>
            <w:shd w:val="clear" w:color="auto" w:fill="auto"/>
          </w:tcPr>
          <w:p w14:paraId="46F9E33A" w14:textId="77777777" w:rsidR="003E5B0C" w:rsidRPr="00BA08FC" w:rsidRDefault="003E5B0C" w:rsidP="00BA08FC">
            <w:pPr>
              <w:jc w:val="left"/>
              <w:rPr>
                <w:sz w:val="20"/>
              </w:rPr>
            </w:pPr>
            <w:r w:rsidRPr="00BA08FC">
              <w:rPr>
                <w:sz w:val="20"/>
              </w:rPr>
              <w:t xml:space="preserve">13.1 Recording and reporting of debt and guarantees </w:t>
            </w:r>
          </w:p>
        </w:tc>
        <w:tc>
          <w:tcPr>
            <w:tcW w:w="630" w:type="dxa"/>
            <w:shd w:val="clear" w:color="auto" w:fill="auto"/>
          </w:tcPr>
          <w:p w14:paraId="7B8EFBE9" w14:textId="71AF186C" w:rsidR="003E5B0C" w:rsidRPr="00BA08FC" w:rsidRDefault="003E5B0C" w:rsidP="00BA08FC">
            <w:pPr>
              <w:jc w:val="center"/>
              <w:rPr>
                <w:sz w:val="20"/>
              </w:rPr>
            </w:pPr>
            <w:r w:rsidRPr="00BA08FC">
              <w:rPr>
                <w:sz w:val="20"/>
              </w:rPr>
              <w:t>D</w:t>
            </w:r>
          </w:p>
        </w:tc>
        <w:tc>
          <w:tcPr>
            <w:tcW w:w="6210" w:type="dxa"/>
            <w:shd w:val="clear" w:color="auto" w:fill="auto"/>
          </w:tcPr>
          <w:p w14:paraId="376323AA" w14:textId="089AA6E9" w:rsidR="003E5B0C" w:rsidRPr="00BA08FC" w:rsidRDefault="003E5B0C" w:rsidP="00BA08FC">
            <w:pPr>
              <w:jc w:val="left"/>
              <w:rPr>
                <w:sz w:val="20"/>
              </w:rPr>
            </w:pPr>
            <w:r w:rsidRPr="00BA08FC">
              <w:rPr>
                <w:sz w:val="20"/>
              </w:rPr>
              <w:t xml:space="preserve">Though the </w:t>
            </w:r>
            <w:r w:rsidR="004B6441">
              <w:rPr>
                <w:sz w:val="20"/>
              </w:rPr>
              <w:t>c</w:t>
            </w:r>
            <w:r w:rsidRPr="00BA08FC">
              <w:rPr>
                <w:sz w:val="20"/>
              </w:rPr>
              <w:t>ounties are not authori</w:t>
            </w:r>
            <w:r w:rsidR="009D21FC">
              <w:rPr>
                <w:sz w:val="20"/>
              </w:rPr>
              <w:t>z</w:t>
            </w:r>
            <w:r w:rsidRPr="00BA08FC">
              <w:rPr>
                <w:sz w:val="20"/>
              </w:rPr>
              <w:t xml:space="preserve">ed to incur debt, there was a </w:t>
            </w:r>
            <w:r w:rsidR="007274DE" w:rsidRPr="00BA08FC">
              <w:rPr>
                <w:sz w:val="20"/>
              </w:rPr>
              <w:t>pre-existing</w:t>
            </w:r>
            <w:r w:rsidRPr="00BA08FC">
              <w:rPr>
                <w:sz w:val="20"/>
              </w:rPr>
              <w:t xml:space="preserve"> debt inherited from OlKejuado County Council. This debt has been serviced and records are maintained annually but no reconciliation is performed.</w:t>
            </w:r>
          </w:p>
        </w:tc>
      </w:tr>
      <w:tr w:rsidR="003E5B0C" w:rsidRPr="00BA08FC" w14:paraId="0BB9DE09" w14:textId="77777777" w:rsidTr="004B6441">
        <w:tc>
          <w:tcPr>
            <w:tcW w:w="2520" w:type="dxa"/>
            <w:shd w:val="clear" w:color="auto" w:fill="auto"/>
          </w:tcPr>
          <w:p w14:paraId="70ADFCAB" w14:textId="77777777" w:rsidR="003E5B0C" w:rsidRPr="00BA08FC" w:rsidRDefault="003E5B0C" w:rsidP="00BA08FC">
            <w:pPr>
              <w:jc w:val="left"/>
              <w:rPr>
                <w:sz w:val="20"/>
              </w:rPr>
            </w:pPr>
            <w:r w:rsidRPr="00BA08FC">
              <w:rPr>
                <w:sz w:val="20"/>
              </w:rPr>
              <w:t xml:space="preserve">13.2 Approval of debt and guarantees </w:t>
            </w:r>
          </w:p>
        </w:tc>
        <w:tc>
          <w:tcPr>
            <w:tcW w:w="630" w:type="dxa"/>
            <w:shd w:val="clear" w:color="auto" w:fill="auto"/>
          </w:tcPr>
          <w:p w14:paraId="5DC32355" w14:textId="060FF246" w:rsidR="003E5B0C" w:rsidRPr="00BA08FC" w:rsidRDefault="00EB09D7" w:rsidP="00BA08FC">
            <w:pPr>
              <w:jc w:val="center"/>
              <w:rPr>
                <w:sz w:val="20"/>
              </w:rPr>
            </w:pPr>
            <w:r>
              <w:rPr>
                <w:sz w:val="20"/>
                <w:szCs w:val="20"/>
              </w:rPr>
              <w:t>N/A</w:t>
            </w:r>
          </w:p>
        </w:tc>
        <w:tc>
          <w:tcPr>
            <w:tcW w:w="6210" w:type="dxa"/>
            <w:shd w:val="clear" w:color="auto" w:fill="auto"/>
          </w:tcPr>
          <w:p w14:paraId="222F4D6C" w14:textId="26D20C82" w:rsidR="003E5B0C" w:rsidRPr="00BA08FC" w:rsidRDefault="003E5B0C" w:rsidP="00BA08FC">
            <w:pPr>
              <w:jc w:val="left"/>
              <w:rPr>
                <w:sz w:val="20"/>
              </w:rPr>
            </w:pPr>
            <w:r w:rsidRPr="00BA08FC">
              <w:rPr>
                <w:sz w:val="20"/>
              </w:rPr>
              <w:t>Primary legislation grants authorization to borrow</w:t>
            </w:r>
            <w:r w:rsidR="004B6441">
              <w:rPr>
                <w:sz w:val="20"/>
              </w:rPr>
              <w:t xml:space="preserve"> and</w:t>
            </w:r>
            <w:r w:rsidRPr="00BA08FC">
              <w:rPr>
                <w:sz w:val="20"/>
              </w:rPr>
              <w:t xml:space="preserve"> issue new debt, but documented policies and procedures have not been established yet.</w:t>
            </w:r>
          </w:p>
        </w:tc>
      </w:tr>
      <w:tr w:rsidR="003E5B0C" w:rsidRPr="00BA08FC" w14:paraId="29B0FCB9" w14:textId="77777777" w:rsidTr="004B6441">
        <w:tc>
          <w:tcPr>
            <w:tcW w:w="2520" w:type="dxa"/>
            <w:shd w:val="clear" w:color="auto" w:fill="auto"/>
          </w:tcPr>
          <w:p w14:paraId="7487C2C7" w14:textId="77777777" w:rsidR="003E5B0C" w:rsidRPr="00BA08FC" w:rsidRDefault="003E5B0C" w:rsidP="00BA08FC">
            <w:pPr>
              <w:jc w:val="left"/>
              <w:rPr>
                <w:sz w:val="20"/>
              </w:rPr>
            </w:pPr>
            <w:r w:rsidRPr="00BA08FC">
              <w:rPr>
                <w:sz w:val="20"/>
              </w:rPr>
              <w:t xml:space="preserve">13.3 Debt management strategy </w:t>
            </w:r>
          </w:p>
        </w:tc>
        <w:tc>
          <w:tcPr>
            <w:tcW w:w="630" w:type="dxa"/>
            <w:shd w:val="clear" w:color="auto" w:fill="auto"/>
          </w:tcPr>
          <w:p w14:paraId="17483F63" w14:textId="77777777" w:rsidR="003E5B0C" w:rsidRPr="00BA08FC" w:rsidRDefault="003E5B0C" w:rsidP="00BA08FC">
            <w:pPr>
              <w:jc w:val="center"/>
              <w:rPr>
                <w:sz w:val="20"/>
              </w:rPr>
            </w:pPr>
            <w:r w:rsidRPr="00BA08FC">
              <w:rPr>
                <w:sz w:val="20"/>
              </w:rPr>
              <w:t>D</w:t>
            </w:r>
          </w:p>
        </w:tc>
        <w:tc>
          <w:tcPr>
            <w:tcW w:w="6210" w:type="dxa"/>
            <w:shd w:val="clear" w:color="auto" w:fill="auto"/>
          </w:tcPr>
          <w:p w14:paraId="49B46C71" w14:textId="3FCCDD8B" w:rsidR="003E5B0C" w:rsidRPr="00BA08FC" w:rsidRDefault="003E5B0C" w:rsidP="00BA08FC">
            <w:pPr>
              <w:jc w:val="left"/>
              <w:rPr>
                <w:sz w:val="20"/>
              </w:rPr>
            </w:pPr>
            <w:r w:rsidRPr="00BA08FC">
              <w:rPr>
                <w:sz w:val="20"/>
              </w:rPr>
              <w:t xml:space="preserve">A current medium-term </w:t>
            </w:r>
            <w:r w:rsidR="004B6441">
              <w:rPr>
                <w:sz w:val="20"/>
              </w:rPr>
              <w:t>DMS</w:t>
            </w:r>
            <w:r w:rsidRPr="00BA08FC">
              <w:rPr>
                <w:sz w:val="20"/>
              </w:rPr>
              <w:t xml:space="preserve"> has been established but is not publicly available yet. The </w:t>
            </w:r>
            <w:r w:rsidR="004B6441">
              <w:rPr>
                <w:sz w:val="20"/>
              </w:rPr>
              <w:t>DMS</w:t>
            </w:r>
            <w:r w:rsidRPr="00BA08FC">
              <w:rPr>
                <w:sz w:val="20"/>
              </w:rPr>
              <w:t xml:space="preserve"> establishes an allocation for debt servicing, but no evidence has been provided yet.</w:t>
            </w:r>
          </w:p>
        </w:tc>
      </w:tr>
    </w:tbl>
    <w:p w14:paraId="294417EC" w14:textId="77777777" w:rsidR="00A12A71" w:rsidRPr="00890A84" w:rsidRDefault="00867DDD" w:rsidP="00BA6B2B">
      <w:pPr>
        <w:pStyle w:val="Heading5"/>
      </w:pPr>
      <w:r w:rsidRPr="00890A84">
        <w:t>PI-</w:t>
      </w:r>
      <w:r w:rsidR="00A12A71" w:rsidRPr="00890A84">
        <w:t xml:space="preserve">13.1. Recording and reporting of debt and guarantees </w:t>
      </w:r>
    </w:p>
    <w:p w14:paraId="345690C7" w14:textId="2EFDEA6B" w:rsidR="00FE3FB2" w:rsidRPr="00BA08FC" w:rsidRDefault="00DB31E6" w:rsidP="00EE1698">
      <w:pPr>
        <w:spacing w:after="240"/>
        <w:rPr>
          <w:sz w:val="22"/>
        </w:rPr>
      </w:pPr>
      <w:r w:rsidRPr="00BA08FC">
        <w:rPr>
          <w:sz w:val="22"/>
        </w:rPr>
        <w:t xml:space="preserve">The Kajiado </w:t>
      </w:r>
      <w:r w:rsidR="004B6441" w:rsidRPr="00BA08FC">
        <w:rPr>
          <w:sz w:val="22"/>
        </w:rPr>
        <w:t xml:space="preserve">County Government </w:t>
      </w:r>
      <w:r w:rsidRPr="00BA08FC">
        <w:rPr>
          <w:sz w:val="22"/>
        </w:rPr>
        <w:t xml:space="preserve">does not have any debt but </w:t>
      </w:r>
      <w:r w:rsidR="00B074FE" w:rsidRPr="00BA08FC">
        <w:rPr>
          <w:sz w:val="22"/>
        </w:rPr>
        <w:t xml:space="preserve">inherited </w:t>
      </w:r>
      <w:r w:rsidRPr="00BA08FC">
        <w:rPr>
          <w:sz w:val="22"/>
        </w:rPr>
        <w:t xml:space="preserve">debts </w:t>
      </w:r>
      <w:r w:rsidR="00B074FE" w:rsidRPr="00BA08FC">
        <w:rPr>
          <w:sz w:val="22"/>
        </w:rPr>
        <w:t xml:space="preserve">from OlKejuado County Council of approximately </w:t>
      </w:r>
      <w:r w:rsidR="00E73ED7">
        <w:rPr>
          <w:sz w:val="22"/>
        </w:rPr>
        <w:t>Ksh</w:t>
      </w:r>
      <w:r w:rsidR="00B074FE" w:rsidRPr="00BA08FC">
        <w:rPr>
          <w:sz w:val="22"/>
        </w:rPr>
        <w:t xml:space="preserve"> 319 million</w:t>
      </w:r>
      <w:r w:rsidR="004B6441">
        <w:rPr>
          <w:sz w:val="22"/>
        </w:rPr>
        <w:t>,</w:t>
      </w:r>
      <w:r w:rsidR="00B074FE" w:rsidRPr="00BA08FC">
        <w:rPr>
          <w:sz w:val="22"/>
        </w:rPr>
        <w:t xml:space="preserve"> </w:t>
      </w:r>
      <w:r w:rsidR="00C00912" w:rsidRPr="00BA08FC">
        <w:rPr>
          <w:sz w:val="22"/>
        </w:rPr>
        <w:t>from which</w:t>
      </w:r>
      <w:r w:rsidR="00B074FE" w:rsidRPr="00BA08FC">
        <w:rPr>
          <w:sz w:val="22"/>
        </w:rPr>
        <w:t xml:space="preserve"> only </w:t>
      </w:r>
      <w:r w:rsidR="00E73ED7">
        <w:rPr>
          <w:sz w:val="22"/>
        </w:rPr>
        <w:t>Ksh</w:t>
      </w:r>
      <w:r w:rsidR="004B6441">
        <w:rPr>
          <w:sz w:val="22"/>
        </w:rPr>
        <w:t xml:space="preserve"> </w:t>
      </w:r>
      <w:r w:rsidR="00B074FE" w:rsidRPr="00BA08FC">
        <w:rPr>
          <w:sz w:val="22"/>
        </w:rPr>
        <w:t>15 million has been serviced.</w:t>
      </w:r>
      <w:r w:rsidR="00E56226" w:rsidRPr="00BA08FC">
        <w:rPr>
          <w:sz w:val="22"/>
        </w:rPr>
        <w:t xml:space="preserve"> </w:t>
      </w:r>
      <w:r w:rsidR="00B074FE" w:rsidRPr="00BA08FC">
        <w:rPr>
          <w:sz w:val="22"/>
        </w:rPr>
        <w:t>According to the CSFP 2015, this debt should be included in the 2017/18 budget as per the 2017 DMS.</w:t>
      </w:r>
    </w:p>
    <w:p w14:paraId="30B1CC6B" w14:textId="5E16E65B" w:rsidR="00D7430A" w:rsidRPr="00BA08FC" w:rsidRDefault="00C00912" w:rsidP="00EE1698">
      <w:pPr>
        <w:spacing w:after="240"/>
        <w:rPr>
          <w:sz w:val="22"/>
        </w:rPr>
      </w:pPr>
      <w:r w:rsidRPr="00BA08FC">
        <w:rPr>
          <w:sz w:val="22"/>
        </w:rPr>
        <w:t xml:space="preserve">In summary, the Kajiado </w:t>
      </w:r>
      <w:r w:rsidR="004B6441" w:rsidRPr="00BA08FC">
        <w:rPr>
          <w:sz w:val="22"/>
        </w:rPr>
        <w:t xml:space="preserve">County Government </w:t>
      </w:r>
      <w:r w:rsidRPr="00BA08FC">
        <w:rPr>
          <w:sz w:val="22"/>
        </w:rPr>
        <w:t>does not have any debt but inherited a debt from the defunct authority and no annual reconciliation is performed.</w:t>
      </w:r>
      <w:r w:rsidR="00B8438A" w:rsidRPr="00BA08FC">
        <w:rPr>
          <w:sz w:val="22"/>
        </w:rPr>
        <w:t xml:space="preserve"> </w:t>
      </w:r>
    </w:p>
    <w:p w14:paraId="379AC091" w14:textId="2F9028F2" w:rsidR="00D020F9" w:rsidRPr="00BA08FC" w:rsidRDefault="00D7430A" w:rsidP="00EE1698">
      <w:pPr>
        <w:spacing w:after="240"/>
        <w:rPr>
          <w:b/>
          <w:sz w:val="22"/>
        </w:rPr>
      </w:pPr>
      <w:r w:rsidRPr="00BA08FC">
        <w:rPr>
          <w:b/>
          <w:sz w:val="22"/>
        </w:rPr>
        <w:t>Dimension rating = D</w:t>
      </w:r>
    </w:p>
    <w:p w14:paraId="77FCE62D" w14:textId="77777777" w:rsidR="00FE3FB2" w:rsidRPr="00890A84" w:rsidRDefault="00867DDD" w:rsidP="00BA6B2B">
      <w:pPr>
        <w:pStyle w:val="Heading5"/>
      </w:pPr>
      <w:r w:rsidRPr="00890A84">
        <w:t>PI-</w:t>
      </w:r>
      <w:r w:rsidR="00FE3FB2" w:rsidRPr="00890A84">
        <w:t xml:space="preserve">13.2. Approval of debt and guarantees </w:t>
      </w:r>
    </w:p>
    <w:p w14:paraId="2DAB1F9C" w14:textId="487F975E" w:rsidR="00DB31E6" w:rsidRPr="00BA08FC" w:rsidRDefault="00DB31E6" w:rsidP="00EE1698">
      <w:pPr>
        <w:spacing w:after="240"/>
        <w:rPr>
          <w:sz w:val="22"/>
        </w:rPr>
      </w:pPr>
      <w:r w:rsidRPr="00BA08FC">
        <w:rPr>
          <w:sz w:val="22"/>
        </w:rPr>
        <w:t>Primary legislation grants authorization to borrow</w:t>
      </w:r>
      <w:r w:rsidR="004B6441">
        <w:rPr>
          <w:sz w:val="22"/>
        </w:rPr>
        <w:t xml:space="preserve"> and</w:t>
      </w:r>
      <w:r w:rsidRPr="00BA08FC">
        <w:rPr>
          <w:sz w:val="22"/>
        </w:rPr>
        <w:t xml:space="preserve"> issue new debt, but </w:t>
      </w:r>
      <w:r w:rsidR="00FE3FB2" w:rsidRPr="00BA08FC">
        <w:rPr>
          <w:sz w:val="22"/>
        </w:rPr>
        <w:t>a framework for borrowing is yet to be developed</w:t>
      </w:r>
      <w:r w:rsidRPr="00BA08FC">
        <w:rPr>
          <w:sz w:val="22"/>
        </w:rPr>
        <w:t>. H</w:t>
      </w:r>
      <w:r w:rsidR="00FE3FB2" w:rsidRPr="00BA08FC">
        <w:rPr>
          <w:sz w:val="22"/>
        </w:rPr>
        <w:t>ence</w:t>
      </w:r>
      <w:r w:rsidR="004B6441">
        <w:rPr>
          <w:sz w:val="22"/>
        </w:rPr>
        <w:t>,</w:t>
      </w:r>
      <w:r w:rsidR="00FE3FB2" w:rsidRPr="00BA08FC">
        <w:rPr>
          <w:sz w:val="22"/>
        </w:rPr>
        <w:t xml:space="preserve"> </w:t>
      </w:r>
      <w:r w:rsidRPr="00BA08FC">
        <w:rPr>
          <w:sz w:val="22"/>
        </w:rPr>
        <w:t xml:space="preserve">the </w:t>
      </w:r>
      <w:r w:rsidR="00FE3FB2" w:rsidRPr="00BA08FC">
        <w:rPr>
          <w:sz w:val="22"/>
        </w:rPr>
        <w:t>count</w:t>
      </w:r>
      <w:r w:rsidRPr="00BA08FC">
        <w:rPr>
          <w:sz w:val="22"/>
        </w:rPr>
        <w:t>y is not in a position t</w:t>
      </w:r>
      <w:r w:rsidR="00FE3FB2" w:rsidRPr="00BA08FC">
        <w:rPr>
          <w:sz w:val="22"/>
        </w:rPr>
        <w:t>o borrow</w:t>
      </w:r>
      <w:r w:rsidRPr="00BA08FC">
        <w:rPr>
          <w:sz w:val="22"/>
        </w:rPr>
        <w:t xml:space="preserve">. Consequently, the budget expenditure contained in the fiscal strategy paper is balanced with the resource estimates and there is no anticipated need for deficit financing. </w:t>
      </w:r>
    </w:p>
    <w:p w14:paraId="34D9B8D7" w14:textId="77777777" w:rsidR="008A646C" w:rsidRPr="00BA08FC" w:rsidRDefault="00B8438A" w:rsidP="00EE1698">
      <w:pPr>
        <w:spacing w:after="240"/>
        <w:rPr>
          <w:sz w:val="22"/>
        </w:rPr>
      </w:pPr>
      <w:r w:rsidRPr="00BA08FC">
        <w:rPr>
          <w:sz w:val="22"/>
        </w:rPr>
        <w:t xml:space="preserve">In summary, </w:t>
      </w:r>
      <w:r w:rsidR="00DB31E6" w:rsidRPr="00BA08FC">
        <w:rPr>
          <w:sz w:val="22"/>
        </w:rPr>
        <w:t xml:space="preserve">no approval of debt and guarantees </w:t>
      </w:r>
      <w:r w:rsidR="008A646C" w:rsidRPr="00BA08FC">
        <w:rPr>
          <w:sz w:val="22"/>
        </w:rPr>
        <w:t>has been implemented yet.</w:t>
      </w:r>
    </w:p>
    <w:p w14:paraId="563E1EEC" w14:textId="7A8EE094" w:rsidR="008A646C" w:rsidRPr="00BA08FC" w:rsidRDefault="008A646C" w:rsidP="00EE1698">
      <w:pPr>
        <w:spacing w:after="240"/>
        <w:rPr>
          <w:b/>
          <w:sz w:val="22"/>
        </w:rPr>
      </w:pPr>
      <w:r w:rsidRPr="00BA08FC">
        <w:rPr>
          <w:b/>
          <w:sz w:val="22"/>
        </w:rPr>
        <w:t xml:space="preserve">Dimension rating = </w:t>
      </w:r>
      <w:r w:rsidR="00EB09D7">
        <w:rPr>
          <w:b/>
          <w:sz w:val="22"/>
        </w:rPr>
        <w:t>N/A</w:t>
      </w:r>
    </w:p>
    <w:p w14:paraId="62626BAE" w14:textId="77777777" w:rsidR="00FE3FB2" w:rsidRPr="00890A84" w:rsidRDefault="00867DDD" w:rsidP="00BA6B2B">
      <w:pPr>
        <w:pStyle w:val="Heading5"/>
      </w:pPr>
      <w:r w:rsidRPr="00890A84">
        <w:t>PI-</w:t>
      </w:r>
      <w:r w:rsidR="00FE3FB2" w:rsidRPr="00890A84">
        <w:t xml:space="preserve">13.3. Debt management strategy </w:t>
      </w:r>
    </w:p>
    <w:p w14:paraId="58353315" w14:textId="3A9CC367" w:rsidR="00C00912" w:rsidRPr="00BA08FC" w:rsidRDefault="00C00912" w:rsidP="00EE1698">
      <w:pPr>
        <w:spacing w:after="240"/>
        <w:rPr>
          <w:sz w:val="22"/>
        </w:rPr>
      </w:pPr>
      <w:r w:rsidRPr="00BA08FC">
        <w:rPr>
          <w:sz w:val="22"/>
        </w:rPr>
        <w:t>The DMS lays out the framework for short-term borrowing by county governments for management of cash flows. The DMS states that projections should be established for subsequent years and that information about debt should be maintained and recorded annually.</w:t>
      </w:r>
    </w:p>
    <w:p w14:paraId="2B380AF7" w14:textId="2B011971" w:rsidR="00B8438A" w:rsidRPr="00BA08FC" w:rsidRDefault="00DB31E6" w:rsidP="00EE1698">
      <w:pPr>
        <w:spacing w:after="240"/>
        <w:rPr>
          <w:sz w:val="22"/>
        </w:rPr>
      </w:pPr>
      <w:r w:rsidRPr="00BA08FC">
        <w:rPr>
          <w:sz w:val="22"/>
        </w:rPr>
        <w:t xml:space="preserve">It was stated by the </w:t>
      </w:r>
      <w:r w:rsidR="004B6441">
        <w:rPr>
          <w:sz w:val="22"/>
        </w:rPr>
        <w:t>c</w:t>
      </w:r>
      <w:r w:rsidRPr="00BA08FC">
        <w:rPr>
          <w:sz w:val="22"/>
        </w:rPr>
        <w:t xml:space="preserve">ounty administration that a </w:t>
      </w:r>
      <w:r w:rsidR="00FE3FB2" w:rsidRPr="00BA08FC">
        <w:rPr>
          <w:sz w:val="22"/>
        </w:rPr>
        <w:t xml:space="preserve">debt </w:t>
      </w:r>
      <w:r w:rsidRPr="00BA08FC">
        <w:rPr>
          <w:sz w:val="22"/>
        </w:rPr>
        <w:t>strategy</w:t>
      </w:r>
      <w:r w:rsidR="00FE3FB2" w:rsidRPr="00BA08FC">
        <w:rPr>
          <w:sz w:val="22"/>
        </w:rPr>
        <w:t xml:space="preserve"> </w:t>
      </w:r>
      <w:r w:rsidRPr="00BA08FC">
        <w:rPr>
          <w:sz w:val="22"/>
        </w:rPr>
        <w:t xml:space="preserve">with an allocation for debt servicing </w:t>
      </w:r>
      <w:r w:rsidR="00AF2C61" w:rsidRPr="00BA08FC">
        <w:rPr>
          <w:sz w:val="22"/>
        </w:rPr>
        <w:t xml:space="preserve">was established </w:t>
      </w:r>
      <w:r w:rsidR="00FE3FB2" w:rsidRPr="00BA08FC">
        <w:rPr>
          <w:sz w:val="22"/>
        </w:rPr>
        <w:t>before the loans for tractors and grading machines were cleared.</w:t>
      </w:r>
      <w:r w:rsidR="001D7E75" w:rsidRPr="00BA08FC">
        <w:rPr>
          <w:sz w:val="22"/>
        </w:rPr>
        <w:t xml:space="preserve"> </w:t>
      </w:r>
    </w:p>
    <w:p w14:paraId="5A29DC7E" w14:textId="77777777" w:rsidR="008A646C" w:rsidRPr="00BA08FC" w:rsidRDefault="00035673" w:rsidP="00EE1698">
      <w:pPr>
        <w:spacing w:after="240"/>
        <w:rPr>
          <w:sz w:val="22"/>
        </w:rPr>
      </w:pPr>
      <w:r w:rsidRPr="00BA08FC">
        <w:rPr>
          <w:sz w:val="22"/>
        </w:rPr>
        <w:t>In summary,</w:t>
      </w:r>
      <w:r w:rsidR="00AE7C64" w:rsidRPr="00BA08FC">
        <w:rPr>
          <w:sz w:val="22"/>
        </w:rPr>
        <w:t xml:space="preserve"> evidence about allocation for debt servicing has not been </w:t>
      </w:r>
      <w:r w:rsidR="00B8438A" w:rsidRPr="00BA08FC">
        <w:rPr>
          <w:sz w:val="22"/>
        </w:rPr>
        <w:t xml:space="preserve">provided. </w:t>
      </w:r>
    </w:p>
    <w:p w14:paraId="76916C09" w14:textId="6439C16A" w:rsidR="008A646C" w:rsidRPr="00BA08FC" w:rsidRDefault="008A646C" w:rsidP="00EE1698">
      <w:pPr>
        <w:spacing w:after="240"/>
        <w:rPr>
          <w:b/>
          <w:sz w:val="22"/>
        </w:rPr>
      </w:pPr>
      <w:r w:rsidRPr="00BA08FC">
        <w:rPr>
          <w:b/>
          <w:sz w:val="22"/>
        </w:rPr>
        <w:t>Dimension rating = D</w:t>
      </w:r>
    </w:p>
    <w:p w14:paraId="13F39F5D" w14:textId="77777777" w:rsidR="00BB1084" w:rsidRPr="00C3128D" w:rsidRDefault="00BB1084" w:rsidP="00776E84">
      <w:pPr>
        <w:pStyle w:val="Heading2"/>
      </w:pPr>
      <w:bookmarkStart w:id="90" w:name="_Toc150864"/>
      <w:bookmarkStart w:id="91" w:name="_Toc532426040"/>
      <w:r w:rsidRPr="008876BE">
        <w:t>Pillar IV. Policy-based fiscal strategy and budgeting</w:t>
      </w:r>
      <w:bookmarkEnd w:id="90"/>
      <w:bookmarkEnd w:id="91"/>
    </w:p>
    <w:p w14:paraId="0FD7878F" w14:textId="3E350307" w:rsidR="00483877" w:rsidRPr="00BA08FC" w:rsidRDefault="00744ABC" w:rsidP="006E7B98">
      <w:pPr>
        <w:spacing w:after="240"/>
        <w:rPr>
          <w:rFonts w:eastAsia="Calibri"/>
          <w:sz w:val="22"/>
          <w:lang w:eastAsia="en-US"/>
        </w:rPr>
      </w:pPr>
      <w:r w:rsidRPr="00BA08FC">
        <w:rPr>
          <w:rFonts w:eastAsia="Calibri"/>
          <w:bCs/>
          <w:iCs/>
          <w:sz w:val="22"/>
          <w:lang w:eastAsia="en-US"/>
        </w:rPr>
        <w:t>Budgets and fiscal strategies should be prepared with due regard to government policies</w:t>
      </w:r>
      <w:r w:rsidRPr="00BA08FC">
        <w:rPr>
          <w:rFonts w:eastAsia="Calibri"/>
          <w:sz w:val="22"/>
          <w:lang w:eastAsia="en-US"/>
        </w:rPr>
        <w:t>, strategic plans, and adequate macroeconomic and fiscal projections. There are five indicators under this pillar: macroeconomic and fiscal forecasting, fiscal strategy, medium</w:t>
      </w:r>
      <w:r w:rsidR="004F5FBA" w:rsidRPr="00BA08FC">
        <w:rPr>
          <w:rFonts w:eastAsia="Calibri"/>
          <w:sz w:val="22"/>
          <w:lang w:eastAsia="en-US"/>
        </w:rPr>
        <w:t>-</w:t>
      </w:r>
      <w:r w:rsidRPr="00BA08FC">
        <w:rPr>
          <w:rFonts w:eastAsia="Calibri"/>
          <w:sz w:val="22"/>
          <w:lang w:eastAsia="en-US"/>
        </w:rPr>
        <w:t>term perspective in expenditure budgeting, budget preparation process</w:t>
      </w:r>
      <w:r w:rsidR="004B6441">
        <w:rPr>
          <w:rFonts w:eastAsia="Calibri"/>
          <w:sz w:val="22"/>
          <w:lang w:eastAsia="en-US"/>
        </w:rPr>
        <w:t>,</w:t>
      </w:r>
      <w:r w:rsidRPr="00BA08FC">
        <w:rPr>
          <w:rFonts w:eastAsia="Calibri"/>
          <w:sz w:val="22"/>
          <w:lang w:eastAsia="en-US"/>
        </w:rPr>
        <w:t xml:space="preserve"> and legislative scrutiny of budgets. </w:t>
      </w:r>
    </w:p>
    <w:p w14:paraId="5A782A67" w14:textId="77777777" w:rsidR="00BB1084" w:rsidRPr="00890A84" w:rsidRDefault="00BB1084" w:rsidP="00590C8E">
      <w:pPr>
        <w:pStyle w:val="Heading4"/>
      </w:pPr>
      <w:r w:rsidRPr="00890A84">
        <w:t>PI-14. Macroeconomic and fiscal forecasting</w:t>
      </w:r>
    </w:p>
    <w:p w14:paraId="1D31685A" w14:textId="77777777" w:rsidR="003E5B0C" w:rsidRPr="00890A84" w:rsidRDefault="003E5B0C" w:rsidP="00BA6B2B">
      <w:pPr>
        <w:pStyle w:val="Heading5"/>
      </w:pPr>
      <w:r w:rsidRPr="00890A84">
        <w:t>Summary of scores and performance table</w:t>
      </w:r>
      <w:r w:rsidRPr="00890A84">
        <w:tab/>
      </w:r>
    </w:p>
    <w:tbl>
      <w:tblPr>
        <w:tblW w:w="9385"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20" w:firstRow="1" w:lastRow="0" w:firstColumn="0" w:lastColumn="0" w:noHBand="1" w:noVBand="1"/>
      </w:tblPr>
      <w:tblGrid>
        <w:gridCol w:w="2655"/>
        <w:gridCol w:w="606"/>
        <w:gridCol w:w="6124"/>
      </w:tblGrid>
      <w:tr w:rsidR="003E5B0C" w:rsidRPr="00BA08FC" w14:paraId="79B9BE3F" w14:textId="77777777" w:rsidTr="00154EA8">
        <w:trPr>
          <w:tblHeader/>
        </w:trPr>
        <w:tc>
          <w:tcPr>
            <w:tcW w:w="2655" w:type="dxa"/>
            <w:shd w:val="clear" w:color="auto" w:fill="5B9BD5"/>
          </w:tcPr>
          <w:p w14:paraId="0B7D0D87" w14:textId="12C20A59" w:rsidR="003E5B0C" w:rsidRPr="00BA08FC" w:rsidRDefault="003E5B0C" w:rsidP="00BA08FC">
            <w:pPr>
              <w:jc w:val="center"/>
              <w:rPr>
                <w:b/>
                <w:color w:val="FFFFFF" w:themeColor="background1"/>
                <w:sz w:val="20"/>
                <w:szCs w:val="20"/>
              </w:rPr>
            </w:pPr>
            <w:r w:rsidRPr="00BA08FC">
              <w:rPr>
                <w:b/>
                <w:color w:val="FFFFFF" w:themeColor="background1"/>
                <w:sz w:val="20"/>
                <w:szCs w:val="20"/>
              </w:rPr>
              <w:t>PI-14</w:t>
            </w:r>
            <w:r w:rsidR="004B6441">
              <w:rPr>
                <w:b/>
                <w:color w:val="FFFFFF" w:themeColor="background1"/>
                <w:sz w:val="20"/>
                <w:szCs w:val="20"/>
              </w:rPr>
              <w:t>.</w:t>
            </w:r>
            <w:r w:rsidRPr="00BA08FC">
              <w:rPr>
                <w:b/>
                <w:color w:val="FFFFFF" w:themeColor="background1"/>
                <w:sz w:val="20"/>
                <w:szCs w:val="20"/>
              </w:rPr>
              <w:t xml:space="preserve"> Macroeconomic and fiscal forecasting (M2)</w:t>
            </w:r>
          </w:p>
        </w:tc>
        <w:tc>
          <w:tcPr>
            <w:tcW w:w="606" w:type="dxa"/>
            <w:shd w:val="clear" w:color="auto" w:fill="5B9BD5"/>
          </w:tcPr>
          <w:p w14:paraId="577CBCCC" w14:textId="182ACDDC" w:rsidR="003E5B0C" w:rsidRPr="00BA08FC" w:rsidRDefault="00B90797" w:rsidP="00BA08FC">
            <w:pPr>
              <w:jc w:val="center"/>
              <w:rPr>
                <w:b/>
                <w:color w:val="FFFFFF" w:themeColor="background1"/>
                <w:sz w:val="20"/>
                <w:szCs w:val="20"/>
              </w:rPr>
            </w:pPr>
            <w:r w:rsidRPr="00BA08FC">
              <w:rPr>
                <w:b/>
                <w:color w:val="FFFFFF" w:themeColor="background1"/>
                <w:sz w:val="20"/>
                <w:szCs w:val="20"/>
              </w:rPr>
              <w:t>D+</w:t>
            </w:r>
          </w:p>
        </w:tc>
        <w:tc>
          <w:tcPr>
            <w:tcW w:w="6124" w:type="dxa"/>
            <w:shd w:val="clear" w:color="auto" w:fill="5B9BD5"/>
          </w:tcPr>
          <w:p w14:paraId="6763C642"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Brief justification for score</w:t>
            </w:r>
          </w:p>
        </w:tc>
      </w:tr>
      <w:tr w:rsidR="003E5B0C" w:rsidRPr="00BA08FC" w14:paraId="0E39A01A" w14:textId="77777777" w:rsidTr="00BA08FC">
        <w:tc>
          <w:tcPr>
            <w:tcW w:w="2655" w:type="dxa"/>
            <w:shd w:val="clear" w:color="auto" w:fill="auto"/>
          </w:tcPr>
          <w:p w14:paraId="65C462C8" w14:textId="77777777" w:rsidR="003E5B0C" w:rsidRPr="00BA08FC" w:rsidRDefault="003E5B0C" w:rsidP="00BA08FC">
            <w:pPr>
              <w:jc w:val="left"/>
              <w:rPr>
                <w:sz w:val="20"/>
                <w:szCs w:val="20"/>
              </w:rPr>
            </w:pPr>
            <w:r w:rsidRPr="00BA08FC">
              <w:rPr>
                <w:sz w:val="20"/>
                <w:szCs w:val="20"/>
              </w:rPr>
              <w:t xml:space="preserve">14.1 Macroeconomic forecasts </w:t>
            </w:r>
          </w:p>
        </w:tc>
        <w:tc>
          <w:tcPr>
            <w:tcW w:w="606" w:type="dxa"/>
            <w:shd w:val="clear" w:color="auto" w:fill="auto"/>
          </w:tcPr>
          <w:p w14:paraId="3A0E8213" w14:textId="1E3737EA" w:rsidR="003E5B0C" w:rsidRPr="00BA08FC" w:rsidRDefault="00B90797" w:rsidP="003A5747">
            <w:pPr>
              <w:rPr>
                <w:sz w:val="20"/>
                <w:szCs w:val="20"/>
              </w:rPr>
            </w:pPr>
            <w:r w:rsidRPr="00BA08FC">
              <w:rPr>
                <w:sz w:val="20"/>
                <w:szCs w:val="20"/>
              </w:rPr>
              <w:t>C</w:t>
            </w:r>
          </w:p>
        </w:tc>
        <w:tc>
          <w:tcPr>
            <w:tcW w:w="6124" w:type="dxa"/>
            <w:shd w:val="clear" w:color="auto" w:fill="auto"/>
          </w:tcPr>
          <w:p w14:paraId="59A0F090" w14:textId="77777777" w:rsidR="003E5B0C" w:rsidRPr="00BA08FC" w:rsidRDefault="003E5B0C" w:rsidP="00BA08FC">
            <w:pPr>
              <w:jc w:val="left"/>
              <w:rPr>
                <w:sz w:val="20"/>
                <w:szCs w:val="20"/>
              </w:rPr>
            </w:pPr>
            <w:r w:rsidRPr="00BA08FC">
              <w:rPr>
                <w:sz w:val="20"/>
                <w:szCs w:val="20"/>
              </w:rPr>
              <w:t xml:space="preserve">The county only provides a situational analysis of key macroeconomic indicators (growth, inflation, exchange rate, interest rates) at the national level in the CSFP. </w:t>
            </w:r>
          </w:p>
        </w:tc>
      </w:tr>
      <w:tr w:rsidR="003E5B0C" w:rsidRPr="00BA08FC" w14:paraId="18B5FD23" w14:textId="77777777" w:rsidTr="00BA08FC">
        <w:tc>
          <w:tcPr>
            <w:tcW w:w="2655" w:type="dxa"/>
            <w:shd w:val="clear" w:color="auto" w:fill="auto"/>
          </w:tcPr>
          <w:p w14:paraId="53BFCC7A" w14:textId="77777777" w:rsidR="003E5B0C" w:rsidRPr="00BA08FC" w:rsidRDefault="003E5B0C" w:rsidP="00BA08FC">
            <w:pPr>
              <w:jc w:val="left"/>
              <w:rPr>
                <w:sz w:val="20"/>
                <w:szCs w:val="20"/>
              </w:rPr>
            </w:pPr>
            <w:r w:rsidRPr="00BA08FC">
              <w:rPr>
                <w:sz w:val="20"/>
                <w:szCs w:val="20"/>
              </w:rPr>
              <w:t xml:space="preserve">14.2 Fiscal forecasts </w:t>
            </w:r>
          </w:p>
        </w:tc>
        <w:tc>
          <w:tcPr>
            <w:tcW w:w="606" w:type="dxa"/>
            <w:shd w:val="clear" w:color="auto" w:fill="auto"/>
          </w:tcPr>
          <w:p w14:paraId="001445A8" w14:textId="77777777" w:rsidR="003E5B0C" w:rsidRPr="00BA08FC" w:rsidRDefault="003E5B0C" w:rsidP="003A5747">
            <w:pPr>
              <w:rPr>
                <w:sz w:val="20"/>
                <w:szCs w:val="20"/>
              </w:rPr>
            </w:pPr>
            <w:r w:rsidRPr="00BA08FC">
              <w:rPr>
                <w:sz w:val="20"/>
                <w:szCs w:val="20"/>
              </w:rPr>
              <w:t>C</w:t>
            </w:r>
          </w:p>
        </w:tc>
        <w:tc>
          <w:tcPr>
            <w:tcW w:w="6124" w:type="dxa"/>
            <w:shd w:val="clear" w:color="auto" w:fill="auto"/>
          </w:tcPr>
          <w:p w14:paraId="24C0EFA3" w14:textId="10ABEA71" w:rsidR="003E5B0C" w:rsidRPr="00BA08FC" w:rsidRDefault="003E5B0C" w:rsidP="00BA08FC">
            <w:pPr>
              <w:jc w:val="left"/>
              <w:rPr>
                <w:sz w:val="20"/>
                <w:szCs w:val="20"/>
              </w:rPr>
            </w:pPr>
            <w:r w:rsidRPr="00BA08FC">
              <w:rPr>
                <w:sz w:val="20"/>
                <w:szCs w:val="20"/>
              </w:rPr>
              <w:t>The budget forecasts for revenue, expenditure</w:t>
            </w:r>
            <w:r w:rsidR="004B6441">
              <w:rPr>
                <w:sz w:val="20"/>
                <w:szCs w:val="20"/>
              </w:rPr>
              <w:t>,</w:t>
            </w:r>
            <w:r w:rsidRPr="00BA08FC">
              <w:rPr>
                <w:sz w:val="20"/>
                <w:szCs w:val="20"/>
              </w:rPr>
              <w:t xml:space="preserve"> and fiscal balance for the budget year and the following years </w:t>
            </w:r>
            <w:r w:rsidR="00BD1A1C">
              <w:rPr>
                <w:sz w:val="20"/>
                <w:szCs w:val="20"/>
              </w:rPr>
              <w:t>are</w:t>
            </w:r>
            <w:r w:rsidR="00BD1A1C" w:rsidRPr="00BA08FC">
              <w:rPr>
                <w:sz w:val="20"/>
                <w:szCs w:val="20"/>
              </w:rPr>
              <w:t xml:space="preserve"> </w:t>
            </w:r>
            <w:r w:rsidRPr="00BA08FC">
              <w:rPr>
                <w:sz w:val="20"/>
                <w:szCs w:val="20"/>
              </w:rPr>
              <w:t>prepared and presented in the CSFP and CBROP and submitted to the County Assembly. However, the CBROP does not present clear explanations for deviations and assumptions.</w:t>
            </w:r>
          </w:p>
        </w:tc>
      </w:tr>
      <w:tr w:rsidR="003E5B0C" w:rsidRPr="00BA08FC" w14:paraId="03F77E9A" w14:textId="77777777" w:rsidTr="00BA08FC">
        <w:tc>
          <w:tcPr>
            <w:tcW w:w="2655" w:type="dxa"/>
            <w:shd w:val="clear" w:color="auto" w:fill="auto"/>
          </w:tcPr>
          <w:p w14:paraId="18BCDC51" w14:textId="77777777" w:rsidR="003E5B0C" w:rsidRPr="00BA08FC" w:rsidRDefault="003E5B0C" w:rsidP="00BA08FC">
            <w:pPr>
              <w:jc w:val="left"/>
              <w:rPr>
                <w:sz w:val="20"/>
                <w:szCs w:val="20"/>
              </w:rPr>
            </w:pPr>
            <w:r w:rsidRPr="00BA08FC">
              <w:rPr>
                <w:sz w:val="20"/>
                <w:szCs w:val="20"/>
              </w:rPr>
              <w:t xml:space="preserve">14.3 </w:t>
            </w:r>
            <w:r w:rsidRPr="00BD1A1C">
              <w:rPr>
                <w:sz w:val="20"/>
                <w:szCs w:val="20"/>
              </w:rPr>
              <w:t>Macro fiscal</w:t>
            </w:r>
            <w:r w:rsidRPr="00BA08FC">
              <w:rPr>
                <w:sz w:val="20"/>
                <w:szCs w:val="20"/>
              </w:rPr>
              <w:t xml:space="preserve"> sensitivity analysis </w:t>
            </w:r>
          </w:p>
        </w:tc>
        <w:tc>
          <w:tcPr>
            <w:tcW w:w="606" w:type="dxa"/>
            <w:shd w:val="clear" w:color="auto" w:fill="auto"/>
          </w:tcPr>
          <w:p w14:paraId="205CD689" w14:textId="77777777" w:rsidR="003E5B0C" w:rsidRPr="00BA08FC" w:rsidRDefault="003E5B0C" w:rsidP="003A5747">
            <w:pPr>
              <w:rPr>
                <w:sz w:val="20"/>
                <w:szCs w:val="20"/>
              </w:rPr>
            </w:pPr>
            <w:r w:rsidRPr="00BA08FC">
              <w:rPr>
                <w:sz w:val="20"/>
                <w:szCs w:val="20"/>
              </w:rPr>
              <w:t>D</w:t>
            </w:r>
          </w:p>
        </w:tc>
        <w:tc>
          <w:tcPr>
            <w:tcW w:w="6124" w:type="dxa"/>
            <w:shd w:val="clear" w:color="auto" w:fill="auto"/>
          </w:tcPr>
          <w:p w14:paraId="249F07B5" w14:textId="2E4DA401" w:rsidR="003E5B0C" w:rsidRPr="00BA08FC" w:rsidRDefault="003E5B0C" w:rsidP="00BA08FC">
            <w:pPr>
              <w:jc w:val="left"/>
              <w:rPr>
                <w:sz w:val="20"/>
                <w:szCs w:val="20"/>
              </w:rPr>
            </w:pPr>
            <w:r w:rsidRPr="00BA08FC">
              <w:rPr>
                <w:sz w:val="20"/>
                <w:szCs w:val="20"/>
              </w:rPr>
              <w:t xml:space="preserve">The </w:t>
            </w:r>
            <w:r w:rsidR="004B6441">
              <w:rPr>
                <w:sz w:val="20"/>
                <w:szCs w:val="20"/>
              </w:rPr>
              <w:t>c</w:t>
            </w:r>
            <w:r w:rsidRPr="00BA08FC">
              <w:rPr>
                <w:sz w:val="20"/>
                <w:szCs w:val="20"/>
              </w:rPr>
              <w:t>ounty does not do any scenario building and sensitivity analysis.</w:t>
            </w:r>
          </w:p>
        </w:tc>
      </w:tr>
    </w:tbl>
    <w:p w14:paraId="3BE1BC69" w14:textId="77777777" w:rsidR="007F5760" w:rsidRPr="00890A84" w:rsidRDefault="00867DDD" w:rsidP="00BA6B2B">
      <w:pPr>
        <w:pStyle w:val="Heading5"/>
      </w:pPr>
      <w:r w:rsidRPr="00890A84">
        <w:t>PI-</w:t>
      </w:r>
      <w:r w:rsidR="007F5760" w:rsidRPr="00890A84">
        <w:t xml:space="preserve">14.1. Macroeconomic forecasts </w:t>
      </w:r>
    </w:p>
    <w:p w14:paraId="5E05CC41" w14:textId="78E9CE11" w:rsidR="009C0DF4" w:rsidRPr="00BA08FC" w:rsidRDefault="008975E8" w:rsidP="006E7B98">
      <w:pPr>
        <w:spacing w:after="240"/>
        <w:rPr>
          <w:sz w:val="22"/>
        </w:rPr>
      </w:pPr>
      <w:r w:rsidRPr="00BA08FC">
        <w:rPr>
          <w:sz w:val="22"/>
        </w:rPr>
        <w:t xml:space="preserve">The county provides </w:t>
      </w:r>
      <w:r w:rsidR="00602F73" w:rsidRPr="00BA08FC">
        <w:rPr>
          <w:sz w:val="22"/>
        </w:rPr>
        <w:t xml:space="preserve">only </w:t>
      </w:r>
      <w:r w:rsidRPr="00BA08FC">
        <w:rPr>
          <w:sz w:val="22"/>
        </w:rPr>
        <w:t xml:space="preserve">a situational analysis of key macroeconomic indicators (growth, inflation, exchange rate, interest rates) in the </w:t>
      </w:r>
      <w:r w:rsidR="00514EE0" w:rsidRPr="00BA08FC">
        <w:rPr>
          <w:sz w:val="22"/>
        </w:rPr>
        <w:t>CSFP</w:t>
      </w:r>
      <w:r w:rsidRPr="00BA08FC">
        <w:rPr>
          <w:sz w:val="22"/>
        </w:rPr>
        <w:t>. The</w:t>
      </w:r>
      <w:r w:rsidR="00602F73">
        <w:rPr>
          <w:sz w:val="22"/>
        </w:rPr>
        <w:t xml:space="preserve"> county</w:t>
      </w:r>
      <w:r w:rsidRPr="00BA08FC">
        <w:rPr>
          <w:sz w:val="22"/>
        </w:rPr>
        <w:t xml:space="preserve"> also include</w:t>
      </w:r>
      <w:r w:rsidR="00602F73">
        <w:rPr>
          <w:sz w:val="22"/>
        </w:rPr>
        <w:t>s</w:t>
      </w:r>
      <w:r w:rsidRPr="00BA08FC">
        <w:rPr>
          <w:sz w:val="22"/>
        </w:rPr>
        <w:t xml:space="preserve"> growth forecasts for the medium term but do</w:t>
      </w:r>
      <w:r w:rsidR="00602F73">
        <w:rPr>
          <w:sz w:val="22"/>
        </w:rPr>
        <w:t>es</w:t>
      </w:r>
      <w:r w:rsidRPr="00BA08FC">
        <w:rPr>
          <w:sz w:val="22"/>
        </w:rPr>
        <w:t xml:space="preserve"> not provide forecasts for the other macroeconomic indicators. The assumptions that are used for growth projections are also not explicitly discussed. </w:t>
      </w:r>
      <w:r w:rsidR="00744ABC" w:rsidRPr="00BA08FC">
        <w:rPr>
          <w:sz w:val="22"/>
        </w:rPr>
        <w:t>From the foregoing,</w:t>
      </w:r>
      <w:r w:rsidR="009C0DF4" w:rsidRPr="00BA08FC">
        <w:rPr>
          <w:sz w:val="22"/>
        </w:rPr>
        <w:t xml:space="preserve"> the county prepares forecasts </w:t>
      </w:r>
      <w:r w:rsidR="004B6441">
        <w:rPr>
          <w:sz w:val="22"/>
        </w:rPr>
        <w:t xml:space="preserve">of </w:t>
      </w:r>
      <w:r w:rsidR="009C0DF4" w:rsidRPr="00BA08FC">
        <w:rPr>
          <w:sz w:val="22"/>
        </w:rPr>
        <w:t>economic growth</w:t>
      </w:r>
      <w:r w:rsidR="00744ABC" w:rsidRPr="00BA08FC">
        <w:rPr>
          <w:sz w:val="22"/>
        </w:rPr>
        <w:t xml:space="preserve"> only but </w:t>
      </w:r>
      <w:r w:rsidR="009C0DF4" w:rsidRPr="00BA08FC">
        <w:rPr>
          <w:sz w:val="22"/>
        </w:rPr>
        <w:t>not f</w:t>
      </w:r>
      <w:r w:rsidR="00744ABC" w:rsidRPr="00BA08FC">
        <w:rPr>
          <w:sz w:val="22"/>
        </w:rPr>
        <w:t>or other</w:t>
      </w:r>
      <w:r w:rsidR="009C0DF4" w:rsidRPr="00BA08FC">
        <w:rPr>
          <w:sz w:val="22"/>
        </w:rPr>
        <w:t xml:space="preserve"> key macroeconomic indicators, with clear assumptions.</w:t>
      </w:r>
    </w:p>
    <w:p w14:paraId="450A9C95" w14:textId="77777777" w:rsidR="008A646C" w:rsidRPr="00BA08FC" w:rsidRDefault="00035673" w:rsidP="006E7B98">
      <w:pPr>
        <w:spacing w:after="240"/>
        <w:rPr>
          <w:sz w:val="22"/>
        </w:rPr>
      </w:pPr>
      <w:r w:rsidRPr="00BA08FC">
        <w:rPr>
          <w:sz w:val="22"/>
        </w:rPr>
        <w:t>In summary, t</w:t>
      </w:r>
      <w:r w:rsidR="00B8438A" w:rsidRPr="00BA08FC">
        <w:rPr>
          <w:sz w:val="22"/>
        </w:rPr>
        <w:t xml:space="preserve">he county only provides a situational analysis of key macroeconomic indicators (growth, inflation, exchange rate, interest rates) at the national level in the CSFP. </w:t>
      </w:r>
    </w:p>
    <w:p w14:paraId="0EA3B85E" w14:textId="3C93696C" w:rsidR="008A646C" w:rsidRPr="00BA08FC" w:rsidRDefault="008A646C" w:rsidP="006E7B98">
      <w:pPr>
        <w:spacing w:after="240"/>
        <w:rPr>
          <w:b/>
          <w:sz w:val="22"/>
        </w:rPr>
      </w:pPr>
      <w:r w:rsidRPr="00BA08FC">
        <w:rPr>
          <w:b/>
          <w:sz w:val="22"/>
        </w:rPr>
        <w:t>Dimension rating = C</w:t>
      </w:r>
    </w:p>
    <w:p w14:paraId="1F79B7BA" w14:textId="77777777" w:rsidR="007F5760" w:rsidRPr="00890A84" w:rsidRDefault="00867DDD" w:rsidP="00BA6B2B">
      <w:pPr>
        <w:pStyle w:val="Heading5"/>
      </w:pPr>
      <w:r w:rsidRPr="00890A84">
        <w:t>PI-</w:t>
      </w:r>
      <w:r w:rsidR="007F5760" w:rsidRPr="00890A84">
        <w:t xml:space="preserve">14.2. Fiscal forecasts </w:t>
      </w:r>
    </w:p>
    <w:p w14:paraId="1C927D5D" w14:textId="7E4028D3" w:rsidR="008A646C" w:rsidRPr="00BA08FC" w:rsidRDefault="008975E8" w:rsidP="006E7B98">
      <w:pPr>
        <w:spacing w:after="240"/>
        <w:rPr>
          <w:sz w:val="22"/>
        </w:rPr>
      </w:pPr>
      <w:r w:rsidRPr="00BA08FC">
        <w:rPr>
          <w:sz w:val="22"/>
        </w:rPr>
        <w:t xml:space="preserve">The </w:t>
      </w:r>
      <w:r w:rsidR="00602F73">
        <w:rPr>
          <w:sz w:val="22"/>
        </w:rPr>
        <w:t>c</w:t>
      </w:r>
      <w:r w:rsidRPr="00BA08FC">
        <w:rPr>
          <w:sz w:val="22"/>
        </w:rPr>
        <w:t>ounty government prepares budget forecasts for revenue, expenditure</w:t>
      </w:r>
      <w:r w:rsidR="00602F73">
        <w:rPr>
          <w:sz w:val="22"/>
        </w:rPr>
        <w:t>,</w:t>
      </w:r>
      <w:r w:rsidRPr="00BA08FC">
        <w:rPr>
          <w:sz w:val="22"/>
        </w:rPr>
        <w:t xml:space="preserve"> and fiscal balance for the budget year and the following years and presented in the</w:t>
      </w:r>
      <w:r w:rsidR="00744ABC" w:rsidRPr="00BA08FC">
        <w:rPr>
          <w:sz w:val="22"/>
        </w:rPr>
        <w:t xml:space="preserve"> C</w:t>
      </w:r>
      <w:r w:rsidR="00514EE0" w:rsidRPr="00BA08FC">
        <w:rPr>
          <w:sz w:val="22"/>
        </w:rPr>
        <w:t>F</w:t>
      </w:r>
      <w:r w:rsidR="00744ABC" w:rsidRPr="00BA08FC">
        <w:rPr>
          <w:sz w:val="22"/>
        </w:rPr>
        <w:t>S</w:t>
      </w:r>
      <w:r w:rsidR="00514EE0" w:rsidRPr="00BA08FC">
        <w:rPr>
          <w:sz w:val="22"/>
        </w:rPr>
        <w:t>P</w:t>
      </w:r>
      <w:r w:rsidRPr="00BA08FC">
        <w:rPr>
          <w:sz w:val="22"/>
        </w:rPr>
        <w:t>. A review of performance</w:t>
      </w:r>
      <w:r w:rsidR="00AE7C64" w:rsidRPr="00BA08FC">
        <w:rPr>
          <w:sz w:val="22"/>
        </w:rPr>
        <w:t xml:space="preserve"> is </w:t>
      </w:r>
      <w:r w:rsidRPr="00BA08FC">
        <w:rPr>
          <w:sz w:val="22"/>
        </w:rPr>
        <w:t xml:space="preserve">also prepared and presented in the CBROP. Both the </w:t>
      </w:r>
      <w:r w:rsidR="00514EE0" w:rsidRPr="00BA08FC">
        <w:rPr>
          <w:sz w:val="22"/>
        </w:rPr>
        <w:t>CF</w:t>
      </w:r>
      <w:r w:rsidR="00744ABC" w:rsidRPr="00BA08FC">
        <w:rPr>
          <w:sz w:val="22"/>
        </w:rPr>
        <w:t>S</w:t>
      </w:r>
      <w:r w:rsidR="00514EE0" w:rsidRPr="00BA08FC">
        <w:rPr>
          <w:sz w:val="22"/>
        </w:rPr>
        <w:t>P</w:t>
      </w:r>
      <w:r w:rsidRPr="00BA08FC">
        <w:rPr>
          <w:sz w:val="22"/>
        </w:rPr>
        <w:t xml:space="preserve"> and CBROP are submitted to the County Assembly for approval.</w:t>
      </w:r>
      <w:r w:rsidR="00AE7C64" w:rsidRPr="00BA08FC">
        <w:rPr>
          <w:sz w:val="22"/>
        </w:rPr>
        <w:t xml:space="preserve"> However</w:t>
      </w:r>
      <w:r w:rsidR="001D7E75" w:rsidRPr="00BA08FC">
        <w:rPr>
          <w:sz w:val="22"/>
        </w:rPr>
        <w:t>,</w:t>
      </w:r>
      <w:r w:rsidR="00AE7C64" w:rsidRPr="00BA08FC">
        <w:rPr>
          <w:sz w:val="22"/>
        </w:rPr>
        <w:t xml:space="preserve"> the CBROP does not present clear explanations for </w:t>
      </w:r>
      <w:r w:rsidR="00744ABC" w:rsidRPr="00BA08FC">
        <w:rPr>
          <w:sz w:val="22"/>
        </w:rPr>
        <w:t>fiscal forecasts</w:t>
      </w:r>
      <w:r w:rsidR="00602F73">
        <w:rPr>
          <w:sz w:val="22"/>
        </w:rPr>
        <w:t>’</w:t>
      </w:r>
      <w:r w:rsidR="00744ABC" w:rsidRPr="00BA08FC">
        <w:rPr>
          <w:sz w:val="22"/>
        </w:rPr>
        <w:t xml:space="preserve"> </w:t>
      </w:r>
      <w:r w:rsidR="00AE7C64" w:rsidRPr="00BA08FC">
        <w:rPr>
          <w:sz w:val="22"/>
        </w:rPr>
        <w:t xml:space="preserve">deviations and </w:t>
      </w:r>
      <w:r w:rsidR="00744ABC" w:rsidRPr="00BA08FC">
        <w:rPr>
          <w:sz w:val="22"/>
        </w:rPr>
        <w:t xml:space="preserve">associated </w:t>
      </w:r>
      <w:r w:rsidR="00AE7C64" w:rsidRPr="00BA08FC">
        <w:rPr>
          <w:sz w:val="22"/>
        </w:rPr>
        <w:t>assumptions.</w:t>
      </w:r>
      <w:r w:rsidR="00B8438A" w:rsidRPr="00BA08FC">
        <w:rPr>
          <w:sz w:val="22"/>
        </w:rPr>
        <w:t xml:space="preserve"> </w:t>
      </w:r>
    </w:p>
    <w:p w14:paraId="3BCE18BF" w14:textId="5A677814" w:rsidR="008A646C" w:rsidRPr="00BA08FC" w:rsidRDefault="008A646C" w:rsidP="006E7B98">
      <w:pPr>
        <w:spacing w:after="240"/>
        <w:rPr>
          <w:b/>
          <w:sz w:val="22"/>
        </w:rPr>
      </w:pPr>
      <w:r w:rsidRPr="00BA08FC">
        <w:rPr>
          <w:b/>
          <w:sz w:val="22"/>
        </w:rPr>
        <w:t>Dimension rating = C</w:t>
      </w:r>
    </w:p>
    <w:p w14:paraId="1B18AAB9" w14:textId="77777777" w:rsidR="00BB1084" w:rsidRPr="00890A84" w:rsidRDefault="00867DDD" w:rsidP="00BA6B2B">
      <w:pPr>
        <w:pStyle w:val="Heading5"/>
      </w:pPr>
      <w:r w:rsidRPr="00890A84">
        <w:t>PI-</w:t>
      </w:r>
      <w:r w:rsidR="007F5760" w:rsidRPr="00890A84">
        <w:t xml:space="preserve">14.3. </w:t>
      </w:r>
      <w:r w:rsidR="00000DE4" w:rsidRPr="00C25896">
        <w:t>Macro fiscal</w:t>
      </w:r>
      <w:r w:rsidR="007F5760" w:rsidRPr="00890A84">
        <w:t xml:space="preserve"> sensitivity analysis </w:t>
      </w:r>
    </w:p>
    <w:p w14:paraId="790B0B25" w14:textId="26D98EE8" w:rsidR="008A646C" w:rsidRPr="00BA08FC" w:rsidRDefault="008975E8" w:rsidP="006E7B98">
      <w:pPr>
        <w:spacing w:after="240"/>
        <w:rPr>
          <w:sz w:val="22"/>
        </w:rPr>
      </w:pPr>
      <w:r w:rsidRPr="00BA08FC">
        <w:rPr>
          <w:sz w:val="22"/>
        </w:rPr>
        <w:t xml:space="preserve">The </w:t>
      </w:r>
      <w:r w:rsidR="00602F73">
        <w:rPr>
          <w:sz w:val="22"/>
        </w:rPr>
        <w:t>c</w:t>
      </w:r>
      <w:r w:rsidRPr="00BA08FC">
        <w:rPr>
          <w:sz w:val="22"/>
        </w:rPr>
        <w:t>ounty does not do any scenario building and sensitivity analysis</w:t>
      </w:r>
      <w:r w:rsidR="00602F73">
        <w:rPr>
          <w:sz w:val="22"/>
        </w:rPr>
        <w:t>, b</w:t>
      </w:r>
      <w:r w:rsidR="00B8438A" w:rsidRPr="00BA08FC">
        <w:rPr>
          <w:sz w:val="22"/>
        </w:rPr>
        <w:t>ecause</w:t>
      </w:r>
      <w:r w:rsidR="00DC3457" w:rsidRPr="00BA08FC">
        <w:rPr>
          <w:sz w:val="22"/>
        </w:rPr>
        <w:t xml:space="preserve"> </w:t>
      </w:r>
      <w:r w:rsidR="00B8438A" w:rsidRPr="00BA08FC">
        <w:rPr>
          <w:sz w:val="22"/>
        </w:rPr>
        <w:t>no</w:t>
      </w:r>
      <w:r w:rsidR="00DC3457" w:rsidRPr="00BA08FC">
        <w:rPr>
          <w:sz w:val="22"/>
        </w:rPr>
        <w:t xml:space="preserve"> sensitivity analysis</w:t>
      </w:r>
      <w:r w:rsidR="00B8438A" w:rsidRPr="00BA08FC">
        <w:rPr>
          <w:sz w:val="22"/>
        </w:rPr>
        <w:t xml:space="preserve"> is performed</w:t>
      </w:r>
      <w:r w:rsidR="00DC3457" w:rsidRPr="00BA08FC">
        <w:rPr>
          <w:sz w:val="22"/>
        </w:rPr>
        <w:t xml:space="preserve"> in relation to own</w:t>
      </w:r>
      <w:r w:rsidR="00B02975">
        <w:rPr>
          <w:sz w:val="22"/>
        </w:rPr>
        <w:t>-</w:t>
      </w:r>
      <w:r w:rsidR="00DC3457" w:rsidRPr="00BA08FC">
        <w:rPr>
          <w:sz w:val="22"/>
        </w:rPr>
        <w:t>source revenue</w:t>
      </w:r>
      <w:r w:rsidR="008A646C" w:rsidRPr="00BA08FC">
        <w:rPr>
          <w:sz w:val="22"/>
        </w:rPr>
        <w:t>.</w:t>
      </w:r>
    </w:p>
    <w:p w14:paraId="71C6339F" w14:textId="034C2763" w:rsidR="008A646C" w:rsidRPr="00BA08FC" w:rsidRDefault="008A646C" w:rsidP="006E7B98">
      <w:pPr>
        <w:spacing w:after="240"/>
        <w:rPr>
          <w:b/>
          <w:sz w:val="22"/>
        </w:rPr>
      </w:pPr>
      <w:r w:rsidRPr="00BA08FC">
        <w:rPr>
          <w:b/>
          <w:sz w:val="22"/>
        </w:rPr>
        <w:t>Dimension rating = D</w:t>
      </w:r>
    </w:p>
    <w:p w14:paraId="2E2B95D8" w14:textId="77777777" w:rsidR="00BB1084" w:rsidRPr="00890A84" w:rsidRDefault="00BB1084" w:rsidP="00590C8E">
      <w:pPr>
        <w:pStyle w:val="Heading4"/>
      </w:pPr>
      <w:r w:rsidRPr="00890A84">
        <w:t>PI-15. Fiscal strategy</w:t>
      </w:r>
    </w:p>
    <w:p w14:paraId="52718935" w14:textId="77777777" w:rsidR="003E5B0C" w:rsidRPr="00890A84" w:rsidRDefault="003E5B0C" w:rsidP="00BA6B2B">
      <w:pPr>
        <w:pStyle w:val="Heading5"/>
      </w:pPr>
      <w:r w:rsidRPr="00890A84">
        <w:t>Summary of scores and performance table</w:t>
      </w:r>
    </w:p>
    <w:tbl>
      <w:tblPr>
        <w:tblW w:w="5016"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20" w:firstRow="1" w:lastRow="0" w:firstColumn="0" w:lastColumn="0" w:noHBand="1" w:noVBand="1"/>
      </w:tblPr>
      <w:tblGrid>
        <w:gridCol w:w="2598"/>
        <w:gridCol w:w="694"/>
        <w:gridCol w:w="6088"/>
      </w:tblGrid>
      <w:tr w:rsidR="003E5B0C" w:rsidRPr="00BA08FC" w14:paraId="41241C46" w14:textId="77777777" w:rsidTr="00BA08FC">
        <w:trPr>
          <w:tblHeader/>
        </w:trPr>
        <w:tc>
          <w:tcPr>
            <w:tcW w:w="1385" w:type="pct"/>
            <w:shd w:val="clear" w:color="auto" w:fill="5B9BD5"/>
          </w:tcPr>
          <w:p w14:paraId="68A9902A" w14:textId="72657AA7" w:rsidR="003E5B0C" w:rsidRPr="00BA08FC" w:rsidRDefault="003E5B0C" w:rsidP="00BA08FC">
            <w:pPr>
              <w:jc w:val="center"/>
              <w:rPr>
                <w:b/>
                <w:color w:val="FFFFFF" w:themeColor="background1"/>
                <w:sz w:val="20"/>
                <w:szCs w:val="20"/>
              </w:rPr>
            </w:pPr>
            <w:r w:rsidRPr="00BA08FC">
              <w:rPr>
                <w:b/>
                <w:color w:val="FFFFFF" w:themeColor="background1"/>
                <w:sz w:val="20"/>
                <w:szCs w:val="20"/>
              </w:rPr>
              <w:t>PI-15</w:t>
            </w:r>
            <w:r w:rsidR="00E85897">
              <w:rPr>
                <w:b/>
                <w:color w:val="FFFFFF" w:themeColor="background1"/>
                <w:sz w:val="20"/>
                <w:szCs w:val="20"/>
              </w:rPr>
              <w:t>.</w:t>
            </w:r>
            <w:r w:rsidRPr="00BA08FC">
              <w:rPr>
                <w:b/>
                <w:color w:val="FFFFFF" w:themeColor="background1"/>
                <w:sz w:val="20"/>
                <w:szCs w:val="20"/>
              </w:rPr>
              <w:t xml:space="preserve"> Fiscal strategy (M2)</w:t>
            </w:r>
          </w:p>
        </w:tc>
        <w:tc>
          <w:tcPr>
            <w:tcW w:w="370" w:type="pct"/>
            <w:shd w:val="clear" w:color="auto" w:fill="5B9BD5"/>
          </w:tcPr>
          <w:p w14:paraId="4C0C9A43"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C</w:t>
            </w:r>
          </w:p>
        </w:tc>
        <w:tc>
          <w:tcPr>
            <w:tcW w:w="3246" w:type="pct"/>
            <w:shd w:val="clear" w:color="auto" w:fill="5B9BD5"/>
          </w:tcPr>
          <w:p w14:paraId="1A86D19C"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Brief justification for score</w:t>
            </w:r>
          </w:p>
        </w:tc>
      </w:tr>
      <w:tr w:rsidR="003E5B0C" w:rsidRPr="00BA08FC" w14:paraId="7260144C" w14:textId="77777777" w:rsidTr="00BA08FC">
        <w:tc>
          <w:tcPr>
            <w:tcW w:w="1385" w:type="pct"/>
            <w:shd w:val="clear" w:color="auto" w:fill="auto"/>
          </w:tcPr>
          <w:p w14:paraId="215D71AA" w14:textId="77777777" w:rsidR="003E5B0C" w:rsidRPr="00BA08FC" w:rsidRDefault="003E5B0C" w:rsidP="00BA08FC">
            <w:pPr>
              <w:jc w:val="left"/>
              <w:rPr>
                <w:sz w:val="20"/>
                <w:szCs w:val="20"/>
              </w:rPr>
            </w:pPr>
            <w:r w:rsidRPr="00BA08FC">
              <w:rPr>
                <w:sz w:val="20"/>
                <w:szCs w:val="20"/>
              </w:rPr>
              <w:t xml:space="preserve">15.1 Fiscal impact of policy proposals </w:t>
            </w:r>
          </w:p>
        </w:tc>
        <w:tc>
          <w:tcPr>
            <w:tcW w:w="370" w:type="pct"/>
            <w:shd w:val="clear" w:color="auto" w:fill="auto"/>
          </w:tcPr>
          <w:p w14:paraId="18DE3E22" w14:textId="77777777" w:rsidR="003E5B0C" w:rsidRPr="00BA08FC" w:rsidRDefault="003E5B0C" w:rsidP="00BA08FC">
            <w:pPr>
              <w:jc w:val="center"/>
              <w:rPr>
                <w:sz w:val="20"/>
                <w:szCs w:val="20"/>
              </w:rPr>
            </w:pPr>
            <w:r w:rsidRPr="00BA08FC">
              <w:rPr>
                <w:sz w:val="20"/>
                <w:szCs w:val="20"/>
              </w:rPr>
              <w:t>D</w:t>
            </w:r>
          </w:p>
        </w:tc>
        <w:tc>
          <w:tcPr>
            <w:tcW w:w="3246" w:type="pct"/>
            <w:shd w:val="clear" w:color="auto" w:fill="auto"/>
          </w:tcPr>
          <w:p w14:paraId="21025ABF" w14:textId="77777777" w:rsidR="003E5B0C" w:rsidRPr="00BA08FC" w:rsidRDefault="003E5B0C" w:rsidP="00BA08FC">
            <w:pPr>
              <w:jc w:val="left"/>
              <w:rPr>
                <w:sz w:val="20"/>
                <w:szCs w:val="20"/>
              </w:rPr>
            </w:pPr>
            <w:r w:rsidRPr="00BA08FC">
              <w:rPr>
                <w:sz w:val="20"/>
                <w:szCs w:val="20"/>
              </w:rPr>
              <w:t>The county does not prepare estimates of the fiscal impact of all proposed changes in revenue and expenditure, except for a few cases.</w:t>
            </w:r>
          </w:p>
        </w:tc>
      </w:tr>
      <w:tr w:rsidR="003E5B0C" w:rsidRPr="00BA08FC" w14:paraId="3A3D6002" w14:textId="77777777" w:rsidTr="00BA08FC">
        <w:tc>
          <w:tcPr>
            <w:tcW w:w="1385" w:type="pct"/>
            <w:shd w:val="clear" w:color="auto" w:fill="auto"/>
          </w:tcPr>
          <w:p w14:paraId="6AF78950" w14:textId="77777777" w:rsidR="003E5B0C" w:rsidRPr="00BA08FC" w:rsidRDefault="003E5B0C" w:rsidP="00BA08FC">
            <w:pPr>
              <w:jc w:val="left"/>
              <w:rPr>
                <w:sz w:val="20"/>
                <w:szCs w:val="20"/>
              </w:rPr>
            </w:pPr>
            <w:r w:rsidRPr="00BA08FC">
              <w:rPr>
                <w:sz w:val="20"/>
                <w:szCs w:val="20"/>
              </w:rPr>
              <w:t xml:space="preserve">15.2 Fiscal strategy adoption </w:t>
            </w:r>
          </w:p>
        </w:tc>
        <w:tc>
          <w:tcPr>
            <w:tcW w:w="370" w:type="pct"/>
            <w:shd w:val="clear" w:color="auto" w:fill="auto"/>
          </w:tcPr>
          <w:p w14:paraId="355BBCDF" w14:textId="77777777" w:rsidR="003E5B0C" w:rsidRPr="00BA08FC" w:rsidRDefault="003E5B0C" w:rsidP="00BA08FC">
            <w:pPr>
              <w:jc w:val="center"/>
              <w:rPr>
                <w:sz w:val="20"/>
                <w:szCs w:val="20"/>
              </w:rPr>
            </w:pPr>
            <w:r w:rsidRPr="00BA08FC">
              <w:rPr>
                <w:sz w:val="20"/>
                <w:szCs w:val="20"/>
              </w:rPr>
              <w:t>B</w:t>
            </w:r>
          </w:p>
        </w:tc>
        <w:tc>
          <w:tcPr>
            <w:tcW w:w="3246" w:type="pct"/>
            <w:shd w:val="clear" w:color="auto" w:fill="auto"/>
          </w:tcPr>
          <w:p w14:paraId="1B6985C4" w14:textId="1B8FB0EC" w:rsidR="003E5B0C" w:rsidRPr="00BA08FC" w:rsidRDefault="003E5B0C" w:rsidP="00BA08FC">
            <w:pPr>
              <w:jc w:val="left"/>
              <w:rPr>
                <w:sz w:val="20"/>
                <w:szCs w:val="20"/>
              </w:rPr>
            </w:pPr>
            <w:r w:rsidRPr="00BA08FC">
              <w:rPr>
                <w:sz w:val="20"/>
                <w:szCs w:val="20"/>
              </w:rPr>
              <w:t xml:space="preserve">The government has adopted, submitted to the legislature, and published a fiscal strategy. But this strategy does not include explicit time-based quantitative fiscal goals and targets together with qualitative objectives for at least the budget year and the following two </w:t>
            </w:r>
            <w:r w:rsidR="00E85897">
              <w:rPr>
                <w:sz w:val="20"/>
                <w:szCs w:val="20"/>
              </w:rPr>
              <w:t>FY</w:t>
            </w:r>
            <w:r w:rsidRPr="00BA08FC">
              <w:rPr>
                <w:sz w:val="20"/>
                <w:szCs w:val="20"/>
              </w:rPr>
              <w:t>s.</w:t>
            </w:r>
          </w:p>
        </w:tc>
      </w:tr>
      <w:tr w:rsidR="003E5B0C" w:rsidRPr="00BA08FC" w14:paraId="378478AC" w14:textId="77777777" w:rsidTr="00BA08FC">
        <w:tc>
          <w:tcPr>
            <w:tcW w:w="1385" w:type="pct"/>
            <w:shd w:val="clear" w:color="auto" w:fill="auto"/>
          </w:tcPr>
          <w:p w14:paraId="5F990238" w14:textId="77777777" w:rsidR="003E5B0C" w:rsidRPr="00BA08FC" w:rsidRDefault="003E5B0C" w:rsidP="00BA08FC">
            <w:pPr>
              <w:jc w:val="left"/>
              <w:rPr>
                <w:sz w:val="20"/>
                <w:szCs w:val="20"/>
              </w:rPr>
            </w:pPr>
            <w:r w:rsidRPr="00BA08FC">
              <w:rPr>
                <w:sz w:val="20"/>
                <w:szCs w:val="20"/>
              </w:rPr>
              <w:t xml:space="preserve">15.3 Reporting on fiscal outcomes </w:t>
            </w:r>
          </w:p>
        </w:tc>
        <w:tc>
          <w:tcPr>
            <w:tcW w:w="370" w:type="pct"/>
            <w:shd w:val="clear" w:color="auto" w:fill="auto"/>
          </w:tcPr>
          <w:p w14:paraId="0BF701DA" w14:textId="77777777" w:rsidR="003E5B0C" w:rsidRPr="00BA08FC" w:rsidRDefault="003E5B0C" w:rsidP="00BA08FC">
            <w:pPr>
              <w:jc w:val="center"/>
              <w:rPr>
                <w:sz w:val="20"/>
                <w:szCs w:val="20"/>
              </w:rPr>
            </w:pPr>
            <w:r w:rsidRPr="00BA08FC">
              <w:rPr>
                <w:sz w:val="20"/>
                <w:szCs w:val="20"/>
              </w:rPr>
              <w:t>C</w:t>
            </w:r>
          </w:p>
        </w:tc>
        <w:tc>
          <w:tcPr>
            <w:tcW w:w="3246" w:type="pct"/>
            <w:shd w:val="clear" w:color="auto" w:fill="auto"/>
          </w:tcPr>
          <w:p w14:paraId="1E0EC411" w14:textId="72830ACD" w:rsidR="003E5B0C" w:rsidRPr="00BA08FC" w:rsidRDefault="003E5B0C" w:rsidP="00BA08FC">
            <w:pPr>
              <w:jc w:val="left"/>
              <w:rPr>
                <w:sz w:val="20"/>
                <w:szCs w:val="20"/>
              </w:rPr>
            </w:pPr>
            <w:r w:rsidRPr="00BA08FC">
              <w:rPr>
                <w:sz w:val="20"/>
                <w:szCs w:val="20"/>
              </w:rPr>
              <w:t xml:space="preserve">The government prepares an internal report on the progress made against its fiscal strategy. Such a report has been prepared for at least the last completed </w:t>
            </w:r>
            <w:r w:rsidR="00E85897">
              <w:rPr>
                <w:sz w:val="20"/>
                <w:szCs w:val="20"/>
              </w:rPr>
              <w:t>FY</w:t>
            </w:r>
            <w:r w:rsidRPr="00BA08FC">
              <w:rPr>
                <w:sz w:val="20"/>
                <w:szCs w:val="20"/>
              </w:rPr>
              <w:t>. However, an explanation of the reasons for any deviation from the objectives and targets set is not provided in the CBROP.</w:t>
            </w:r>
          </w:p>
        </w:tc>
      </w:tr>
    </w:tbl>
    <w:p w14:paraId="4463332C" w14:textId="77777777" w:rsidR="007F5760" w:rsidRPr="00890A84" w:rsidRDefault="00867DDD" w:rsidP="00BA6B2B">
      <w:pPr>
        <w:pStyle w:val="Heading5"/>
      </w:pPr>
      <w:r w:rsidRPr="00890A84">
        <w:t>PI-</w:t>
      </w:r>
      <w:r w:rsidR="007F5760" w:rsidRPr="00890A84">
        <w:t xml:space="preserve">15.1. Fiscal impact of policy proposals </w:t>
      </w:r>
    </w:p>
    <w:p w14:paraId="2CAEEC63" w14:textId="28424CBD" w:rsidR="008F4C20" w:rsidRPr="00BA08FC" w:rsidRDefault="00C07D97" w:rsidP="006E7B98">
      <w:pPr>
        <w:spacing w:after="240"/>
        <w:rPr>
          <w:sz w:val="22"/>
        </w:rPr>
      </w:pPr>
      <w:r w:rsidRPr="00BA08FC">
        <w:rPr>
          <w:sz w:val="22"/>
        </w:rPr>
        <w:t xml:space="preserve">Section 132 (c </w:t>
      </w:r>
      <w:r w:rsidR="00E85897">
        <w:rPr>
          <w:sz w:val="22"/>
        </w:rPr>
        <w:t>and</w:t>
      </w:r>
      <w:r w:rsidRPr="00BA08FC">
        <w:rPr>
          <w:sz w:val="22"/>
        </w:rPr>
        <w:t xml:space="preserve"> e) of t</w:t>
      </w:r>
      <w:r w:rsidR="008975E8" w:rsidRPr="00BA08FC">
        <w:rPr>
          <w:sz w:val="22"/>
        </w:rPr>
        <w:t xml:space="preserve">he </w:t>
      </w:r>
      <w:r w:rsidRPr="00BA08FC">
        <w:rPr>
          <w:sz w:val="22"/>
        </w:rPr>
        <w:t>PFM</w:t>
      </w:r>
      <w:r w:rsidR="008975E8" w:rsidRPr="00BA08FC">
        <w:rPr>
          <w:sz w:val="22"/>
        </w:rPr>
        <w:t xml:space="preserve"> Act</w:t>
      </w:r>
      <w:r w:rsidRPr="00BA08FC">
        <w:rPr>
          <w:sz w:val="22"/>
        </w:rPr>
        <w:t xml:space="preserve">, </w:t>
      </w:r>
      <w:r w:rsidR="008975E8" w:rsidRPr="00BA08FC">
        <w:rPr>
          <w:sz w:val="22"/>
        </w:rPr>
        <w:t>2012</w:t>
      </w:r>
      <w:r w:rsidR="00E85897">
        <w:rPr>
          <w:sz w:val="22"/>
        </w:rPr>
        <w:t>,</w:t>
      </w:r>
      <w:r w:rsidR="008975E8" w:rsidRPr="00BA08FC">
        <w:rPr>
          <w:sz w:val="22"/>
        </w:rPr>
        <w:t xml:space="preserve"> </w:t>
      </w:r>
      <w:r w:rsidR="00AE7C64" w:rsidRPr="00BA08FC">
        <w:rPr>
          <w:sz w:val="22"/>
        </w:rPr>
        <w:t>stipulates that</w:t>
      </w:r>
      <w:r w:rsidR="008975E8" w:rsidRPr="00BA08FC">
        <w:rPr>
          <w:sz w:val="22"/>
        </w:rPr>
        <w:t xml:space="preserve"> the County Budget Committee shall consider the following before </w:t>
      </w:r>
      <w:r w:rsidR="005B3ACF" w:rsidRPr="00BA08FC">
        <w:rPr>
          <w:sz w:val="22"/>
        </w:rPr>
        <w:t>giving any recommendation on the revenue</w:t>
      </w:r>
      <w:r w:rsidR="004F5FBA" w:rsidRPr="00BA08FC">
        <w:rPr>
          <w:sz w:val="22"/>
        </w:rPr>
        <w:t>-</w:t>
      </w:r>
      <w:r w:rsidR="005B3ACF" w:rsidRPr="00BA08FC">
        <w:rPr>
          <w:sz w:val="22"/>
        </w:rPr>
        <w:t xml:space="preserve">raising measures: </w:t>
      </w:r>
      <w:r w:rsidR="008975E8" w:rsidRPr="00BA08FC">
        <w:rPr>
          <w:sz w:val="22"/>
        </w:rPr>
        <w:t>the impact of the proposed changes on the composition of tax revenue with reference t</w:t>
      </w:r>
      <w:r w:rsidR="009C0DF4" w:rsidRPr="00BA08FC">
        <w:rPr>
          <w:sz w:val="22"/>
        </w:rPr>
        <w:t>o direct and indirect taxes</w:t>
      </w:r>
      <w:r w:rsidRPr="00BA08FC">
        <w:rPr>
          <w:sz w:val="22"/>
        </w:rPr>
        <w:t xml:space="preserve"> and </w:t>
      </w:r>
      <w:r w:rsidR="008975E8" w:rsidRPr="00BA08FC">
        <w:rPr>
          <w:sz w:val="22"/>
        </w:rPr>
        <w:t xml:space="preserve">the impact on development, investment, </w:t>
      </w:r>
      <w:r w:rsidR="005B3ACF" w:rsidRPr="00BA08FC">
        <w:rPr>
          <w:sz w:val="22"/>
        </w:rPr>
        <w:t>employment</w:t>
      </w:r>
      <w:r w:rsidR="00E85897">
        <w:rPr>
          <w:sz w:val="22"/>
        </w:rPr>
        <w:t>,</w:t>
      </w:r>
      <w:r w:rsidR="005B3ACF" w:rsidRPr="00BA08FC">
        <w:rPr>
          <w:sz w:val="22"/>
        </w:rPr>
        <w:t xml:space="preserve"> and economic growth.</w:t>
      </w:r>
      <w:r w:rsidR="001D7E75" w:rsidRPr="00BA08FC">
        <w:rPr>
          <w:sz w:val="22"/>
        </w:rPr>
        <w:t xml:space="preserve"> </w:t>
      </w:r>
      <w:r w:rsidR="00AE7C64" w:rsidRPr="00BA08FC">
        <w:rPr>
          <w:sz w:val="22"/>
        </w:rPr>
        <w:t xml:space="preserve">Despite this legislative provision, </w:t>
      </w:r>
      <w:r w:rsidR="00000DE4" w:rsidRPr="00BA08FC">
        <w:rPr>
          <w:sz w:val="22"/>
        </w:rPr>
        <w:t>the</w:t>
      </w:r>
      <w:r w:rsidR="00AE7C64" w:rsidRPr="00BA08FC">
        <w:rPr>
          <w:sz w:val="22"/>
        </w:rPr>
        <w:t xml:space="preserve"> county does not prepare estimates of fiscal impact of all proposed changes in revenue and expenditure, except for a few cases (especially expenditure), such as an increase in spending on remuneration of doctors and nurses. This situation </w:t>
      </w:r>
      <w:r w:rsidR="005B3ACF" w:rsidRPr="00BA08FC">
        <w:rPr>
          <w:sz w:val="22"/>
        </w:rPr>
        <w:t>can partly be attributed to capacity constraints.</w:t>
      </w:r>
    </w:p>
    <w:p w14:paraId="7C179995" w14:textId="77777777" w:rsidR="008A646C" w:rsidRPr="00BA08FC" w:rsidRDefault="00035673" w:rsidP="006E7B98">
      <w:pPr>
        <w:spacing w:after="240"/>
        <w:rPr>
          <w:sz w:val="22"/>
        </w:rPr>
      </w:pPr>
      <w:r w:rsidRPr="00BA08FC">
        <w:rPr>
          <w:sz w:val="22"/>
        </w:rPr>
        <w:t>In summary, t</w:t>
      </w:r>
      <w:r w:rsidR="00B8438A" w:rsidRPr="00BA08FC">
        <w:rPr>
          <w:sz w:val="22"/>
        </w:rPr>
        <w:t xml:space="preserve">he county does not prepare estimates of the fiscal impact of all proposed changes in revenue and expenditure, except for a few cases. </w:t>
      </w:r>
    </w:p>
    <w:p w14:paraId="1E1BAA60" w14:textId="1286C8A7" w:rsidR="008A646C" w:rsidRPr="00BA08FC" w:rsidRDefault="008A646C" w:rsidP="006E7B98">
      <w:pPr>
        <w:spacing w:after="240"/>
        <w:rPr>
          <w:b/>
          <w:sz w:val="22"/>
        </w:rPr>
      </w:pPr>
      <w:r w:rsidRPr="00BA08FC">
        <w:rPr>
          <w:b/>
          <w:sz w:val="22"/>
        </w:rPr>
        <w:t>Dimension rating = D</w:t>
      </w:r>
    </w:p>
    <w:p w14:paraId="4DAF5DCB" w14:textId="77777777" w:rsidR="007F5760" w:rsidRPr="00890A84" w:rsidRDefault="00867DDD" w:rsidP="00BA6B2B">
      <w:pPr>
        <w:pStyle w:val="Heading5"/>
      </w:pPr>
      <w:r w:rsidRPr="00890A84">
        <w:t>PI-</w:t>
      </w:r>
      <w:r w:rsidR="007F5760" w:rsidRPr="00890A84">
        <w:t xml:space="preserve">15.2. Fiscal strategy adoption </w:t>
      </w:r>
    </w:p>
    <w:p w14:paraId="5BAE07B1" w14:textId="478BC681" w:rsidR="00ED2A55" w:rsidRPr="00BA08FC" w:rsidRDefault="005B3ACF" w:rsidP="006E7B98">
      <w:pPr>
        <w:spacing w:after="240"/>
        <w:rPr>
          <w:sz w:val="22"/>
        </w:rPr>
      </w:pPr>
      <w:r w:rsidRPr="00BA08FC">
        <w:rPr>
          <w:sz w:val="22"/>
        </w:rPr>
        <w:t xml:space="preserve">The county government prepares a </w:t>
      </w:r>
      <w:r w:rsidR="00514EE0" w:rsidRPr="00BA08FC">
        <w:rPr>
          <w:sz w:val="22"/>
        </w:rPr>
        <w:t>CSFP</w:t>
      </w:r>
      <w:r w:rsidRPr="00BA08FC">
        <w:rPr>
          <w:sz w:val="22"/>
        </w:rPr>
        <w:t xml:space="preserve"> annually, which outlines the broad strategic priorities and policy goals that will guide the county government in preparing its budget for the </w:t>
      </w:r>
      <w:r w:rsidR="00C07D97" w:rsidRPr="00BA08FC">
        <w:rPr>
          <w:sz w:val="22"/>
        </w:rPr>
        <w:t>next fina</w:t>
      </w:r>
      <w:r w:rsidRPr="00BA08FC">
        <w:rPr>
          <w:sz w:val="22"/>
        </w:rPr>
        <w:t>ncial year and over the medium term. It also includes the financial outlook with respect to county government revenues, expenditures</w:t>
      </w:r>
      <w:r w:rsidR="00E85897">
        <w:rPr>
          <w:sz w:val="22"/>
        </w:rPr>
        <w:t>,</w:t>
      </w:r>
      <w:r w:rsidRPr="00BA08FC">
        <w:rPr>
          <w:sz w:val="22"/>
        </w:rPr>
        <w:t xml:space="preserve"> and borrowing for the </w:t>
      </w:r>
      <w:r w:rsidR="00C07D97" w:rsidRPr="00BA08FC">
        <w:rPr>
          <w:sz w:val="22"/>
        </w:rPr>
        <w:t>next</w:t>
      </w:r>
      <w:r w:rsidRPr="00BA08FC">
        <w:rPr>
          <w:sz w:val="22"/>
        </w:rPr>
        <w:t xml:space="preserve"> financial year and over the medium term. The </w:t>
      </w:r>
      <w:r w:rsidR="00514EE0" w:rsidRPr="00BA08FC">
        <w:rPr>
          <w:sz w:val="22"/>
        </w:rPr>
        <w:t>CSFP</w:t>
      </w:r>
      <w:r w:rsidRPr="00BA08FC">
        <w:rPr>
          <w:sz w:val="22"/>
        </w:rPr>
        <w:t xml:space="preserve"> is submitted to the Count</w:t>
      </w:r>
      <w:r w:rsidR="009E3EF3" w:rsidRPr="00BA08FC">
        <w:rPr>
          <w:sz w:val="22"/>
        </w:rPr>
        <w:t xml:space="preserve">y </w:t>
      </w:r>
      <w:r w:rsidR="00E85897">
        <w:rPr>
          <w:sz w:val="22"/>
        </w:rPr>
        <w:t>A</w:t>
      </w:r>
      <w:r w:rsidR="009E3EF3" w:rsidRPr="00BA08FC">
        <w:rPr>
          <w:sz w:val="22"/>
        </w:rPr>
        <w:t>ssembly and published online</w:t>
      </w:r>
      <w:r w:rsidR="00E85897">
        <w:rPr>
          <w:sz w:val="22"/>
        </w:rPr>
        <w:t>.</w:t>
      </w:r>
      <w:r w:rsidR="009E3EF3" w:rsidRPr="00BA08FC">
        <w:rPr>
          <w:rStyle w:val="FootnoteReference"/>
          <w:sz w:val="22"/>
        </w:rPr>
        <w:footnoteReference w:id="3"/>
      </w:r>
      <w:r w:rsidR="00F82E51" w:rsidRPr="00BA08FC">
        <w:rPr>
          <w:sz w:val="22"/>
        </w:rPr>
        <w:t xml:space="preserve"> However, this strategy does not include explicit time-based quantitative fiscal goals and targets together with qualitative objectives for at least the budget year and the following two </w:t>
      </w:r>
      <w:r w:rsidR="00E85897">
        <w:rPr>
          <w:sz w:val="22"/>
        </w:rPr>
        <w:t>FY</w:t>
      </w:r>
      <w:r w:rsidR="00F82E51" w:rsidRPr="00BA08FC">
        <w:rPr>
          <w:sz w:val="22"/>
        </w:rPr>
        <w:t>s.</w:t>
      </w:r>
    </w:p>
    <w:p w14:paraId="2663E6E4" w14:textId="584B2DEF" w:rsidR="008A646C" w:rsidRPr="00BA08FC" w:rsidRDefault="00035673" w:rsidP="006E7B98">
      <w:pPr>
        <w:spacing w:after="240"/>
        <w:rPr>
          <w:sz w:val="22"/>
        </w:rPr>
      </w:pPr>
      <w:r w:rsidRPr="00BA08FC">
        <w:rPr>
          <w:sz w:val="22"/>
        </w:rPr>
        <w:t>In summary, t</w:t>
      </w:r>
      <w:r w:rsidR="00B8438A" w:rsidRPr="00BA08FC">
        <w:rPr>
          <w:sz w:val="22"/>
        </w:rPr>
        <w:t xml:space="preserve">he government has adopted, submitted to the legislature, and published a fiscal strategy. But this strategy does not include explicit time-based quantitative fiscal goals and targets together with qualitative objectives for at least the budget year and the following two </w:t>
      </w:r>
      <w:r w:rsidR="00E85897">
        <w:rPr>
          <w:sz w:val="22"/>
        </w:rPr>
        <w:t>FY</w:t>
      </w:r>
      <w:r w:rsidR="00B8438A" w:rsidRPr="00BA08FC">
        <w:rPr>
          <w:sz w:val="22"/>
        </w:rPr>
        <w:t xml:space="preserve">s. </w:t>
      </w:r>
    </w:p>
    <w:p w14:paraId="21298CB2" w14:textId="572E1951" w:rsidR="008A646C" w:rsidRPr="00BA08FC" w:rsidRDefault="008A646C" w:rsidP="006E7B98">
      <w:pPr>
        <w:spacing w:after="240"/>
        <w:rPr>
          <w:b/>
          <w:sz w:val="22"/>
        </w:rPr>
      </w:pPr>
      <w:r w:rsidRPr="00BA08FC">
        <w:rPr>
          <w:b/>
          <w:sz w:val="22"/>
        </w:rPr>
        <w:t>Dimension rating = B</w:t>
      </w:r>
    </w:p>
    <w:p w14:paraId="3E69EE10" w14:textId="77777777" w:rsidR="00BB1084" w:rsidRPr="00890A84" w:rsidRDefault="00867DDD" w:rsidP="00BA6B2B">
      <w:pPr>
        <w:pStyle w:val="Heading5"/>
      </w:pPr>
      <w:r w:rsidRPr="00890A84">
        <w:t>PI-</w:t>
      </w:r>
      <w:r w:rsidR="007F5760" w:rsidRPr="00890A84">
        <w:t xml:space="preserve">15.3. Reporting on fiscal outcomes </w:t>
      </w:r>
    </w:p>
    <w:p w14:paraId="4C64BAC8" w14:textId="77777777" w:rsidR="008A646C" w:rsidRPr="00BA08FC" w:rsidRDefault="005B3ACF" w:rsidP="006E7B98">
      <w:pPr>
        <w:spacing w:after="240"/>
        <w:rPr>
          <w:sz w:val="22"/>
        </w:rPr>
      </w:pPr>
      <w:r w:rsidRPr="00BA08FC">
        <w:rPr>
          <w:sz w:val="22"/>
        </w:rPr>
        <w:t xml:space="preserve">The </w:t>
      </w:r>
      <w:r w:rsidR="00F7460F" w:rsidRPr="00BA08FC">
        <w:rPr>
          <w:sz w:val="22"/>
        </w:rPr>
        <w:t xml:space="preserve">CBROP </w:t>
      </w:r>
      <w:r w:rsidRPr="00BA08FC">
        <w:rPr>
          <w:sz w:val="22"/>
        </w:rPr>
        <w:t xml:space="preserve">reviews actual budgetary performance against budget estimates and provides explanations for the deviations. </w:t>
      </w:r>
      <w:r w:rsidR="00F82E51" w:rsidRPr="00BA08FC">
        <w:rPr>
          <w:sz w:val="22"/>
        </w:rPr>
        <w:t>However, an explanation of the reasons for any deviation from the objectives and targets set is not provided in the CBROP.</w:t>
      </w:r>
      <w:r w:rsidR="00B8438A" w:rsidRPr="00BA08FC">
        <w:rPr>
          <w:sz w:val="22"/>
        </w:rPr>
        <w:t xml:space="preserve"> </w:t>
      </w:r>
    </w:p>
    <w:p w14:paraId="7A564C8D" w14:textId="1E8E1D0F" w:rsidR="008A646C" w:rsidRPr="00BA08FC" w:rsidRDefault="008A646C" w:rsidP="006E7B98">
      <w:pPr>
        <w:spacing w:after="240"/>
        <w:rPr>
          <w:b/>
          <w:sz w:val="22"/>
        </w:rPr>
      </w:pPr>
      <w:r w:rsidRPr="00BA08FC">
        <w:rPr>
          <w:b/>
          <w:sz w:val="22"/>
        </w:rPr>
        <w:t xml:space="preserve">Dimension rating = </w:t>
      </w:r>
      <w:r w:rsidR="00A010D9">
        <w:rPr>
          <w:b/>
          <w:sz w:val="22"/>
        </w:rPr>
        <w:t>C</w:t>
      </w:r>
    </w:p>
    <w:p w14:paraId="75B4A8C5" w14:textId="77777777" w:rsidR="00BB1084" w:rsidRPr="00890A84" w:rsidRDefault="00BB1084" w:rsidP="00590C8E">
      <w:pPr>
        <w:pStyle w:val="Heading4"/>
      </w:pPr>
      <w:r w:rsidRPr="00890A84">
        <w:t>PI-16. Medium-term perspective in expenditure budgeting</w:t>
      </w:r>
    </w:p>
    <w:p w14:paraId="2A3A00B2" w14:textId="77777777" w:rsidR="003E5B0C" w:rsidRPr="00890A84" w:rsidRDefault="003E5B0C" w:rsidP="00BA6B2B">
      <w:pPr>
        <w:pStyle w:val="Heading5"/>
      </w:pPr>
      <w:r w:rsidRPr="00890A84">
        <w:t>Summary of scores and performance table</w:t>
      </w:r>
    </w:p>
    <w:tbl>
      <w:tblPr>
        <w:tblW w:w="924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3119"/>
        <w:gridCol w:w="560"/>
        <w:gridCol w:w="5564"/>
      </w:tblGrid>
      <w:tr w:rsidR="003E5B0C" w:rsidRPr="00BA08FC" w14:paraId="14B9E746" w14:textId="77777777" w:rsidTr="00BA08FC">
        <w:trPr>
          <w:tblHeader/>
        </w:trPr>
        <w:tc>
          <w:tcPr>
            <w:tcW w:w="3119" w:type="dxa"/>
            <w:shd w:val="clear" w:color="auto" w:fill="5B9BD5"/>
          </w:tcPr>
          <w:p w14:paraId="0E396A1C" w14:textId="50A5F25A" w:rsidR="003E5B0C" w:rsidRPr="00BA08FC" w:rsidRDefault="003E5B0C" w:rsidP="00BA08FC">
            <w:pPr>
              <w:jc w:val="center"/>
              <w:rPr>
                <w:b/>
                <w:color w:val="FFFFFF" w:themeColor="background1"/>
                <w:sz w:val="20"/>
                <w:szCs w:val="20"/>
              </w:rPr>
            </w:pPr>
            <w:bookmarkStart w:id="92" w:name="OLE_LINK51"/>
            <w:r w:rsidRPr="00BA08FC">
              <w:rPr>
                <w:b/>
                <w:color w:val="FFFFFF" w:themeColor="background1"/>
                <w:sz w:val="20"/>
                <w:szCs w:val="20"/>
              </w:rPr>
              <w:t>PI-16</w:t>
            </w:r>
            <w:r w:rsidR="0013758F">
              <w:rPr>
                <w:b/>
                <w:color w:val="FFFFFF" w:themeColor="background1"/>
                <w:sz w:val="20"/>
                <w:szCs w:val="20"/>
              </w:rPr>
              <w:t>.</w:t>
            </w:r>
            <w:r w:rsidRPr="00BA08FC">
              <w:rPr>
                <w:b/>
                <w:color w:val="FFFFFF" w:themeColor="background1"/>
                <w:sz w:val="20"/>
                <w:szCs w:val="20"/>
              </w:rPr>
              <w:t xml:space="preserve"> Medium-term perspective in expenditure budgeting (M2)</w:t>
            </w:r>
          </w:p>
        </w:tc>
        <w:tc>
          <w:tcPr>
            <w:tcW w:w="560" w:type="dxa"/>
            <w:shd w:val="clear" w:color="auto" w:fill="5B9BD5"/>
          </w:tcPr>
          <w:p w14:paraId="4BA8658D"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D+</w:t>
            </w:r>
          </w:p>
        </w:tc>
        <w:tc>
          <w:tcPr>
            <w:tcW w:w="5564" w:type="dxa"/>
            <w:shd w:val="clear" w:color="auto" w:fill="5B9BD5"/>
          </w:tcPr>
          <w:p w14:paraId="164CA09A"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Brief justification for score</w:t>
            </w:r>
          </w:p>
        </w:tc>
      </w:tr>
      <w:tr w:rsidR="003E5B0C" w:rsidRPr="00BA08FC" w14:paraId="0E750323" w14:textId="77777777" w:rsidTr="00BA08FC">
        <w:tc>
          <w:tcPr>
            <w:tcW w:w="3119" w:type="dxa"/>
            <w:shd w:val="clear" w:color="auto" w:fill="auto"/>
          </w:tcPr>
          <w:p w14:paraId="3AEA2C2A" w14:textId="77777777" w:rsidR="003E5B0C" w:rsidRPr="00BA08FC" w:rsidRDefault="003E5B0C" w:rsidP="00BA08FC">
            <w:pPr>
              <w:jc w:val="left"/>
              <w:rPr>
                <w:sz w:val="20"/>
                <w:szCs w:val="20"/>
              </w:rPr>
            </w:pPr>
            <w:r w:rsidRPr="00BA08FC">
              <w:rPr>
                <w:sz w:val="20"/>
                <w:szCs w:val="20"/>
              </w:rPr>
              <w:t xml:space="preserve">16.1 Medium-term expenditure estimates </w:t>
            </w:r>
          </w:p>
        </w:tc>
        <w:tc>
          <w:tcPr>
            <w:tcW w:w="560" w:type="dxa"/>
            <w:shd w:val="clear" w:color="auto" w:fill="auto"/>
          </w:tcPr>
          <w:p w14:paraId="44AD28E4" w14:textId="77777777" w:rsidR="003E5B0C" w:rsidRPr="00BA08FC" w:rsidRDefault="003E5B0C" w:rsidP="0013758F">
            <w:pPr>
              <w:jc w:val="center"/>
              <w:rPr>
                <w:sz w:val="20"/>
                <w:szCs w:val="20"/>
              </w:rPr>
            </w:pPr>
            <w:r w:rsidRPr="00BA08FC">
              <w:rPr>
                <w:sz w:val="20"/>
                <w:szCs w:val="20"/>
              </w:rPr>
              <w:t>A</w:t>
            </w:r>
          </w:p>
        </w:tc>
        <w:tc>
          <w:tcPr>
            <w:tcW w:w="5564" w:type="dxa"/>
            <w:shd w:val="clear" w:color="auto" w:fill="auto"/>
          </w:tcPr>
          <w:p w14:paraId="4206804E" w14:textId="4CFD79C0" w:rsidR="003E5B0C" w:rsidRPr="00BA08FC" w:rsidRDefault="003E5B0C" w:rsidP="00BA08FC">
            <w:pPr>
              <w:jc w:val="left"/>
              <w:rPr>
                <w:sz w:val="20"/>
                <w:szCs w:val="20"/>
              </w:rPr>
            </w:pPr>
            <w:r w:rsidRPr="00BA08FC">
              <w:rPr>
                <w:sz w:val="20"/>
                <w:szCs w:val="20"/>
              </w:rPr>
              <w:t>The county government prepares medium</w:t>
            </w:r>
            <w:r w:rsidR="0013758F">
              <w:rPr>
                <w:sz w:val="20"/>
                <w:szCs w:val="20"/>
              </w:rPr>
              <w:t>-</w:t>
            </w:r>
            <w:r w:rsidRPr="00BA08FC">
              <w:rPr>
                <w:sz w:val="20"/>
                <w:szCs w:val="20"/>
              </w:rPr>
              <w:t>term expenditure estimates by administrative, economic</w:t>
            </w:r>
            <w:r w:rsidR="0013758F">
              <w:rPr>
                <w:sz w:val="20"/>
                <w:szCs w:val="20"/>
              </w:rPr>
              <w:t>,</w:t>
            </w:r>
            <w:r w:rsidRPr="00BA08FC">
              <w:rPr>
                <w:sz w:val="20"/>
                <w:szCs w:val="20"/>
              </w:rPr>
              <w:t xml:space="preserve"> and functional classification, which are presented in both budget estimates and the CSFP.</w:t>
            </w:r>
          </w:p>
        </w:tc>
      </w:tr>
      <w:tr w:rsidR="003E5B0C" w:rsidRPr="00BA08FC" w14:paraId="2A0AA3C1" w14:textId="77777777" w:rsidTr="00BA08FC">
        <w:tc>
          <w:tcPr>
            <w:tcW w:w="3119" w:type="dxa"/>
            <w:shd w:val="clear" w:color="auto" w:fill="auto"/>
          </w:tcPr>
          <w:p w14:paraId="3A05FE2D" w14:textId="77777777" w:rsidR="003E5B0C" w:rsidRPr="00BA08FC" w:rsidRDefault="003E5B0C" w:rsidP="00BA08FC">
            <w:pPr>
              <w:jc w:val="left"/>
              <w:rPr>
                <w:sz w:val="20"/>
                <w:szCs w:val="20"/>
              </w:rPr>
            </w:pPr>
            <w:r w:rsidRPr="00BA08FC">
              <w:rPr>
                <w:sz w:val="20"/>
                <w:szCs w:val="20"/>
              </w:rPr>
              <w:t xml:space="preserve">16.2 Medium-term expenditure ceilings </w:t>
            </w:r>
          </w:p>
        </w:tc>
        <w:tc>
          <w:tcPr>
            <w:tcW w:w="560" w:type="dxa"/>
            <w:shd w:val="clear" w:color="auto" w:fill="auto"/>
          </w:tcPr>
          <w:p w14:paraId="12F4E17D" w14:textId="77777777" w:rsidR="003E5B0C" w:rsidRPr="00BA08FC" w:rsidRDefault="003E5B0C" w:rsidP="0013758F">
            <w:pPr>
              <w:jc w:val="center"/>
              <w:rPr>
                <w:sz w:val="20"/>
                <w:szCs w:val="20"/>
              </w:rPr>
            </w:pPr>
            <w:r w:rsidRPr="00BA08FC">
              <w:rPr>
                <w:sz w:val="20"/>
                <w:szCs w:val="20"/>
              </w:rPr>
              <w:t>D</w:t>
            </w:r>
          </w:p>
        </w:tc>
        <w:tc>
          <w:tcPr>
            <w:tcW w:w="5564" w:type="dxa"/>
            <w:shd w:val="clear" w:color="auto" w:fill="auto"/>
          </w:tcPr>
          <w:p w14:paraId="577B236B" w14:textId="35486753" w:rsidR="003E5B0C" w:rsidRPr="00BA08FC" w:rsidRDefault="003E5B0C" w:rsidP="00BA08FC">
            <w:pPr>
              <w:jc w:val="left"/>
              <w:rPr>
                <w:sz w:val="20"/>
                <w:szCs w:val="20"/>
              </w:rPr>
            </w:pPr>
            <w:r w:rsidRPr="00BA08FC">
              <w:rPr>
                <w:sz w:val="20"/>
                <w:szCs w:val="20"/>
              </w:rPr>
              <w:t xml:space="preserve">The expenditure ceilings (in </w:t>
            </w:r>
            <w:r w:rsidR="0013758F">
              <w:rPr>
                <w:sz w:val="20"/>
                <w:szCs w:val="20"/>
              </w:rPr>
              <w:t xml:space="preserve">the </w:t>
            </w:r>
            <w:r w:rsidRPr="00BA08FC">
              <w:rPr>
                <w:sz w:val="20"/>
                <w:szCs w:val="20"/>
              </w:rPr>
              <w:t>CSFP and budget estimates) are approved after issuance of the budget circular.</w:t>
            </w:r>
          </w:p>
        </w:tc>
      </w:tr>
      <w:tr w:rsidR="003E5B0C" w:rsidRPr="00BA08FC" w14:paraId="50C7A199" w14:textId="77777777" w:rsidTr="00BA08FC">
        <w:tc>
          <w:tcPr>
            <w:tcW w:w="3119" w:type="dxa"/>
            <w:shd w:val="clear" w:color="auto" w:fill="auto"/>
          </w:tcPr>
          <w:p w14:paraId="7538DB75" w14:textId="77777777" w:rsidR="003E5B0C" w:rsidRPr="00BA08FC" w:rsidRDefault="003E5B0C" w:rsidP="00BA08FC">
            <w:pPr>
              <w:jc w:val="left"/>
              <w:rPr>
                <w:sz w:val="20"/>
                <w:szCs w:val="20"/>
              </w:rPr>
            </w:pPr>
            <w:r w:rsidRPr="00BA08FC">
              <w:rPr>
                <w:sz w:val="20"/>
                <w:szCs w:val="20"/>
              </w:rPr>
              <w:t xml:space="preserve">16.3 Alignment of strategic plans and medium-term budgets </w:t>
            </w:r>
          </w:p>
        </w:tc>
        <w:tc>
          <w:tcPr>
            <w:tcW w:w="560" w:type="dxa"/>
            <w:shd w:val="clear" w:color="auto" w:fill="auto"/>
          </w:tcPr>
          <w:p w14:paraId="21480820" w14:textId="77777777" w:rsidR="003E5B0C" w:rsidRPr="00BA08FC" w:rsidRDefault="003E5B0C" w:rsidP="0013758F">
            <w:pPr>
              <w:jc w:val="center"/>
              <w:rPr>
                <w:sz w:val="20"/>
                <w:szCs w:val="20"/>
              </w:rPr>
            </w:pPr>
            <w:r w:rsidRPr="00BA08FC">
              <w:rPr>
                <w:sz w:val="20"/>
                <w:szCs w:val="20"/>
              </w:rPr>
              <w:t>D</w:t>
            </w:r>
          </w:p>
        </w:tc>
        <w:tc>
          <w:tcPr>
            <w:tcW w:w="5564" w:type="dxa"/>
            <w:shd w:val="clear" w:color="auto" w:fill="auto"/>
          </w:tcPr>
          <w:p w14:paraId="636C6766" w14:textId="40A3B959" w:rsidR="003E5B0C" w:rsidRPr="00BA08FC" w:rsidRDefault="003E5B0C" w:rsidP="00BA08FC">
            <w:pPr>
              <w:jc w:val="left"/>
              <w:rPr>
                <w:sz w:val="20"/>
                <w:szCs w:val="20"/>
              </w:rPr>
            </w:pPr>
            <w:r w:rsidRPr="00BA08FC">
              <w:rPr>
                <w:sz w:val="20"/>
                <w:szCs w:val="20"/>
              </w:rPr>
              <w:t>The county has only prepared strategic plans for education, health</w:t>
            </w:r>
            <w:r w:rsidR="0013758F">
              <w:rPr>
                <w:sz w:val="20"/>
                <w:szCs w:val="20"/>
              </w:rPr>
              <w:t>,</w:t>
            </w:r>
            <w:r w:rsidRPr="00BA08FC">
              <w:rPr>
                <w:sz w:val="20"/>
                <w:szCs w:val="20"/>
              </w:rPr>
              <w:t xml:space="preserve"> and agriculture. The strategic plans are not aligned with the budget estimates. Budget estimates are mainly guided by the ADP, which is based on the CIDP.</w:t>
            </w:r>
          </w:p>
        </w:tc>
      </w:tr>
      <w:tr w:rsidR="003E5B0C" w:rsidRPr="00BA08FC" w14:paraId="53B38BB3" w14:textId="77777777" w:rsidTr="00BA08FC">
        <w:tc>
          <w:tcPr>
            <w:tcW w:w="3119" w:type="dxa"/>
            <w:shd w:val="clear" w:color="auto" w:fill="auto"/>
          </w:tcPr>
          <w:p w14:paraId="158F59DA" w14:textId="77777777" w:rsidR="003E5B0C" w:rsidRPr="00BA08FC" w:rsidRDefault="003E5B0C" w:rsidP="00BA08FC">
            <w:pPr>
              <w:jc w:val="left"/>
              <w:rPr>
                <w:sz w:val="20"/>
                <w:szCs w:val="20"/>
              </w:rPr>
            </w:pPr>
            <w:r w:rsidRPr="00BA08FC">
              <w:rPr>
                <w:sz w:val="20"/>
                <w:szCs w:val="20"/>
              </w:rPr>
              <w:t xml:space="preserve">16.4 Consistency of budgets with previous year’s estimates </w:t>
            </w:r>
          </w:p>
        </w:tc>
        <w:tc>
          <w:tcPr>
            <w:tcW w:w="560" w:type="dxa"/>
            <w:shd w:val="clear" w:color="auto" w:fill="auto"/>
          </w:tcPr>
          <w:p w14:paraId="3776CFEB" w14:textId="77777777" w:rsidR="003E5B0C" w:rsidRPr="00BA08FC" w:rsidRDefault="003E5B0C" w:rsidP="0013758F">
            <w:pPr>
              <w:jc w:val="center"/>
              <w:rPr>
                <w:sz w:val="20"/>
                <w:szCs w:val="20"/>
              </w:rPr>
            </w:pPr>
            <w:r w:rsidRPr="00BA08FC">
              <w:rPr>
                <w:sz w:val="20"/>
                <w:szCs w:val="20"/>
              </w:rPr>
              <w:t>D</w:t>
            </w:r>
          </w:p>
        </w:tc>
        <w:tc>
          <w:tcPr>
            <w:tcW w:w="5564" w:type="dxa"/>
            <w:shd w:val="clear" w:color="auto" w:fill="auto"/>
          </w:tcPr>
          <w:p w14:paraId="64134E66" w14:textId="640A707C" w:rsidR="003E5B0C" w:rsidRPr="00BA08FC" w:rsidRDefault="003E5B0C" w:rsidP="00BA08FC">
            <w:pPr>
              <w:jc w:val="left"/>
              <w:rPr>
                <w:sz w:val="20"/>
                <w:szCs w:val="20"/>
              </w:rPr>
            </w:pPr>
            <w:r w:rsidRPr="00BA08FC">
              <w:rPr>
                <w:sz w:val="20"/>
                <w:szCs w:val="20"/>
              </w:rPr>
              <w:t>There is no consistency in medium</w:t>
            </w:r>
            <w:r w:rsidR="0013758F">
              <w:rPr>
                <w:sz w:val="20"/>
                <w:szCs w:val="20"/>
              </w:rPr>
              <w:t>-</w:t>
            </w:r>
            <w:r w:rsidRPr="00BA08FC">
              <w:rPr>
                <w:sz w:val="20"/>
                <w:szCs w:val="20"/>
              </w:rPr>
              <w:t>term estimates for the different MTEF period</w:t>
            </w:r>
            <w:r w:rsidR="00BD1A1C">
              <w:rPr>
                <w:sz w:val="20"/>
                <w:szCs w:val="20"/>
              </w:rPr>
              <w:t>s</w:t>
            </w:r>
            <w:r w:rsidRPr="00BA08FC">
              <w:rPr>
                <w:sz w:val="20"/>
                <w:szCs w:val="20"/>
              </w:rPr>
              <w:t xml:space="preserve"> and the budget documents do not provide an explanation for the changes. </w:t>
            </w:r>
          </w:p>
        </w:tc>
      </w:tr>
    </w:tbl>
    <w:bookmarkEnd w:id="92"/>
    <w:p w14:paraId="3D045A52" w14:textId="77777777" w:rsidR="00C94D37" w:rsidRPr="00890A84" w:rsidRDefault="00867DDD" w:rsidP="00BA6B2B">
      <w:pPr>
        <w:pStyle w:val="Heading5"/>
      </w:pPr>
      <w:r w:rsidRPr="00890A84">
        <w:t>PI-</w:t>
      </w:r>
      <w:r w:rsidR="00C94D37" w:rsidRPr="00890A84">
        <w:t>16.1. Medium-term expenditure estimates</w:t>
      </w:r>
    </w:p>
    <w:p w14:paraId="04191313" w14:textId="41B0C9B6" w:rsidR="000647D8" w:rsidRPr="00BA08FC" w:rsidRDefault="005B3ACF" w:rsidP="006E7B98">
      <w:pPr>
        <w:spacing w:after="240"/>
        <w:rPr>
          <w:sz w:val="22"/>
        </w:rPr>
      </w:pPr>
      <w:r w:rsidRPr="00BA08FC">
        <w:rPr>
          <w:sz w:val="22"/>
        </w:rPr>
        <w:t>The county government prepares medium</w:t>
      </w:r>
      <w:r w:rsidR="0013758F">
        <w:rPr>
          <w:sz w:val="22"/>
        </w:rPr>
        <w:t>-</w:t>
      </w:r>
      <w:r w:rsidRPr="00BA08FC">
        <w:rPr>
          <w:sz w:val="22"/>
        </w:rPr>
        <w:t>term expenditure estimates by administrative, economic</w:t>
      </w:r>
      <w:r w:rsidR="0013758F">
        <w:rPr>
          <w:sz w:val="22"/>
        </w:rPr>
        <w:t>,</w:t>
      </w:r>
      <w:r w:rsidRPr="00BA08FC">
        <w:rPr>
          <w:sz w:val="22"/>
        </w:rPr>
        <w:t xml:space="preserve"> and functional classification, which are presented in both budget estimates </w:t>
      </w:r>
      <w:r w:rsidR="00AE7C64" w:rsidRPr="00BA08FC">
        <w:rPr>
          <w:sz w:val="22"/>
        </w:rPr>
        <w:t>and the C</w:t>
      </w:r>
      <w:r w:rsidR="00514EE0" w:rsidRPr="00BA08FC">
        <w:rPr>
          <w:sz w:val="22"/>
        </w:rPr>
        <w:t>F</w:t>
      </w:r>
      <w:r w:rsidR="00D42993" w:rsidRPr="00BA08FC">
        <w:rPr>
          <w:sz w:val="22"/>
        </w:rPr>
        <w:t>S</w:t>
      </w:r>
      <w:r w:rsidR="00514EE0" w:rsidRPr="00BA08FC">
        <w:rPr>
          <w:sz w:val="22"/>
        </w:rPr>
        <w:t>P</w:t>
      </w:r>
      <w:r w:rsidR="002351FE" w:rsidRPr="00BA08FC">
        <w:rPr>
          <w:sz w:val="22"/>
        </w:rPr>
        <w:t>.</w:t>
      </w:r>
      <w:r w:rsidR="00B8438A" w:rsidRPr="00BA08FC">
        <w:rPr>
          <w:sz w:val="22"/>
        </w:rPr>
        <w:t xml:space="preserve"> </w:t>
      </w:r>
      <w:r w:rsidR="000647D8" w:rsidRPr="00BA08FC">
        <w:rPr>
          <w:sz w:val="22"/>
        </w:rPr>
        <w:t>The Kajiado County has established County Budget and Economic Forums (CBEFs) as a formalized platform for public consultations on matters of county planning and budget.</w:t>
      </w:r>
      <w:r w:rsidR="009209D3" w:rsidRPr="00BA08FC">
        <w:rPr>
          <w:sz w:val="22"/>
        </w:rPr>
        <w:t xml:space="preserve"> However, these CBEFs are not functional and majority of civil society felt the process of constituting them was not transparent and integral.</w:t>
      </w:r>
    </w:p>
    <w:p w14:paraId="77C2C821" w14:textId="36371F0A" w:rsidR="008A646C" w:rsidRPr="00BA08FC" w:rsidRDefault="00035673" w:rsidP="006E7B98">
      <w:pPr>
        <w:spacing w:after="240"/>
        <w:rPr>
          <w:sz w:val="22"/>
        </w:rPr>
      </w:pPr>
      <w:r w:rsidRPr="00BA08FC">
        <w:rPr>
          <w:sz w:val="22"/>
        </w:rPr>
        <w:t>In summary, t</w:t>
      </w:r>
      <w:r w:rsidR="00B8438A" w:rsidRPr="00BA08FC">
        <w:rPr>
          <w:sz w:val="22"/>
        </w:rPr>
        <w:t>he county government prepares medium</w:t>
      </w:r>
      <w:r w:rsidR="0013758F">
        <w:rPr>
          <w:sz w:val="22"/>
        </w:rPr>
        <w:t>-</w:t>
      </w:r>
      <w:r w:rsidR="00B8438A" w:rsidRPr="00BA08FC">
        <w:rPr>
          <w:sz w:val="22"/>
        </w:rPr>
        <w:t>term expenditure estimates by administrative, economic</w:t>
      </w:r>
      <w:r w:rsidR="0013758F">
        <w:rPr>
          <w:sz w:val="22"/>
        </w:rPr>
        <w:t>,</w:t>
      </w:r>
      <w:r w:rsidR="00B8438A" w:rsidRPr="00BA08FC">
        <w:rPr>
          <w:sz w:val="22"/>
        </w:rPr>
        <w:t xml:space="preserve"> and functional classification, which are presented in both budget estimates and the CSFP. </w:t>
      </w:r>
    </w:p>
    <w:p w14:paraId="7B242C95" w14:textId="7BAE86E4" w:rsidR="008A646C" w:rsidRPr="00BA08FC" w:rsidRDefault="008A646C" w:rsidP="006E7B98">
      <w:pPr>
        <w:spacing w:after="240"/>
        <w:rPr>
          <w:b/>
          <w:sz w:val="22"/>
        </w:rPr>
      </w:pPr>
      <w:r w:rsidRPr="00BA08FC">
        <w:rPr>
          <w:b/>
          <w:sz w:val="22"/>
        </w:rPr>
        <w:t>Dimension rating = A</w:t>
      </w:r>
    </w:p>
    <w:p w14:paraId="72A8DAEB" w14:textId="77777777" w:rsidR="00C94D37" w:rsidRPr="00890A84" w:rsidRDefault="00867DDD" w:rsidP="00BA6B2B">
      <w:pPr>
        <w:pStyle w:val="Heading5"/>
      </w:pPr>
      <w:r w:rsidRPr="00890A84">
        <w:t>PI-</w:t>
      </w:r>
      <w:r w:rsidR="00C94D37" w:rsidRPr="00890A84">
        <w:t xml:space="preserve">16.2. Medium-term expenditure ceilings </w:t>
      </w:r>
    </w:p>
    <w:p w14:paraId="249179E2" w14:textId="7179C4DF" w:rsidR="008A646C" w:rsidRPr="00BA08FC" w:rsidRDefault="005B3ACF" w:rsidP="006E7B98">
      <w:pPr>
        <w:spacing w:after="240"/>
        <w:rPr>
          <w:sz w:val="22"/>
        </w:rPr>
      </w:pPr>
      <w:r w:rsidRPr="00BA08FC">
        <w:rPr>
          <w:sz w:val="22"/>
        </w:rPr>
        <w:t xml:space="preserve">The </w:t>
      </w:r>
      <w:r w:rsidR="0013758F">
        <w:rPr>
          <w:sz w:val="22"/>
        </w:rPr>
        <w:t>c</w:t>
      </w:r>
      <w:r w:rsidRPr="00BA08FC">
        <w:rPr>
          <w:sz w:val="22"/>
        </w:rPr>
        <w:t xml:space="preserve">ounty government issues preliminary expenditure ceilings in the </w:t>
      </w:r>
      <w:r w:rsidR="00AE7C64" w:rsidRPr="00BA08FC">
        <w:rPr>
          <w:sz w:val="22"/>
        </w:rPr>
        <w:t>CBROP</w:t>
      </w:r>
      <w:r w:rsidR="00D42993" w:rsidRPr="00BA08FC">
        <w:rPr>
          <w:sz w:val="22"/>
        </w:rPr>
        <w:t>,</w:t>
      </w:r>
      <w:r w:rsidRPr="00BA08FC">
        <w:rPr>
          <w:sz w:val="22"/>
        </w:rPr>
        <w:t xml:space="preserve"> which are finalized and approved in the C</w:t>
      </w:r>
      <w:r w:rsidR="00514EE0" w:rsidRPr="00BA08FC">
        <w:rPr>
          <w:sz w:val="22"/>
        </w:rPr>
        <w:t>F</w:t>
      </w:r>
      <w:r w:rsidR="00D42993" w:rsidRPr="00BA08FC">
        <w:rPr>
          <w:sz w:val="22"/>
        </w:rPr>
        <w:t>S</w:t>
      </w:r>
      <w:r w:rsidR="00514EE0" w:rsidRPr="00BA08FC">
        <w:rPr>
          <w:sz w:val="22"/>
        </w:rPr>
        <w:t>P</w:t>
      </w:r>
      <w:r w:rsidRPr="00BA08FC">
        <w:rPr>
          <w:sz w:val="22"/>
        </w:rPr>
        <w:t>. The expenditure ceilings are not included in the budget circular.</w:t>
      </w:r>
      <w:r w:rsidR="008A646C" w:rsidRPr="00BA08FC">
        <w:rPr>
          <w:sz w:val="22"/>
        </w:rPr>
        <w:t xml:space="preserve"> </w:t>
      </w:r>
    </w:p>
    <w:p w14:paraId="1ECAAF84" w14:textId="67829C84" w:rsidR="008A646C" w:rsidRPr="00BA08FC" w:rsidRDefault="008A646C" w:rsidP="006E7B98">
      <w:pPr>
        <w:spacing w:after="240"/>
        <w:rPr>
          <w:b/>
          <w:sz w:val="22"/>
        </w:rPr>
      </w:pPr>
      <w:r w:rsidRPr="00BA08FC">
        <w:rPr>
          <w:b/>
          <w:sz w:val="22"/>
        </w:rPr>
        <w:t>Dimension rating = D</w:t>
      </w:r>
    </w:p>
    <w:p w14:paraId="761A2364" w14:textId="77777777" w:rsidR="00C94D37" w:rsidRPr="00890A84" w:rsidRDefault="00867DDD" w:rsidP="00BA6B2B">
      <w:pPr>
        <w:pStyle w:val="Heading5"/>
      </w:pPr>
      <w:r w:rsidRPr="00890A84">
        <w:t>PI-</w:t>
      </w:r>
      <w:r w:rsidR="00C94D37" w:rsidRPr="00890A84">
        <w:t xml:space="preserve">16.3. Alignment of strategic plans and medium-term budgets </w:t>
      </w:r>
    </w:p>
    <w:p w14:paraId="70037E9F" w14:textId="75D231E6" w:rsidR="008A646C" w:rsidRPr="00BA08FC" w:rsidRDefault="00A32237" w:rsidP="006E7B98">
      <w:pPr>
        <w:spacing w:after="240"/>
        <w:rPr>
          <w:sz w:val="22"/>
        </w:rPr>
      </w:pPr>
      <w:r w:rsidRPr="00BA08FC">
        <w:rPr>
          <w:sz w:val="22"/>
        </w:rPr>
        <w:t xml:space="preserve">The county government prepared strategic plans for </w:t>
      </w:r>
      <w:r w:rsidR="0013758F">
        <w:rPr>
          <w:sz w:val="22"/>
        </w:rPr>
        <w:t xml:space="preserve">the </w:t>
      </w:r>
      <w:r w:rsidRPr="00BA08FC">
        <w:rPr>
          <w:sz w:val="22"/>
        </w:rPr>
        <w:t>education, health</w:t>
      </w:r>
      <w:r w:rsidR="0013758F">
        <w:rPr>
          <w:sz w:val="22"/>
        </w:rPr>
        <w:t>,</w:t>
      </w:r>
      <w:r w:rsidRPr="00BA08FC">
        <w:rPr>
          <w:sz w:val="22"/>
        </w:rPr>
        <w:t xml:space="preserve"> and agriculture sectors. However, the strategic plans are not aligned </w:t>
      </w:r>
      <w:r w:rsidR="00D42993" w:rsidRPr="00BA08FC">
        <w:rPr>
          <w:sz w:val="22"/>
        </w:rPr>
        <w:t>to</w:t>
      </w:r>
      <w:r w:rsidRPr="00BA08FC">
        <w:rPr>
          <w:sz w:val="22"/>
        </w:rPr>
        <w:t xml:space="preserve"> the budget estimates</w:t>
      </w:r>
      <w:r w:rsidR="00AE7C64" w:rsidRPr="00BA08FC">
        <w:rPr>
          <w:sz w:val="22"/>
        </w:rPr>
        <w:t>,</w:t>
      </w:r>
      <w:r w:rsidRPr="00BA08FC">
        <w:rPr>
          <w:sz w:val="22"/>
        </w:rPr>
        <w:t xml:space="preserve"> because budget estimates are mainly guided by the </w:t>
      </w:r>
      <w:r w:rsidR="00D42993" w:rsidRPr="00BA08FC">
        <w:rPr>
          <w:sz w:val="22"/>
        </w:rPr>
        <w:t>ADP</w:t>
      </w:r>
      <w:r w:rsidRPr="00BA08FC">
        <w:rPr>
          <w:sz w:val="22"/>
        </w:rPr>
        <w:t xml:space="preserve">, which is based on the </w:t>
      </w:r>
      <w:r w:rsidR="00AE7C64" w:rsidRPr="00BA08FC">
        <w:rPr>
          <w:sz w:val="22"/>
        </w:rPr>
        <w:t>CIDP</w:t>
      </w:r>
      <w:r w:rsidRPr="00BA08FC">
        <w:rPr>
          <w:sz w:val="22"/>
        </w:rPr>
        <w:t>.</w:t>
      </w:r>
      <w:r w:rsidR="00B8438A" w:rsidRPr="00BA08FC">
        <w:rPr>
          <w:sz w:val="22"/>
        </w:rPr>
        <w:t xml:space="preserve"> </w:t>
      </w:r>
    </w:p>
    <w:p w14:paraId="71BB9CBC" w14:textId="18BB5763" w:rsidR="008A646C" w:rsidRPr="00BA08FC" w:rsidRDefault="008A646C" w:rsidP="006E7B98">
      <w:pPr>
        <w:spacing w:after="240"/>
        <w:rPr>
          <w:b/>
          <w:sz w:val="22"/>
        </w:rPr>
      </w:pPr>
      <w:r w:rsidRPr="00BA08FC">
        <w:rPr>
          <w:b/>
          <w:sz w:val="22"/>
        </w:rPr>
        <w:t>Dimension rating = D</w:t>
      </w:r>
    </w:p>
    <w:p w14:paraId="3FAE531E" w14:textId="77777777" w:rsidR="00FD74E3" w:rsidRPr="00890A84" w:rsidRDefault="00867DDD" w:rsidP="00BA6B2B">
      <w:pPr>
        <w:pStyle w:val="Heading5"/>
      </w:pPr>
      <w:r w:rsidRPr="00890A84">
        <w:t>PI-</w:t>
      </w:r>
      <w:r w:rsidR="00C94D37" w:rsidRPr="00890A84">
        <w:t>16.4. Consistency of budgets with previous year’s estimates</w:t>
      </w:r>
    </w:p>
    <w:p w14:paraId="1DB76A63" w14:textId="24D72DA9" w:rsidR="00D42993" w:rsidRPr="00BA08FC" w:rsidRDefault="00B82EC2" w:rsidP="006E7B98">
      <w:pPr>
        <w:spacing w:after="240"/>
        <w:rPr>
          <w:sz w:val="22"/>
        </w:rPr>
      </w:pPr>
      <w:r w:rsidRPr="00BA08FC">
        <w:rPr>
          <w:sz w:val="22"/>
        </w:rPr>
        <w:t>T</w:t>
      </w:r>
      <w:r w:rsidR="00AE74D8" w:rsidRPr="00BA08FC">
        <w:rPr>
          <w:sz w:val="22"/>
        </w:rPr>
        <w:t>he budget allocation for County A</w:t>
      </w:r>
      <w:r w:rsidR="00A32237" w:rsidRPr="00BA08FC">
        <w:rPr>
          <w:sz w:val="22"/>
        </w:rPr>
        <w:t>ssembly in the second year (2017/18) of the 2016/17</w:t>
      </w:r>
      <w:r w:rsidR="0013758F">
        <w:rPr>
          <w:sz w:val="22"/>
        </w:rPr>
        <w:t>–</w:t>
      </w:r>
      <w:r w:rsidR="00A32237" w:rsidRPr="00BA08FC">
        <w:rPr>
          <w:sz w:val="22"/>
        </w:rPr>
        <w:t xml:space="preserve">2018/19 MTEF period was </w:t>
      </w:r>
      <w:r w:rsidR="00E73ED7">
        <w:rPr>
          <w:sz w:val="22"/>
        </w:rPr>
        <w:t>Ksh</w:t>
      </w:r>
      <w:r w:rsidR="00A32237" w:rsidRPr="00BA08FC">
        <w:rPr>
          <w:sz w:val="22"/>
        </w:rPr>
        <w:t xml:space="preserve"> 448 million. In the 2017/18 to 2019/20 MTEF period, the ceiling for 2017/18 was changed to </w:t>
      </w:r>
      <w:r w:rsidR="00E73ED7">
        <w:rPr>
          <w:sz w:val="22"/>
        </w:rPr>
        <w:t>Ksh</w:t>
      </w:r>
      <w:r w:rsidR="00A32237" w:rsidRPr="00BA08FC">
        <w:rPr>
          <w:sz w:val="22"/>
        </w:rPr>
        <w:t xml:space="preserve"> 466 million but no explanation was given for the change.</w:t>
      </w:r>
    </w:p>
    <w:p w14:paraId="48B65654" w14:textId="6DFF8209" w:rsidR="008A646C" w:rsidRPr="00BA08FC" w:rsidRDefault="00035673" w:rsidP="006E7B98">
      <w:pPr>
        <w:spacing w:after="240"/>
        <w:rPr>
          <w:sz w:val="22"/>
        </w:rPr>
      </w:pPr>
      <w:r w:rsidRPr="00BA08FC">
        <w:rPr>
          <w:sz w:val="22"/>
        </w:rPr>
        <w:t>In summary, t</w:t>
      </w:r>
      <w:r w:rsidR="00B82EC2" w:rsidRPr="00BA08FC">
        <w:rPr>
          <w:sz w:val="22"/>
        </w:rPr>
        <w:t>here is no consistency in medium</w:t>
      </w:r>
      <w:r w:rsidR="0013758F">
        <w:rPr>
          <w:sz w:val="22"/>
        </w:rPr>
        <w:t>-</w:t>
      </w:r>
      <w:r w:rsidR="00B82EC2" w:rsidRPr="00BA08FC">
        <w:rPr>
          <w:sz w:val="22"/>
        </w:rPr>
        <w:t xml:space="preserve">term estimates for the different MTEF periods, while the budget documents do not provide an explanation for the changes. </w:t>
      </w:r>
    </w:p>
    <w:p w14:paraId="06EEA272" w14:textId="7E2C84B5" w:rsidR="008A646C" w:rsidRPr="00BA08FC" w:rsidRDefault="008A646C" w:rsidP="006E7B98">
      <w:pPr>
        <w:spacing w:after="240"/>
        <w:rPr>
          <w:b/>
          <w:sz w:val="22"/>
        </w:rPr>
      </w:pPr>
      <w:r w:rsidRPr="00BA08FC">
        <w:rPr>
          <w:b/>
          <w:sz w:val="22"/>
        </w:rPr>
        <w:t>Dimension rating = D</w:t>
      </w:r>
    </w:p>
    <w:p w14:paraId="588715A9" w14:textId="77777777" w:rsidR="00BB1084" w:rsidRPr="00590C8E" w:rsidRDefault="00BB1084" w:rsidP="00590C8E">
      <w:pPr>
        <w:pStyle w:val="Heading4"/>
      </w:pPr>
      <w:r w:rsidRPr="00590C8E">
        <w:t>PI-17. Budget preparation process</w:t>
      </w:r>
    </w:p>
    <w:p w14:paraId="5E647797" w14:textId="77777777" w:rsidR="003E5B0C" w:rsidRPr="00890A84" w:rsidRDefault="003E5B0C" w:rsidP="00BA6B2B">
      <w:pPr>
        <w:pStyle w:val="Heading5"/>
      </w:pPr>
      <w:r>
        <w:t>Summary of scores and performance table</w:t>
      </w:r>
    </w:p>
    <w:tbl>
      <w:tblPr>
        <w:tblW w:w="960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950"/>
        <w:gridCol w:w="844"/>
        <w:gridCol w:w="5812"/>
      </w:tblGrid>
      <w:tr w:rsidR="003E5B0C" w:rsidRPr="00BA08FC" w14:paraId="506855B3" w14:textId="77777777" w:rsidTr="00BA08FC">
        <w:trPr>
          <w:tblHeader/>
        </w:trPr>
        <w:tc>
          <w:tcPr>
            <w:tcW w:w="2950" w:type="dxa"/>
            <w:shd w:val="clear" w:color="auto" w:fill="5B9BD5"/>
          </w:tcPr>
          <w:p w14:paraId="4F4CC68E" w14:textId="0DE40EDC" w:rsidR="003E5B0C" w:rsidRPr="00BA08FC" w:rsidRDefault="003E5B0C" w:rsidP="00BA08FC">
            <w:pPr>
              <w:jc w:val="center"/>
              <w:rPr>
                <w:b/>
                <w:color w:val="FFFFFF" w:themeColor="background1"/>
                <w:sz w:val="20"/>
                <w:szCs w:val="20"/>
              </w:rPr>
            </w:pPr>
            <w:r w:rsidRPr="00BA08FC">
              <w:rPr>
                <w:b/>
                <w:color w:val="FFFFFF" w:themeColor="background1"/>
                <w:sz w:val="20"/>
                <w:szCs w:val="20"/>
              </w:rPr>
              <w:t>PI-17</w:t>
            </w:r>
            <w:r w:rsidR="00187BED">
              <w:rPr>
                <w:b/>
                <w:color w:val="FFFFFF" w:themeColor="background1"/>
                <w:sz w:val="20"/>
                <w:szCs w:val="20"/>
              </w:rPr>
              <w:t>.</w:t>
            </w:r>
            <w:r w:rsidRPr="00BA08FC">
              <w:rPr>
                <w:b/>
                <w:color w:val="FFFFFF" w:themeColor="background1"/>
                <w:sz w:val="20"/>
                <w:szCs w:val="20"/>
              </w:rPr>
              <w:t xml:space="preserve"> Budget preparation process (M2)</w:t>
            </w:r>
          </w:p>
        </w:tc>
        <w:tc>
          <w:tcPr>
            <w:tcW w:w="844" w:type="dxa"/>
            <w:shd w:val="clear" w:color="auto" w:fill="5B9BD5"/>
          </w:tcPr>
          <w:p w14:paraId="4F6A023D" w14:textId="52C00779" w:rsidR="003E5B0C" w:rsidRPr="00BA08FC" w:rsidRDefault="0010185F" w:rsidP="00BA08FC">
            <w:pPr>
              <w:jc w:val="center"/>
              <w:rPr>
                <w:b/>
                <w:color w:val="FFFFFF" w:themeColor="background1"/>
                <w:sz w:val="20"/>
                <w:szCs w:val="20"/>
              </w:rPr>
            </w:pPr>
            <w:r w:rsidRPr="00BA08FC">
              <w:rPr>
                <w:b/>
                <w:color w:val="FFFFFF" w:themeColor="background1"/>
                <w:sz w:val="20"/>
                <w:szCs w:val="20"/>
              </w:rPr>
              <w:t>B</w:t>
            </w:r>
          </w:p>
        </w:tc>
        <w:tc>
          <w:tcPr>
            <w:tcW w:w="5812" w:type="dxa"/>
            <w:shd w:val="clear" w:color="auto" w:fill="5B9BD5"/>
          </w:tcPr>
          <w:p w14:paraId="30E4B108"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Brief justification for score</w:t>
            </w:r>
          </w:p>
        </w:tc>
      </w:tr>
      <w:tr w:rsidR="003E5B0C" w:rsidRPr="00BA08FC" w14:paraId="5B13FEDB" w14:textId="77777777" w:rsidTr="00BA08FC">
        <w:tc>
          <w:tcPr>
            <w:tcW w:w="2950" w:type="dxa"/>
            <w:shd w:val="clear" w:color="auto" w:fill="auto"/>
          </w:tcPr>
          <w:p w14:paraId="4DAC8D0B" w14:textId="77777777" w:rsidR="003E5B0C" w:rsidRPr="00BA08FC" w:rsidRDefault="003E5B0C" w:rsidP="00BA08FC">
            <w:pPr>
              <w:jc w:val="left"/>
              <w:rPr>
                <w:sz w:val="20"/>
                <w:szCs w:val="20"/>
              </w:rPr>
            </w:pPr>
            <w:r w:rsidRPr="00BA08FC">
              <w:rPr>
                <w:sz w:val="20"/>
                <w:szCs w:val="20"/>
              </w:rPr>
              <w:t xml:space="preserve">17.1 Budget calendar </w:t>
            </w:r>
          </w:p>
        </w:tc>
        <w:tc>
          <w:tcPr>
            <w:tcW w:w="844" w:type="dxa"/>
            <w:shd w:val="clear" w:color="auto" w:fill="auto"/>
          </w:tcPr>
          <w:p w14:paraId="6FABB0BE" w14:textId="77777777" w:rsidR="003E5B0C" w:rsidRPr="00BA08FC" w:rsidRDefault="003E5B0C" w:rsidP="003A5747">
            <w:pPr>
              <w:jc w:val="center"/>
              <w:rPr>
                <w:sz w:val="20"/>
                <w:szCs w:val="20"/>
              </w:rPr>
            </w:pPr>
            <w:r w:rsidRPr="00BA08FC">
              <w:rPr>
                <w:sz w:val="20"/>
                <w:szCs w:val="20"/>
              </w:rPr>
              <w:t>B</w:t>
            </w:r>
          </w:p>
        </w:tc>
        <w:tc>
          <w:tcPr>
            <w:tcW w:w="5812" w:type="dxa"/>
            <w:shd w:val="clear" w:color="auto" w:fill="auto"/>
          </w:tcPr>
          <w:p w14:paraId="28A84962" w14:textId="77777777" w:rsidR="003E5B0C" w:rsidRPr="00BA08FC" w:rsidRDefault="003E5B0C" w:rsidP="00BA08FC">
            <w:pPr>
              <w:jc w:val="left"/>
              <w:rPr>
                <w:sz w:val="20"/>
                <w:szCs w:val="20"/>
              </w:rPr>
            </w:pPr>
            <w:r w:rsidRPr="00BA08FC">
              <w:rPr>
                <w:sz w:val="20"/>
                <w:szCs w:val="20"/>
              </w:rPr>
              <w:t>A clear annual budget calendar exists, is generally adhered to, and allows budgetary units at least four weeks from receipt of the budget circular to meaningfully complete their detailed estimates on time.</w:t>
            </w:r>
          </w:p>
        </w:tc>
      </w:tr>
      <w:tr w:rsidR="003E5B0C" w:rsidRPr="00BA08FC" w14:paraId="49749333" w14:textId="77777777" w:rsidTr="00BA08FC">
        <w:tc>
          <w:tcPr>
            <w:tcW w:w="2950" w:type="dxa"/>
            <w:shd w:val="clear" w:color="auto" w:fill="auto"/>
          </w:tcPr>
          <w:p w14:paraId="2924F1A0" w14:textId="77777777" w:rsidR="003E5B0C" w:rsidRPr="00BA08FC" w:rsidRDefault="003E5B0C" w:rsidP="00BA08FC">
            <w:pPr>
              <w:jc w:val="left"/>
              <w:rPr>
                <w:sz w:val="20"/>
                <w:szCs w:val="20"/>
              </w:rPr>
            </w:pPr>
            <w:r w:rsidRPr="00BA08FC">
              <w:rPr>
                <w:sz w:val="20"/>
                <w:szCs w:val="20"/>
              </w:rPr>
              <w:t xml:space="preserve">17.2 Guidance on budget preparation </w:t>
            </w:r>
          </w:p>
        </w:tc>
        <w:tc>
          <w:tcPr>
            <w:tcW w:w="844" w:type="dxa"/>
            <w:shd w:val="clear" w:color="auto" w:fill="auto"/>
          </w:tcPr>
          <w:p w14:paraId="09564758" w14:textId="77777777" w:rsidR="003E5B0C" w:rsidRPr="00BA08FC" w:rsidRDefault="003E5B0C" w:rsidP="003A5747">
            <w:pPr>
              <w:jc w:val="center"/>
              <w:rPr>
                <w:sz w:val="20"/>
                <w:szCs w:val="20"/>
              </w:rPr>
            </w:pPr>
            <w:r w:rsidRPr="00BA08FC">
              <w:rPr>
                <w:sz w:val="20"/>
                <w:szCs w:val="20"/>
              </w:rPr>
              <w:t>D</w:t>
            </w:r>
          </w:p>
        </w:tc>
        <w:tc>
          <w:tcPr>
            <w:tcW w:w="5812" w:type="dxa"/>
            <w:shd w:val="clear" w:color="auto" w:fill="auto"/>
          </w:tcPr>
          <w:p w14:paraId="4DFBA1A2" w14:textId="0CEC1442" w:rsidR="003E5B0C" w:rsidRPr="00BA08FC" w:rsidRDefault="003E5B0C" w:rsidP="00BA08FC">
            <w:pPr>
              <w:jc w:val="left"/>
              <w:rPr>
                <w:sz w:val="20"/>
                <w:szCs w:val="20"/>
              </w:rPr>
            </w:pPr>
            <w:r w:rsidRPr="00BA08FC">
              <w:rPr>
                <w:sz w:val="20"/>
                <w:szCs w:val="20"/>
              </w:rPr>
              <w:t xml:space="preserve">A comprehensive budget circular is issued to budgetary units, covering total budget expenditure for the full </w:t>
            </w:r>
            <w:r w:rsidR="00187BED">
              <w:rPr>
                <w:sz w:val="20"/>
                <w:szCs w:val="20"/>
              </w:rPr>
              <w:t>FY</w:t>
            </w:r>
            <w:r w:rsidRPr="00BA08FC">
              <w:rPr>
                <w:sz w:val="20"/>
                <w:szCs w:val="20"/>
              </w:rPr>
              <w:t>. The budget circular does not include ministry ceilings. The approval of ceilings by the cabinet are approved only before sending the budget to the County Assembly.</w:t>
            </w:r>
          </w:p>
        </w:tc>
      </w:tr>
      <w:tr w:rsidR="003E5B0C" w:rsidRPr="00BA08FC" w14:paraId="0AA57B8C" w14:textId="77777777" w:rsidTr="00BA08FC">
        <w:tc>
          <w:tcPr>
            <w:tcW w:w="2950" w:type="dxa"/>
            <w:shd w:val="clear" w:color="auto" w:fill="auto"/>
          </w:tcPr>
          <w:p w14:paraId="183FF315" w14:textId="77777777" w:rsidR="003E5B0C" w:rsidRPr="00BA08FC" w:rsidRDefault="003E5B0C" w:rsidP="00BA08FC">
            <w:pPr>
              <w:jc w:val="left"/>
              <w:rPr>
                <w:sz w:val="20"/>
                <w:szCs w:val="20"/>
              </w:rPr>
            </w:pPr>
            <w:r w:rsidRPr="00BA08FC">
              <w:rPr>
                <w:sz w:val="20"/>
                <w:szCs w:val="20"/>
              </w:rPr>
              <w:t xml:space="preserve">17.3 Budget submission to the legislature </w:t>
            </w:r>
          </w:p>
        </w:tc>
        <w:tc>
          <w:tcPr>
            <w:tcW w:w="844" w:type="dxa"/>
            <w:shd w:val="clear" w:color="auto" w:fill="auto"/>
          </w:tcPr>
          <w:p w14:paraId="685D2127" w14:textId="77777777" w:rsidR="003E5B0C" w:rsidRPr="00BA08FC" w:rsidRDefault="003E5B0C" w:rsidP="003A5747">
            <w:pPr>
              <w:jc w:val="center"/>
              <w:rPr>
                <w:sz w:val="20"/>
                <w:szCs w:val="20"/>
              </w:rPr>
            </w:pPr>
            <w:r w:rsidRPr="00BA08FC">
              <w:rPr>
                <w:sz w:val="20"/>
                <w:szCs w:val="20"/>
              </w:rPr>
              <w:t>A</w:t>
            </w:r>
          </w:p>
        </w:tc>
        <w:tc>
          <w:tcPr>
            <w:tcW w:w="5812" w:type="dxa"/>
            <w:shd w:val="clear" w:color="auto" w:fill="auto"/>
          </w:tcPr>
          <w:p w14:paraId="57CDBBAB" w14:textId="2BD3A0AC" w:rsidR="003E5B0C" w:rsidRPr="00BA08FC" w:rsidRDefault="003E5B0C" w:rsidP="00BA08FC">
            <w:pPr>
              <w:jc w:val="left"/>
              <w:rPr>
                <w:sz w:val="20"/>
                <w:szCs w:val="20"/>
              </w:rPr>
            </w:pPr>
            <w:r w:rsidRPr="00BA08FC">
              <w:rPr>
                <w:sz w:val="20"/>
                <w:szCs w:val="20"/>
              </w:rPr>
              <w:t xml:space="preserve">The </w:t>
            </w:r>
            <w:r w:rsidR="00187BED">
              <w:rPr>
                <w:sz w:val="20"/>
                <w:szCs w:val="20"/>
              </w:rPr>
              <w:t>E</w:t>
            </w:r>
            <w:r w:rsidRPr="00BA08FC">
              <w:rPr>
                <w:sz w:val="20"/>
                <w:szCs w:val="20"/>
              </w:rPr>
              <w:t xml:space="preserve">xecutive has submitted the annual budget proposal to the legislature at least two months before the start of the </w:t>
            </w:r>
            <w:r w:rsidR="00187BED">
              <w:rPr>
                <w:sz w:val="20"/>
                <w:szCs w:val="20"/>
              </w:rPr>
              <w:t>FY</w:t>
            </w:r>
            <w:r w:rsidRPr="00BA08FC">
              <w:rPr>
                <w:sz w:val="20"/>
                <w:szCs w:val="20"/>
              </w:rPr>
              <w:t xml:space="preserve"> in each of the last three years.</w:t>
            </w:r>
          </w:p>
        </w:tc>
      </w:tr>
    </w:tbl>
    <w:p w14:paraId="0AE7BD53" w14:textId="77777777" w:rsidR="00C94D37" w:rsidRPr="00890A84" w:rsidRDefault="00867DDD" w:rsidP="00BA6B2B">
      <w:pPr>
        <w:pStyle w:val="Heading5"/>
      </w:pPr>
      <w:r w:rsidRPr="00890A84">
        <w:t>PI-</w:t>
      </w:r>
      <w:r w:rsidR="00C94D37" w:rsidRPr="00890A84">
        <w:t xml:space="preserve">17.1 Budget calendar </w:t>
      </w:r>
    </w:p>
    <w:p w14:paraId="7756D518" w14:textId="0E1A4EB3" w:rsidR="00950BEC" w:rsidRPr="00BA08FC" w:rsidRDefault="00AE74D8" w:rsidP="006E7B98">
      <w:pPr>
        <w:spacing w:after="240"/>
        <w:rPr>
          <w:sz w:val="22"/>
        </w:rPr>
      </w:pPr>
      <w:r w:rsidRPr="00BA08FC">
        <w:rPr>
          <w:sz w:val="22"/>
        </w:rPr>
        <w:t>The county has a</w:t>
      </w:r>
      <w:r w:rsidR="00950BEC" w:rsidRPr="00BA08FC">
        <w:rPr>
          <w:sz w:val="22"/>
        </w:rPr>
        <w:t xml:space="preserve"> clear budget calendar </w:t>
      </w:r>
      <w:r w:rsidRPr="00BA08FC">
        <w:rPr>
          <w:sz w:val="22"/>
        </w:rPr>
        <w:t xml:space="preserve">and </w:t>
      </w:r>
      <w:r w:rsidR="00950BEC" w:rsidRPr="00BA08FC">
        <w:rPr>
          <w:sz w:val="22"/>
        </w:rPr>
        <w:t xml:space="preserve">is appended to the budget circular. </w:t>
      </w:r>
      <w:r w:rsidR="00615A9C" w:rsidRPr="00BA08FC">
        <w:rPr>
          <w:sz w:val="22"/>
        </w:rPr>
        <w:t>The</w:t>
      </w:r>
      <w:r w:rsidR="003E5424" w:rsidRPr="00BA08FC">
        <w:rPr>
          <w:sz w:val="22"/>
        </w:rPr>
        <w:t xml:space="preserve"> detailed budget calendar for </w:t>
      </w:r>
      <w:r w:rsidR="00187BED">
        <w:rPr>
          <w:sz w:val="22"/>
        </w:rPr>
        <w:t>FY</w:t>
      </w:r>
      <w:r w:rsidR="00615A9C" w:rsidRPr="00BA08FC">
        <w:rPr>
          <w:sz w:val="22"/>
        </w:rPr>
        <w:t xml:space="preserve">2015/16 </w:t>
      </w:r>
      <w:r w:rsidR="003E5424" w:rsidRPr="00BA08FC">
        <w:rPr>
          <w:sz w:val="22"/>
        </w:rPr>
        <w:t>is shown in Table 3.</w:t>
      </w:r>
      <w:r w:rsidR="00187BED">
        <w:rPr>
          <w:sz w:val="22"/>
        </w:rPr>
        <w:t>1</w:t>
      </w:r>
      <w:r w:rsidR="007929DF">
        <w:rPr>
          <w:sz w:val="22"/>
        </w:rPr>
        <w:t>4</w:t>
      </w:r>
      <w:r w:rsidR="003E5424" w:rsidRPr="00BA08FC">
        <w:rPr>
          <w:sz w:val="22"/>
        </w:rPr>
        <w:t>.</w:t>
      </w:r>
    </w:p>
    <w:p w14:paraId="1C41D202" w14:textId="070A4DA0" w:rsidR="00FE07C0" w:rsidRPr="00590C8E" w:rsidRDefault="004B6441" w:rsidP="00590C8E">
      <w:pPr>
        <w:pStyle w:val="TableStyle"/>
      </w:pPr>
      <w:bookmarkStart w:id="93" w:name="_Toc532426101"/>
      <w:bookmarkStart w:id="94" w:name="_Toc530420891"/>
      <w:r>
        <w:t>Table</w:t>
      </w:r>
      <w:r w:rsidR="007929DF">
        <w:t xml:space="preserv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14</w:t>
      </w:r>
      <w:r w:rsidR="008B59A7">
        <w:rPr>
          <w:noProof/>
        </w:rPr>
        <w:fldChar w:fldCharType="end"/>
      </w:r>
      <w:r w:rsidR="00FE07C0" w:rsidRPr="00590C8E">
        <w:t>:</w:t>
      </w:r>
      <w:r w:rsidR="004C3622" w:rsidRPr="00590C8E">
        <w:t xml:space="preserve"> Budget calendar for </w:t>
      </w:r>
      <w:r w:rsidR="00187BED">
        <w:t>FY</w:t>
      </w:r>
      <w:r w:rsidR="004C3622" w:rsidRPr="00590C8E">
        <w:t>2015/</w:t>
      </w:r>
      <w:r w:rsidR="00FE07C0" w:rsidRPr="00590C8E">
        <w:t>16</w:t>
      </w:r>
      <w:bookmarkEnd w:id="93"/>
      <w:bookmarkEnd w:id="94"/>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4025"/>
        <w:gridCol w:w="3013"/>
        <w:gridCol w:w="2312"/>
      </w:tblGrid>
      <w:tr w:rsidR="00A50CA9" w:rsidRPr="00BA08FC" w14:paraId="4FFE7CCA" w14:textId="77777777" w:rsidTr="003E7509">
        <w:trPr>
          <w:tblHeader/>
        </w:trPr>
        <w:tc>
          <w:tcPr>
            <w:tcW w:w="4077" w:type="dxa"/>
            <w:shd w:val="clear" w:color="auto" w:fill="5B9BD5"/>
          </w:tcPr>
          <w:p w14:paraId="24224988" w14:textId="77777777" w:rsidR="00A50CA9" w:rsidRPr="00BA08FC" w:rsidRDefault="009E3EF3" w:rsidP="00BA08FC">
            <w:pPr>
              <w:jc w:val="center"/>
              <w:rPr>
                <w:b/>
                <w:color w:val="FFFFFF" w:themeColor="background1"/>
                <w:sz w:val="20"/>
                <w:szCs w:val="20"/>
              </w:rPr>
            </w:pPr>
            <w:r w:rsidRPr="00BA08FC">
              <w:rPr>
                <w:b/>
                <w:color w:val="FFFFFF" w:themeColor="background1"/>
                <w:sz w:val="20"/>
                <w:szCs w:val="20"/>
              </w:rPr>
              <w:t>Activity</w:t>
            </w:r>
          </w:p>
        </w:tc>
        <w:tc>
          <w:tcPr>
            <w:tcW w:w="3051" w:type="dxa"/>
            <w:shd w:val="clear" w:color="auto" w:fill="5B9BD5"/>
          </w:tcPr>
          <w:p w14:paraId="526B9FBA" w14:textId="37FDE68C" w:rsidR="00A50CA9" w:rsidRPr="00BA08FC" w:rsidRDefault="009E3EF3" w:rsidP="00BA08FC">
            <w:pPr>
              <w:jc w:val="center"/>
              <w:rPr>
                <w:b/>
                <w:color w:val="FFFFFF" w:themeColor="background1"/>
                <w:sz w:val="20"/>
                <w:szCs w:val="20"/>
              </w:rPr>
            </w:pPr>
            <w:r w:rsidRPr="00BA08FC">
              <w:rPr>
                <w:b/>
                <w:color w:val="FFFFFF" w:themeColor="background1"/>
                <w:sz w:val="20"/>
                <w:szCs w:val="20"/>
              </w:rPr>
              <w:t>Responsibility</w:t>
            </w:r>
          </w:p>
        </w:tc>
        <w:tc>
          <w:tcPr>
            <w:tcW w:w="2340" w:type="dxa"/>
            <w:shd w:val="clear" w:color="auto" w:fill="5B9BD5"/>
          </w:tcPr>
          <w:p w14:paraId="05DB7AB1" w14:textId="17082EF0" w:rsidR="00A50CA9" w:rsidRPr="00BA08FC" w:rsidRDefault="009E3EF3" w:rsidP="00BA08FC">
            <w:pPr>
              <w:jc w:val="center"/>
              <w:rPr>
                <w:b/>
                <w:color w:val="FFFFFF" w:themeColor="background1"/>
                <w:sz w:val="20"/>
                <w:szCs w:val="20"/>
              </w:rPr>
            </w:pPr>
            <w:r w:rsidRPr="00BA08FC">
              <w:rPr>
                <w:b/>
                <w:color w:val="FFFFFF" w:themeColor="background1"/>
                <w:sz w:val="20"/>
                <w:szCs w:val="20"/>
              </w:rPr>
              <w:t>Time</w:t>
            </w:r>
            <w:r w:rsidR="00187BED">
              <w:rPr>
                <w:b/>
                <w:color w:val="FFFFFF" w:themeColor="background1"/>
                <w:sz w:val="20"/>
                <w:szCs w:val="20"/>
              </w:rPr>
              <w:t xml:space="preserve"> </w:t>
            </w:r>
            <w:r w:rsidRPr="00BA08FC">
              <w:rPr>
                <w:b/>
                <w:color w:val="FFFFFF" w:themeColor="background1"/>
                <w:sz w:val="20"/>
                <w:szCs w:val="20"/>
              </w:rPr>
              <w:t>frame</w:t>
            </w:r>
          </w:p>
        </w:tc>
      </w:tr>
      <w:tr w:rsidR="00A50CA9" w:rsidRPr="00BA08FC" w14:paraId="301C1B3C" w14:textId="77777777" w:rsidTr="003E7509">
        <w:tc>
          <w:tcPr>
            <w:tcW w:w="4077" w:type="dxa"/>
            <w:shd w:val="clear" w:color="auto" w:fill="auto"/>
          </w:tcPr>
          <w:p w14:paraId="71063CD4" w14:textId="77777777" w:rsidR="00A50CA9" w:rsidRPr="00BA08FC" w:rsidRDefault="00A50CA9" w:rsidP="00BA08FC">
            <w:pPr>
              <w:jc w:val="left"/>
              <w:rPr>
                <w:sz w:val="20"/>
                <w:szCs w:val="20"/>
              </w:rPr>
            </w:pPr>
            <w:r w:rsidRPr="00BA08FC">
              <w:rPr>
                <w:sz w:val="20"/>
                <w:szCs w:val="20"/>
              </w:rPr>
              <w:t>Develop and issue MTEF Guidelines</w:t>
            </w:r>
          </w:p>
        </w:tc>
        <w:tc>
          <w:tcPr>
            <w:tcW w:w="3051" w:type="dxa"/>
            <w:shd w:val="clear" w:color="auto" w:fill="auto"/>
          </w:tcPr>
          <w:p w14:paraId="17587CFD" w14:textId="77777777" w:rsidR="00A50CA9" w:rsidRPr="00BA08FC" w:rsidRDefault="00A50CA9" w:rsidP="00BA08FC">
            <w:pPr>
              <w:jc w:val="left"/>
              <w:rPr>
                <w:sz w:val="20"/>
                <w:szCs w:val="20"/>
              </w:rPr>
            </w:pPr>
            <w:r w:rsidRPr="00BA08FC">
              <w:rPr>
                <w:sz w:val="20"/>
                <w:szCs w:val="20"/>
              </w:rPr>
              <w:t>County Treasury</w:t>
            </w:r>
          </w:p>
        </w:tc>
        <w:tc>
          <w:tcPr>
            <w:tcW w:w="2340" w:type="dxa"/>
            <w:shd w:val="clear" w:color="auto" w:fill="auto"/>
          </w:tcPr>
          <w:p w14:paraId="38BFC602" w14:textId="308C251D" w:rsidR="00A50CA9" w:rsidRPr="00BA08FC" w:rsidRDefault="00A50CA9" w:rsidP="00BA08FC">
            <w:pPr>
              <w:jc w:val="left"/>
              <w:rPr>
                <w:sz w:val="20"/>
                <w:szCs w:val="20"/>
              </w:rPr>
            </w:pPr>
            <w:r w:rsidRPr="00BA08FC">
              <w:rPr>
                <w:sz w:val="20"/>
                <w:szCs w:val="20"/>
              </w:rPr>
              <w:t>August 29</w:t>
            </w:r>
            <w:r w:rsidR="00187BED">
              <w:rPr>
                <w:sz w:val="20"/>
                <w:szCs w:val="20"/>
              </w:rPr>
              <w:t>,</w:t>
            </w:r>
            <w:r w:rsidRPr="00BA08FC">
              <w:rPr>
                <w:sz w:val="20"/>
                <w:szCs w:val="20"/>
              </w:rPr>
              <w:t xml:space="preserve"> 2015</w:t>
            </w:r>
          </w:p>
        </w:tc>
      </w:tr>
      <w:tr w:rsidR="00A50CA9" w:rsidRPr="00BA08FC" w14:paraId="74124FEA" w14:textId="77777777" w:rsidTr="003E7509">
        <w:trPr>
          <w:trHeight w:val="200"/>
        </w:trPr>
        <w:tc>
          <w:tcPr>
            <w:tcW w:w="4077" w:type="dxa"/>
            <w:shd w:val="clear" w:color="auto" w:fill="auto"/>
          </w:tcPr>
          <w:p w14:paraId="414DA4D6" w14:textId="77777777" w:rsidR="00A50CA9" w:rsidRPr="00BA08FC" w:rsidRDefault="00A50CA9" w:rsidP="00BA08FC">
            <w:pPr>
              <w:jc w:val="left"/>
              <w:rPr>
                <w:sz w:val="20"/>
                <w:szCs w:val="20"/>
              </w:rPr>
            </w:pPr>
            <w:r w:rsidRPr="00BA08FC">
              <w:rPr>
                <w:sz w:val="20"/>
                <w:szCs w:val="20"/>
              </w:rPr>
              <w:t>Update Ministerial Strategic Plans</w:t>
            </w:r>
          </w:p>
        </w:tc>
        <w:tc>
          <w:tcPr>
            <w:tcW w:w="3051" w:type="dxa"/>
            <w:shd w:val="clear" w:color="auto" w:fill="auto"/>
          </w:tcPr>
          <w:p w14:paraId="5AB98FFD" w14:textId="77777777" w:rsidR="00A50CA9" w:rsidRPr="00BA08FC" w:rsidRDefault="00A50CA9" w:rsidP="00BA08FC">
            <w:pPr>
              <w:jc w:val="left"/>
              <w:rPr>
                <w:sz w:val="20"/>
                <w:szCs w:val="20"/>
              </w:rPr>
            </w:pPr>
            <w:r w:rsidRPr="00BA08FC">
              <w:rPr>
                <w:sz w:val="20"/>
                <w:szCs w:val="20"/>
              </w:rPr>
              <w:t>MPND/Ministries/Departments</w:t>
            </w:r>
          </w:p>
        </w:tc>
        <w:tc>
          <w:tcPr>
            <w:tcW w:w="2340" w:type="dxa"/>
            <w:shd w:val="clear" w:color="auto" w:fill="auto"/>
          </w:tcPr>
          <w:p w14:paraId="1BD5CC7B" w14:textId="0B788C26" w:rsidR="00A50CA9" w:rsidRPr="00BA08FC" w:rsidRDefault="00A50CA9" w:rsidP="00BA08FC">
            <w:pPr>
              <w:jc w:val="left"/>
              <w:rPr>
                <w:sz w:val="20"/>
                <w:szCs w:val="20"/>
              </w:rPr>
            </w:pPr>
            <w:r w:rsidRPr="00BA08FC">
              <w:rPr>
                <w:sz w:val="20"/>
                <w:szCs w:val="20"/>
              </w:rPr>
              <w:t>Mid-September 2015</w:t>
            </w:r>
          </w:p>
        </w:tc>
      </w:tr>
      <w:tr w:rsidR="00A50CA9" w:rsidRPr="00BA08FC" w14:paraId="7D0C3961" w14:textId="77777777" w:rsidTr="003E7509">
        <w:tc>
          <w:tcPr>
            <w:tcW w:w="4077" w:type="dxa"/>
            <w:shd w:val="clear" w:color="auto" w:fill="auto"/>
          </w:tcPr>
          <w:p w14:paraId="7D90BDEA" w14:textId="1CC883B0" w:rsidR="00A50CA9" w:rsidRPr="00BA08FC" w:rsidRDefault="00A50CA9" w:rsidP="00BA08FC">
            <w:pPr>
              <w:jc w:val="left"/>
              <w:rPr>
                <w:sz w:val="20"/>
                <w:szCs w:val="20"/>
              </w:rPr>
            </w:pPr>
            <w:r w:rsidRPr="00BA08FC">
              <w:rPr>
                <w:sz w:val="20"/>
                <w:szCs w:val="20"/>
              </w:rPr>
              <w:t xml:space="preserve">Develop and approval of </w:t>
            </w:r>
            <w:r w:rsidRPr="008B6A0A">
              <w:rPr>
                <w:sz w:val="20"/>
                <w:szCs w:val="20"/>
              </w:rPr>
              <w:t>ADP</w:t>
            </w:r>
          </w:p>
        </w:tc>
        <w:tc>
          <w:tcPr>
            <w:tcW w:w="3051" w:type="dxa"/>
            <w:shd w:val="clear" w:color="auto" w:fill="auto"/>
          </w:tcPr>
          <w:p w14:paraId="34D2A83A" w14:textId="77777777" w:rsidR="00A50CA9" w:rsidRPr="00BA08FC" w:rsidRDefault="00A50CA9" w:rsidP="00BA08FC">
            <w:pPr>
              <w:jc w:val="left"/>
              <w:rPr>
                <w:sz w:val="20"/>
                <w:szCs w:val="20"/>
              </w:rPr>
            </w:pPr>
            <w:r w:rsidRPr="00BA08FC">
              <w:rPr>
                <w:sz w:val="20"/>
                <w:szCs w:val="20"/>
              </w:rPr>
              <w:t>County Treasury</w:t>
            </w:r>
          </w:p>
        </w:tc>
        <w:tc>
          <w:tcPr>
            <w:tcW w:w="2340" w:type="dxa"/>
            <w:shd w:val="clear" w:color="auto" w:fill="auto"/>
          </w:tcPr>
          <w:p w14:paraId="108C9A68" w14:textId="5370AFF5" w:rsidR="00A50CA9" w:rsidRPr="00BA08FC" w:rsidRDefault="00A50CA9" w:rsidP="00BA08FC">
            <w:pPr>
              <w:jc w:val="left"/>
              <w:rPr>
                <w:sz w:val="20"/>
                <w:szCs w:val="20"/>
              </w:rPr>
            </w:pPr>
            <w:r w:rsidRPr="00BA08FC">
              <w:rPr>
                <w:sz w:val="20"/>
                <w:szCs w:val="20"/>
              </w:rPr>
              <w:t>September 1</w:t>
            </w:r>
            <w:r w:rsidR="00187BED">
              <w:rPr>
                <w:sz w:val="20"/>
                <w:szCs w:val="20"/>
              </w:rPr>
              <w:t>,</w:t>
            </w:r>
            <w:r w:rsidRPr="00BA08FC">
              <w:rPr>
                <w:sz w:val="20"/>
                <w:szCs w:val="20"/>
              </w:rPr>
              <w:t xml:space="preserve"> 2015</w:t>
            </w:r>
          </w:p>
        </w:tc>
      </w:tr>
      <w:tr w:rsidR="00A50CA9" w:rsidRPr="00BA08FC" w14:paraId="24F99F40" w14:textId="77777777" w:rsidTr="003E7509">
        <w:tc>
          <w:tcPr>
            <w:tcW w:w="4077" w:type="dxa"/>
            <w:shd w:val="clear" w:color="auto" w:fill="auto"/>
          </w:tcPr>
          <w:p w14:paraId="590247E1" w14:textId="1E8B3803" w:rsidR="00A50CA9" w:rsidRPr="00BA08FC" w:rsidRDefault="00A50CA9" w:rsidP="00BA08FC">
            <w:pPr>
              <w:jc w:val="left"/>
              <w:rPr>
                <w:sz w:val="20"/>
                <w:szCs w:val="20"/>
              </w:rPr>
            </w:pPr>
            <w:r w:rsidRPr="00BA08FC">
              <w:rPr>
                <w:sz w:val="20"/>
                <w:szCs w:val="20"/>
              </w:rPr>
              <w:t>Develop CBROP</w:t>
            </w:r>
          </w:p>
        </w:tc>
        <w:tc>
          <w:tcPr>
            <w:tcW w:w="3051" w:type="dxa"/>
            <w:shd w:val="clear" w:color="auto" w:fill="auto"/>
          </w:tcPr>
          <w:p w14:paraId="478C7681" w14:textId="709E568A" w:rsidR="00A50CA9" w:rsidRPr="00BA08FC" w:rsidRDefault="00A50CA9" w:rsidP="00BA08FC">
            <w:pPr>
              <w:jc w:val="left"/>
              <w:rPr>
                <w:sz w:val="20"/>
                <w:szCs w:val="20"/>
              </w:rPr>
            </w:pPr>
            <w:r w:rsidRPr="00BA08FC">
              <w:rPr>
                <w:sz w:val="20"/>
                <w:szCs w:val="20"/>
              </w:rPr>
              <w:t xml:space="preserve">Macro </w:t>
            </w:r>
            <w:r w:rsidR="003E7509">
              <w:rPr>
                <w:sz w:val="20"/>
                <w:szCs w:val="20"/>
              </w:rPr>
              <w:t>w</w:t>
            </w:r>
            <w:r w:rsidRPr="00BA08FC">
              <w:rPr>
                <w:sz w:val="20"/>
                <w:szCs w:val="20"/>
              </w:rPr>
              <w:t xml:space="preserve">orking </w:t>
            </w:r>
            <w:r w:rsidR="003E7509">
              <w:rPr>
                <w:sz w:val="20"/>
                <w:szCs w:val="20"/>
              </w:rPr>
              <w:t>g</w:t>
            </w:r>
            <w:r w:rsidRPr="00BA08FC">
              <w:rPr>
                <w:sz w:val="20"/>
                <w:szCs w:val="20"/>
              </w:rPr>
              <w:t xml:space="preserve">roup </w:t>
            </w:r>
          </w:p>
        </w:tc>
        <w:tc>
          <w:tcPr>
            <w:tcW w:w="2340" w:type="dxa"/>
            <w:shd w:val="clear" w:color="auto" w:fill="auto"/>
          </w:tcPr>
          <w:p w14:paraId="72AAFEB0" w14:textId="056AE838" w:rsidR="00A50CA9" w:rsidRPr="00BA08FC" w:rsidRDefault="00A50CA9" w:rsidP="00BA08FC">
            <w:pPr>
              <w:jc w:val="left"/>
              <w:rPr>
                <w:sz w:val="20"/>
                <w:szCs w:val="20"/>
              </w:rPr>
            </w:pPr>
            <w:r w:rsidRPr="00BA08FC">
              <w:rPr>
                <w:sz w:val="20"/>
                <w:szCs w:val="20"/>
              </w:rPr>
              <w:t>September</w:t>
            </w:r>
            <w:r w:rsidR="00187BED">
              <w:rPr>
                <w:sz w:val="20"/>
                <w:szCs w:val="20"/>
              </w:rPr>
              <w:t>–</w:t>
            </w:r>
            <w:r w:rsidRPr="00BA08FC">
              <w:rPr>
                <w:sz w:val="20"/>
                <w:szCs w:val="20"/>
              </w:rPr>
              <w:t>October 2015</w:t>
            </w:r>
          </w:p>
        </w:tc>
      </w:tr>
      <w:tr w:rsidR="00A50CA9" w:rsidRPr="00BA08FC" w14:paraId="19FC5859" w14:textId="77777777" w:rsidTr="003E7509">
        <w:tc>
          <w:tcPr>
            <w:tcW w:w="4077" w:type="dxa"/>
            <w:shd w:val="clear" w:color="auto" w:fill="auto"/>
          </w:tcPr>
          <w:p w14:paraId="175F10BA" w14:textId="40FAA620" w:rsidR="00A50CA9" w:rsidRPr="00BA08FC" w:rsidRDefault="00A50CA9" w:rsidP="00BA08FC">
            <w:pPr>
              <w:jc w:val="left"/>
              <w:rPr>
                <w:sz w:val="20"/>
                <w:szCs w:val="20"/>
              </w:rPr>
            </w:pPr>
            <w:r w:rsidRPr="00BA08FC">
              <w:rPr>
                <w:sz w:val="20"/>
                <w:szCs w:val="20"/>
              </w:rPr>
              <w:t xml:space="preserve">Departments in </w:t>
            </w:r>
            <w:r w:rsidR="007274DE">
              <w:rPr>
                <w:sz w:val="20"/>
                <w:szCs w:val="20"/>
              </w:rPr>
              <w:t>s</w:t>
            </w:r>
            <w:r w:rsidR="007274DE" w:rsidRPr="00BA08FC">
              <w:rPr>
                <w:sz w:val="20"/>
                <w:szCs w:val="20"/>
              </w:rPr>
              <w:t>ub counties</w:t>
            </w:r>
            <w:r w:rsidRPr="00BA08FC">
              <w:rPr>
                <w:sz w:val="20"/>
                <w:szCs w:val="20"/>
              </w:rPr>
              <w:t xml:space="preserve"> to submit their inputs to </w:t>
            </w:r>
            <w:r w:rsidR="003E7509">
              <w:rPr>
                <w:sz w:val="20"/>
                <w:szCs w:val="20"/>
              </w:rPr>
              <w:t>r</w:t>
            </w:r>
            <w:r w:rsidRPr="00BA08FC">
              <w:rPr>
                <w:sz w:val="20"/>
                <w:szCs w:val="20"/>
              </w:rPr>
              <w:t xml:space="preserve">elevant </w:t>
            </w:r>
            <w:r w:rsidR="003E7509">
              <w:rPr>
                <w:sz w:val="20"/>
                <w:szCs w:val="20"/>
              </w:rPr>
              <w:t>m</w:t>
            </w:r>
            <w:r w:rsidRPr="00BA08FC">
              <w:rPr>
                <w:sz w:val="20"/>
                <w:szCs w:val="20"/>
              </w:rPr>
              <w:t xml:space="preserve">inistry </w:t>
            </w:r>
            <w:r w:rsidR="003E7509">
              <w:rPr>
                <w:sz w:val="20"/>
                <w:szCs w:val="20"/>
              </w:rPr>
              <w:t>h</w:t>
            </w:r>
            <w:r w:rsidRPr="00BA08FC">
              <w:rPr>
                <w:sz w:val="20"/>
                <w:szCs w:val="20"/>
              </w:rPr>
              <w:t>eadquarters</w:t>
            </w:r>
          </w:p>
        </w:tc>
        <w:tc>
          <w:tcPr>
            <w:tcW w:w="3051" w:type="dxa"/>
            <w:shd w:val="clear" w:color="auto" w:fill="auto"/>
          </w:tcPr>
          <w:p w14:paraId="35116512" w14:textId="3CE96D92" w:rsidR="00A50CA9" w:rsidRPr="00BA08FC" w:rsidRDefault="00A50CA9" w:rsidP="00BA08FC">
            <w:pPr>
              <w:jc w:val="left"/>
              <w:rPr>
                <w:sz w:val="20"/>
                <w:szCs w:val="20"/>
              </w:rPr>
            </w:pPr>
            <w:r w:rsidRPr="00BA08FC">
              <w:rPr>
                <w:sz w:val="20"/>
                <w:szCs w:val="20"/>
              </w:rPr>
              <w:t xml:space="preserve">Departments in the </w:t>
            </w:r>
            <w:r w:rsidR="007274DE">
              <w:rPr>
                <w:sz w:val="20"/>
                <w:szCs w:val="20"/>
              </w:rPr>
              <w:t>s</w:t>
            </w:r>
            <w:r w:rsidR="007274DE" w:rsidRPr="00BA08FC">
              <w:rPr>
                <w:sz w:val="20"/>
                <w:szCs w:val="20"/>
              </w:rPr>
              <w:t>ub counties</w:t>
            </w:r>
          </w:p>
        </w:tc>
        <w:tc>
          <w:tcPr>
            <w:tcW w:w="2340" w:type="dxa"/>
            <w:shd w:val="clear" w:color="auto" w:fill="auto"/>
          </w:tcPr>
          <w:p w14:paraId="775F3189" w14:textId="77777777" w:rsidR="00A50CA9" w:rsidRPr="00BA08FC" w:rsidRDefault="00A50CA9" w:rsidP="00BA08FC">
            <w:pPr>
              <w:jc w:val="left"/>
              <w:rPr>
                <w:sz w:val="20"/>
                <w:szCs w:val="20"/>
              </w:rPr>
            </w:pPr>
            <w:r w:rsidRPr="00BA08FC">
              <w:rPr>
                <w:sz w:val="20"/>
                <w:szCs w:val="20"/>
              </w:rPr>
              <w:t>October 2015</w:t>
            </w:r>
          </w:p>
        </w:tc>
      </w:tr>
      <w:tr w:rsidR="00A50CA9" w:rsidRPr="00BA08FC" w14:paraId="7B6BC416" w14:textId="77777777" w:rsidTr="003E7509">
        <w:trPr>
          <w:trHeight w:val="460"/>
        </w:trPr>
        <w:tc>
          <w:tcPr>
            <w:tcW w:w="4077" w:type="dxa"/>
            <w:shd w:val="clear" w:color="auto" w:fill="auto"/>
          </w:tcPr>
          <w:p w14:paraId="00D60050" w14:textId="2315AD09" w:rsidR="00A50CA9" w:rsidRPr="00BA08FC" w:rsidRDefault="00A50CA9" w:rsidP="00BA08FC">
            <w:pPr>
              <w:jc w:val="left"/>
              <w:rPr>
                <w:sz w:val="20"/>
                <w:szCs w:val="20"/>
              </w:rPr>
            </w:pPr>
            <w:r w:rsidRPr="00BA08FC">
              <w:rPr>
                <w:sz w:val="20"/>
                <w:szCs w:val="20"/>
              </w:rPr>
              <w:t xml:space="preserve">Circulate approved CBROP to </w:t>
            </w:r>
            <w:r w:rsidR="008442B4">
              <w:rPr>
                <w:sz w:val="20"/>
                <w:szCs w:val="20"/>
              </w:rPr>
              <w:t>a</w:t>
            </w:r>
            <w:r w:rsidRPr="00BA08FC">
              <w:rPr>
                <w:sz w:val="20"/>
                <w:szCs w:val="20"/>
              </w:rPr>
              <w:t xml:space="preserve">ccounting </w:t>
            </w:r>
            <w:r w:rsidR="008442B4">
              <w:rPr>
                <w:sz w:val="20"/>
                <w:szCs w:val="20"/>
              </w:rPr>
              <w:t>o</w:t>
            </w:r>
            <w:r w:rsidRPr="00BA08FC">
              <w:rPr>
                <w:sz w:val="20"/>
                <w:szCs w:val="20"/>
              </w:rPr>
              <w:t>fficers</w:t>
            </w:r>
          </w:p>
        </w:tc>
        <w:tc>
          <w:tcPr>
            <w:tcW w:w="3051" w:type="dxa"/>
            <w:shd w:val="clear" w:color="auto" w:fill="auto"/>
          </w:tcPr>
          <w:p w14:paraId="2CD6B676" w14:textId="77777777" w:rsidR="00A50CA9" w:rsidRPr="00BA08FC" w:rsidRDefault="00A50CA9" w:rsidP="00BA08FC">
            <w:pPr>
              <w:jc w:val="left"/>
              <w:rPr>
                <w:sz w:val="20"/>
                <w:szCs w:val="20"/>
              </w:rPr>
            </w:pPr>
            <w:r w:rsidRPr="00BA08FC">
              <w:rPr>
                <w:sz w:val="20"/>
                <w:szCs w:val="20"/>
              </w:rPr>
              <w:t>County Treasury</w:t>
            </w:r>
          </w:p>
        </w:tc>
        <w:tc>
          <w:tcPr>
            <w:tcW w:w="2340" w:type="dxa"/>
            <w:shd w:val="clear" w:color="auto" w:fill="auto"/>
          </w:tcPr>
          <w:p w14:paraId="44228597" w14:textId="77777777" w:rsidR="00A50CA9" w:rsidRPr="00BA08FC" w:rsidRDefault="00A50CA9" w:rsidP="00BA08FC">
            <w:pPr>
              <w:jc w:val="left"/>
              <w:rPr>
                <w:sz w:val="20"/>
                <w:szCs w:val="20"/>
              </w:rPr>
            </w:pPr>
            <w:r w:rsidRPr="00BA08FC">
              <w:rPr>
                <w:sz w:val="20"/>
                <w:szCs w:val="20"/>
              </w:rPr>
              <w:t>By end of October 2015</w:t>
            </w:r>
          </w:p>
        </w:tc>
      </w:tr>
      <w:tr w:rsidR="00A50CA9" w:rsidRPr="00BA08FC" w14:paraId="3BAE609E" w14:textId="77777777" w:rsidTr="003E7509">
        <w:tc>
          <w:tcPr>
            <w:tcW w:w="4077" w:type="dxa"/>
            <w:shd w:val="clear" w:color="auto" w:fill="auto"/>
          </w:tcPr>
          <w:p w14:paraId="704E7A6C" w14:textId="489C72D0" w:rsidR="00A50CA9" w:rsidRPr="00BA08FC" w:rsidRDefault="00A50CA9" w:rsidP="00BA08FC">
            <w:pPr>
              <w:jc w:val="left"/>
              <w:rPr>
                <w:sz w:val="20"/>
                <w:szCs w:val="20"/>
              </w:rPr>
            </w:pPr>
            <w:r w:rsidRPr="00BA08FC">
              <w:rPr>
                <w:sz w:val="20"/>
                <w:szCs w:val="20"/>
              </w:rPr>
              <w:t xml:space="preserve">Issue </w:t>
            </w:r>
            <w:r w:rsidR="003E7509">
              <w:rPr>
                <w:sz w:val="20"/>
                <w:szCs w:val="20"/>
              </w:rPr>
              <w:t>c</w:t>
            </w:r>
            <w:r w:rsidRPr="00BA08FC">
              <w:rPr>
                <w:sz w:val="20"/>
                <w:szCs w:val="20"/>
              </w:rPr>
              <w:t xml:space="preserve">ircular on </w:t>
            </w:r>
            <w:r w:rsidR="003E7509">
              <w:rPr>
                <w:sz w:val="20"/>
                <w:szCs w:val="20"/>
              </w:rPr>
              <w:t>r</w:t>
            </w:r>
            <w:r w:rsidRPr="00BA08FC">
              <w:rPr>
                <w:sz w:val="20"/>
                <w:szCs w:val="20"/>
              </w:rPr>
              <w:t xml:space="preserve">evised </w:t>
            </w:r>
            <w:r w:rsidR="003E7509">
              <w:rPr>
                <w:sz w:val="20"/>
                <w:szCs w:val="20"/>
              </w:rPr>
              <w:t>b</w:t>
            </w:r>
            <w:r w:rsidRPr="00BA08FC">
              <w:rPr>
                <w:sz w:val="20"/>
                <w:szCs w:val="20"/>
              </w:rPr>
              <w:t>udget</w:t>
            </w:r>
          </w:p>
        </w:tc>
        <w:tc>
          <w:tcPr>
            <w:tcW w:w="3051" w:type="dxa"/>
            <w:shd w:val="clear" w:color="auto" w:fill="auto"/>
          </w:tcPr>
          <w:p w14:paraId="0DBB79F2" w14:textId="77777777" w:rsidR="00A50CA9" w:rsidRPr="00BA08FC" w:rsidRDefault="00A50CA9" w:rsidP="00BA08FC">
            <w:pPr>
              <w:jc w:val="left"/>
              <w:rPr>
                <w:sz w:val="20"/>
                <w:szCs w:val="20"/>
              </w:rPr>
            </w:pPr>
            <w:r w:rsidRPr="00BA08FC">
              <w:rPr>
                <w:sz w:val="20"/>
                <w:szCs w:val="20"/>
              </w:rPr>
              <w:t xml:space="preserve">County Treasury </w:t>
            </w:r>
          </w:p>
        </w:tc>
        <w:tc>
          <w:tcPr>
            <w:tcW w:w="2340" w:type="dxa"/>
            <w:shd w:val="clear" w:color="auto" w:fill="auto"/>
          </w:tcPr>
          <w:p w14:paraId="6C42045D" w14:textId="34ED66A3" w:rsidR="00A50CA9" w:rsidRPr="00BA08FC" w:rsidRDefault="00A50CA9" w:rsidP="00BA08FC">
            <w:pPr>
              <w:jc w:val="left"/>
              <w:rPr>
                <w:sz w:val="20"/>
                <w:szCs w:val="20"/>
              </w:rPr>
            </w:pPr>
            <w:r w:rsidRPr="00BA08FC">
              <w:rPr>
                <w:sz w:val="20"/>
                <w:szCs w:val="20"/>
              </w:rPr>
              <w:t>Mid</w:t>
            </w:r>
            <w:r w:rsidR="00187BED">
              <w:rPr>
                <w:sz w:val="20"/>
                <w:szCs w:val="20"/>
              </w:rPr>
              <w:t>-</w:t>
            </w:r>
            <w:r w:rsidRPr="00BA08FC">
              <w:rPr>
                <w:sz w:val="20"/>
                <w:szCs w:val="20"/>
              </w:rPr>
              <w:t>November 2015</w:t>
            </w:r>
          </w:p>
        </w:tc>
      </w:tr>
      <w:tr w:rsidR="00A50CA9" w:rsidRPr="00BA08FC" w14:paraId="1661800D" w14:textId="77777777" w:rsidTr="003E7509">
        <w:tc>
          <w:tcPr>
            <w:tcW w:w="4077" w:type="dxa"/>
            <w:shd w:val="clear" w:color="auto" w:fill="auto"/>
          </w:tcPr>
          <w:p w14:paraId="2BBD588E" w14:textId="6A2AAA89" w:rsidR="00A50CA9" w:rsidRPr="00BA08FC" w:rsidRDefault="00A50CA9" w:rsidP="00BA08FC">
            <w:pPr>
              <w:jc w:val="left"/>
              <w:rPr>
                <w:sz w:val="20"/>
                <w:szCs w:val="20"/>
              </w:rPr>
            </w:pPr>
            <w:r w:rsidRPr="00BA08FC">
              <w:rPr>
                <w:sz w:val="20"/>
                <w:szCs w:val="20"/>
              </w:rPr>
              <w:t xml:space="preserve">Submission of </w:t>
            </w:r>
            <w:r w:rsidR="003E7509">
              <w:rPr>
                <w:sz w:val="20"/>
                <w:szCs w:val="20"/>
              </w:rPr>
              <w:t>i</w:t>
            </w:r>
            <w:r w:rsidRPr="00BA08FC">
              <w:rPr>
                <w:sz w:val="20"/>
                <w:szCs w:val="20"/>
              </w:rPr>
              <w:t xml:space="preserve">nitial </w:t>
            </w:r>
            <w:r w:rsidR="003E7509">
              <w:rPr>
                <w:sz w:val="20"/>
                <w:szCs w:val="20"/>
              </w:rPr>
              <w:t>s</w:t>
            </w:r>
            <w:r w:rsidRPr="00BA08FC">
              <w:rPr>
                <w:sz w:val="20"/>
                <w:szCs w:val="20"/>
              </w:rPr>
              <w:t>ector reports to Treasury</w:t>
            </w:r>
          </w:p>
        </w:tc>
        <w:tc>
          <w:tcPr>
            <w:tcW w:w="3051" w:type="dxa"/>
            <w:shd w:val="clear" w:color="auto" w:fill="auto"/>
          </w:tcPr>
          <w:p w14:paraId="19FAFA2F" w14:textId="77777777" w:rsidR="00A50CA9" w:rsidRPr="00BA08FC" w:rsidRDefault="00A50CA9" w:rsidP="00BA08FC">
            <w:pPr>
              <w:jc w:val="left"/>
              <w:rPr>
                <w:sz w:val="20"/>
                <w:szCs w:val="20"/>
              </w:rPr>
            </w:pPr>
            <w:r w:rsidRPr="00BA08FC">
              <w:rPr>
                <w:sz w:val="20"/>
                <w:szCs w:val="20"/>
              </w:rPr>
              <w:t>Sector working groups</w:t>
            </w:r>
          </w:p>
        </w:tc>
        <w:tc>
          <w:tcPr>
            <w:tcW w:w="2340" w:type="dxa"/>
            <w:shd w:val="clear" w:color="auto" w:fill="auto"/>
          </w:tcPr>
          <w:p w14:paraId="4C5C9233" w14:textId="77777777" w:rsidR="00A50CA9" w:rsidRPr="00BA08FC" w:rsidRDefault="00A50CA9" w:rsidP="00BA08FC">
            <w:pPr>
              <w:jc w:val="left"/>
              <w:rPr>
                <w:sz w:val="20"/>
                <w:szCs w:val="20"/>
              </w:rPr>
            </w:pPr>
            <w:r w:rsidRPr="00BA08FC">
              <w:rPr>
                <w:sz w:val="20"/>
                <w:szCs w:val="20"/>
              </w:rPr>
              <w:t>By end of October 2015</w:t>
            </w:r>
          </w:p>
        </w:tc>
      </w:tr>
      <w:tr w:rsidR="00A50CA9" w:rsidRPr="00BA08FC" w14:paraId="4ED5137B" w14:textId="77777777" w:rsidTr="003E7509">
        <w:tc>
          <w:tcPr>
            <w:tcW w:w="4077" w:type="dxa"/>
            <w:shd w:val="clear" w:color="auto" w:fill="auto"/>
          </w:tcPr>
          <w:p w14:paraId="357A3E2D" w14:textId="1EDC449E" w:rsidR="00A50CA9" w:rsidRPr="00BA08FC" w:rsidRDefault="00A50CA9" w:rsidP="00BA08FC">
            <w:pPr>
              <w:jc w:val="left"/>
              <w:rPr>
                <w:sz w:val="20"/>
                <w:szCs w:val="20"/>
              </w:rPr>
            </w:pPr>
            <w:r w:rsidRPr="00BA08FC">
              <w:rPr>
                <w:sz w:val="20"/>
                <w:szCs w:val="20"/>
              </w:rPr>
              <w:t xml:space="preserve">Hold </w:t>
            </w:r>
            <w:r w:rsidR="003E7509">
              <w:rPr>
                <w:sz w:val="20"/>
                <w:szCs w:val="20"/>
              </w:rPr>
              <w:t>s</w:t>
            </w:r>
            <w:r w:rsidRPr="00BA08FC">
              <w:rPr>
                <w:sz w:val="20"/>
                <w:szCs w:val="20"/>
              </w:rPr>
              <w:t xml:space="preserve">ector </w:t>
            </w:r>
            <w:r w:rsidR="003E7509">
              <w:rPr>
                <w:sz w:val="20"/>
                <w:szCs w:val="20"/>
              </w:rPr>
              <w:t>h</w:t>
            </w:r>
            <w:r w:rsidRPr="00BA08FC">
              <w:rPr>
                <w:sz w:val="20"/>
                <w:szCs w:val="20"/>
              </w:rPr>
              <w:t>earings</w:t>
            </w:r>
          </w:p>
        </w:tc>
        <w:tc>
          <w:tcPr>
            <w:tcW w:w="3051" w:type="dxa"/>
            <w:shd w:val="clear" w:color="auto" w:fill="auto"/>
          </w:tcPr>
          <w:p w14:paraId="2DB01AD1" w14:textId="77777777" w:rsidR="00A50CA9" w:rsidRPr="00BA08FC" w:rsidRDefault="00A50CA9" w:rsidP="00BA08FC">
            <w:pPr>
              <w:jc w:val="left"/>
              <w:rPr>
                <w:sz w:val="20"/>
                <w:szCs w:val="20"/>
              </w:rPr>
            </w:pPr>
            <w:r w:rsidRPr="00BA08FC">
              <w:rPr>
                <w:sz w:val="20"/>
                <w:szCs w:val="20"/>
              </w:rPr>
              <w:t xml:space="preserve">County Treasury </w:t>
            </w:r>
          </w:p>
        </w:tc>
        <w:tc>
          <w:tcPr>
            <w:tcW w:w="2340" w:type="dxa"/>
            <w:shd w:val="clear" w:color="auto" w:fill="auto"/>
          </w:tcPr>
          <w:p w14:paraId="58018EEE" w14:textId="77777777" w:rsidR="00A50CA9" w:rsidRPr="00BA08FC" w:rsidRDefault="00A50CA9" w:rsidP="00BA08FC">
            <w:pPr>
              <w:jc w:val="left"/>
              <w:rPr>
                <w:sz w:val="20"/>
                <w:szCs w:val="20"/>
              </w:rPr>
            </w:pPr>
            <w:r w:rsidRPr="00BA08FC">
              <w:rPr>
                <w:sz w:val="20"/>
                <w:szCs w:val="20"/>
              </w:rPr>
              <w:t>December 2015</w:t>
            </w:r>
          </w:p>
        </w:tc>
      </w:tr>
      <w:tr w:rsidR="00A50CA9" w:rsidRPr="00BA08FC" w14:paraId="06D73410" w14:textId="77777777" w:rsidTr="003E7509">
        <w:tc>
          <w:tcPr>
            <w:tcW w:w="4077" w:type="dxa"/>
            <w:shd w:val="clear" w:color="auto" w:fill="auto"/>
          </w:tcPr>
          <w:p w14:paraId="5F593969" w14:textId="5E938A26" w:rsidR="00A50CA9" w:rsidRPr="00BA08FC" w:rsidRDefault="00A50CA9" w:rsidP="00BA08FC">
            <w:pPr>
              <w:jc w:val="left"/>
              <w:rPr>
                <w:sz w:val="20"/>
                <w:szCs w:val="20"/>
              </w:rPr>
            </w:pPr>
            <w:r w:rsidRPr="00BA08FC">
              <w:rPr>
                <w:sz w:val="20"/>
                <w:szCs w:val="20"/>
              </w:rPr>
              <w:t xml:space="preserve">Submit </w:t>
            </w:r>
            <w:r w:rsidR="003E7509">
              <w:rPr>
                <w:sz w:val="20"/>
                <w:szCs w:val="20"/>
              </w:rPr>
              <w:t>f</w:t>
            </w:r>
            <w:r w:rsidRPr="00BA08FC">
              <w:rPr>
                <w:sz w:val="20"/>
                <w:szCs w:val="20"/>
              </w:rPr>
              <w:t xml:space="preserve">inal </w:t>
            </w:r>
            <w:r w:rsidR="003E7509">
              <w:rPr>
                <w:sz w:val="20"/>
                <w:szCs w:val="20"/>
              </w:rPr>
              <w:t>s</w:t>
            </w:r>
            <w:r w:rsidRPr="00BA08FC">
              <w:rPr>
                <w:sz w:val="20"/>
                <w:szCs w:val="20"/>
              </w:rPr>
              <w:t xml:space="preserve">ector </w:t>
            </w:r>
            <w:r w:rsidR="003E7509">
              <w:rPr>
                <w:sz w:val="20"/>
                <w:szCs w:val="20"/>
              </w:rPr>
              <w:t>r</w:t>
            </w:r>
            <w:r w:rsidRPr="00BA08FC">
              <w:rPr>
                <w:sz w:val="20"/>
                <w:szCs w:val="20"/>
              </w:rPr>
              <w:t>eports</w:t>
            </w:r>
          </w:p>
        </w:tc>
        <w:tc>
          <w:tcPr>
            <w:tcW w:w="3051" w:type="dxa"/>
            <w:shd w:val="clear" w:color="auto" w:fill="auto"/>
          </w:tcPr>
          <w:p w14:paraId="7CFC6847" w14:textId="5A64F4C3" w:rsidR="00A50CA9" w:rsidRPr="00BA08FC" w:rsidRDefault="00A50CA9" w:rsidP="00BA08FC">
            <w:pPr>
              <w:jc w:val="left"/>
              <w:rPr>
                <w:sz w:val="20"/>
                <w:szCs w:val="20"/>
              </w:rPr>
            </w:pPr>
            <w:r w:rsidRPr="00BA08FC">
              <w:rPr>
                <w:sz w:val="20"/>
                <w:szCs w:val="20"/>
              </w:rPr>
              <w:t xml:space="preserve">Sector </w:t>
            </w:r>
            <w:r w:rsidR="003E7509">
              <w:rPr>
                <w:sz w:val="20"/>
                <w:szCs w:val="20"/>
              </w:rPr>
              <w:t>w</w:t>
            </w:r>
            <w:r w:rsidRPr="00BA08FC">
              <w:rPr>
                <w:sz w:val="20"/>
                <w:szCs w:val="20"/>
              </w:rPr>
              <w:t xml:space="preserve">orking </w:t>
            </w:r>
            <w:r w:rsidR="003E7509">
              <w:rPr>
                <w:sz w:val="20"/>
                <w:szCs w:val="20"/>
              </w:rPr>
              <w:t>g</w:t>
            </w:r>
            <w:r w:rsidRPr="00BA08FC">
              <w:rPr>
                <w:sz w:val="20"/>
                <w:szCs w:val="20"/>
              </w:rPr>
              <w:t xml:space="preserve">roups </w:t>
            </w:r>
          </w:p>
        </w:tc>
        <w:tc>
          <w:tcPr>
            <w:tcW w:w="2340" w:type="dxa"/>
            <w:shd w:val="clear" w:color="auto" w:fill="auto"/>
          </w:tcPr>
          <w:p w14:paraId="7A3964A6" w14:textId="6E0EBFF8" w:rsidR="00A50CA9" w:rsidRPr="00BA08FC" w:rsidRDefault="00A50CA9" w:rsidP="00BA08FC">
            <w:pPr>
              <w:jc w:val="left"/>
              <w:rPr>
                <w:sz w:val="20"/>
                <w:szCs w:val="20"/>
              </w:rPr>
            </w:pPr>
            <w:r w:rsidRPr="00BA08FC">
              <w:rPr>
                <w:sz w:val="20"/>
                <w:szCs w:val="20"/>
              </w:rPr>
              <w:t xml:space="preserve">By </w:t>
            </w:r>
            <w:r w:rsidR="003E7509">
              <w:rPr>
                <w:sz w:val="20"/>
                <w:szCs w:val="20"/>
              </w:rPr>
              <w:t>m</w:t>
            </w:r>
            <w:r w:rsidR="00000DE4" w:rsidRPr="00BA08FC">
              <w:rPr>
                <w:sz w:val="20"/>
                <w:szCs w:val="20"/>
              </w:rPr>
              <w:t>id-January</w:t>
            </w:r>
            <w:r w:rsidRPr="00BA08FC">
              <w:rPr>
                <w:sz w:val="20"/>
                <w:szCs w:val="20"/>
              </w:rPr>
              <w:t xml:space="preserve"> 2016</w:t>
            </w:r>
          </w:p>
        </w:tc>
      </w:tr>
      <w:tr w:rsidR="00A50CA9" w:rsidRPr="00BA08FC" w14:paraId="28EDBED2" w14:textId="77777777" w:rsidTr="003E7509">
        <w:tc>
          <w:tcPr>
            <w:tcW w:w="4077" w:type="dxa"/>
            <w:shd w:val="clear" w:color="auto" w:fill="auto"/>
          </w:tcPr>
          <w:p w14:paraId="08F4F1C1" w14:textId="4D9555E2" w:rsidR="00A50CA9" w:rsidRPr="00BA08FC" w:rsidRDefault="00A50CA9" w:rsidP="00BA08FC">
            <w:pPr>
              <w:jc w:val="left"/>
              <w:rPr>
                <w:sz w:val="20"/>
                <w:szCs w:val="20"/>
              </w:rPr>
            </w:pPr>
            <w:r w:rsidRPr="00BA08FC">
              <w:rPr>
                <w:sz w:val="20"/>
                <w:szCs w:val="20"/>
              </w:rPr>
              <w:t xml:space="preserve">Publish </w:t>
            </w:r>
            <w:r w:rsidR="003E7509">
              <w:rPr>
                <w:sz w:val="20"/>
                <w:szCs w:val="20"/>
              </w:rPr>
              <w:t>f</w:t>
            </w:r>
            <w:r w:rsidRPr="00BA08FC">
              <w:rPr>
                <w:sz w:val="20"/>
                <w:szCs w:val="20"/>
              </w:rPr>
              <w:t xml:space="preserve">inal </w:t>
            </w:r>
            <w:r w:rsidR="003E7509">
              <w:rPr>
                <w:sz w:val="20"/>
                <w:szCs w:val="20"/>
              </w:rPr>
              <w:t>s</w:t>
            </w:r>
            <w:r w:rsidRPr="00BA08FC">
              <w:rPr>
                <w:sz w:val="20"/>
                <w:szCs w:val="20"/>
              </w:rPr>
              <w:t xml:space="preserve">ector </w:t>
            </w:r>
            <w:r w:rsidR="003E7509">
              <w:rPr>
                <w:sz w:val="20"/>
                <w:szCs w:val="20"/>
              </w:rPr>
              <w:t>r</w:t>
            </w:r>
            <w:r w:rsidRPr="00BA08FC">
              <w:rPr>
                <w:sz w:val="20"/>
                <w:szCs w:val="20"/>
              </w:rPr>
              <w:t>eports</w:t>
            </w:r>
          </w:p>
        </w:tc>
        <w:tc>
          <w:tcPr>
            <w:tcW w:w="3051" w:type="dxa"/>
            <w:shd w:val="clear" w:color="auto" w:fill="auto"/>
          </w:tcPr>
          <w:p w14:paraId="37EB2579" w14:textId="77777777" w:rsidR="00A50CA9" w:rsidRPr="00BA08FC" w:rsidRDefault="00A50CA9" w:rsidP="00BA08FC">
            <w:pPr>
              <w:jc w:val="left"/>
              <w:rPr>
                <w:sz w:val="20"/>
                <w:szCs w:val="20"/>
              </w:rPr>
            </w:pPr>
            <w:r w:rsidRPr="00BA08FC">
              <w:rPr>
                <w:sz w:val="20"/>
                <w:szCs w:val="20"/>
              </w:rPr>
              <w:t xml:space="preserve">County Treasury </w:t>
            </w:r>
          </w:p>
        </w:tc>
        <w:tc>
          <w:tcPr>
            <w:tcW w:w="2340" w:type="dxa"/>
            <w:shd w:val="clear" w:color="auto" w:fill="auto"/>
          </w:tcPr>
          <w:p w14:paraId="53095AD0" w14:textId="77777777" w:rsidR="00A50CA9" w:rsidRPr="00BA08FC" w:rsidRDefault="00A50CA9" w:rsidP="00BA08FC">
            <w:pPr>
              <w:jc w:val="left"/>
              <w:rPr>
                <w:sz w:val="20"/>
                <w:szCs w:val="20"/>
              </w:rPr>
            </w:pPr>
            <w:r w:rsidRPr="00BA08FC">
              <w:rPr>
                <w:sz w:val="20"/>
                <w:szCs w:val="20"/>
              </w:rPr>
              <w:t>By end of January 2016</w:t>
            </w:r>
          </w:p>
        </w:tc>
      </w:tr>
      <w:tr w:rsidR="00A50CA9" w:rsidRPr="00BA08FC" w14:paraId="07C4C466" w14:textId="77777777" w:rsidTr="003E7509">
        <w:tc>
          <w:tcPr>
            <w:tcW w:w="4077" w:type="dxa"/>
            <w:shd w:val="clear" w:color="auto" w:fill="auto"/>
          </w:tcPr>
          <w:p w14:paraId="43BE4F49" w14:textId="1B650122" w:rsidR="00A50CA9" w:rsidRPr="00BA08FC" w:rsidRDefault="00A50CA9" w:rsidP="00BA08FC">
            <w:pPr>
              <w:jc w:val="left"/>
              <w:rPr>
                <w:sz w:val="20"/>
                <w:szCs w:val="20"/>
              </w:rPr>
            </w:pPr>
            <w:r w:rsidRPr="00BA08FC">
              <w:rPr>
                <w:sz w:val="20"/>
                <w:szCs w:val="20"/>
              </w:rPr>
              <w:t xml:space="preserve">Submission of </w:t>
            </w:r>
            <w:r w:rsidR="003E7509">
              <w:rPr>
                <w:sz w:val="20"/>
                <w:szCs w:val="20"/>
              </w:rPr>
              <w:t>s</w:t>
            </w:r>
            <w:r w:rsidRPr="00BA08FC">
              <w:rPr>
                <w:sz w:val="20"/>
                <w:szCs w:val="20"/>
              </w:rPr>
              <w:t xml:space="preserve">upplementary </w:t>
            </w:r>
            <w:r w:rsidR="003E7509">
              <w:rPr>
                <w:sz w:val="20"/>
                <w:szCs w:val="20"/>
              </w:rPr>
              <w:t>b</w:t>
            </w:r>
            <w:r w:rsidRPr="00BA08FC">
              <w:rPr>
                <w:sz w:val="20"/>
                <w:szCs w:val="20"/>
              </w:rPr>
              <w:t xml:space="preserve">udget </w:t>
            </w:r>
            <w:r w:rsidR="003E7509">
              <w:rPr>
                <w:sz w:val="20"/>
                <w:szCs w:val="20"/>
              </w:rPr>
              <w:t>p</w:t>
            </w:r>
            <w:r w:rsidRPr="00BA08FC">
              <w:rPr>
                <w:sz w:val="20"/>
                <w:szCs w:val="20"/>
              </w:rPr>
              <w:t>roposals</w:t>
            </w:r>
          </w:p>
        </w:tc>
        <w:tc>
          <w:tcPr>
            <w:tcW w:w="3051" w:type="dxa"/>
            <w:shd w:val="clear" w:color="auto" w:fill="auto"/>
          </w:tcPr>
          <w:p w14:paraId="76F48AEB" w14:textId="0CE92409" w:rsidR="00A50CA9" w:rsidRPr="00BA08FC" w:rsidRDefault="00A50CA9" w:rsidP="00BA08FC">
            <w:pPr>
              <w:jc w:val="left"/>
              <w:rPr>
                <w:sz w:val="20"/>
                <w:szCs w:val="20"/>
              </w:rPr>
            </w:pPr>
            <w:r w:rsidRPr="00BA08FC">
              <w:rPr>
                <w:sz w:val="20"/>
                <w:szCs w:val="20"/>
              </w:rPr>
              <w:t xml:space="preserve">Line </w:t>
            </w:r>
            <w:r w:rsidR="003E7509">
              <w:rPr>
                <w:sz w:val="20"/>
                <w:szCs w:val="20"/>
              </w:rPr>
              <w:t>m</w:t>
            </w:r>
            <w:r w:rsidRPr="00BA08FC">
              <w:rPr>
                <w:sz w:val="20"/>
                <w:szCs w:val="20"/>
              </w:rPr>
              <w:t xml:space="preserve">inistries </w:t>
            </w:r>
          </w:p>
        </w:tc>
        <w:tc>
          <w:tcPr>
            <w:tcW w:w="2340" w:type="dxa"/>
            <w:shd w:val="clear" w:color="auto" w:fill="auto"/>
          </w:tcPr>
          <w:p w14:paraId="1E824CB0" w14:textId="671826F6" w:rsidR="00A50CA9" w:rsidRPr="00BA08FC" w:rsidRDefault="00A50CA9" w:rsidP="00BA08FC">
            <w:pPr>
              <w:jc w:val="left"/>
              <w:rPr>
                <w:sz w:val="20"/>
                <w:szCs w:val="20"/>
              </w:rPr>
            </w:pPr>
            <w:r w:rsidRPr="00BA08FC">
              <w:rPr>
                <w:sz w:val="20"/>
                <w:szCs w:val="20"/>
              </w:rPr>
              <w:t xml:space="preserve">January </w:t>
            </w:r>
            <w:r w:rsidR="003E7509">
              <w:rPr>
                <w:sz w:val="20"/>
                <w:szCs w:val="20"/>
              </w:rPr>
              <w:t xml:space="preserve">7, </w:t>
            </w:r>
            <w:r w:rsidRPr="00BA08FC">
              <w:rPr>
                <w:sz w:val="20"/>
                <w:szCs w:val="20"/>
              </w:rPr>
              <w:t>2016</w:t>
            </w:r>
          </w:p>
        </w:tc>
      </w:tr>
      <w:tr w:rsidR="00A50CA9" w:rsidRPr="00BA08FC" w14:paraId="6CA6B98E" w14:textId="77777777" w:rsidTr="003E7509">
        <w:tc>
          <w:tcPr>
            <w:tcW w:w="4077" w:type="dxa"/>
            <w:shd w:val="clear" w:color="auto" w:fill="auto"/>
          </w:tcPr>
          <w:p w14:paraId="22AF22F8" w14:textId="36661829" w:rsidR="00A50CA9" w:rsidRPr="00BA08FC" w:rsidRDefault="00A50CA9" w:rsidP="00BA08FC">
            <w:pPr>
              <w:jc w:val="left"/>
              <w:rPr>
                <w:sz w:val="20"/>
                <w:szCs w:val="20"/>
              </w:rPr>
            </w:pPr>
            <w:r w:rsidRPr="00BA08FC">
              <w:rPr>
                <w:sz w:val="20"/>
                <w:szCs w:val="20"/>
              </w:rPr>
              <w:t xml:space="preserve">Review of </w:t>
            </w:r>
            <w:r w:rsidR="003E7509">
              <w:rPr>
                <w:sz w:val="20"/>
                <w:szCs w:val="20"/>
              </w:rPr>
              <w:t>s</w:t>
            </w:r>
            <w:r w:rsidRPr="00BA08FC">
              <w:rPr>
                <w:sz w:val="20"/>
                <w:szCs w:val="20"/>
              </w:rPr>
              <w:t xml:space="preserve">upplementary </w:t>
            </w:r>
            <w:r w:rsidR="003E7509">
              <w:rPr>
                <w:sz w:val="20"/>
                <w:szCs w:val="20"/>
              </w:rPr>
              <w:t>b</w:t>
            </w:r>
            <w:r w:rsidRPr="00BA08FC">
              <w:rPr>
                <w:sz w:val="20"/>
                <w:szCs w:val="20"/>
              </w:rPr>
              <w:t xml:space="preserve">udget </w:t>
            </w:r>
            <w:r w:rsidR="003E7509">
              <w:rPr>
                <w:sz w:val="20"/>
                <w:szCs w:val="20"/>
              </w:rPr>
              <w:t>p</w:t>
            </w:r>
            <w:r w:rsidRPr="00BA08FC">
              <w:rPr>
                <w:sz w:val="20"/>
                <w:szCs w:val="20"/>
              </w:rPr>
              <w:t>roposals</w:t>
            </w:r>
          </w:p>
        </w:tc>
        <w:tc>
          <w:tcPr>
            <w:tcW w:w="3051" w:type="dxa"/>
            <w:shd w:val="clear" w:color="auto" w:fill="auto"/>
          </w:tcPr>
          <w:p w14:paraId="33DD5A7D" w14:textId="77777777" w:rsidR="00A50CA9" w:rsidRPr="00BA08FC" w:rsidRDefault="00A50CA9" w:rsidP="00BA08FC">
            <w:pPr>
              <w:jc w:val="left"/>
              <w:rPr>
                <w:sz w:val="20"/>
                <w:szCs w:val="20"/>
              </w:rPr>
            </w:pPr>
            <w:r w:rsidRPr="00BA08FC">
              <w:rPr>
                <w:sz w:val="20"/>
                <w:szCs w:val="20"/>
              </w:rPr>
              <w:t xml:space="preserve">County Treasury </w:t>
            </w:r>
          </w:p>
        </w:tc>
        <w:tc>
          <w:tcPr>
            <w:tcW w:w="2340" w:type="dxa"/>
            <w:shd w:val="clear" w:color="auto" w:fill="auto"/>
          </w:tcPr>
          <w:p w14:paraId="4DE53172" w14:textId="05B9B744" w:rsidR="00A50CA9" w:rsidRPr="00BA08FC" w:rsidRDefault="00A50CA9" w:rsidP="00BA08FC">
            <w:pPr>
              <w:jc w:val="left"/>
              <w:rPr>
                <w:sz w:val="20"/>
                <w:szCs w:val="20"/>
              </w:rPr>
            </w:pPr>
            <w:r w:rsidRPr="00BA08FC">
              <w:rPr>
                <w:sz w:val="20"/>
                <w:szCs w:val="20"/>
              </w:rPr>
              <w:t xml:space="preserve">January </w:t>
            </w:r>
            <w:r w:rsidR="003E7509">
              <w:rPr>
                <w:sz w:val="20"/>
                <w:szCs w:val="20"/>
              </w:rPr>
              <w:t xml:space="preserve">31, </w:t>
            </w:r>
            <w:r w:rsidRPr="00BA08FC">
              <w:rPr>
                <w:sz w:val="20"/>
                <w:szCs w:val="20"/>
              </w:rPr>
              <w:t>2016</w:t>
            </w:r>
          </w:p>
        </w:tc>
      </w:tr>
      <w:tr w:rsidR="00A50CA9" w:rsidRPr="00BA08FC" w14:paraId="18C0B16A" w14:textId="77777777" w:rsidTr="003E7509">
        <w:trPr>
          <w:trHeight w:val="421"/>
        </w:trPr>
        <w:tc>
          <w:tcPr>
            <w:tcW w:w="4077" w:type="dxa"/>
            <w:shd w:val="clear" w:color="auto" w:fill="auto"/>
          </w:tcPr>
          <w:p w14:paraId="53295FF1" w14:textId="4C0BDB20" w:rsidR="00A50CA9" w:rsidRPr="00BA08FC" w:rsidRDefault="00A50CA9" w:rsidP="00BA08FC">
            <w:pPr>
              <w:jc w:val="left"/>
              <w:rPr>
                <w:sz w:val="20"/>
                <w:szCs w:val="20"/>
              </w:rPr>
            </w:pPr>
            <w:r w:rsidRPr="00BA08FC">
              <w:rPr>
                <w:sz w:val="20"/>
                <w:szCs w:val="20"/>
              </w:rPr>
              <w:t xml:space="preserve">Submit </w:t>
            </w:r>
            <w:r w:rsidR="003E7509">
              <w:rPr>
                <w:sz w:val="20"/>
                <w:szCs w:val="20"/>
              </w:rPr>
              <w:t>s</w:t>
            </w:r>
            <w:r w:rsidRPr="00BA08FC">
              <w:rPr>
                <w:sz w:val="20"/>
                <w:szCs w:val="20"/>
              </w:rPr>
              <w:t xml:space="preserve">upplementary </w:t>
            </w:r>
            <w:r w:rsidR="003E7509">
              <w:rPr>
                <w:sz w:val="20"/>
                <w:szCs w:val="20"/>
              </w:rPr>
              <w:t>b</w:t>
            </w:r>
            <w:r w:rsidRPr="00BA08FC">
              <w:rPr>
                <w:sz w:val="20"/>
                <w:szCs w:val="20"/>
              </w:rPr>
              <w:t xml:space="preserve">udget </w:t>
            </w:r>
            <w:r w:rsidR="003E7509">
              <w:rPr>
                <w:sz w:val="20"/>
                <w:szCs w:val="20"/>
              </w:rPr>
              <w:t>p</w:t>
            </w:r>
            <w:r w:rsidRPr="00BA08FC">
              <w:rPr>
                <w:sz w:val="20"/>
                <w:szCs w:val="20"/>
              </w:rPr>
              <w:t>roposals to Cabinet</w:t>
            </w:r>
          </w:p>
        </w:tc>
        <w:tc>
          <w:tcPr>
            <w:tcW w:w="3051" w:type="dxa"/>
            <w:shd w:val="clear" w:color="auto" w:fill="auto"/>
          </w:tcPr>
          <w:p w14:paraId="755274FE" w14:textId="77777777" w:rsidR="00A50CA9" w:rsidRPr="00BA08FC" w:rsidRDefault="00A50CA9" w:rsidP="00BA08FC">
            <w:pPr>
              <w:jc w:val="left"/>
              <w:rPr>
                <w:sz w:val="20"/>
                <w:szCs w:val="20"/>
              </w:rPr>
            </w:pPr>
            <w:r w:rsidRPr="00BA08FC">
              <w:rPr>
                <w:sz w:val="20"/>
                <w:szCs w:val="20"/>
              </w:rPr>
              <w:t xml:space="preserve">County Treasury </w:t>
            </w:r>
          </w:p>
        </w:tc>
        <w:tc>
          <w:tcPr>
            <w:tcW w:w="2340" w:type="dxa"/>
            <w:shd w:val="clear" w:color="auto" w:fill="auto"/>
          </w:tcPr>
          <w:p w14:paraId="775F294F" w14:textId="7DE23429" w:rsidR="00A50CA9" w:rsidRPr="00BA08FC" w:rsidRDefault="00A50CA9" w:rsidP="00BA08FC">
            <w:pPr>
              <w:jc w:val="left"/>
              <w:rPr>
                <w:sz w:val="20"/>
                <w:szCs w:val="20"/>
              </w:rPr>
            </w:pPr>
            <w:r w:rsidRPr="00BA08FC">
              <w:rPr>
                <w:sz w:val="20"/>
                <w:szCs w:val="20"/>
              </w:rPr>
              <w:t xml:space="preserve"> 1st </w:t>
            </w:r>
            <w:r w:rsidR="003E7509">
              <w:rPr>
                <w:sz w:val="20"/>
                <w:szCs w:val="20"/>
              </w:rPr>
              <w:t>w</w:t>
            </w:r>
            <w:r w:rsidRPr="00BA08FC">
              <w:rPr>
                <w:sz w:val="20"/>
                <w:szCs w:val="20"/>
              </w:rPr>
              <w:t>eek of February 2016</w:t>
            </w:r>
          </w:p>
        </w:tc>
      </w:tr>
      <w:tr w:rsidR="00A50CA9" w:rsidRPr="00BA08FC" w14:paraId="5CFE2FE8" w14:textId="77777777" w:rsidTr="003E7509">
        <w:trPr>
          <w:trHeight w:val="429"/>
        </w:trPr>
        <w:tc>
          <w:tcPr>
            <w:tcW w:w="4077" w:type="dxa"/>
            <w:shd w:val="clear" w:color="auto" w:fill="auto"/>
          </w:tcPr>
          <w:p w14:paraId="3362F0C5" w14:textId="497EB8DB" w:rsidR="00A50CA9" w:rsidRPr="00BA08FC" w:rsidRDefault="00A50CA9" w:rsidP="00BA08FC">
            <w:pPr>
              <w:jc w:val="left"/>
              <w:rPr>
                <w:sz w:val="20"/>
                <w:szCs w:val="20"/>
              </w:rPr>
            </w:pPr>
            <w:r w:rsidRPr="00BA08FC">
              <w:rPr>
                <w:sz w:val="20"/>
                <w:szCs w:val="20"/>
              </w:rPr>
              <w:t xml:space="preserve">Submit </w:t>
            </w:r>
            <w:r w:rsidR="003E7509">
              <w:rPr>
                <w:sz w:val="20"/>
                <w:szCs w:val="20"/>
              </w:rPr>
              <w:t>s</w:t>
            </w:r>
            <w:r w:rsidRPr="00BA08FC">
              <w:rPr>
                <w:sz w:val="20"/>
                <w:szCs w:val="20"/>
              </w:rPr>
              <w:t xml:space="preserve">upplementary </w:t>
            </w:r>
            <w:r w:rsidR="003E7509">
              <w:rPr>
                <w:sz w:val="20"/>
                <w:szCs w:val="20"/>
              </w:rPr>
              <w:t>b</w:t>
            </w:r>
            <w:r w:rsidRPr="00BA08FC">
              <w:rPr>
                <w:sz w:val="20"/>
                <w:szCs w:val="20"/>
              </w:rPr>
              <w:t xml:space="preserve">udget </w:t>
            </w:r>
            <w:r w:rsidR="003E7509">
              <w:rPr>
                <w:sz w:val="20"/>
                <w:szCs w:val="20"/>
              </w:rPr>
              <w:t>p</w:t>
            </w:r>
            <w:r w:rsidRPr="00BA08FC">
              <w:rPr>
                <w:sz w:val="20"/>
                <w:szCs w:val="20"/>
              </w:rPr>
              <w:t>roposals to County Assembly</w:t>
            </w:r>
          </w:p>
        </w:tc>
        <w:tc>
          <w:tcPr>
            <w:tcW w:w="3051" w:type="dxa"/>
            <w:shd w:val="clear" w:color="auto" w:fill="auto"/>
          </w:tcPr>
          <w:p w14:paraId="75BB976B" w14:textId="77777777" w:rsidR="00A50CA9" w:rsidRPr="00BA08FC" w:rsidRDefault="00A50CA9" w:rsidP="00BA08FC">
            <w:pPr>
              <w:jc w:val="left"/>
              <w:rPr>
                <w:sz w:val="20"/>
                <w:szCs w:val="20"/>
              </w:rPr>
            </w:pPr>
            <w:r w:rsidRPr="00BA08FC">
              <w:rPr>
                <w:sz w:val="20"/>
                <w:szCs w:val="20"/>
              </w:rPr>
              <w:t xml:space="preserve">County Treasury </w:t>
            </w:r>
          </w:p>
        </w:tc>
        <w:tc>
          <w:tcPr>
            <w:tcW w:w="2340" w:type="dxa"/>
            <w:shd w:val="clear" w:color="auto" w:fill="auto"/>
          </w:tcPr>
          <w:p w14:paraId="38ACEC9E" w14:textId="1D867B4F" w:rsidR="00A50CA9" w:rsidRPr="00BA08FC" w:rsidRDefault="00A50CA9" w:rsidP="00BA08FC">
            <w:pPr>
              <w:jc w:val="left"/>
              <w:rPr>
                <w:sz w:val="20"/>
                <w:szCs w:val="20"/>
              </w:rPr>
            </w:pPr>
            <w:r w:rsidRPr="00BA08FC">
              <w:rPr>
                <w:sz w:val="20"/>
                <w:szCs w:val="20"/>
              </w:rPr>
              <w:t xml:space="preserve">By February </w:t>
            </w:r>
            <w:r w:rsidR="003E7509">
              <w:rPr>
                <w:sz w:val="20"/>
                <w:szCs w:val="20"/>
              </w:rPr>
              <w:t xml:space="preserve">28, </w:t>
            </w:r>
            <w:r w:rsidRPr="00BA08FC">
              <w:rPr>
                <w:sz w:val="20"/>
                <w:szCs w:val="20"/>
              </w:rPr>
              <w:t>2016</w:t>
            </w:r>
          </w:p>
        </w:tc>
      </w:tr>
      <w:tr w:rsidR="00A50CA9" w:rsidRPr="00BA08FC" w14:paraId="68FDB14C" w14:textId="77777777" w:rsidTr="003E7509">
        <w:tc>
          <w:tcPr>
            <w:tcW w:w="4077" w:type="dxa"/>
            <w:shd w:val="clear" w:color="auto" w:fill="auto"/>
          </w:tcPr>
          <w:p w14:paraId="1E80AE33" w14:textId="54D959C4" w:rsidR="00A50CA9" w:rsidRPr="00BA08FC" w:rsidRDefault="00A50CA9" w:rsidP="00BA08FC">
            <w:pPr>
              <w:jc w:val="left"/>
              <w:rPr>
                <w:sz w:val="20"/>
                <w:szCs w:val="20"/>
              </w:rPr>
            </w:pPr>
            <w:r w:rsidRPr="00BA08FC">
              <w:rPr>
                <w:sz w:val="20"/>
                <w:szCs w:val="20"/>
              </w:rPr>
              <w:t xml:space="preserve">Prepare the </w:t>
            </w:r>
            <w:r w:rsidR="00514EE0" w:rsidRPr="00BA08FC">
              <w:rPr>
                <w:sz w:val="20"/>
                <w:szCs w:val="20"/>
              </w:rPr>
              <w:t>CSFP</w:t>
            </w:r>
            <w:r w:rsidRPr="00BA08FC">
              <w:rPr>
                <w:sz w:val="20"/>
                <w:szCs w:val="20"/>
              </w:rPr>
              <w:t xml:space="preserve"> and approved by Executive committee</w:t>
            </w:r>
          </w:p>
        </w:tc>
        <w:tc>
          <w:tcPr>
            <w:tcW w:w="3051" w:type="dxa"/>
            <w:shd w:val="clear" w:color="auto" w:fill="auto"/>
          </w:tcPr>
          <w:p w14:paraId="49A7A8FA" w14:textId="3DE8C31F" w:rsidR="00A50CA9" w:rsidRPr="00BA08FC" w:rsidRDefault="00A50CA9" w:rsidP="00BA08FC">
            <w:pPr>
              <w:jc w:val="left"/>
              <w:rPr>
                <w:sz w:val="20"/>
                <w:szCs w:val="20"/>
              </w:rPr>
            </w:pPr>
            <w:r w:rsidRPr="00BA08FC">
              <w:rPr>
                <w:sz w:val="20"/>
                <w:szCs w:val="20"/>
              </w:rPr>
              <w:t xml:space="preserve">Macro </w:t>
            </w:r>
            <w:r w:rsidR="003E7509">
              <w:rPr>
                <w:sz w:val="20"/>
                <w:szCs w:val="20"/>
              </w:rPr>
              <w:t>w</w:t>
            </w:r>
            <w:r w:rsidRPr="00BA08FC">
              <w:rPr>
                <w:sz w:val="20"/>
                <w:szCs w:val="20"/>
              </w:rPr>
              <w:t>orking</w:t>
            </w:r>
            <w:r w:rsidR="003E7509">
              <w:rPr>
                <w:sz w:val="20"/>
                <w:szCs w:val="20"/>
              </w:rPr>
              <w:t xml:space="preserve"> group</w:t>
            </w:r>
            <w:r w:rsidRPr="00BA08FC">
              <w:rPr>
                <w:sz w:val="20"/>
                <w:szCs w:val="20"/>
              </w:rPr>
              <w:t>/County Treasury</w:t>
            </w:r>
          </w:p>
        </w:tc>
        <w:tc>
          <w:tcPr>
            <w:tcW w:w="2340" w:type="dxa"/>
            <w:shd w:val="clear" w:color="auto" w:fill="auto"/>
          </w:tcPr>
          <w:p w14:paraId="400A5F7A" w14:textId="26E87B14" w:rsidR="00A50CA9" w:rsidRPr="00BA08FC" w:rsidRDefault="00A50CA9" w:rsidP="00BA08FC">
            <w:pPr>
              <w:jc w:val="left"/>
              <w:rPr>
                <w:sz w:val="20"/>
                <w:szCs w:val="20"/>
              </w:rPr>
            </w:pPr>
            <w:r w:rsidRPr="00BA08FC">
              <w:rPr>
                <w:sz w:val="20"/>
                <w:szCs w:val="20"/>
              </w:rPr>
              <w:t xml:space="preserve">By </w:t>
            </w:r>
            <w:r w:rsidR="003E7509">
              <w:rPr>
                <w:sz w:val="20"/>
                <w:szCs w:val="20"/>
              </w:rPr>
              <w:t>m</w:t>
            </w:r>
            <w:r w:rsidRPr="00BA08FC">
              <w:rPr>
                <w:sz w:val="20"/>
                <w:szCs w:val="20"/>
              </w:rPr>
              <w:t>id</w:t>
            </w:r>
            <w:r w:rsidR="003E7509">
              <w:rPr>
                <w:sz w:val="20"/>
                <w:szCs w:val="20"/>
              </w:rPr>
              <w:t>-</w:t>
            </w:r>
            <w:r w:rsidRPr="00BA08FC">
              <w:rPr>
                <w:sz w:val="20"/>
                <w:szCs w:val="20"/>
              </w:rPr>
              <w:t>Feb</w:t>
            </w:r>
            <w:r w:rsidR="003E7509">
              <w:rPr>
                <w:sz w:val="20"/>
                <w:szCs w:val="20"/>
              </w:rPr>
              <w:t>ruary</w:t>
            </w:r>
            <w:r w:rsidRPr="00BA08FC">
              <w:rPr>
                <w:sz w:val="20"/>
                <w:szCs w:val="20"/>
              </w:rPr>
              <w:t xml:space="preserve"> 2016</w:t>
            </w:r>
          </w:p>
        </w:tc>
      </w:tr>
      <w:tr w:rsidR="00A50CA9" w:rsidRPr="00BA08FC" w14:paraId="2843EDF3" w14:textId="77777777" w:rsidTr="003E7509">
        <w:tc>
          <w:tcPr>
            <w:tcW w:w="4077" w:type="dxa"/>
            <w:shd w:val="clear" w:color="auto" w:fill="auto"/>
          </w:tcPr>
          <w:p w14:paraId="6787929D" w14:textId="3DF8CA23" w:rsidR="00A50CA9" w:rsidRPr="00BA08FC" w:rsidRDefault="00A50CA9" w:rsidP="00BA08FC">
            <w:pPr>
              <w:jc w:val="left"/>
              <w:rPr>
                <w:sz w:val="20"/>
                <w:szCs w:val="20"/>
              </w:rPr>
            </w:pPr>
            <w:r w:rsidRPr="00BA08FC">
              <w:rPr>
                <w:sz w:val="20"/>
                <w:szCs w:val="20"/>
              </w:rPr>
              <w:t xml:space="preserve">Submit </w:t>
            </w:r>
            <w:r w:rsidR="00514EE0" w:rsidRPr="00BA08FC">
              <w:rPr>
                <w:sz w:val="20"/>
                <w:szCs w:val="20"/>
              </w:rPr>
              <w:t>CSFP</w:t>
            </w:r>
            <w:r w:rsidRPr="00BA08FC">
              <w:rPr>
                <w:sz w:val="20"/>
                <w:szCs w:val="20"/>
              </w:rPr>
              <w:t xml:space="preserve"> to County </w:t>
            </w:r>
            <w:r w:rsidR="003E7509">
              <w:rPr>
                <w:sz w:val="20"/>
                <w:szCs w:val="20"/>
              </w:rPr>
              <w:t>A</w:t>
            </w:r>
            <w:r w:rsidRPr="00BA08FC">
              <w:rPr>
                <w:sz w:val="20"/>
                <w:szCs w:val="20"/>
              </w:rPr>
              <w:t xml:space="preserve">ssembly for </w:t>
            </w:r>
            <w:r w:rsidR="003E7509">
              <w:rPr>
                <w:sz w:val="20"/>
                <w:szCs w:val="20"/>
              </w:rPr>
              <w:t>a</w:t>
            </w:r>
            <w:r w:rsidRPr="00BA08FC">
              <w:rPr>
                <w:sz w:val="20"/>
                <w:szCs w:val="20"/>
              </w:rPr>
              <w:t>pproval</w:t>
            </w:r>
          </w:p>
        </w:tc>
        <w:tc>
          <w:tcPr>
            <w:tcW w:w="3051" w:type="dxa"/>
            <w:shd w:val="clear" w:color="auto" w:fill="auto"/>
          </w:tcPr>
          <w:p w14:paraId="5710815A" w14:textId="77777777" w:rsidR="00A50CA9" w:rsidRPr="00BA08FC" w:rsidRDefault="00A50CA9" w:rsidP="00BA08FC">
            <w:pPr>
              <w:jc w:val="left"/>
              <w:rPr>
                <w:sz w:val="20"/>
                <w:szCs w:val="20"/>
              </w:rPr>
            </w:pPr>
            <w:r w:rsidRPr="00BA08FC">
              <w:rPr>
                <w:sz w:val="20"/>
                <w:szCs w:val="20"/>
              </w:rPr>
              <w:t xml:space="preserve">County Treasury </w:t>
            </w:r>
          </w:p>
        </w:tc>
        <w:tc>
          <w:tcPr>
            <w:tcW w:w="2340" w:type="dxa"/>
            <w:shd w:val="clear" w:color="auto" w:fill="auto"/>
          </w:tcPr>
          <w:p w14:paraId="2F3F3E40" w14:textId="77777777" w:rsidR="00A50CA9" w:rsidRPr="00BA08FC" w:rsidRDefault="00A50CA9" w:rsidP="00BA08FC">
            <w:pPr>
              <w:jc w:val="left"/>
              <w:rPr>
                <w:sz w:val="20"/>
                <w:szCs w:val="20"/>
              </w:rPr>
            </w:pPr>
            <w:r w:rsidRPr="00BA08FC">
              <w:rPr>
                <w:sz w:val="20"/>
                <w:szCs w:val="20"/>
              </w:rPr>
              <w:t>By end of February 2016</w:t>
            </w:r>
          </w:p>
        </w:tc>
      </w:tr>
      <w:tr w:rsidR="00A50CA9" w:rsidRPr="00BA08FC" w14:paraId="45F4A675" w14:textId="77777777" w:rsidTr="003E7509">
        <w:trPr>
          <w:trHeight w:val="575"/>
        </w:trPr>
        <w:tc>
          <w:tcPr>
            <w:tcW w:w="4077" w:type="dxa"/>
            <w:shd w:val="clear" w:color="auto" w:fill="auto"/>
          </w:tcPr>
          <w:p w14:paraId="510C4ECE" w14:textId="3C6E0075" w:rsidR="00A50CA9" w:rsidRPr="00BA08FC" w:rsidRDefault="00A50CA9" w:rsidP="00BA08FC">
            <w:pPr>
              <w:jc w:val="left"/>
              <w:rPr>
                <w:sz w:val="20"/>
                <w:szCs w:val="20"/>
              </w:rPr>
            </w:pPr>
            <w:r w:rsidRPr="00BA08FC">
              <w:rPr>
                <w:sz w:val="20"/>
                <w:szCs w:val="20"/>
              </w:rPr>
              <w:t xml:space="preserve">Issue Treasury Circular for finalization of 2015/16–2017/18 MTEF </w:t>
            </w:r>
            <w:r w:rsidR="003E7509">
              <w:rPr>
                <w:sz w:val="20"/>
                <w:szCs w:val="20"/>
              </w:rPr>
              <w:t>e</w:t>
            </w:r>
            <w:r w:rsidRPr="00BA08FC">
              <w:rPr>
                <w:sz w:val="20"/>
                <w:szCs w:val="20"/>
              </w:rPr>
              <w:t>stimates and PBB</w:t>
            </w:r>
          </w:p>
        </w:tc>
        <w:tc>
          <w:tcPr>
            <w:tcW w:w="3051" w:type="dxa"/>
            <w:shd w:val="clear" w:color="auto" w:fill="auto"/>
          </w:tcPr>
          <w:p w14:paraId="60381245" w14:textId="77777777" w:rsidR="00A50CA9" w:rsidRPr="00BA08FC" w:rsidRDefault="00A50CA9" w:rsidP="00BA08FC">
            <w:pPr>
              <w:jc w:val="left"/>
              <w:rPr>
                <w:sz w:val="20"/>
                <w:szCs w:val="20"/>
              </w:rPr>
            </w:pPr>
            <w:r w:rsidRPr="00BA08FC">
              <w:rPr>
                <w:sz w:val="20"/>
                <w:szCs w:val="20"/>
              </w:rPr>
              <w:t xml:space="preserve">County Treasury </w:t>
            </w:r>
          </w:p>
        </w:tc>
        <w:tc>
          <w:tcPr>
            <w:tcW w:w="2340" w:type="dxa"/>
            <w:shd w:val="clear" w:color="auto" w:fill="auto"/>
          </w:tcPr>
          <w:p w14:paraId="6221CE4F" w14:textId="77777777" w:rsidR="00A50CA9" w:rsidRPr="00BA08FC" w:rsidRDefault="00A50CA9" w:rsidP="00BA08FC">
            <w:pPr>
              <w:jc w:val="left"/>
              <w:rPr>
                <w:sz w:val="20"/>
                <w:szCs w:val="20"/>
              </w:rPr>
            </w:pPr>
            <w:r w:rsidRPr="00BA08FC">
              <w:rPr>
                <w:sz w:val="20"/>
                <w:szCs w:val="20"/>
              </w:rPr>
              <w:t>March 2016</w:t>
            </w:r>
          </w:p>
        </w:tc>
      </w:tr>
      <w:tr w:rsidR="00A50CA9" w:rsidRPr="00BA08FC" w14:paraId="2CFE0E8E" w14:textId="77777777" w:rsidTr="003E7509">
        <w:trPr>
          <w:trHeight w:val="354"/>
        </w:trPr>
        <w:tc>
          <w:tcPr>
            <w:tcW w:w="4077" w:type="dxa"/>
            <w:shd w:val="clear" w:color="auto" w:fill="auto"/>
          </w:tcPr>
          <w:p w14:paraId="55A2B6B6" w14:textId="1FE83D53" w:rsidR="00A50CA9" w:rsidRPr="00BA08FC" w:rsidRDefault="00A50CA9" w:rsidP="00BA08FC">
            <w:pPr>
              <w:jc w:val="left"/>
              <w:rPr>
                <w:sz w:val="20"/>
                <w:szCs w:val="20"/>
              </w:rPr>
            </w:pPr>
            <w:r w:rsidRPr="00BA08FC">
              <w:rPr>
                <w:sz w:val="20"/>
                <w:szCs w:val="20"/>
              </w:rPr>
              <w:t xml:space="preserve">Submission of </w:t>
            </w:r>
            <w:r w:rsidR="003E7509">
              <w:rPr>
                <w:sz w:val="20"/>
                <w:szCs w:val="20"/>
              </w:rPr>
              <w:t>b</w:t>
            </w:r>
            <w:r w:rsidRPr="00BA08FC">
              <w:rPr>
                <w:sz w:val="20"/>
                <w:szCs w:val="20"/>
              </w:rPr>
              <w:t xml:space="preserve">udget </w:t>
            </w:r>
            <w:r w:rsidR="003E7509">
              <w:rPr>
                <w:sz w:val="20"/>
                <w:szCs w:val="20"/>
              </w:rPr>
              <w:t>e</w:t>
            </w:r>
            <w:r w:rsidRPr="00BA08FC">
              <w:rPr>
                <w:sz w:val="20"/>
                <w:szCs w:val="20"/>
              </w:rPr>
              <w:t>stimates to Cabinet for Approval</w:t>
            </w:r>
          </w:p>
        </w:tc>
        <w:tc>
          <w:tcPr>
            <w:tcW w:w="3051" w:type="dxa"/>
            <w:shd w:val="clear" w:color="auto" w:fill="auto"/>
          </w:tcPr>
          <w:p w14:paraId="5E4846A5" w14:textId="77777777" w:rsidR="00A50CA9" w:rsidRPr="00BA08FC" w:rsidRDefault="00A50CA9" w:rsidP="00BA08FC">
            <w:pPr>
              <w:jc w:val="left"/>
              <w:rPr>
                <w:sz w:val="20"/>
                <w:szCs w:val="20"/>
              </w:rPr>
            </w:pPr>
            <w:r w:rsidRPr="00BA08FC">
              <w:rPr>
                <w:sz w:val="20"/>
                <w:szCs w:val="20"/>
              </w:rPr>
              <w:t>County Treasury</w:t>
            </w:r>
          </w:p>
        </w:tc>
        <w:tc>
          <w:tcPr>
            <w:tcW w:w="2340" w:type="dxa"/>
            <w:shd w:val="clear" w:color="auto" w:fill="auto"/>
          </w:tcPr>
          <w:p w14:paraId="15CB22AD" w14:textId="2B855B64" w:rsidR="00A50CA9" w:rsidRPr="00BA08FC" w:rsidRDefault="00A50CA9" w:rsidP="00BA08FC">
            <w:pPr>
              <w:jc w:val="left"/>
              <w:rPr>
                <w:sz w:val="20"/>
                <w:szCs w:val="20"/>
              </w:rPr>
            </w:pPr>
            <w:r w:rsidRPr="00BA08FC">
              <w:rPr>
                <w:sz w:val="20"/>
                <w:szCs w:val="20"/>
              </w:rPr>
              <w:t xml:space="preserve">By March </w:t>
            </w:r>
            <w:r w:rsidR="003E7509">
              <w:rPr>
                <w:sz w:val="20"/>
                <w:szCs w:val="20"/>
              </w:rPr>
              <w:t xml:space="preserve">20, </w:t>
            </w:r>
            <w:r w:rsidRPr="00BA08FC">
              <w:rPr>
                <w:sz w:val="20"/>
                <w:szCs w:val="20"/>
              </w:rPr>
              <w:t>2016</w:t>
            </w:r>
          </w:p>
        </w:tc>
      </w:tr>
      <w:tr w:rsidR="00A50CA9" w:rsidRPr="00BA08FC" w14:paraId="44E83717" w14:textId="77777777" w:rsidTr="003E7509">
        <w:trPr>
          <w:trHeight w:val="656"/>
        </w:trPr>
        <w:tc>
          <w:tcPr>
            <w:tcW w:w="4077" w:type="dxa"/>
            <w:shd w:val="clear" w:color="auto" w:fill="auto"/>
          </w:tcPr>
          <w:p w14:paraId="298130E8" w14:textId="185F10BF" w:rsidR="00A50CA9" w:rsidRPr="00BA08FC" w:rsidRDefault="00A50CA9" w:rsidP="00BA08FC">
            <w:pPr>
              <w:jc w:val="left"/>
              <w:rPr>
                <w:sz w:val="20"/>
                <w:szCs w:val="20"/>
              </w:rPr>
            </w:pPr>
            <w:r w:rsidRPr="00BA08FC">
              <w:rPr>
                <w:sz w:val="20"/>
                <w:szCs w:val="20"/>
              </w:rPr>
              <w:t xml:space="preserve">Finalize </w:t>
            </w:r>
            <w:r w:rsidR="003E7509">
              <w:rPr>
                <w:sz w:val="20"/>
                <w:szCs w:val="20"/>
              </w:rPr>
              <w:t>m</w:t>
            </w:r>
            <w:r w:rsidRPr="00BA08FC">
              <w:rPr>
                <w:sz w:val="20"/>
                <w:szCs w:val="20"/>
              </w:rPr>
              <w:t xml:space="preserve">inisterial itemized </w:t>
            </w:r>
            <w:r w:rsidR="003E7509">
              <w:rPr>
                <w:sz w:val="20"/>
                <w:szCs w:val="20"/>
              </w:rPr>
              <w:t xml:space="preserve">budgets </w:t>
            </w:r>
            <w:r w:rsidRPr="00BA08FC">
              <w:rPr>
                <w:sz w:val="20"/>
                <w:szCs w:val="20"/>
              </w:rPr>
              <w:t xml:space="preserve">and </w:t>
            </w:r>
            <w:r w:rsidR="003E7509">
              <w:rPr>
                <w:sz w:val="20"/>
                <w:szCs w:val="20"/>
              </w:rPr>
              <w:t>PBB</w:t>
            </w:r>
            <w:r w:rsidRPr="00BA08FC">
              <w:rPr>
                <w:sz w:val="20"/>
                <w:szCs w:val="20"/>
              </w:rPr>
              <w:t>s and submit it to the County Assembly</w:t>
            </w:r>
          </w:p>
        </w:tc>
        <w:tc>
          <w:tcPr>
            <w:tcW w:w="3051" w:type="dxa"/>
            <w:shd w:val="clear" w:color="auto" w:fill="auto"/>
          </w:tcPr>
          <w:p w14:paraId="5C3E0D85" w14:textId="77777777" w:rsidR="00A50CA9" w:rsidRPr="00BA08FC" w:rsidRDefault="00A50CA9" w:rsidP="00BA08FC">
            <w:pPr>
              <w:jc w:val="left"/>
              <w:rPr>
                <w:sz w:val="20"/>
                <w:szCs w:val="20"/>
              </w:rPr>
            </w:pPr>
            <w:r w:rsidRPr="00BA08FC">
              <w:rPr>
                <w:sz w:val="20"/>
                <w:szCs w:val="20"/>
              </w:rPr>
              <w:t>Ministries/CEC Finance</w:t>
            </w:r>
          </w:p>
        </w:tc>
        <w:tc>
          <w:tcPr>
            <w:tcW w:w="2340" w:type="dxa"/>
            <w:shd w:val="clear" w:color="auto" w:fill="auto"/>
          </w:tcPr>
          <w:p w14:paraId="53998DF8" w14:textId="12123AB1" w:rsidR="00A50CA9" w:rsidRPr="00BA08FC" w:rsidRDefault="00A50CA9" w:rsidP="00BA08FC">
            <w:pPr>
              <w:jc w:val="left"/>
              <w:rPr>
                <w:sz w:val="20"/>
                <w:szCs w:val="20"/>
              </w:rPr>
            </w:pPr>
            <w:r w:rsidRPr="00BA08FC">
              <w:rPr>
                <w:sz w:val="20"/>
                <w:szCs w:val="20"/>
              </w:rPr>
              <w:t xml:space="preserve">By April </w:t>
            </w:r>
            <w:r w:rsidR="003E7509">
              <w:rPr>
                <w:sz w:val="20"/>
                <w:szCs w:val="20"/>
              </w:rPr>
              <w:t xml:space="preserve">30, </w:t>
            </w:r>
            <w:r w:rsidRPr="00BA08FC">
              <w:rPr>
                <w:sz w:val="20"/>
                <w:szCs w:val="20"/>
              </w:rPr>
              <w:t>2016</w:t>
            </w:r>
          </w:p>
        </w:tc>
      </w:tr>
      <w:tr w:rsidR="00A50CA9" w:rsidRPr="00BA08FC" w14:paraId="4AD09830" w14:textId="77777777" w:rsidTr="003E7509">
        <w:trPr>
          <w:trHeight w:val="386"/>
        </w:trPr>
        <w:tc>
          <w:tcPr>
            <w:tcW w:w="4077" w:type="dxa"/>
            <w:shd w:val="clear" w:color="auto" w:fill="auto"/>
          </w:tcPr>
          <w:p w14:paraId="1B963896" w14:textId="6B153776" w:rsidR="00A50CA9" w:rsidRPr="00BA08FC" w:rsidRDefault="00A50CA9" w:rsidP="00BA08FC">
            <w:pPr>
              <w:jc w:val="left"/>
              <w:rPr>
                <w:sz w:val="20"/>
                <w:szCs w:val="20"/>
              </w:rPr>
            </w:pPr>
            <w:r w:rsidRPr="00BA08FC">
              <w:rPr>
                <w:sz w:val="20"/>
                <w:szCs w:val="20"/>
              </w:rPr>
              <w:t xml:space="preserve">Review of </w:t>
            </w:r>
            <w:r w:rsidR="003E7509">
              <w:rPr>
                <w:sz w:val="20"/>
                <w:szCs w:val="20"/>
              </w:rPr>
              <w:t>m</w:t>
            </w:r>
            <w:r w:rsidRPr="00BA08FC">
              <w:rPr>
                <w:sz w:val="20"/>
                <w:szCs w:val="20"/>
              </w:rPr>
              <w:t xml:space="preserve">inisterial itemized </w:t>
            </w:r>
            <w:r w:rsidR="003E7509">
              <w:rPr>
                <w:sz w:val="20"/>
                <w:szCs w:val="20"/>
              </w:rPr>
              <w:t xml:space="preserve">budgets </w:t>
            </w:r>
            <w:r w:rsidRPr="00BA08FC">
              <w:rPr>
                <w:sz w:val="20"/>
                <w:szCs w:val="20"/>
              </w:rPr>
              <w:t>and PBBs</w:t>
            </w:r>
          </w:p>
        </w:tc>
        <w:tc>
          <w:tcPr>
            <w:tcW w:w="3051" w:type="dxa"/>
            <w:shd w:val="clear" w:color="auto" w:fill="auto"/>
          </w:tcPr>
          <w:p w14:paraId="6D05940D" w14:textId="77777777" w:rsidR="00A50CA9" w:rsidRPr="00BA08FC" w:rsidRDefault="00A50CA9" w:rsidP="00BA08FC">
            <w:pPr>
              <w:jc w:val="left"/>
              <w:rPr>
                <w:sz w:val="20"/>
                <w:szCs w:val="20"/>
              </w:rPr>
            </w:pPr>
            <w:r w:rsidRPr="00BA08FC">
              <w:rPr>
                <w:sz w:val="20"/>
                <w:szCs w:val="20"/>
              </w:rPr>
              <w:t xml:space="preserve">County Assembly </w:t>
            </w:r>
          </w:p>
        </w:tc>
        <w:tc>
          <w:tcPr>
            <w:tcW w:w="2340" w:type="dxa"/>
            <w:shd w:val="clear" w:color="auto" w:fill="auto"/>
          </w:tcPr>
          <w:p w14:paraId="0A0DB475" w14:textId="77777777" w:rsidR="00A50CA9" w:rsidRPr="00BA08FC" w:rsidRDefault="00123901" w:rsidP="00BA08FC">
            <w:pPr>
              <w:jc w:val="left"/>
              <w:rPr>
                <w:sz w:val="20"/>
                <w:szCs w:val="20"/>
              </w:rPr>
            </w:pPr>
            <w:r w:rsidRPr="00BA08FC">
              <w:rPr>
                <w:sz w:val="20"/>
                <w:szCs w:val="20"/>
              </w:rPr>
              <w:t>By May</w:t>
            </w:r>
            <w:r w:rsidR="00A50CA9" w:rsidRPr="00BA08FC">
              <w:rPr>
                <w:sz w:val="20"/>
                <w:szCs w:val="20"/>
              </w:rPr>
              <w:t xml:space="preserve"> 2016</w:t>
            </w:r>
          </w:p>
        </w:tc>
      </w:tr>
      <w:tr w:rsidR="00A50CA9" w:rsidRPr="00BA08FC" w14:paraId="788D693D" w14:textId="77777777" w:rsidTr="003E7509">
        <w:trPr>
          <w:trHeight w:val="548"/>
        </w:trPr>
        <w:tc>
          <w:tcPr>
            <w:tcW w:w="4077" w:type="dxa"/>
            <w:shd w:val="clear" w:color="auto" w:fill="auto"/>
          </w:tcPr>
          <w:p w14:paraId="3F6B3F4E" w14:textId="4883B0F2" w:rsidR="00A50CA9" w:rsidRPr="00BA08FC" w:rsidRDefault="00A50CA9" w:rsidP="00BA08FC">
            <w:pPr>
              <w:jc w:val="left"/>
              <w:rPr>
                <w:sz w:val="20"/>
                <w:szCs w:val="20"/>
              </w:rPr>
            </w:pPr>
            <w:r w:rsidRPr="00BA08FC">
              <w:rPr>
                <w:sz w:val="20"/>
                <w:szCs w:val="20"/>
              </w:rPr>
              <w:t xml:space="preserve">Submission of </w:t>
            </w:r>
            <w:r w:rsidR="003E7509">
              <w:rPr>
                <w:sz w:val="20"/>
                <w:szCs w:val="20"/>
              </w:rPr>
              <w:t>b</w:t>
            </w:r>
            <w:r w:rsidRPr="00BA08FC">
              <w:rPr>
                <w:sz w:val="20"/>
                <w:szCs w:val="20"/>
              </w:rPr>
              <w:t xml:space="preserve">udget </w:t>
            </w:r>
            <w:r w:rsidR="003E7509">
              <w:rPr>
                <w:sz w:val="20"/>
                <w:szCs w:val="20"/>
              </w:rPr>
              <w:t>e</w:t>
            </w:r>
            <w:r w:rsidRPr="00BA08FC">
              <w:rPr>
                <w:sz w:val="20"/>
                <w:szCs w:val="20"/>
              </w:rPr>
              <w:t>stimates recommendation to</w:t>
            </w:r>
            <w:r w:rsidR="003E5424" w:rsidRPr="00BA08FC">
              <w:rPr>
                <w:sz w:val="20"/>
                <w:szCs w:val="20"/>
              </w:rPr>
              <w:t xml:space="preserve"> CEC Finance for considerations</w:t>
            </w:r>
          </w:p>
        </w:tc>
        <w:tc>
          <w:tcPr>
            <w:tcW w:w="3051" w:type="dxa"/>
            <w:shd w:val="clear" w:color="auto" w:fill="auto"/>
          </w:tcPr>
          <w:p w14:paraId="10687353" w14:textId="77777777" w:rsidR="00A50CA9" w:rsidRPr="00BA08FC" w:rsidRDefault="00A50CA9" w:rsidP="00BA08FC">
            <w:pPr>
              <w:jc w:val="left"/>
              <w:rPr>
                <w:sz w:val="20"/>
                <w:szCs w:val="20"/>
              </w:rPr>
            </w:pPr>
            <w:r w:rsidRPr="00BA08FC">
              <w:rPr>
                <w:sz w:val="20"/>
                <w:szCs w:val="20"/>
              </w:rPr>
              <w:t>County Assembly</w:t>
            </w:r>
          </w:p>
        </w:tc>
        <w:tc>
          <w:tcPr>
            <w:tcW w:w="2340" w:type="dxa"/>
            <w:shd w:val="clear" w:color="auto" w:fill="auto"/>
          </w:tcPr>
          <w:p w14:paraId="121CDE6B" w14:textId="7F280A14" w:rsidR="00A50CA9" w:rsidRPr="00BA08FC" w:rsidRDefault="00A50CA9" w:rsidP="00BA08FC">
            <w:pPr>
              <w:jc w:val="left"/>
              <w:rPr>
                <w:sz w:val="20"/>
                <w:szCs w:val="20"/>
              </w:rPr>
            </w:pPr>
            <w:r w:rsidRPr="00BA08FC">
              <w:rPr>
                <w:sz w:val="20"/>
                <w:szCs w:val="20"/>
              </w:rPr>
              <w:t xml:space="preserve">By May </w:t>
            </w:r>
            <w:r w:rsidR="003E7509">
              <w:rPr>
                <w:sz w:val="20"/>
                <w:szCs w:val="20"/>
              </w:rPr>
              <w:t xml:space="preserve">20, </w:t>
            </w:r>
            <w:r w:rsidRPr="00BA08FC">
              <w:rPr>
                <w:sz w:val="20"/>
                <w:szCs w:val="20"/>
              </w:rPr>
              <w:t>2016</w:t>
            </w:r>
          </w:p>
        </w:tc>
      </w:tr>
      <w:tr w:rsidR="00A50CA9" w:rsidRPr="00BA08FC" w14:paraId="7C4DA215" w14:textId="77777777" w:rsidTr="003E7509">
        <w:trPr>
          <w:trHeight w:val="107"/>
        </w:trPr>
        <w:tc>
          <w:tcPr>
            <w:tcW w:w="4077" w:type="dxa"/>
            <w:shd w:val="clear" w:color="auto" w:fill="auto"/>
          </w:tcPr>
          <w:p w14:paraId="640B361B" w14:textId="2AF391D8" w:rsidR="00A50CA9" w:rsidRPr="00BA08FC" w:rsidRDefault="00A50CA9" w:rsidP="00BA08FC">
            <w:pPr>
              <w:jc w:val="left"/>
              <w:rPr>
                <w:sz w:val="20"/>
                <w:szCs w:val="20"/>
              </w:rPr>
            </w:pPr>
            <w:r w:rsidRPr="00BA08FC">
              <w:rPr>
                <w:sz w:val="20"/>
                <w:szCs w:val="20"/>
              </w:rPr>
              <w:t xml:space="preserve">Presentation of </w:t>
            </w:r>
            <w:r w:rsidR="003E7509">
              <w:rPr>
                <w:sz w:val="20"/>
                <w:szCs w:val="20"/>
              </w:rPr>
              <w:t>b</w:t>
            </w:r>
            <w:r w:rsidRPr="00BA08FC">
              <w:rPr>
                <w:sz w:val="20"/>
                <w:szCs w:val="20"/>
              </w:rPr>
              <w:t xml:space="preserve">udget </w:t>
            </w:r>
            <w:r w:rsidR="003E7509">
              <w:rPr>
                <w:sz w:val="20"/>
                <w:szCs w:val="20"/>
              </w:rPr>
              <w:t>t</w:t>
            </w:r>
            <w:r w:rsidRPr="00BA08FC">
              <w:rPr>
                <w:sz w:val="20"/>
                <w:szCs w:val="20"/>
              </w:rPr>
              <w:t xml:space="preserve">o </w:t>
            </w:r>
            <w:r w:rsidR="003E7509">
              <w:rPr>
                <w:sz w:val="20"/>
                <w:szCs w:val="20"/>
              </w:rPr>
              <w:t xml:space="preserve">County </w:t>
            </w:r>
            <w:r w:rsidRPr="00BA08FC">
              <w:rPr>
                <w:sz w:val="20"/>
                <w:szCs w:val="20"/>
              </w:rPr>
              <w:t>Assembly</w:t>
            </w:r>
          </w:p>
        </w:tc>
        <w:tc>
          <w:tcPr>
            <w:tcW w:w="3051" w:type="dxa"/>
            <w:shd w:val="clear" w:color="auto" w:fill="auto"/>
          </w:tcPr>
          <w:p w14:paraId="1D2787D9" w14:textId="77777777" w:rsidR="00A50CA9" w:rsidRPr="00BA08FC" w:rsidRDefault="00A50CA9" w:rsidP="00BA08FC">
            <w:pPr>
              <w:jc w:val="left"/>
              <w:rPr>
                <w:sz w:val="20"/>
                <w:szCs w:val="20"/>
              </w:rPr>
            </w:pPr>
            <w:r w:rsidRPr="00BA08FC">
              <w:rPr>
                <w:sz w:val="20"/>
                <w:szCs w:val="20"/>
              </w:rPr>
              <w:t>County Treasury</w:t>
            </w:r>
          </w:p>
        </w:tc>
        <w:tc>
          <w:tcPr>
            <w:tcW w:w="2340" w:type="dxa"/>
            <w:shd w:val="clear" w:color="auto" w:fill="auto"/>
          </w:tcPr>
          <w:p w14:paraId="109341BD" w14:textId="67AD6112" w:rsidR="00A50CA9" w:rsidRPr="00BA08FC" w:rsidRDefault="00A50CA9" w:rsidP="00BA08FC">
            <w:pPr>
              <w:jc w:val="left"/>
              <w:rPr>
                <w:sz w:val="20"/>
                <w:szCs w:val="20"/>
              </w:rPr>
            </w:pPr>
            <w:r w:rsidRPr="00BA08FC">
              <w:rPr>
                <w:sz w:val="20"/>
                <w:szCs w:val="20"/>
              </w:rPr>
              <w:t xml:space="preserve">By </w:t>
            </w:r>
            <w:r w:rsidR="003E7509">
              <w:rPr>
                <w:sz w:val="20"/>
                <w:szCs w:val="20"/>
              </w:rPr>
              <w:t>m</w:t>
            </w:r>
            <w:r w:rsidRPr="00BA08FC">
              <w:rPr>
                <w:sz w:val="20"/>
                <w:szCs w:val="20"/>
              </w:rPr>
              <w:t>id</w:t>
            </w:r>
            <w:r w:rsidR="003E7509">
              <w:rPr>
                <w:sz w:val="20"/>
                <w:szCs w:val="20"/>
              </w:rPr>
              <w:t>-</w:t>
            </w:r>
            <w:r w:rsidRPr="00BA08FC">
              <w:rPr>
                <w:sz w:val="20"/>
                <w:szCs w:val="20"/>
              </w:rPr>
              <w:t>June 2016</w:t>
            </w:r>
          </w:p>
        </w:tc>
      </w:tr>
      <w:tr w:rsidR="00A50CA9" w:rsidRPr="00BA08FC" w14:paraId="396DCC1B" w14:textId="77777777" w:rsidTr="003E7509">
        <w:trPr>
          <w:trHeight w:val="107"/>
        </w:trPr>
        <w:tc>
          <w:tcPr>
            <w:tcW w:w="4077" w:type="dxa"/>
            <w:shd w:val="clear" w:color="auto" w:fill="auto"/>
          </w:tcPr>
          <w:p w14:paraId="49500932" w14:textId="77777777" w:rsidR="00A50CA9" w:rsidRPr="00BA08FC" w:rsidRDefault="00A50CA9" w:rsidP="00BA08FC">
            <w:pPr>
              <w:jc w:val="left"/>
              <w:rPr>
                <w:sz w:val="20"/>
                <w:szCs w:val="20"/>
              </w:rPr>
            </w:pPr>
            <w:r w:rsidRPr="00BA08FC">
              <w:rPr>
                <w:sz w:val="20"/>
                <w:szCs w:val="20"/>
              </w:rPr>
              <w:t xml:space="preserve">Appropriation and </w:t>
            </w:r>
            <w:r w:rsidR="00123901" w:rsidRPr="00BA08FC">
              <w:rPr>
                <w:sz w:val="20"/>
                <w:szCs w:val="20"/>
              </w:rPr>
              <w:t>Finance Bill</w:t>
            </w:r>
            <w:r w:rsidRPr="00BA08FC">
              <w:rPr>
                <w:sz w:val="20"/>
                <w:szCs w:val="20"/>
              </w:rPr>
              <w:t xml:space="preserve"> passed</w:t>
            </w:r>
          </w:p>
        </w:tc>
        <w:tc>
          <w:tcPr>
            <w:tcW w:w="3051" w:type="dxa"/>
            <w:shd w:val="clear" w:color="auto" w:fill="auto"/>
          </w:tcPr>
          <w:p w14:paraId="1E7DAFE3" w14:textId="77777777" w:rsidR="00A50CA9" w:rsidRPr="00BA08FC" w:rsidRDefault="00A50CA9" w:rsidP="00BA08FC">
            <w:pPr>
              <w:jc w:val="left"/>
              <w:rPr>
                <w:sz w:val="20"/>
                <w:szCs w:val="20"/>
              </w:rPr>
            </w:pPr>
            <w:r w:rsidRPr="00BA08FC">
              <w:rPr>
                <w:sz w:val="20"/>
                <w:szCs w:val="20"/>
              </w:rPr>
              <w:t>County Assembly</w:t>
            </w:r>
          </w:p>
        </w:tc>
        <w:tc>
          <w:tcPr>
            <w:tcW w:w="2340" w:type="dxa"/>
            <w:shd w:val="clear" w:color="auto" w:fill="auto"/>
          </w:tcPr>
          <w:p w14:paraId="56D16072" w14:textId="77777777" w:rsidR="00A50CA9" w:rsidRPr="00BA08FC" w:rsidRDefault="00A50CA9" w:rsidP="00BA08FC">
            <w:pPr>
              <w:jc w:val="left"/>
              <w:rPr>
                <w:sz w:val="20"/>
                <w:szCs w:val="20"/>
              </w:rPr>
            </w:pPr>
            <w:r w:rsidRPr="00BA08FC">
              <w:rPr>
                <w:sz w:val="20"/>
                <w:szCs w:val="20"/>
              </w:rPr>
              <w:t>By end of June 2016</w:t>
            </w:r>
          </w:p>
        </w:tc>
      </w:tr>
    </w:tbl>
    <w:p w14:paraId="443C07B8" w14:textId="22826A31" w:rsidR="00B36EA0" w:rsidRPr="00BA08FC" w:rsidRDefault="009E3EF3" w:rsidP="00BA08FC">
      <w:pPr>
        <w:pStyle w:val="Italic"/>
        <w:spacing w:after="240"/>
        <w:rPr>
          <w:sz w:val="20"/>
        </w:rPr>
      </w:pPr>
      <w:r w:rsidRPr="00BA08FC">
        <w:rPr>
          <w:sz w:val="20"/>
        </w:rPr>
        <w:t xml:space="preserve">Source: </w:t>
      </w:r>
      <w:r w:rsidR="00F97161" w:rsidRPr="00BA08FC">
        <w:rPr>
          <w:i w:val="0"/>
          <w:sz w:val="20"/>
        </w:rPr>
        <w:t>County Secretary</w:t>
      </w:r>
      <w:r w:rsidR="00BA08FC">
        <w:rPr>
          <w:i w:val="0"/>
          <w:sz w:val="20"/>
        </w:rPr>
        <w:t>.</w:t>
      </w:r>
    </w:p>
    <w:p w14:paraId="7708F5FC" w14:textId="0171EE79" w:rsidR="00B82EC2" w:rsidRPr="00BA08FC" w:rsidRDefault="00B82EC2" w:rsidP="006E7B98">
      <w:pPr>
        <w:spacing w:after="240"/>
        <w:rPr>
          <w:sz w:val="22"/>
        </w:rPr>
      </w:pPr>
      <w:r w:rsidRPr="00BA08FC">
        <w:rPr>
          <w:sz w:val="22"/>
        </w:rPr>
        <w:t xml:space="preserve">The budget circular is issued in August and the budgetary units have </w:t>
      </w:r>
      <w:r w:rsidR="00280C4D" w:rsidRPr="00BA08FC">
        <w:rPr>
          <w:sz w:val="22"/>
        </w:rPr>
        <w:t>enough</w:t>
      </w:r>
      <w:r w:rsidRPr="00BA08FC">
        <w:rPr>
          <w:sz w:val="22"/>
        </w:rPr>
        <w:t xml:space="preserve"> time to prepare detailed estimates between August and March </w:t>
      </w:r>
      <w:r w:rsidR="00280C4D" w:rsidRPr="00BA08FC">
        <w:rPr>
          <w:sz w:val="22"/>
        </w:rPr>
        <w:t>of the following year</w:t>
      </w:r>
      <w:r w:rsidRPr="00BA08FC">
        <w:rPr>
          <w:sz w:val="22"/>
        </w:rPr>
        <w:t xml:space="preserve">. </w:t>
      </w:r>
    </w:p>
    <w:p w14:paraId="0BDA921C" w14:textId="77777777" w:rsidR="008A646C" w:rsidRPr="00BA08FC" w:rsidRDefault="00035673" w:rsidP="006E7B98">
      <w:pPr>
        <w:spacing w:after="240"/>
        <w:rPr>
          <w:sz w:val="22"/>
        </w:rPr>
      </w:pPr>
      <w:r w:rsidRPr="00BA08FC">
        <w:rPr>
          <w:sz w:val="22"/>
        </w:rPr>
        <w:t xml:space="preserve">In summary, calendar is generally adhered to by budgetary units, but quality in budget programming is often missing. </w:t>
      </w:r>
    </w:p>
    <w:p w14:paraId="6FDA5CA2" w14:textId="0AD63FE6" w:rsidR="008A646C" w:rsidRPr="00BA08FC" w:rsidRDefault="008A646C" w:rsidP="006E7B98">
      <w:pPr>
        <w:spacing w:after="240"/>
        <w:rPr>
          <w:b/>
          <w:sz w:val="22"/>
        </w:rPr>
      </w:pPr>
      <w:r w:rsidRPr="00BA08FC">
        <w:rPr>
          <w:b/>
          <w:sz w:val="22"/>
        </w:rPr>
        <w:t>Dimension rating = B</w:t>
      </w:r>
    </w:p>
    <w:p w14:paraId="134AE75B" w14:textId="1055512A" w:rsidR="00876044" w:rsidRPr="00890A84" w:rsidRDefault="006B0593" w:rsidP="00BA6B2B">
      <w:pPr>
        <w:pStyle w:val="Heading5"/>
      </w:pPr>
      <w:r>
        <w:t>PI-</w:t>
      </w:r>
      <w:r w:rsidR="00876044" w:rsidRPr="00890A84">
        <w:t xml:space="preserve">17.2 Guidance on budget preparation </w:t>
      </w:r>
    </w:p>
    <w:p w14:paraId="3B9A5444" w14:textId="2A3C125E" w:rsidR="00ED2A55" w:rsidRPr="00BA08FC" w:rsidRDefault="001A73D9" w:rsidP="00BA08FC">
      <w:pPr>
        <w:spacing w:after="240"/>
        <w:rPr>
          <w:sz w:val="22"/>
        </w:rPr>
      </w:pPr>
      <w:r w:rsidRPr="00BA08FC">
        <w:rPr>
          <w:sz w:val="22"/>
        </w:rPr>
        <w:t xml:space="preserve">The circular generally contains guidelines as provided for by </w:t>
      </w:r>
      <w:r w:rsidR="00F94EBB" w:rsidRPr="00BA08FC">
        <w:rPr>
          <w:sz w:val="22"/>
        </w:rPr>
        <w:t xml:space="preserve">Section </w:t>
      </w:r>
      <w:r w:rsidRPr="00BA08FC">
        <w:rPr>
          <w:sz w:val="22"/>
        </w:rPr>
        <w:t>117</w:t>
      </w:r>
      <w:r w:rsidR="003E7509">
        <w:rPr>
          <w:sz w:val="22"/>
        </w:rPr>
        <w:t>–</w:t>
      </w:r>
      <w:r w:rsidRPr="00BA08FC">
        <w:rPr>
          <w:sz w:val="22"/>
        </w:rPr>
        <w:t>118, of the P</w:t>
      </w:r>
      <w:r w:rsidR="00F94EBB" w:rsidRPr="00BA08FC">
        <w:rPr>
          <w:sz w:val="22"/>
        </w:rPr>
        <w:t>FM Act, 2012</w:t>
      </w:r>
      <w:r w:rsidRPr="00BA08FC">
        <w:rPr>
          <w:sz w:val="22"/>
        </w:rPr>
        <w:t xml:space="preserve">. Its </w:t>
      </w:r>
      <w:r w:rsidR="00F94EBB" w:rsidRPr="00BA08FC">
        <w:rPr>
          <w:sz w:val="22"/>
        </w:rPr>
        <w:t>purpose is to inform and guide ministries, departments</w:t>
      </w:r>
      <w:r w:rsidR="003E7509">
        <w:rPr>
          <w:sz w:val="22"/>
        </w:rPr>
        <w:t>,</w:t>
      </w:r>
      <w:r w:rsidR="00F94EBB" w:rsidRPr="00BA08FC">
        <w:rPr>
          <w:sz w:val="22"/>
        </w:rPr>
        <w:t xml:space="preserve"> and county g</w:t>
      </w:r>
      <w:r w:rsidRPr="00BA08FC">
        <w:rPr>
          <w:sz w:val="22"/>
        </w:rPr>
        <w:t>over</w:t>
      </w:r>
      <w:r w:rsidR="00F94EBB" w:rsidRPr="00BA08FC">
        <w:rPr>
          <w:sz w:val="22"/>
        </w:rPr>
        <w:t>nment a</w:t>
      </w:r>
      <w:r w:rsidRPr="00BA08FC">
        <w:rPr>
          <w:sz w:val="22"/>
        </w:rPr>
        <w:t xml:space="preserve">gencies on the preparation of the </w:t>
      </w:r>
      <w:r w:rsidR="00123901" w:rsidRPr="00BA08FC">
        <w:rPr>
          <w:sz w:val="22"/>
        </w:rPr>
        <w:t>budget. It</w:t>
      </w:r>
      <w:r w:rsidRPr="00BA08FC">
        <w:rPr>
          <w:sz w:val="22"/>
        </w:rPr>
        <w:t xml:space="preserve"> provides guidance on the form and content of the budget and the cost of programs to be funded at the county in line w</w:t>
      </w:r>
      <w:r w:rsidR="00F94EBB" w:rsidRPr="00BA08FC">
        <w:rPr>
          <w:sz w:val="22"/>
        </w:rPr>
        <w:t>ith the fourth schedule of the C</w:t>
      </w:r>
      <w:r w:rsidRPr="00BA08FC">
        <w:rPr>
          <w:sz w:val="22"/>
        </w:rPr>
        <w:t>onstitution. It also emphasizes the constitutional timelines and requirements as per the budget calendar discussed</w:t>
      </w:r>
      <w:r w:rsidR="0070731D" w:rsidRPr="00BA08FC">
        <w:rPr>
          <w:sz w:val="22"/>
        </w:rPr>
        <w:t xml:space="preserve"> under 17.1</w:t>
      </w:r>
      <w:r w:rsidRPr="00BA08FC">
        <w:rPr>
          <w:sz w:val="22"/>
        </w:rPr>
        <w:t>. However, the guidelines do not include total budget expenditure for the fi</w:t>
      </w:r>
      <w:r w:rsidR="00F94EBB" w:rsidRPr="00BA08FC">
        <w:rPr>
          <w:sz w:val="22"/>
        </w:rPr>
        <w:t xml:space="preserve">nancial </w:t>
      </w:r>
      <w:r w:rsidRPr="00BA08FC">
        <w:rPr>
          <w:sz w:val="22"/>
        </w:rPr>
        <w:t>year and the ministry ceilings.</w:t>
      </w:r>
    </w:p>
    <w:p w14:paraId="16D4EDC9" w14:textId="5D9969BA" w:rsidR="008A646C" w:rsidRPr="00BA08FC" w:rsidRDefault="00035673" w:rsidP="00BA08FC">
      <w:pPr>
        <w:spacing w:after="240"/>
        <w:rPr>
          <w:sz w:val="22"/>
        </w:rPr>
      </w:pPr>
      <w:r w:rsidRPr="00BA08FC">
        <w:rPr>
          <w:sz w:val="22"/>
        </w:rPr>
        <w:t>In summary, a</w:t>
      </w:r>
      <w:r w:rsidR="00280C4D" w:rsidRPr="00BA08FC">
        <w:rPr>
          <w:sz w:val="22"/>
        </w:rPr>
        <w:t xml:space="preserve"> comprehensive budget circular is issued to budgetary units, covering total budget expenditure for the full </w:t>
      </w:r>
      <w:r w:rsidR="003E7509">
        <w:rPr>
          <w:sz w:val="22"/>
        </w:rPr>
        <w:t>FY</w:t>
      </w:r>
      <w:r w:rsidR="00280C4D" w:rsidRPr="00BA08FC">
        <w:rPr>
          <w:sz w:val="22"/>
        </w:rPr>
        <w:t xml:space="preserve">. The budget circular does not include ministry ceilings. The approval of ceilings by the cabinet are approved only before sending the budget to the County Assembly. </w:t>
      </w:r>
    </w:p>
    <w:p w14:paraId="5DB12AE2" w14:textId="6179ECA5" w:rsidR="008A646C" w:rsidRPr="00BA08FC" w:rsidRDefault="008A646C" w:rsidP="00BA08FC">
      <w:pPr>
        <w:spacing w:after="240"/>
        <w:ind w:left="360" w:hanging="360"/>
        <w:rPr>
          <w:b/>
          <w:sz w:val="22"/>
        </w:rPr>
      </w:pPr>
      <w:r w:rsidRPr="00BA08FC">
        <w:rPr>
          <w:b/>
          <w:sz w:val="22"/>
        </w:rPr>
        <w:t>Dimension rating = D</w:t>
      </w:r>
    </w:p>
    <w:p w14:paraId="2A9F961D" w14:textId="77777777" w:rsidR="00876044" w:rsidRPr="00890A84" w:rsidRDefault="00867DDD" w:rsidP="00BA6B2B">
      <w:pPr>
        <w:pStyle w:val="Heading5"/>
      </w:pPr>
      <w:r w:rsidRPr="00890A84">
        <w:t>PI-</w:t>
      </w:r>
      <w:r w:rsidR="00876044" w:rsidRPr="00890A84">
        <w:t xml:space="preserve">17.3 Budget submission to the legislature </w:t>
      </w:r>
    </w:p>
    <w:p w14:paraId="2FA2F9D0" w14:textId="186464B8" w:rsidR="00BE67C1" w:rsidRPr="00BA08FC" w:rsidRDefault="00BE67C1" w:rsidP="00BA08FC">
      <w:pPr>
        <w:spacing w:after="240"/>
        <w:rPr>
          <w:sz w:val="22"/>
        </w:rPr>
      </w:pPr>
      <w:r w:rsidRPr="00BA08FC">
        <w:rPr>
          <w:sz w:val="22"/>
        </w:rPr>
        <w:t xml:space="preserve">The County Executive is expected to submit the budget to the County Assembly by April </w:t>
      </w:r>
      <w:r w:rsidR="003E7509">
        <w:rPr>
          <w:sz w:val="22"/>
        </w:rPr>
        <w:t xml:space="preserve">30 </w:t>
      </w:r>
      <w:r w:rsidRPr="00BA08FC">
        <w:rPr>
          <w:sz w:val="22"/>
        </w:rPr>
        <w:t>of each financial year.</w:t>
      </w:r>
      <w:r w:rsidR="00350561" w:rsidRPr="00BA08FC">
        <w:rPr>
          <w:sz w:val="22"/>
        </w:rPr>
        <w:t xml:space="preserve"> </w:t>
      </w:r>
      <w:r w:rsidRPr="00BA08FC">
        <w:rPr>
          <w:sz w:val="22"/>
        </w:rPr>
        <w:t>According to the BI</w:t>
      </w:r>
      <w:r w:rsidR="003E7509">
        <w:rPr>
          <w:sz w:val="22"/>
        </w:rPr>
        <w:t>R</w:t>
      </w:r>
      <w:r w:rsidRPr="00BA08FC">
        <w:rPr>
          <w:sz w:val="22"/>
        </w:rPr>
        <w:t xml:space="preserve">R FY2015/16, the County Executive Committee for Finance submitted the budget estimates to the County Assembly on April </w:t>
      </w:r>
      <w:r w:rsidR="003E7509" w:rsidRPr="00BA08FC">
        <w:rPr>
          <w:sz w:val="22"/>
        </w:rPr>
        <w:t>30</w:t>
      </w:r>
      <w:r w:rsidR="003E7509">
        <w:rPr>
          <w:sz w:val="22"/>
        </w:rPr>
        <w:t xml:space="preserve">, </w:t>
      </w:r>
      <w:r w:rsidRPr="00BA08FC">
        <w:rPr>
          <w:sz w:val="22"/>
        </w:rPr>
        <w:t xml:space="preserve">2016, which was approved on June </w:t>
      </w:r>
      <w:r w:rsidR="003E7509">
        <w:rPr>
          <w:sz w:val="22"/>
        </w:rPr>
        <w:t xml:space="preserve">30, </w:t>
      </w:r>
      <w:r w:rsidRPr="00BA08FC">
        <w:rPr>
          <w:sz w:val="22"/>
        </w:rPr>
        <w:t xml:space="preserve">2016. The ADP and the CFSP were submitted to the County Assembly on September </w:t>
      </w:r>
      <w:r w:rsidR="008442B4">
        <w:rPr>
          <w:sz w:val="22"/>
        </w:rPr>
        <w:t xml:space="preserve">1, </w:t>
      </w:r>
      <w:r w:rsidRPr="00BA08FC">
        <w:rPr>
          <w:sz w:val="22"/>
        </w:rPr>
        <w:t>2015</w:t>
      </w:r>
      <w:r w:rsidR="008442B4">
        <w:rPr>
          <w:sz w:val="22"/>
        </w:rPr>
        <w:t>,</w:t>
      </w:r>
      <w:r w:rsidRPr="00BA08FC">
        <w:rPr>
          <w:sz w:val="22"/>
        </w:rPr>
        <w:t xml:space="preserve"> and February </w:t>
      </w:r>
      <w:r w:rsidR="008442B4">
        <w:rPr>
          <w:sz w:val="22"/>
        </w:rPr>
        <w:t xml:space="preserve">28, </w:t>
      </w:r>
      <w:r w:rsidRPr="00BA08FC">
        <w:rPr>
          <w:sz w:val="22"/>
        </w:rPr>
        <w:t>2016</w:t>
      </w:r>
      <w:r w:rsidR="008442B4">
        <w:rPr>
          <w:sz w:val="22"/>
        </w:rPr>
        <w:t>,</w:t>
      </w:r>
      <w:r w:rsidRPr="00BA08FC">
        <w:rPr>
          <w:sz w:val="22"/>
        </w:rPr>
        <w:t xml:space="preserve"> respectively. BIRRs for the previous years do not mention the dates of submission of the budget to the County Assembly. However, the COB would have mentioned the case of noncompliance if the April </w:t>
      </w:r>
      <w:r w:rsidR="008442B4">
        <w:rPr>
          <w:sz w:val="22"/>
        </w:rPr>
        <w:t xml:space="preserve">30 </w:t>
      </w:r>
      <w:r w:rsidRPr="00BA08FC">
        <w:rPr>
          <w:sz w:val="22"/>
        </w:rPr>
        <w:t xml:space="preserve">deadline required by </w:t>
      </w:r>
      <w:r w:rsidR="007274DE" w:rsidRPr="00BA08FC">
        <w:rPr>
          <w:sz w:val="22"/>
        </w:rPr>
        <w:t>the PFM</w:t>
      </w:r>
      <w:r w:rsidRPr="00BA08FC">
        <w:rPr>
          <w:sz w:val="22"/>
        </w:rPr>
        <w:t xml:space="preserve"> Act</w:t>
      </w:r>
      <w:r w:rsidR="008442B4">
        <w:rPr>
          <w:sz w:val="22"/>
        </w:rPr>
        <w:t>,</w:t>
      </w:r>
      <w:r w:rsidRPr="00BA08FC">
        <w:rPr>
          <w:sz w:val="22"/>
        </w:rPr>
        <w:t xml:space="preserve"> </w:t>
      </w:r>
      <w:r w:rsidR="008442B4" w:rsidRPr="00BA08FC">
        <w:rPr>
          <w:sz w:val="22"/>
        </w:rPr>
        <w:t>2012</w:t>
      </w:r>
      <w:r w:rsidR="008442B4">
        <w:rPr>
          <w:sz w:val="22"/>
        </w:rPr>
        <w:t xml:space="preserve">, </w:t>
      </w:r>
      <w:r w:rsidRPr="00BA08FC">
        <w:rPr>
          <w:sz w:val="22"/>
        </w:rPr>
        <w:t>would not have been respected.</w:t>
      </w:r>
    </w:p>
    <w:p w14:paraId="70C6FEE2" w14:textId="3E8DCC1F" w:rsidR="008A646C" w:rsidRPr="00BA08FC" w:rsidRDefault="00035673" w:rsidP="00BA08FC">
      <w:pPr>
        <w:spacing w:after="240"/>
        <w:rPr>
          <w:sz w:val="22"/>
        </w:rPr>
      </w:pPr>
      <w:r w:rsidRPr="00BA08FC">
        <w:rPr>
          <w:sz w:val="22"/>
        </w:rPr>
        <w:t>In summary, t</w:t>
      </w:r>
      <w:r w:rsidR="00C33847" w:rsidRPr="00BA08FC">
        <w:rPr>
          <w:sz w:val="22"/>
        </w:rPr>
        <w:t xml:space="preserve">he County Executive submitted the budget </w:t>
      </w:r>
      <w:r w:rsidR="008442B4">
        <w:rPr>
          <w:sz w:val="22"/>
        </w:rPr>
        <w:t xml:space="preserve">on time </w:t>
      </w:r>
      <w:r w:rsidR="00C33847" w:rsidRPr="00BA08FC">
        <w:rPr>
          <w:sz w:val="22"/>
        </w:rPr>
        <w:t>to the County Assembly over the three years.</w:t>
      </w:r>
      <w:r w:rsidR="00280C4D" w:rsidRPr="00BA08FC">
        <w:rPr>
          <w:sz w:val="22"/>
        </w:rPr>
        <w:t xml:space="preserve"> </w:t>
      </w:r>
    </w:p>
    <w:p w14:paraId="24A412B1" w14:textId="60DCA284" w:rsidR="008A646C" w:rsidRPr="00BA08FC" w:rsidRDefault="008A646C" w:rsidP="00BA08FC">
      <w:pPr>
        <w:spacing w:after="240"/>
        <w:ind w:left="360" w:hanging="360"/>
        <w:rPr>
          <w:b/>
          <w:sz w:val="22"/>
        </w:rPr>
      </w:pPr>
      <w:r w:rsidRPr="00BA08FC">
        <w:rPr>
          <w:b/>
          <w:sz w:val="22"/>
        </w:rPr>
        <w:t>Dimension rating = A</w:t>
      </w:r>
    </w:p>
    <w:p w14:paraId="2369FF84" w14:textId="77777777" w:rsidR="00BB1084" w:rsidRPr="00890A84" w:rsidRDefault="00BB1084" w:rsidP="00590C8E">
      <w:pPr>
        <w:pStyle w:val="Heading4"/>
      </w:pPr>
      <w:r w:rsidRPr="00890A84">
        <w:t>PI-18. Legislative scrutiny of budgets</w:t>
      </w:r>
    </w:p>
    <w:p w14:paraId="75481541" w14:textId="77777777" w:rsidR="003E5B0C" w:rsidRPr="00890A84" w:rsidRDefault="003E5B0C" w:rsidP="00BA6B2B">
      <w:pPr>
        <w:pStyle w:val="Heading5"/>
      </w:pPr>
      <w:r w:rsidRPr="00890A84">
        <w:t>Summary of scores and performance table</w:t>
      </w:r>
    </w:p>
    <w:tbl>
      <w:tblPr>
        <w:tblW w:w="960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660"/>
        <w:gridCol w:w="567"/>
        <w:gridCol w:w="6379"/>
      </w:tblGrid>
      <w:tr w:rsidR="003E5B0C" w:rsidRPr="00BA08FC" w14:paraId="02CF69D5" w14:textId="77777777" w:rsidTr="00BA08FC">
        <w:tc>
          <w:tcPr>
            <w:tcW w:w="2660" w:type="dxa"/>
            <w:shd w:val="clear" w:color="auto" w:fill="5B9BD5"/>
          </w:tcPr>
          <w:p w14:paraId="69645D64" w14:textId="1191B6C3" w:rsidR="003E5B0C" w:rsidRPr="00BA08FC" w:rsidRDefault="003E5B0C" w:rsidP="00BA08FC">
            <w:pPr>
              <w:jc w:val="center"/>
              <w:rPr>
                <w:b/>
                <w:color w:val="FFFFFF" w:themeColor="background1"/>
                <w:sz w:val="20"/>
                <w:szCs w:val="20"/>
              </w:rPr>
            </w:pPr>
            <w:r w:rsidRPr="00BA08FC">
              <w:rPr>
                <w:b/>
                <w:color w:val="FFFFFF" w:themeColor="background1"/>
                <w:sz w:val="20"/>
                <w:szCs w:val="20"/>
              </w:rPr>
              <w:t>PI-18</w:t>
            </w:r>
            <w:r w:rsidR="008442B4">
              <w:rPr>
                <w:b/>
                <w:color w:val="FFFFFF" w:themeColor="background1"/>
                <w:sz w:val="20"/>
                <w:szCs w:val="20"/>
              </w:rPr>
              <w:t>.</w:t>
            </w:r>
            <w:r w:rsidRPr="00BA08FC">
              <w:rPr>
                <w:b/>
                <w:color w:val="FFFFFF" w:themeColor="background1"/>
                <w:sz w:val="20"/>
                <w:szCs w:val="20"/>
              </w:rPr>
              <w:t xml:space="preserve"> Legislative scrutiny of budgets (M1)</w:t>
            </w:r>
          </w:p>
        </w:tc>
        <w:tc>
          <w:tcPr>
            <w:tcW w:w="567" w:type="dxa"/>
            <w:shd w:val="clear" w:color="auto" w:fill="5B9BD5"/>
          </w:tcPr>
          <w:p w14:paraId="4A5FAC0E" w14:textId="3E823C95" w:rsidR="003E5B0C" w:rsidRPr="00BA08FC" w:rsidRDefault="00A95236" w:rsidP="00BA08FC">
            <w:pPr>
              <w:jc w:val="center"/>
              <w:rPr>
                <w:b/>
                <w:color w:val="FFFFFF" w:themeColor="background1"/>
                <w:sz w:val="20"/>
                <w:szCs w:val="20"/>
              </w:rPr>
            </w:pPr>
            <w:r w:rsidRPr="00BA08FC">
              <w:rPr>
                <w:b/>
                <w:color w:val="FFFFFF" w:themeColor="background1"/>
                <w:sz w:val="20"/>
                <w:szCs w:val="20"/>
              </w:rPr>
              <w:t>C</w:t>
            </w:r>
            <w:r w:rsidR="003E5B0C" w:rsidRPr="00BA08FC">
              <w:rPr>
                <w:b/>
                <w:color w:val="FFFFFF" w:themeColor="background1"/>
                <w:sz w:val="20"/>
                <w:szCs w:val="20"/>
              </w:rPr>
              <w:t>+</w:t>
            </w:r>
          </w:p>
        </w:tc>
        <w:tc>
          <w:tcPr>
            <w:tcW w:w="6379" w:type="dxa"/>
            <w:shd w:val="clear" w:color="auto" w:fill="5B9BD5"/>
          </w:tcPr>
          <w:p w14:paraId="5358700C"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Brief justification for score</w:t>
            </w:r>
          </w:p>
        </w:tc>
      </w:tr>
      <w:tr w:rsidR="003E5B0C" w:rsidRPr="00BA08FC" w14:paraId="4B37164F" w14:textId="77777777" w:rsidTr="00BA08FC">
        <w:tc>
          <w:tcPr>
            <w:tcW w:w="2660" w:type="dxa"/>
            <w:shd w:val="clear" w:color="auto" w:fill="auto"/>
          </w:tcPr>
          <w:p w14:paraId="6A1BD250" w14:textId="77777777" w:rsidR="003E5B0C" w:rsidRPr="00BA08FC" w:rsidRDefault="003E5B0C" w:rsidP="00BA08FC">
            <w:pPr>
              <w:jc w:val="left"/>
              <w:rPr>
                <w:sz w:val="20"/>
                <w:szCs w:val="20"/>
              </w:rPr>
            </w:pPr>
            <w:r w:rsidRPr="00BA08FC">
              <w:rPr>
                <w:sz w:val="20"/>
                <w:szCs w:val="20"/>
              </w:rPr>
              <w:t xml:space="preserve">18.1 Scope of budget scrutiny </w:t>
            </w:r>
          </w:p>
        </w:tc>
        <w:tc>
          <w:tcPr>
            <w:tcW w:w="567" w:type="dxa"/>
            <w:shd w:val="clear" w:color="auto" w:fill="auto"/>
          </w:tcPr>
          <w:p w14:paraId="48604146" w14:textId="77777777" w:rsidR="003E5B0C" w:rsidRPr="00BA08FC" w:rsidRDefault="003E5B0C" w:rsidP="003A5747">
            <w:pPr>
              <w:rPr>
                <w:sz w:val="20"/>
                <w:szCs w:val="20"/>
              </w:rPr>
            </w:pPr>
            <w:r w:rsidRPr="00BA08FC">
              <w:rPr>
                <w:sz w:val="20"/>
                <w:szCs w:val="20"/>
              </w:rPr>
              <w:t xml:space="preserve">A </w:t>
            </w:r>
          </w:p>
        </w:tc>
        <w:tc>
          <w:tcPr>
            <w:tcW w:w="6379" w:type="dxa"/>
            <w:shd w:val="clear" w:color="auto" w:fill="auto"/>
          </w:tcPr>
          <w:p w14:paraId="2FB4EEBA" w14:textId="212D7977" w:rsidR="003E5B0C" w:rsidRPr="00BA08FC" w:rsidRDefault="003E5B0C" w:rsidP="00BA08FC">
            <w:pPr>
              <w:jc w:val="left"/>
              <w:rPr>
                <w:sz w:val="20"/>
                <w:szCs w:val="20"/>
              </w:rPr>
            </w:pPr>
            <w:r w:rsidRPr="00BA08FC">
              <w:rPr>
                <w:sz w:val="20"/>
                <w:szCs w:val="20"/>
              </w:rPr>
              <w:t xml:space="preserve">The </w:t>
            </w:r>
            <w:r w:rsidR="008442B4">
              <w:rPr>
                <w:sz w:val="20"/>
                <w:szCs w:val="20"/>
              </w:rPr>
              <w:t>C</w:t>
            </w:r>
            <w:r w:rsidRPr="00BA08FC">
              <w:rPr>
                <w:sz w:val="20"/>
                <w:szCs w:val="20"/>
              </w:rPr>
              <w:t xml:space="preserve">ounty </w:t>
            </w:r>
            <w:r w:rsidR="008442B4">
              <w:rPr>
                <w:sz w:val="20"/>
                <w:szCs w:val="20"/>
              </w:rPr>
              <w:t>A</w:t>
            </w:r>
            <w:r w:rsidRPr="00BA08FC">
              <w:rPr>
                <w:sz w:val="20"/>
                <w:szCs w:val="20"/>
              </w:rPr>
              <w:t>ssembly review covers fiscal policies, medium-term fiscal forecasts, and medium-term priorities as well as details of expenditure and revenue.</w:t>
            </w:r>
          </w:p>
        </w:tc>
      </w:tr>
      <w:tr w:rsidR="003E5B0C" w:rsidRPr="00BA08FC" w14:paraId="099B6DD0" w14:textId="77777777" w:rsidTr="00BA08FC">
        <w:tc>
          <w:tcPr>
            <w:tcW w:w="2660" w:type="dxa"/>
            <w:shd w:val="clear" w:color="auto" w:fill="auto"/>
          </w:tcPr>
          <w:p w14:paraId="1B5FAC25" w14:textId="77777777" w:rsidR="003E5B0C" w:rsidRPr="00BA08FC" w:rsidRDefault="003E5B0C" w:rsidP="00BA08FC">
            <w:pPr>
              <w:jc w:val="left"/>
              <w:rPr>
                <w:sz w:val="20"/>
                <w:szCs w:val="20"/>
              </w:rPr>
            </w:pPr>
            <w:r w:rsidRPr="00BA08FC">
              <w:rPr>
                <w:sz w:val="20"/>
                <w:szCs w:val="20"/>
              </w:rPr>
              <w:t xml:space="preserve">18.2 Legislative procedures for budget scrutiny </w:t>
            </w:r>
          </w:p>
        </w:tc>
        <w:tc>
          <w:tcPr>
            <w:tcW w:w="567" w:type="dxa"/>
            <w:shd w:val="clear" w:color="auto" w:fill="auto"/>
          </w:tcPr>
          <w:p w14:paraId="405BB9F2" w14:textId="77777777" w:rsidR="003E5B0C" w:rsidRPr="00BA08FC" w:rsidRDefault="003E5B0C" w:rsidP="003A5747">
            <w:pPr>
              <w:rPr>
                <w:sz w:val="20"/>
                <w:szCs w:val="20"/>
              </w:rPr>
            </w:pPr>
            <w:r w:rsidRPr="00BA08FC">
              <w:rPr>
                <w:sz w:val="20"/>
                <w:szCs w:val="20"/>
              </w:rPr>
              <w:t>A</w:t>
            </w:r>
          </w:p>
        </w:tc>
        <w:tc>
          <w:tcPr>
            <w:tcW w:w="6379" w:type="dxa"/>
            <w:shd w:val="clear" w:color="auto" w:fill="auto"/>
          </w:tcPr>
          <w:p w14:paraId="19F93CBA" w14:textId="6899972E" w:rsidR="003E5B0C" w:rsidRPr="00BA08FC" w:rsidRDefault="003E5B0C" w:rsidP="00BA08FC">
            <w:pPr>
              <w:jc w:val="left"/>
              <w:rPr>
                <w:sz w:val="20"/>
                <w:szCs w:val="20"/>
              </w:rPr>
            </w:pPr>
            <w:r w:rsidRPr="00BA08FC">
              <w:rPr>
                <w:sz w:val="20"/>
                <w:szCs w:val="20"/>
              </w:rPr>
              <w:t>The procedures for budget scrutiny include speciali</w:t>
            </w:r>
            <w:r w:rsidR="009D21FC">
              <w:rPr>
                <w:sz w:val="20"/>
                <w:szCs w:val="20"/>
              </w:rPr>
              <w:t>z</w:t>
            </w:r>
            <w:r w:rsidRPr="00BA08FC">
              <w:rPr>
                <w:sz w:val="20"/>
                <w:szCs w:val="20"/>
              </w:rPr>
              <w:t>ed review committees, technical support, and negotiation procedures and arrangements for public consultation.</w:t>
            </w:r>
          </w:p>
        </w:tc>
      </w:tr>
      <w:tr w:rsidR="003E5B0C" w:rsidRPr="00BA08FC" w14:paraId="1CB07730" w14:textId="77777777" w:rsidTr="00BA08FC">
        <w:tc>
          <w:tcPr>
            <w:tcW w:w="2660" w:type="dxa"/>
            <w:shd w:val="clear" w:color="auto" w:fill="auto"/>
          </w:tcPr>
          <w:p w14:paraId="2AD0678E" w14:textId="77777777" w:rsidR="003E5B0C" w:rsidRPr="00BA08FC" w:rsidRDefault="003E5B0C" w:rsidP="00BA08FC">
            <w:pPr>
              <w:jc w:val="left"/>
              <w:rPr>
                <w:sz w:val="20"/>
                <w:szCs w:val="20"/>
              </w:rPr>
            </w:pPr>
            <w:r w:rsidRPr="00BA08FC">
              <w:rPr>
                <w:sz w:val="20"/>
                <w:szCs w:val="20"/>
              </w:rPr>
              <w:t xml:space="preserve">18.3 Timing of budget approval </w:t>
            </w:r>
          </w:p>
        </w:tc>
        <w:tc>
          <w:tcPr>
            <w:tcW w:w="567" w:type="dxa"/>
            <w:shd w:val="clear" w:color="auto" w:fill="auto"/>
          </w:tcPr>
          <w:p w14:paraId="182185C2" w14:textId="77777777" w:rsidR="003E5B0C" w:rsidRPr="00BA08FC" w:rsidRDefault="003E5B0C" w:rsidP="003A5747">
            <w:pPr>
              <w:rPr>
                <w:sz w:val="20"/>
                <w:szCs w:val="20"/>
              </w:rPr>
            </w:pPr>
            <w:r w:rsidRPr="00BA08FC">
              <w:rPr>
                <w:sz w:val="20"/>
                <w:szCs w:val="20"/>
              </w:rPr>
              <w:t xml:space="preserve">A </w:t>
            </w:r>
          </w:p>
        </w:tc>
        <w:tc>
          <w:tcPr>
            <w:tcW w:w="6379" w:type="dxa"/>
            <w:shd w:val="clear" w:color="auto" w:fill="auto"/>
          </w:tcPr>
          <w:p w14:paraId="59152EC7" w14:textId="10B683D1" w:rsidR="003E5B0C" w:rsidRPr="00BA08FC" w:rsidRDefault="003E5B0C" w:rsidP="00BA08FC">
            <w:pPr>
              <w:jc w:val="left"/>
              <w:rPr>
                <w:sz w:val="20"/>
                <w:szCs w:val="20"/>
              </w:rPr>
            </w:pPr>
            <w:r w:rsidRPr="00BA08FC">
              <w:rPr>
                <w:sz w:val="20"/>
                <w:szCs w:val="20"/>
              </w:rPr>
              <w:t>The budget estimates for 2014/15, 2015/16</w:t>
            </w:r>
            <w:r w:rsidR="008442B4">
              <w:rPr>
                <w:sz w:val="20"/>
                <w:szCs w:val="20"/>
              </w:rPr>
              <w:t>,</w:t>
            </w:r>
            <w:r w:rsidRPr="00BA08FC">
              <w:rPr>
                <w:sz w:val="20"/>
                <w:szCs w:val="20"/>
              </w:rPr>
              <w:t xml:space="preserve"> and 2016/17 were discussed, adopted</w:t>
            </w:r>
            <w:r w:rsidR="008442B4">
              <w:rPr>
                <w:sz w:val="20"/>
                <w:szCs w:val="20"/>
              </w:rPr>
              <w:t>,</w:t>
            </w:r>
            <w:r w:rsidRPr="00BA08FC">
              <w:rPr>
                <w:sz w:val="20"/>
                <w:szCs w:val="20"/>
              </w:rPr>
              <w:t xml:space="preserve"> and approved by the County Assembly on June </w:t>
            </w:r>
            <w:r w:rsidR="008442B4">
              <w:rPr>
                <w:sz w:val="20"/>
                <w:szCs w:val="20"/>
              </w:rPr>
              <w:t xml:space="preserve">30 </w:t>
            </w:r>
            <w:r w:rsidRPr="00BA08FC">
              <w:rPr>
                <w:sz w:val="20"/>
                <w:szCs w:val="20"/>
              </w:rPr>
              <w:t>of each of the respective years.</w:t>
            </w:r>
          </w:p>
        </w:tc>
      </w:tr>
      <w:tr w:rsidR="003E5B0C" w:rsidRPr="00BA08FC" w14:paraId="4F9C8125" w14:textId="77777777" w:rsidTr="00BA08FC">
        <w:tc>
          <w:tcPr>
            <w:tcW w:w="2660" w:type="dxa"/>
            <w:shd w:val="clear" w:color="auto" w:fill="auto"/>
          </w:tcPr>
          <w:p w14:paraId="38D93FAF" w14:textId="77777777" w:rsidR="003E5B0C" w:rsidRPr="00BA08FC" w:rsidRDefault="003E5B0C" w:rsidP="00BA08FC">
            <w:pPr>
              <w:jc w:val="left"/>
              <w:rPr>
                <w:sz w:val="20"/>
                <w:szCs w:val="20"/>
              </w:rPr>
            </w:pPr>
            <w:r w:rsidRPr="00BA08FC">
              <w:rPr>
                <w:sz w:val="20"/>
                <w:szCs w:val="20"/>
              </w:rPr>
              <w:t xml:space="preserve">18.4 Rules for budget adjustments by the executive </w:t>
            </w:r>
          </w:p>
        </w:tc>
        <w:tc>
          <w:tcPr>
            <w:tcW w:w="567" w:type="dxa"/>
            <w:shd w:val="clear" w:color="auto" w:fill="auto"/>
          </w:tcPr>
          <w:p w14:paraId="016CEEDA" w14:textId="03F9E19A" w:rsidR="003E5B0C" w:rsidRPr="00BA08FC" w:rsidRDefault="00A95236" w:rsidP="003A5747">
            <w:pPr>
              <w:rPr>
                <w:sz w:val="20"/>
                <w:szCs w:val="20"/>
              </w:rPr>
            </w:pPr>
            <w:r w:rsidRPr="00BA08FC">
              <w:rPr>
                <w:sz w:val="20"/>
                <w:szCs w:val="20"/>
              </w:rPr>
              <w:t>C</w:t>
            </w:r>
          </w:p>
        </w:tc>
        <w:tc>
          <w:tcPr>
            <w:tcW w:w="6379" w:type="dxa"/>
            <w:shd w:val="clear" w:color="auto" w:fill="auto"/>
          </w:tcPr>
          <w:p w14:paraId="4B13BF3E" w14:textId="3CF8AB45" w:rsidR="003E5B0C" w:rsidRPr="00BA08FC" w:rsidRDefault="003E5B0C" w:rsidP="00BA08FC">
            <w:pPr>
              <w:jc w:val="left"/>
              <w:rPr>
                <w:sz w:val="20"/>
                <w:szCs w:val="20"/>
              </w:rPr>
            </w:pPr>
            <w:r w:rsidRPr="00BA08FC">
              <w:rPr>
                <w:sz w:val="20"/>
                <w:szCs w:val="20"/>
              </w:rPr>
              <w:t>The rules and guidelines enabling budget adjustments are found in the PFM Act and are adhered to in most instances.</w:t>
            </w:r>
            <w:r w:rsidR="00842023" w:rsidRPr="00BA08FC">
              <w:rPr>
                <w:sz w:val="20"/>
                <w:szCs w:val="20"/>
              </w:rPr>
              <w:t xml:space="preserve"> Budget users are allowed to make changes to their budgets of up to 10 percent of the total.</w:t>
            </w:r>
          </w:p>
        </w:tc>
      </w:tr>
    </w:tbl>
    <w:p w14:paraId="366FF1A1" w14:textId="77777777" w:rsidR="00876044" w:rsidRPr="00890A84" w:rsidRDefault="00867DDD" w:rsidP="00BA6B2B">
      <w:pPr>
        <w:pStyle w:val="Heading5"/>
      </w:pPr>
      <w:r w:rsidRPr="00890A84">
        <w:t>PI-</w:t>
      </w:r>
      <w:r w:rsidR="00876044" w:rsidRPr="00890A84">
        <w:t xml:space="preserve">18.1. Scope of budget scrutiny </w:t>
      </w:r>
    </w:p>
    <w:p w14:paraId="7EB559BA" w14:textId="7D53EB12" w:rsidR="00BE32A1" w:rsidRPr="00BA08FC" w:rsidRDefault="00093A2F" w:rsidP="00BA08FC">
      <w:pPr>
        <w:spacing w:after="240"/>
        <w:rPr>
          <w:sz w:val="22"/>
        </w:rPr>
      </w:pPr>
      <w:r w:rsidRPr="00BA08FC">
        <w:rPr>
          <w:sz w:val="22"/>
        </w:rPr>
        <w:t>According to t</w:t>
      </w:r>
      <w:r w:rsidR="00B4651B" w:rsidRPr="00BA08FC">
        <w:rPr>
          <w:sz w:val="22"/>
        </w:rPr>
        <w:t>he PFM Act</w:t>
      </w:r>
      <w:r w:rsidR="008442B4">
        <w:rPr>
          <w:sz w:val="22"/>
        </w:rPr>
        <w:t>,</w:t>
      </w:r>
      <w:r w:rsidR="00B4651B" w:rsidRPr="00BA08FC">
        <w:rPr>
          <w:sz w:val="22"/>
        </w:rPr>
        <w:t xml:space="preserve"> 2012</w:t>
      </w:r>
      <w:r w:rsidRPr="00BA08FC">
        <w:rPr>
          <w:sz w:val="22"/>
        </w:rPr>
        <w:t>,</w:t>
      </w:r>
      <w:r w:rsidR="00B4651B" w:rsidRPr="00BA08FC">
        <w:rPr>
          <w:sz w:val="22"/>
        </w:rPr>
        <w:t xml:space="preserve"> </w:t>
      </w:r>
      <w:r w:rsidR="008442B4">
        <w:rPr>
          <w:sz w:val="22"/>
        </w:rPr>
        <w:t xml:space="preserve">the </w:t>
      </w:r>
      <w:r w:rsidR="004E08CC" w:rsidRPr="00BA08FC">
        <w:rPr>
          <w:sz w:val="22"/>
        </w:rPr>
        <w:t>County A</w:t>
      </w:r>
      <w:r w:rsidR="00C33847" w:rsidRPr="00BA08FC">
        <w:rPr>
          <w:sz w:val="22"/>
        </w:rPr>
        <w:t>ssembly reviews all fiscal policies, medium-term fiscal forecasts, and medium-term priorities as well as details of expenditure and revenue</w:t>
      </w:r>
      <w:r w:rsidR="004E08CC" w:rsidRPr="00BA08FC">
        <w:rPr>
          <w:sz w:val="22"/>
        </w:rPr>
        <w:t xml:space="preserve"> through the Budget </w:t>
      </w:r>
      <w:r w:rsidR="008442B4">
        <w:rPr>
          <w:sz w:val="22"/>
        </w:rPr>
        <w:t>and</w:t>
      </w:r>
      <w:r w:rsidR="008442B4" w:rsidRPr="00BA08FC">
        <w:rPr>
          <w:sz w:val="22"/>
        </w:rPr>
        <w:t xml:space="preserve"> </w:t>
      </w:r>
      <w:r w:rsidR="004E08CC" w:rsidRPr="00BA08FC">
        <w:rPr>
          <w:sz w:val="22"/>
        </w:rPr>
        <w:t>Appropriation Committee</w:t>
      </w:r>
      <w:r w:rsidR="00B862AC" w:rsidRPr="00BA08FC">
        <w:rPr>
          <w:sz w:val="22"/>
        </w:rPr>
        <w:t>.</w:t>
      </w:r>
      <w:r w:rsidR="00C33847" w:rsidRPr="00BA08FC">
        <w:rPr>
          <w:sz w:val="22"/>
        </w:rPr>
        <w:t xml:space="preserve"> The </w:t>
      </w:r>
      <w:r w:rsidR="004E08CC" w:rsidRPr="00BA08FC">
        <w:rPr>
          <w:sz w:val="22"/>
        </w:rPr>
        <w:t xml:space="preserve">specific </w:t>
      </w:r>
      <w:r w:rsidR="00C33847" w:rsidRPr="00BA08FC">
        <w:rPr>
          <w:sz w:val="22"/>
        </w:rPr>
        <w:t xml:space="preserve">budget documents include the </w:t>
      </w:r>
      <w:r w:rsidR="00514EE0" w:rsidRPr="00BA08FC">
        <w:rPr>
          <w:sz w:val="22"/>
        </w:rPr>
        <w:t>CF</w:t>
      </w:r>
      <w:r w:rsidR="004E08CC" w:rsidRPr="00BA08FC">
        <w:rPr>
          <w:sz w:val="22"/>
        </w:rPr>
        <w:t>S</w:t>
      </w:r>
      <w:r w:rsidR="00514EE0" w:rsidRPr="00BA08FC">
        <w:rPr>
          <w:sz w:val="22"/>
        </w:rPr>
        <w:t>P</w:t>
      </w:r>
      <w:r w:rsidR="00C33847" w:rsidRPr="00BA08FC">
        <w:rPr>
          <w:sz w:val="22"/>
        </w:rPr>
        <w:t xml:space="preserve">, CBROP, </w:t>
      </w:r>
      <w:r w:rsidR="004E08CC" w:rsidRPr="00BA08FC">
        <w:rPr>
          <w:sz w:val="22"/>
        </w:rPr>
        <w:t>ADP</w:t>
      </w:r>
      <w:r w:rsidR="008442B4">
        <w:rPr>
          <w:sz w:val="22"/>
        </w:rPr>
        <w:t>,</w:t>
      </w:r>
      <w:r w:rsidR="00C33847" w:rsidRPr="00BA08FC">
        <w:rPr>
          <w:sz w:val="22"/>
        </w:rPr>
        <w:t xml:space="preserve"> and </w:t>
      </w:r>
      <w:r w:rsidR="004E08CC" w:rsidRPr="00BA08FC">
        <w:rPr>
          <w:sz w:val="22"/>
        </w:rPr>
        <w:t>PBB</w:t>
      </w:r>
      <w:r w:rsidR="00C33847" w:rsidRPr="00BA08FC">
        <w:rPr>
          <w:sz w:val="22"/>
        </w:rPr>
        <w:t>. These documents a</w:t>
      </w:r>
      <w:r w:rsidR="004E08CC" w:rsidRPr="00BA08FC">
        <w:rPr>
          <w:sz w:val="22"/>
        </w:rPr>
        <w:t xml:space="preserve">re discussed and approved by </w:t>
      </w:r>
      <w:r w:rsidR="008E2871" w:rsidRPr="00BA08FC">
        <w:rPr>
          <w:sz w:val="22"/>
        </w:rPr>
        <w:t>the</w:t>
      </w:r>
      <w:r w:rsidR="004E08CC" w:rsidRPr="00BA08FC">
        <w:rPr>
          <w:sz w:val="22"/>
        </w:rPr>
        <w:t xml:space="preserve"> County A</w:t>
      </w:r>
      <w:r w:rsidR="00C33847" w:rsidRPr="00BA08FC">
        <w:rPr>
          <w:sz w:val="22"/>
        </w:rPr>
        <w:t xml:space="preserve">ssembly </w:t>
      </w:r>
      <w:r w:rsidR="008E2871" w:rsidRPr="00BA08FC">
        <w:rPr>
          <w:sz w:val="22"/>
        </w:rPr>
        <w:t xml:space="preserve">and reports are produced by the Budget </w:t>
      </w:r>
      <w:r w:rsidR="008442B4">
        <w:rPr>
          <w:sz w:val="22"/>
        </w:rPr>
        <w:t xml:space="preserve">and Appropriation </w:t>
      </w:r>
      <w:r w:rsidR="008E2871" w:rsidRPr="00BA08FC">
        <w:rPr>
          <w:sz w:val="22"/>
        </w:rPr>
        <w:t>Committee</w:t>
      </w:r>
      <w:r w:rsidR="00C33847" w:rsidRPr="00BA08FC">
        <w:rPr>
          <w:sz w:val="22"/>
        </w:rPr>
        <w:t>.</w:t>
      </w:r>
      <w:r w:rsidR="008E2871" w:rsidRPr="00BA08FC">
        <w:rPr>
          <w:sz w:val="22"/>
        </w:rPr>
        <w:t xml:space="preserve"> </w:t>
      </w:r>
      <w:r w:rsidR="00BE32A1" w:rsidRPr="00BA08FC">
        <w:rPr>
          <w:sz w:val="22"/>
        </w:rPr>
        <w:t xml:space="preserve">The Budget and </w:t>
      </w:r>
      <w:r w:rsidR="008442B4">
        <w:rPr>
          <w:sz w:val="22"/>
        </w:rPr>
        <w:t>A</w:t>
      </w:r>
      <w:r w:rsidR="00BE32A1" w:rsidRPr="00BA08FC">
        <w:rPr>
          <w:sz w:val="22"/>
        </w:rPr>
        <w:t xml:space="preserve">ppropriation Committee decided to pass the budget for FY2015/16 without amendments but pointed out that the </w:t>
      </w:r>
      <w:r w:rsidR="008442B4">
        <w:rPr>
          <w:sz w:val="22"/>
        </w:rPr>
        <w:t>A</w:t>
      </w:r>
      <w:r w:rsidR="00BE32A1" w:rsidRPr="00BA08FC">
        <w:rPr>
          <w:sz w:val="22"/>
        </w:rPr>
        <w:t xml:space="preserve">ssembly will monitor its expenditure. </w:t>
      </w:r>
    </w:p>
    <w:p w14:paraId="7F95897F" w14:textId="1A7E415C" w:rsidR="00FD74E3" w:rsidRPr="00BA08FC" w:rsidRDefault="00BE32A1" w:rsidP="00BA08FC">
      <w:pPr>
        <w:spacing w:after="240"/>
        <w:rPr>
          <w:sz w:val="22"/>
        </w:rPr>
      </w:pPr>
      <w:r w:rsidRPr="00BA08FC">
        <w:rPr>
          <w:sz w:val="22"/>
        </w:rPr>
        <w:t xml:space="preserve">The reports of the Budget and Appropriation Committee on the </w:t>
      </w:r>
      <w:r w:rsidR="008442B4">
        <w:rPr>
          <w:sz w:val="22"/>
        </w:rPr>
        <w:t>b</w:t>
      </w:r>
      <w:r w:rsidRPr="00BA08FC">
        <w:rPr>
          <w:sz w:val="22"/>
        </w:rPr>
        <w:t xml:space="preserve">udgetary </w:t>
      </w:r>
      <w:r w:rsidR="008442B4">
        <w:rPr>
          <w:sz w:val="22"/>
        </w:rPr>
        <w:t>e</w:t>
      </w:r>
      <w:r w:rsidRPr="00BA08FC">
        <w:rPr>
          <w:sz w:val="22"/>
        </w:rPr>
        <w:t>stimates for FY2014/15 and t</w:t>
      </w:r>
      <w:r w:rsidR="00007E0A" w:rsidRPr="00BA08FC">
        <w:rPr>
          <w:sz w:val="22"/>
        </w:rPr>
        <w:t>he approved report on the county budget estimates of revenue and expenditure for 2016/17 and the medium term</w:t>
      </w:r>
      <w:r w:rsidRPr="00BA08FC">
        <w:rPr>
          <w:sz w:val="22"/>
        </w:rPr>
        <w:t xml:space="preserve"> were provided.</w:t>
      </w:r>
    </w:p>
    <w:p w14:paraId="7BE3CAF9" w14:textId="678A793D" w:rsidR="008A646C" w:rsidRPr="00BA08FC" w:rsidRDefault="00280C4D" w:rsidP="00BA08FC">
      <w:pPr>
        <w:spacing w:after="240"/>
        <w:rPr>
          <w:sz w:val="22"/>
        </w:rPr>
      </w:pPr>
      <w:r w:rsidRPr="00BA08FC">
        <w:rPr>
          <w:sz w:val="22"/>
        </w:rPr>
        <w:t xml:space="preserve">The </w:t>
      </w:r>
      <w:r w:rsidR="008442B4">
        <w:rPr>
          <w:sz w:val="22"/>
        </w:rPr>
        <w:t>C</w:t>
      </w:r>
      <w:r w:rsidRPr="00BA08FC">
        <w:rPr>
          <w:sz w:val="22"/>
        </w:rPr>
        <w:t xml:space="preserve">ounty </w:t>
      </w:r>
      <w:r w:rsidR="008442B4">
        <w:rPr>
          <w:sz w:val="22"/>
        </w:rPr>
        <w:t>A</w:t>
      </w:r>
      <w:r w:rsidRPr="00BA08FC">
        <w:rPr>
          <w:sz w:val="22"/>
        </w:rPr>
        <w:t>ssembly review covers fiscal policies, medium-term fiscal forecasts, and medium-term priorities as well as details of expenditure and revenue.</w:t>
      </w:r>
    </w:p>
    <w:p w14:paraId="7D78EE8B" w14:textId="4659FD30" w:rsidR="008A646C" w:rsidRPr="00BA08FC" w:rsidRDefault="008A646C" w:rsidP="008A646C">
      <w:pPr>
        <w:ind w:left="360" w:hanging="360"/>
        <w:rPr>
          <w:b/>
          <w:sz w:val="22"/>
        </w:rPr>
      </w:pPr>
      <w:r w:rsidRPr="00BA08FC">
        <w:rPr>
          <w:b/>
          <w:sz w:val="22"/>
        </w:rPr>
        <w:t>Dimension rating = A</w:t>
      </w:r>
    </w:p>
    <w:p w14:paraId="26C8CF70" w14:textId="77777777" w:rsidR="00876044" w:rsidRPr="00890A84" w:rsidRDefault="00867DDD" w:rsidP="00BA6B2B">
      <w:pPr>
        <w:pStyle w:val="Heading5"/>
      </w:pPr>
      <w:r w:rsidRPr="00890A84">
        <w:t>PI-</w:t>
      </w:r>
      <w:r w:rsidR="00876044" w:rsidRPr="00890A84">
        <w:t xml:space="preserve">18.2. Legislative procedures for budget scrutiny </w:t>
      </w:r>
    </w:p>
    <w:p w14:paraId="69B573D1" w14:textId="0551962E" w:rsidR="008A646C" w:rsidRPr="00BA08FC" w:rsidRDefault="001E4C13" w:rsidP="00BA08FC">
      <w:pPr>
        <w:spacing w:after="240"/>
        <w:rPr>
          <w:sz w:val="22"/>
        </w:rPr>
      </w:pPr>
      <w:r w:rsidRPr="00BA08FC">
        <w:rPr>
          <w:sz w:val="22"/>
        </w:rPr>
        <w:t>The procedures for budget scru</w:t>
      </w:r>
      <w:r w:rsidR="004E08CC" w:rsidRPr="00BA08FC">
        <w:rPr>
          <w:sz w:val="22"/>
        </w:rPr>
        <w:t>tiny are contained in Standing O</w:t>
      </w:r>
      <w:r w:rsidRPr="00BA08FC">
        <w:rPr>
          <w:sz w:val="22"/>
        </w:rPr>
        <w:t xml:space="preserve">rder </w:t>
      </w:r>
      <w:r w:rsidR="004E08CC" w:rsidRPr="00BA08FC">
        <w:rPr>
          <w:sz w:val="22"/>
        </w:rPr>
        <w:t xml:space="preserve">No. </w:t>
      </w:r>
      <w:r w:rsidRPr="00BA08FC">
        <w:rPr>
          <w:sz w:val="22"/>
        </w:rPr>
        <w:t xml:space="preserve">187 which provides for the establishment </w:t>
      </w:r>
      <w:r w:rsidR="004E08CC" w:rsidRPr="00BA08FC">
        <w:rPr>
          <w:sz w:val="22"/>
        </w:rPr>
        <w:t xml:space="preserve">of the Budget </w:t>
      </w:r>
      <w:r w:rsidR="008442B4">
        <w:rPr>
          <w:sz w:val="22"/>
        </w:rPr>
        <w:t>and</w:t>
      </w:r>
      <w:r w:rsidR="004E08CC" w:rsidRPr="00BA08FC">
        <w:rPr>
          <w:sz w:val="22"/>
        </w:rPr>
        <w:t xml:space="preserve"> Appropriation Committee </w:t>
      </w:r>
      <w:r w:rsidRPr="00BA08FC">
        <w:rPr>
          <w:sz w:val="22"/>
        </w:rPr>
        <w:t xml:space="preserve">and </w:t>
      </w:r>
      <w:r w:rsidR="004E08CC" w:rsidRPr="00BA08FC">
        <w:rPr>
          <w:sz w:val="22"/>
        </w:rPr>
        <w:t xml:space="preserve">spells out its </w:t>
      </w:r>
      <w:r w:rsidRPr="00BA08FC">
        <w:rPr>
          <w:sz w:val="22"/>
        </w:rPr>
        <w:t xml:space="preserve">responsibilities. </w:t>
      </w:r>
      <w:r w:rsidR="00E24200" w:rsidRPr="00BA08FC">
        <w:rPr>
          <w:sz w:val="22"/>
        </w:rPr>
        <w:t xml:space="preserve">These procedures are approved </w:t>
      </w:r>
      <w:r w:rsidR="004E08CC" w:rsidRPr="00BA08FC">
        <w:rPr>
          <w:sz w:val="22"/>
        </w:rPr>
        <w:t>before</w:t>
      </w:r>
      <w:r w:rsidR="00E24200" w:rsidRPr="00BA08FC">
        <w:rPr>
          <w:sz w:val="22"/>
        </w:rPr>
        <w:t xml:space="preserve"> budget hearings. </w:t>
      </w:r>
      <w:r w:rsidRPr="00BA08FC">
        <w:rPr>
          <w:sz w:val="22"/>
        </w:rPr>
        <w:t>Details of public consultation, speciali</w:t>
      </w:r>
      <w:r w:rsidR="009D21FC">
        <w:rPr>
          <w:sz w:val="22"/>
        </w:rPr>
        <w:t>z</w:t>
      </w:r>
      <w:r w:rsidRPr="00BA08FC">
        <w:rPr>
          <w:sz w:val="22"/>
        </w:rPr>
        <w:t>ed sectoral committees</w:t>
      </w:r>
      <w:r w:rsidR="008442B4">
        <w:rPr>
          <w:sz w:val="22"/>
        </w:rPr>
        <w:t>,</w:t>
      </w:r>
      <w:r w:rsidRPr="00BA08FC">
        <w:rPr>
          <w:sz w:val="22"/>
        </w:rPr>
        <w:t xml:space="preserve"> and technical support are contained in the report by the Budget </w:t>
      </w:r>
      <w:r w:rsidR="008442B4">
        <w:rPr>
          <w:sz w:val="22"/>
        </w:rPr>
        <w:t>and</w:t>
      </w:r>
      <w:r w:rsidR="008442B4" w:rsidRPr="00BA08FC">
        <w:rPr>
          <w:sz w:val="22"/>
        </w:rPr>
        <w:t xml:space="preserve"> </w:t>
      </w:r>
      <w:r w:rsidRPr="00BA08FC">
        <w:rPr>
          <w:sz w:val="22"/>
        </w:rPr>
        <w:t>Appropriation Committee</w:t>
      </w:r>
      <w:r w:rsidR="008442B4">
        <w:rPr>
          <w:sz w:val="22"/>
        </w:rPr>
        <w:t>,</w:t>
      </w:r>
      <w:r w:rsidRPr="00BA08FC">
        <w:rPr>
          <w:sz w:val="22"/>
        </w:rPr>
        <w:t xml:space="preserve"> which is discussed and approved by the County Assembly.</w:t>
      </w:r>
      <w:r w:rsidR="00350561" w:rsidRPr="00BA08FC">
        <w:rPr>
          <w:sz w:val="22"/>
        </w:rPr>
        <w:t xml:space="preserve"> </w:t>
      </w:r>
    </w:p>
    <w:p w14:paraId="00EC2022" w14:textId="25FB1BE2" w:rsidR="008A646C" w:rsidRPr="00BA08FC" w:rsidRDefault="008A646C" w:rsidP="008A646C">
      <w:pPr>
        <w:rPr>
          <w:b/>
          <w:sz w:val="22"/>
        </w:rPr>
      </w:pPr>
      <w:r w:rsidRPr="00BA08FC">
        <w:rPr>
          <w:b/>
          <w:sz w:val="22"/>
        </w:rPr>
        <w:t xml:space="preserve">Dimension rating = </w:t>
      </w:r>
      <w:r w:rsidR="00A010D9">
        <w:rPr>
          <w:b/>
          <w:sz w:val="22"/>
        </w:rPr>
        <w:t>A</w:t>
      </w:r>
    </w:p>
    <w:p w14:paraId="7FB675FD" w14:textId="77777777" w:rsidR="00876044" w:rsidRPr="00890A84" w:rsidRDefault="00867DDD" w:rsidP="00BA6B2B">
      <w:pPr>
        <w:pStyle w:val="Heading5"/>
      </w:pPr>
      <w:r w:rsidRPr="00890A84">
        <w:t>PI-</w:t>
      </w:r>
      <w:r w:rsidR="00876044" w:rsidRPr="00890A84">
        <w:t xml:space="preserve">18.3. Timing of budget approval </w:t>
      </w:r>
    </w:p>
    <w:p w14:paraId="15D965DF" w14:textId="2E169C55" w:rsidR="00FD74E3" w:rsidRPr="00BA08FC" w:rsidRDefault="001E4C13" w:rsidP="00BA08FC">
      <w:pPr>
        <w:spacing w:after="240"/>
        <w:rPr>
          <w:sz w:val="22"/>
        </w:rPr>
      </w:pPr>
      <w:r w:rsidRPr="00BA08FC">
        <w:rPr>
          <w:sz w:val="22"/>
        </w:rPr>
        <w:t>The budget estimates for 2014/15, 2015/16</w:t>
      </w:r>
      <w:r w:rsidR="008442B4">
        <w:rPr>
          <w:sz w:val="22"/>
        </w:rPr>
        <w:t>,</w:t>
      </w:r>
      <w:r w:rsidRPr="00BA08FC">
        <w:rPr>
          <w:sz w:val="22"/>
        </w:rPr>
        <w:t xml:space="preserve"> and 2016/17 were discussed, adopted</w:t>
      </w:r>
      <w:r w:rsidR="008442B4">
        <w:rPr>
          <w:sz w:val="22"/>
        </w:rPr>
        <w:t>,</w:t>
      </w:r>
      <w:r w:rsidRPr="00BA08FC">
        <w:rPr>
          <w:sz w:val="22"/>
        </w:rPr>
        <w:t xml:space="preserve"> and approved by the County Assembly on </w:t>
      </w:r>
      <w:r w:rsidR="002459A1" w:rsidRPr="00BA08FC">
        <w:rPr>
          <w:sz w:val="22"/>
        </w:rPr>
        <w:t>June</w:t>
      </w:r>
      <w:r w:rsidR="008442B4">
        <w:rPr>
          <w:sz w:val="22"/>
        </w:rPr>
        <w:t xml:space="preserve"> 30</w:t>
      </w:r>
      <w:r w:rsidR="001A7FB4" w:rsidRPr="00BA08FC">
        <w:rPr>
          <w:sz w:val="22"/>
        </w:rPr>
        <w:t>, hence</w:t>
      </w:r>
      <w:r w:rsidRPr="00BA08FC">
        <w:rPr>
          <w:sz w:val="22"/>
        </w:rPr>
        <w:t xml:space="preserve"> before the start of the </w:t>
      </w:r>
      <w:r w:rsidR="008442B4">
        <w:rPr>
          <w:sz w:val="22"/>
        </w:rPr>
        <w:t>FY</w:t>
      </w:r>
      <w:r w:rsidRPr="00BA08FC">
        <w:rPr>
          <w:sz w:val="22"/>
        </w:rPr>
        <w:t xml:space="preserve">. </w:t>
      </w:r>
      <w:r w:rsidR="002C4952" w:rsidRPr="00BA08FC">
        <w:rPr>
          <w:sz w:val="22"/>
        </w:rPr>
        <w:t>The</w:t>
      </w:r>
      <w:r w:rsidRPr="00BA08FC">
        <w:rPr>
          <w:sz w:val="22"/>
        </w:rPr>
        <w:t xml:space="preserve"> </w:t>
      </w:r>
      <w:r w:rsidR="008442B4">
        <w:rPr>
          <w:sz w:val="22"/>
        </w:rPr>
        <w:t>C</w:t>
      </w:r>
      <w:r w:rsidRPr="00BA08FC">
        <w:rPr>
          <w:sz w:val="22"/>
        </w:rPr>
        <w:t xml:space="preserve">ounty </w:t>
      </w:r>
      <w:r w:rsidR="008442B4">
        <w:rPr>
          <w:sz w:val="22"/>
        </w:rPr>
        <w:t>A</w:t>
      </w:r>
      <w:r w:rsidRPr="00BA08FC">
        <w:rPr>
          <w:sz w:val="22"/>
        </w:rPr>
        <w:t>ssembly orders, w</w:t>
      </w:r>
      <w:r w:rsidR="002C4952" w:rsidRPr="00BA08FC">
        <w:rPr>
          <w:sz w:val="22"/>
        </w:rPr>
        <w:t>hich showed the exact dates when</w:t>
      </w:r>
      <w:r w:rsidRPr="00BA08FC">
        <w:rPr>
          <w:sz w:val="22"/>
        </w:rPr>
        <w:t xml:space="preserve"> budget estimates were discussed and approved by the County Assembly</w:t>
      </w:r>
      <w:r w:rsidR="002C4952" w:rsidRPr="00BA08FC">
        <w:rPr>
          <w:sz w:val="22"/>
        </w:rPr>
        <w:t>, were provided</w:t>
      </w:r>
      <w:r w:rsidRPr="00BA08FC">
        <w:rPr>
          <w:sz w:val="22"/>
        </w:rPr>
        <w:t>.</w:t>
      </w:r>
    </w:p>
    <w:p w14:paraId="7F878B56" w14:textId="040EE53F" w:rsidR="008A646C" w:rsidRPr="00BA08FC" w:rsidRDefault="00280C4D" w:rsidP="00BA08FC">
      <w:pPr>
        <w:spacing w:after="240"/>
        <w:rPr>
          <w:sz w:val="22"/>
        </w:rPr>
      </w:pPr>
      <w:r w:rsidRPr="00BA08FC">
        <w:rPr>
          <w:sz w:val="22"/>
        </w:rPr>
        <w:t>In summary, the budget estimates were discussed, adopted</w:t>
      </w:r>
      <w:r w:rsidR="008442B4">
        <w:rPr>
          <w:sz w:val="22"/>
        </w:rPr>
        <w:t>,</w:t>
      </w:r>
      <w:r w:rsidRPr="00BA08FC">
        <w:rPr>
          <w:sz w:val="22"/>
        </w:rPr>
        <w:t xml:space="preserve"> and approved by the County Assembly on June </w:t>
      </w:r>
      <w:r w:rsidR="008442B4">
        <w:rPr>
          <w:sz w:val="22"/>
        </w:rPr>
        <w:t xml:space="preserve">30 </w:t>
      </w:r>
      <w:r w:rsidRPr="00BA08FC">
        <w:rPr>
          <w:sz w:val="22"/>
        </w:rPr>
        <w:t xml:space="preserve">of each of the </w:t>
      </w:r>
      <w:r w:rsidR="001A7FB4" w:rsidRPr="00BA08FC">
        <w:rPr>
          <w:sz w:val="22"/>
        </w:rPr>
        <w:t>last three</w:t>
      </w:r>
      <w:r w:rsidRPr="00BA08FC">
        <w:rPr>
          <w:sz w:val="22"/>
        </w:rPr>
        <w:t xml:space="preserve"> years.</w:t>
      </w:r>
      <w:r w:rsidR="00035673" w:rsidRPr="00BA08FC">
        <w:rPr>
          <w:sz w:val="22"/>
        </w:rPr>
        <w:t xml:space="preserve"> </w:t>
      </w:r>
    </w:p>
    <w:p w14:paraId="426D7D6D" w14:textId="4A7D4507" w:rsidR="008A646C" w:rsidRPr="00BA08FC" w:rsidRDefault="008A646C" w:rsidP="00BA08FC">
      <w:pPr>
        <w:spacing w:after="240"/>
        <w:rPr>
          <w:b/>
          <w:sz w:val="22"/>
        </w:rPr>
      </w:pPr>
      <w:r w:rsidRPr="00BA08FC">
        <w:rPr>
          <w:b/>
          <w:sz w:val="22"/>
        </w:rPr>
        <w:t>Dimension rating = A</w:t>
      </w:r>
    </w:p>
    <w:p w14:paraId="5025DDDF" w14:textId="77777777" w:rsidR="00876044" w:rsidRPr="00890A84" w:rsidRDefault="00867DDD" w:rsidP="00BA6B2B">
      <w:pPr>
        <w:pStyle w:val="Heading5"/>
      </w:pPr>
      <w:r w:rsidRPr="00890A84">
        <w:t>PI-</w:t>
      </w:r>
      <w:r w:rsidR="00876044" w:rsidRPr="00890A84">
        <w:t xml:space="preserve">18.4. Rules for budget adjustments by the executive </w:t>
      </w:r>
    </w:p>
    <w:p w14:paraId="3435F7F4" w14:textId="44C5B1F2" w:rsidR="00AC3DFC" w:rsidRPr="00BA08FC" w:rsidRDefault="001E4C13" w:rsidP="00BA08FC">
      <w:pPr>
        <w:spacing w:after="240"/>
        <w:rPr>
          <w:sz w:val="22"/>
        </w:rPr>
      </w:pPr>
      <w:r w:rsidRPr="00BA08FC">
        <w:rPr>
          <w:sz w:val="22"/>
        </w:rPr>
        <w:t>The rules and guidelines enabling budget adjustments through the supplementary budget (including reallocations) are found in the PFM Act</w:t>
      </w:r>
      <w:r w:rsidR="0023421C" w:rsidRPr="00BA08FC">
        <w:rPr>
          <w:sz w:val="22"/>
        </w:rPr>
        <w:t xml:space="preserve">, </w:t>
      </w:r>
      <w:r w:rsidRPr="00BA08FC">
        <w:rPr>
          <w:sz w:val="22"/>
        </w:rPr>
        <w:t>2012</w:t>
      </w:r>
      <w:r w:rsidR="00AC3DFC" w:rsidRPr="00BA08FC">
        <w:rPr>
          <w:sz w:val="22"/>
        </w:rPr>
        <w:t xml:space="preserve">. </w:t>
      </w:r>
      <w:r w:rsidR="00AA31BE" w:rsidRPr="00BA08FC">
        <w:rPr>
          <w:sz w:val="22"/>
        </w:rPr>
        <w:t>Section 135 of the PFM Act, 2012</w:t>
      </w:r>
      <w:r w:rsidR="008442B4">
        <w:rPr>
          <w:sz w:val="22"/>
        </w:rPr>
        <w:t>,</w:t>
      </w:r>
      <w:r w:rsidR="00AA31BE" w:rsidRPr="00BA08FC">
        <w:rPr>
          <w:sz w:val="22"/>
        </w:rPr>
        <w:t xml:space="preserve"> provides the rules for adjustment of the budget. </w:t>
      </w:r>
    </w:p>
    <w:p w14:paraId="26300AF7" w14:textId="4B280455" w:rsidR="00AA31BE" w:rsidRPr="00BA08FC" w:rsidRDefault="00AA31BE" w:rsidP="00BA08FC">
      <w:pPr>
        <w:spacing w:after="240"/>
        <w:rPr>
          <w:sz w:val="22"/>
        </w:rPr>
      </w:pPr>
      <w:r w:rsidRPr="00BA08FC">
        <w:rPr>
          <w:sz w:val="22"/>
        </w:rPr>
        <w:t xml:space="preserve">Accounting officers are allowed to make changes to their budgets of up to 10 percent of the total. Extension of the budget </w:t>
      </w:r>
      <w:r w:rsidR="00A95236" w:rsidRPr="00BA08FC">
        <w:rPr>
          <w:sz w:val="22"/>
        </w:rPr>
        <w:t>can be done up to 10</w:t>
      </w:r>
      <w:r w:rsidR="008442B4">
        <w:rPr>
          <w:sz w:val="22"/>
        </w:rPr>
        <w:t xml:space="preserve"> percent</w:t>
      </w:r>
      <w:r w:rsidR="00A95236" w:rsidRPr="00BA08FC">
        <w:rPr>
          <w:sz w:val="22"/>
        </w:rPr>
        <w:t xml:space="preserve"> but </w:t>
      </w:r>
      <w:r w:rsidRPr="00BA08FC">
        <w:rPr>
          <w:sz w:val="22"/>
        </w:rPr>
        <w:t>must be approved by Parliament within two months after the money is spent through a new appropriations act, and it may not exceed 10 percent of the total budget for the year unless special permission has been granted by Parliament.</w:t>
      </w:r>
      <w:r w:rsidR="00E56226" w:rsidRPr="00BA08FC">
        <w:rPr>
          <w:sz w:val="22"/>
        </w:rPr>
        <w:t xml:space="preserve"> </w:t>
      </w:r>
      <w:r w:rsidR="008442B4">
        <w:rPr>
          <w:sz w:val="22"/>
        </w:rPr>
        <w:t>The p</w:t>
      </w:r>
      <w:r w:rsidRPr="00BA08FC">
        <w:rPr>
          <w:sz w:val="22"/>
        </w:rPr>
        <w:t xml:space="preserve">rocedure for supplementary estimates is under Standing Order No. 127 of the PFM Act, 2012. The County Assembly uses the </w:t>
      </w:r>
      <w:r w:rsidR="009A5CBD">
        <w:rPr>
          <w:sz w:val="22"/>
        </w:rPr>
        <w:t>s</w:t>
      </w:r>
      <w:r w:rsidRPr="00BA08FC">
        <w:rPr>
          <w:sz w:val="22"/>
        </w:rPr>
        <w:t xml:space="preserve">tanding </w:t>
      </w:r>
      <w:r w:rsidR="009A5CBD">
        <w:rPr>
          <w:sz w:val="22"/>
        </w:rPr>
        <w:t>o</w:t>
      </w:r>
      <w:r w:rsidRPr="00BA08FC">
        <w:rPr>
          <w:sz w:val="22"/>
        </w:rPr>
        <w:t xml:space="preserve">rders in making the adjustments. All the departments comply with the rule. </w:t>
      </w:r>
    </w:p>
    <w:p w14:paraId="57BDA740" w14:textId="655FA142" w:rsidR="00E42EA9" w:rsidRPr="00BA08FC" w:rsidRDefault="00BC6B69" w:rsidP="00BA08FC">
      <w:pPr>
        <w:spacing w:after="240"/>
        <w:rPr>
          <w:sz w:val="22"/>
        </w:rPr>
      </w:pPr>
      <w:r w:rsidRPr="00BA08FC">
        <w:rPr>
          <w:sz w:val="22"/>
        </w:rPr>
        <w:t>During FY2014/15, the county government temporarily stopped all its development projects over lack of funds, because the revised budget had been rejected by the C</w:t>
      </w:r>
      <w:r w:rsidR="009A5CBD">
        <w:rPr>
          <w:sz w:val="22"/>
        </w:rPr>
        <w:t>OB</w:t>
      </w:r>
      <w:r w:rsidRPr="00BA08FC">
        <w:rPr>
          <w:sz w:val="22"/>
        </w:rPr>
        <w:t xml:space="preserve"> for exceeding the ceiling set for the county. However, </w:t>
      </w:r>
      <w:r w:rsidR="001E4C13" w:rsidRPr="00BA08FC">
        <w:rPr>
          <w:sz w:val="22"/>
        </w:rPr>
        <w:t xml:space="preserve">there have been </w:t>
      </w:r>
      <w:r w:rsidR="009A5CBD">
        <w:rPr>
          <w:sz w:val="22"/>
        </w:rPr>
        <w:t xml:space="preserve">some </w:t>
      </w:r>
      <w:r w:rsidR="0023421C" w:rsidRPr="00BA08FC">
        <w:rPr>
          <w:sz w:val="22"/>
        </w:rPr>
        <w:t>exception</w:t>
      </w:r>
      <w:r w:rsidR="009A5CBD">
        <w:rPr>
          <w:sz w:val="22"/>
        </w:rPr>
        <w:t>s</w:t>
      </w:r>
      <w:r w:rsidR="001E4C13" w:rsidRPr="00BA08FC">
        <w:rPr>
          <w:sz w:val="22"/>
        </w:rPr>
        <w:t xml:space="preserve"> where </w:t>
      </w:r>
      <w:r w:rsidR="0023421C" w:rsidRPr="00BA08FC">
        <w:rPr>
          <w:sz w:val="22"/>
        </w:rPr>
        <w:t xml:space="preserve">salaries and wages exceeded </w:t>
      </w:r>
      <w:r w:rsidR="001E4C13" w:rsidRPr="00BA08FC">
        <w:rPr>
          <w:sz w:val="22"/>
        </w:rPr>
        <w:t xml:space="preserve">the </w:t>
      </w:r>
      <w:r w:rsidR="0023421C" w:rsidRPr="00BA08FC">
        <w:rPr>
          <w:sz w:val="22"/>
        </w:rPr>
        <w:t xml:space="preserve">35 </w:t>
      </w:r>
      <w:r w:rsidR="000C3B27" w:rsidRPr="00BA08FC">
        <w:rPr>
          <w:sz w:val="22"/>
        </w:rPr>
        <w:t>per</w:t>
      </w:r>
      <w:r w:rsidR="008876BE" w:rsidRPr="00BA08FC">
        <w:rPr>
          <w:sz w:val="22"/>
        </w:rPr>
        <w:t>cent of</w:t>
      </w:r>
      <w:r w:rsidR="0023421C" w:rsidRPr="00BA08FC">
        <w:rPr>
          <w:sz w:val="22"/>
        </w:rPr>
        <w:t xml:space="preserve"> expenditure limit</w:t>
      </w:r>
      <w:r w:rsidR="004F5FBA" w:rsidRPr="00BA08FC">
        <w:rPr>
          <w:sz w:val="22"/>
        </w:rPr>
        <w:t>s.</w:t>
      </w:r>
      <w:r w:rsidR="0023421C" w:rsidRPr="00BA08FC">
        <w:rPr>
          <w:sz w:val="22"/>
        </w:rPr>
        <w:t xml:space="preserve"> This </w:t>
      </w:r>
      <w:r w:rsidR="001E4C13" w:rsidRPr="00BA08FC">
        <w:rPr>
          <w:sz w:val="22"/>
        </w:rPr>
        <w:t xml:space="preserve">was </w:t>
      </w:r>
      <w:r w:rsidR="0023421C" w:rsidRPr="00BA08FC">
        <w:rPr>
          <w:sz w:val="22"/>
        </w:rPr>
        <w:t xml:space="preserve">mainly </w:t>
      </w:r>
      <w:r w:rsidR="001E4C13" w:rsidRPr="00BA08FC">
        <w:rPr>
          <w:sz w:val="22"/>
        </w:rPr>
        <w:t>occasioned by increased salaries for striking doctors.</w:t>
      </w:r>
    </w:p>
    <w:p w14:paraId="36943049" w14:textId="20BA49F4" w:rsidR="008A646C" w:rsidRPr="00BA08FC" w:rsidRDefault="00AC3DFC" w:rsidP="00BA08FC">
      <w:pPr>
        <w:spacing w:after="240"/>
        <w:rPr>
          <w:sz w:val="22"/>
        </w:rPr>
      </w:pPr>
      <w:r w:rsidRPr="00BA08FC">
        <w:rPr>
          <w:sz w:val="22"/>
        </w:rPr>
        <w:t>In summary, clear rules exist which may be adhered to in all instances</w:t>
      </w:r>
      <w:r w:rsidR="009A5CBD">
        <w:rPr>
          <w:sz w:val="22"/>
        </w:rPr>
        <w:t>,</w:t>
      </w:r>
      <w:r w:rsidRPr="00BA08FC">
        <w:rPr>
          <w:sz w:val="22"/>
        </w:rPr>
        <w:t xml:space="preserve"> but they are allowing extensive administrative reallocations and expansion of total expenditure up to 10</w:t>
      </w:r>
      <w:r w:rsidR="009A5CBD">
        <w:rPr>
          <w:sz w:val="22"/>
        </w:rPr>
        <w:t xml:space="preserve"> percent</w:t>
      </w:r>
      <w:r w:rsidRPr="00BA08FC">
        <w:rPr>
          <w:sz w:val="22"/>
        </w:rPr>
        <w:t xml:space="preserve">. </w:t>
      </w:r>
    </w:p>
    <w:p w14:paraId="06C0B779" w14:textId="25B3DB7A" w:rsidR="008A646C" w:rsidRPr="00BA08FC" w:rsidRDefault="008A646C" w:rsidP="00BA08FC">
      <w:pPr>
        <w:spacing w:after="240"/>
        <w:rPr>
          <w:b/>
          <w:sz w:val="22"/>
        </w:rPr>
      </w:pPr>
      <w:r w:rsidRPr="00BA08FC">
        <w:rPr>
          <w:b/>
          <w:sz w:val="22"/>
        </w:rPr>
        <w:t>Dimension rating = C</w:t>
      </w:r>
    </w:p>
    <w:p w14:paraId="6B5D70D3" w14:textId="77777777" w:rsidR="00BB1084" w:rsidRPr="00C3128D" w:rsidRDefault="00BB1084" w:rsidP="00776E84">
      <w:pPr>
        <w:pStyle w:val="Heading2"/>
      </w:pPr>
      <w:bookmarkStart w:id="95" w:name="_Toc150865"/>
      <w:bookmarkStart w:id="96" w:name="_Toc532426041"/>
      <w:r w:rsidRPr="00C3128D">
        <w:t>Pillar V. Predictability and control in budget execution</w:t>
      </w:r>
      <w:bookmarkEnd w:id="95"/>
      <w:bookmarkEnd w:id="96"/>
    </w:p>
    <w:p w14:paraId="5853E3A8" w14:textId="77777777" w:rsidR="00BB1084" w:rsidRPr="00590C8E" w:rsidRDefault="00BB1084" w:rsidP="00590C8E">
      <w:pPr>
        <w:pStyle w:val="Heading4"/>
      </w:pPr>
      <w:r w:rsidRPr="00590C8E">
        <w:t>PI-19. Revenue administration</w:t>
      </w:r>
    </w:p>
    <w:p w14:paraId="42BC2A25" w14:textId="77777777" w:rsidR="003E5B0C" w:rsidRPr="00890A84" w:rsidRDefault="003E5B0C" w:rsidP="00BA6B2B">
      <w:pPr>
        <w:pStyle w:val="Heading5"/>
      </w:pPr>
      <w:r>
        <w:t>Summary of scores and performance table</w:t>
      </w:r>
    </w:p>
    <w:tbl>
      <w:tblPr>
        <w:tblW w:w="924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20" w:firstRow="1" w:lastRow="0" w:firstColumn="0" w:lastColumn="0" w:noHBand="1" w:noVBand="1"/>
      </w:tblPr>
      <w:tblGrid>
        <w:gridCol w:w="2843"/>
        <w:gridCol w:w="418"/>
        <w:gridCol w:w="5982"/>
      </w:tblGrid>
      <w:tr w:rsidR="003E5B0C" w:rsidRPr="00BA08FC" w14:paraId="036DFF3D" w14:textId="77777777" w:rsidTr="00BA08FC">
        <w:trPr>
          <w:tblHeader/>
        </w:trPr>
        <w:tc>
          <w:tcPr>
            <w:tcW w:w="2843" w:type="dxa"/>
            <w:shd w:val="clear" w:color="auto" w:fill="5B9BD5"/>
          </w:tcPr>
          <w:p w14:paraId="47A9B2D2" w14:textId="528142AA" w:rsidR="003E5B0C" w:rsidRPr="00BA08FC" w:rsidRDefault="003E5B0C" w:rsidP="00BA08FC">
            <w:pPr>
              <w:jc w:val="center"/>
              <w:rPr>
                <w:b/>
                <w:color w:val="FFFFFF" w:themeColor="background1"/>
                <w:sz w:val="20"/>
                <w:szCs w:val="20"/>
              </w:rPr>
            </w:pPr>
            <w:r w:rsidRPr="00BA08FC">
              <w:rPr>
                <w:b/>
                <w:color w:val="FFFFFF" w:themeColor="background1"/>
                <w:sz w:val="20"/>
                <w:szCs w:val="20"/>
              </w:rPr>
              <w:t>PI-19</w:t>
            </w:r>
            <w:r w:rsidR="009A5CBD">
              <w:rPr>
                <w:b/>
                <w:color w:val="FFFFFF" w:themeColor="background1"/>
                <w:sz w:val="20"/>
                <w:szCs w:val="20"/>
              </w:rPr>
              <w:t>.</w:t>
            </w:r>
            <w:r w:rsidRPr="00BA08FC">
              <w:rPr>
                <w:b/>
                <w:color w:val="FFFFFF" w:themeColor="background1"/>
                <w:sz w:val="20"/>
                <w:szCs w:val="20"/>
              </w:rPr>
              <w:t xml:space="preserve"> Revenue administration (M2)</w:t>
            </w:r>
          </w:p>
        </w:tc>
        <w:tc>
          <w:tcPr>
            <w:tcW w:w="418" w:type="dxa"/>
            <w:shd w:val="clear" w:color="auto" w:fill="5B9BD5"/>
          </w:tcPr>
          <w:p w14:paraId="543DF2E9"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D</w:t>
            </w:r>
          </w:p>
        </w:tc>
        <w:tc>
          <w:tcPr>
            <w:tcW w:w="5982" w:type="dxa"/>
            <w:shd w:val="clear" w:color="auto" w:fill="5B9BD5"/>
          </w:tcPr>
          <w:p w14:paraId="679CBF91" w14:textId="77777777" w:rsidR="003E5B0C" w:rsidRPr="00BA08FC" w:rsidRDefault="003E5B0C" w:rsidP="00BA08FC">
            <w:pPr>
              <w:jc w:val="center"/>
              <w:rPr>
                <w:b/>
                <w:color w:val="FFFFFF" w:themeColor="background1"/>
                <w:sz w:val="20"/>
                <w:szCs w:val="20"/>
              </w:rPr>
            </w:pPr>
            <w:r w:rsidRPr="00BA08FC">
              <w:rPr>
                <w:b/>
                <w:color w:val="FFFFFF" w:themeColor="background1"/>
                <w:sz w:val="20"/>
                <w:szCs w:val="20"/>
              </w:rPr>
              <w:t>Brief justification for score</w:t>
            </w:r>
          </w:p>
        </w:tc>
      </w:tr>
      <w:tr w:rsidR="003E5B0C" w:rsidRPr="00BA08FC" w14:paraId="68E82478" w14:textId="77777777" w:rsidTr="00BA08FC">
        <w:tc>
          <w:tcPr>
            <w:tcW w:w="2843" w:type="dxa"/>
            <w:shd w:val="clear" w:color="auto" w:fill="auto"/>
          </w:tcPr>
          <w:p w14:paraId="2DE5674E" w14:textId="77777777" w:rsidR="003E5B0C" w:rsidRPr="00BA08FC" w:rsidRDefault="003E5B0C" w:rsidP="00BA08FC">
            <w:pPr>
              <w:jc w:val="left"/>
              <w:rPr>
                <w:sz w:val="20"/>
                <w:szCs w:val="20"/>
              </w:rPr>
            </w:pPr>
            <w:r w:rsidRPr="00BA08FC">
              <w:rPr>
                <w:sz w:val="20"/>
                <w:szCs w:val="20"/>
              </w:rPr>
              <w:t xml:space="preserve">19.1 Rights and obligations for revenue measures </w:t>
            </w:r>
          </w:p>
        </w:tc>
        <w:tc>
          <w:tcPr>
            <w:tcW w:w="418" w:type="dxa"/>
            <w:shd w:val="clear" w:color="auto" w:fill="auto"/>
          </w:tcPr>
          <w:p w14:paraId="54B8F240" w14:textId="77777777" w:rsidR="003E5B0C" w:rsidRPr="00BA08FC" w:rsidRDefault="003E5B0C" w:rsidP="00DA49C5">
            <w:pPr>
              <w:jc w:val="center"/>
              <w:rPr>
                <w:sz w:val="20"/>
                <w:szCs w:val="20"/>
              </w:rPr>
            </w:pPr>
            <w:r w:rsidRPr="00BA08FC">
              <w:rPr>
                <w:sz w:val="20"/>
                <w:szCs w:val="20"/>
              </w:rPr>
              <w:t>D</w:t>
            </w:r>
          </w:p>
        </w:tc>
        <w:tc>
          <w:tcPr>
            <w:tcW w:w="5982" w:type="dxa"/>
            <w:shd w:val="clear" w:color="auto" w:fill="auto"/>
          </w:tcPr>
          <w:p w14:paraId="56327610" w14:textId="7FF795E2" w:rsidR="003E5B0C" w:rsidRPr="00BA08FC" w:rsidRDefault="003E5B0C" w:rsidP="00BA08FC">
            <w:pPr>
              <w:jc w:val="left"/>
              <w:rPr>
                <w:sz w:val="20"/>
                <w:szCs w:val="20"/>
              </w:rPr>
            </w:pPr>
            <w:r w:rsidRPr="00BA08FC">
              <w:rPr>
                <w:sz w:val="20"/>
                <w:szCs w:val="20"/>
              </w:rPr>
              <w:t xml:space="preserve">Entities collecting revenues provide payers with access to information on the main revenue obligation areas but not on redress processes and procedures, while the mechanism is in place. The County </w:t>
            </w:r>
            <w:r w:rsidR="009A5CBD">
              <w:rPr>
                <w:sz w:val="20"/>
                <w:szCs w:val="20"/>
              </w:rPr>
              <w:t>R</w:t>
            </w:r>
            <w:r w:rsidRPr="00BA08FC">
              <w:rPr>
                <w:sz w:val="20"/>
                <w:szCs w:val="20"/>
              </w:rPr>
              <w:t>evenue Administration Act presents only the procedure for reduction of taxes, fees</w:t>
            </w:r>
            <w:r w:rsidR="009A5CBD">
              <w:rPr>
                <w:sz w:val="20"/>
                <w:szCs w:val="20"/>
              </w:rPr>
              <w:t>,</w:t>
            </w:r>
            <w:r w:rsidRPr="00BA08FC">
              <w:rPr>
                <w:sz w:val="20"/>
                <w:szCs w:val="20"/>
              </w:rPr>
              <w:t xml:space="preserve"> and charges.</w:t>
            </w:r>
          </w:p>
        </w:tc>
      </w:tr>
      <w:tr w:rsidR="003E5B0C" w:rsidRPr="00BA08FC" w14:paraId="354F439E" w14:textId="77777777" w:rsidTr="00BA08FC">
        <w:tc>
          <w:tcPr>
            <w:tcW w:w="2843" w:type="dxa"/>
            <w:shd w:val="clear" w:color="auto" w:fill="auto"/>
          </w:tcPr>
          <w:p w14:paraId="2CCBF593" w14:textId="77777777" w:rsidR="003E5B0C" w:rsidRPr="00BA08FC" w:rsidRDefault="003E5B0C" w:rsidP="00BA08FC">
            <w:pPr>
              <w:jc w:val="left"/>
              <w:rPr>
                <w:sz w:val="20"/>
                <w:szCs w:val="20"/>
              </w:rPr>
            </w:pPr>
            <w:r w:rsidRPr="00BA08FC">
              <w:rPr>
                <w:sz w:val="20"/>
                <w:szCs w:val="20"/>
              </w:rPr>
              <w:t xml:space="preserve">19.2 Revenue risk management </w:t>
            </w:r>
          </w:p>
        </w:tc>
        <w:tc>
          <w:tcPr>
            <w:tcW w:w="418" w:type="dxa"/>
            <w:shd w:val="clear" w:color="auto" w:fill="auto"/>
          </w:tcPr>
          <w:p w14:paraId="2798C40C" w14:textId="77777777" w:rsidR="003E5B0C" w:rsidRPr="00BA08FC" w:rsidRDefault="003E5B0C" w:rsidP="00DA49C5">
            <w:pPr>
              <w:jc w:val="center"/>
              <w:rPr>
                <w:sz w:val="20"/>
                <w:szCs w:val="20"/>
              </w:rPr>
            </w:pPr>
            <w:r w:rsidRPr="00BA08FC">
              <w:rPr>
                <w:sz w:val="20"/>
                <w:szCs w:val="20"/>
              </w:rPr>
              <w:t>D</w:t>
            </w:r>
          </w:p>
        </w:tc>
        <w:tc>
          <w:tcPr>
            <w:tcW w:w="5982" w:type="dxa"/>
            <w:shd w:val="clear" w:color="auto" w:fill="auto"/>
          </w:tcPr>
          <w:p w14:paraId="2AA5CA51" w14:textId="583DF2A4" w:rsidR="003E5B0C" w:rsidRPr="00BA08FC" w:rsidRDefault="003E5B0C" w:rsidP="00BA08FC">
            <w:pPr>
              <w:jc w:val="left"/>
              <w:rPr>
                <w:sz w:val="20"/>
                <w:szCs w:val="20"/>
              </w:rPr>
            </w:pPr>
            <w:r w:rsidRPr="00BA08FC">
              <w:rPr>
                <w:sz w:val="20"/>
                <w:szCs w:val="20"/>
              </w:rPr>
              <w:t>The county does</w:t>
            </w:r>
            <w:r w:rsidR="009A5CBD">
              <w:rPr>
                <w:sz w:val="20"/>
                <w:szCs w:val="20"/>
              </w:rPr>
              <w:t xml:space="preserve"> </w:t>
            </w:r>
            <w:r w:rsidRPr="00BA08FC">
              <w:rPr>
                <w:sz w:val="20"/>
                <w:szCs w:val="20"/>
              </w:rPr>
              <w:t>n</w:t>
            </w:r>
            <w:r w:rsidR="009A5CBD">
              <w:rPr>
                <w:sz w:val="20"/>
                <w:szCs w:val="20"/>
              </w:rPr>
              <w:t>o</w:t>
            </w:r>
            <w:r w:rsidRPr="00BA08FC">
              <w:rPr>
                <w:sz w:val="20"/>
                <w:szCs w:val="20"/>
              </w:rPr>
              <w:t xml:space="preserve">t have a risk assessment framework in place for assessing and prioritizing risks. </w:t>
            </w:r>
          </w:p>
        </w:tc>
      </w:tr>
      <w:tr w:rsidR="003E5B0C" w:rsidRPr="00BA08FC" w14:paraId="721F020D" w14:textId="77777777" w:rsidTr="00BA08FC">
        <w:tc>
          <w:tcPr>
            <w:tcW w:w="2843" w:type="dxa"/>
            <w:shd w:val="clear" w:color="auto" w:fill="auto"/>
          </w:tcPr>
          <w:p w14:paraId="3CE1D519" w14:textId="77777777" w:rsidR="003E5B0C" w:rsidRPr="00BA08FC" w:rsidRDefault="003E5B0C" w:rsidP="00BA08FC">
            <w:pPr>
              <w:jc w:val="left"/>
              <w:rPr>
                <w:sz w:val="20"/>
                <w:szCs w:val="20"/>
              </w:rPr>
            </w:pPr>
            <w:r w:rsidRPr="00BA08FC">
              <w:rPr>
                <w:sz w:val="20"/>
                <w:szCs w:val="20"/>
              </w:rPr>
              <w:t xml:space="preserve">19.3 Revenue audit and investigation </w:t>
            </w:r>
          </w:p>
        </w:tc>
        <w:tc>
          <w:tcPr>
            <w:tcW w:w="418" w:type="dxa"/>
            <w:shd w:val="clear" w:color="auto" w:fill="auto"/>
          </w:tcPr>
          <w:p w14:paraId="3EB8EB9C" w14:textId="77777777" w:rsidR="003E5B0C" w:rsidRPr="00BA08FC" w:rsidRDefault="003E5B0C" w:rsidP="00DA49C5">
            <w:pPr>
              <w:jc w:val="center"/>
              <w:rPr>
                <w:sz w:val="20"/>
                <w:szCs w:val="20"/>
              </w:rPr>
            </w:pPr>
            <w:r w:rsidRPr="00BA08FC">
              <w:rPr>
                <w:sz w:val="20"/>
                <w:szCs w:val="20"/>
              </w:rPr>
              <w:t>D</w:t>
            </w:r>
          </w:p>
        </w:tc>
        <w:tc>
          <w:tcPr>
            <w:tcW w:w="5982" w:type="dxa"/>
            <w:shd w:val="clear" w:color="auto" w:fill="auto"/>
          </w:tcPr>
          <w:p w14:paraId="57339D1B" w14:textId="77777777" w:rsidR="003E5B0C" w:rsidRPr="00BA08FC" w:rsidRDefault="003E5B0C" w:rsidP="00BA08FC">
            <w:pPr>
              <w:jc w:val="left"/>
              <w:rPr>
                <w:sz w:val="20"/>
                <w:szCs w:val="20"/>
              </w:rPr>
            </w:pPr>
            <w:r w:rsidRPr="00BA08FC">
              <w:rPr>
                <w:sz w:val="20"/>
                <w:szCs w:val="20"/>
              </w:rPr>
              <w:t>Entities collecting the majority of government revenue undertake audits and fraud investigations. The majority of planned audits and investigations have been completed. However, no evidence that a compliance improvement plan was used has been provided.</w:t>
            </w:r>
          </w:p>
        </w:tc>
      </w:tr>
      <w:tr w:rsidR="003E5B0C" w:rsidRPr="00BA08FC" w14:paraId="185A3CAF" w14:textId="77777777" w:rsidTr="00BA08FC">
        <w:tc>
          <w:tcPr>
            <w:tcW w:w="2843" w:type="dxa"/>
            <w:shd w:val="clear" w:color="auto" w:fill="auto"/>
          </w:tcPr>
          <w:p w14:paraId="2A9EA67C" w14:textId="77777777" w:rsidR="003E5B0C" w:rsidRPr="00BA08FC" w:rsidRDefault="003E5B0C" w:rsidP="00BA08FC">
            <w:pPr>
              <w:jc w:val="left"/>
              <w:rPr>
                <w:sz w:val="20"/>
                <w:szCs w:val="20"/>
              </w:rPr>
            </w:pPr>
            <w:r w:rsidRPr="00BA08FC">
              <w:rPr>
                <w:sz w:val="20"/>
                <w:szCs w:val="20"/>
              </w:rPr>
              <w:t xml:space="preserve">19.4 Revenue arrears monitoring </w:t>
            </w:r>
          </w:p>
        </w:tc>
        <w:tc>
          <w:tcPr>
            <w:tcW w:w="418" w:type="dxa"/>
            <w:shd w:val="clear" w:color="auto" w:fill="auto"/>
          </w:tcPr>
          <w:p w14:paraId="23659CF8" w14:textId="77777777" w:rsidR="003E5B0C" w:rsidRPr="00BA08FC" w:rsidRDefault="003E5B0C" w:rsidP="00DA49C5">
            <w:pPr>
              <w:jc w:val="center"/>
              <w:rPr>
                <w:sz w:val="20"/>
                <w:szCs w:val="20"/>
              </w:rPr>
            </w:pPr>
            <w:r w:rsidRPr="00BA08FC">
              <w:rPr>
                <w:sz w:val="20"/>
                <w:szCs w:val="20"/>
              </w:rPr>
              <w:t>D</w:t>
            </w:r>
          </w:p>
        </w:tc>
        <w:tc>
          <w:tcPr>
            <w:tcW w:w="5982" w:type="dxa"/>
            <w:shd w:val="clear" w:color="auto" w:fill="auto"/>
          </w:tcPr>
          <w:p w14:paraId="0C43993C" w14:textId="76FA177D" w:rsidR="003E5B0C" w:rsidRPr="00BA08FC" w:rsidRDefault="003E5B0C" w:rsidP="00BA08FC">
            <w:pPr>
              <w:jc w:val="left"/>
              <w:rPr>
                <w:sz w:val="20"/>
                <w:szCs w:val="20"/>
              </w:rPr>
            </w:pPr>
            <w:r w:rsidRPr="00BA08FC">
              <w:rPr>
                <w:sz w:val="20"/>
                <w:szCs w:val="20"/>
              </w:rPr>
              <w:t>No record of revenue arrears is kept. The only list of arrears provided is for property rates</w:t>
            </w:r>
            <w:r w:rsidR="00625C7E">
              <w:rPr>
                <w:sz w:val="20"/>
                <w:szCs w:val="20"/>
              </w:rPr>
              <w:t>,</w:t>
            </w:r>
            <w:r w:rsidRPr="00BA08FC">
              <w:rPr>
                <w:sz w:val="20"/>
                <w:szCs w:val="20"/>
              </w:rPr>
              <w:t xml:space="preserve"> cumulatively from July 2014 to April 2017. One cannot ascertain the age of the arrears.</w:t>
            </w:r>
          </w:p>
        </w:tc>
      </w:tr>
    </w:tbl>
    <w:p w14:paraId="45842116" w14:textId="77777777" w:rsidR="005A0954" w:rsidRPr="00890A84" w:rsidRDefault="00867DDD" w:rsidP="00BA6B2B">
      <w:pPr>
        <w:pStyle w:val="Heading5"/>
      </w:pPr>
      <w:r w:rsidRPr="00890A84">
        <w:t>PI-</w:t>
      </w:r>
      <w:r w:rsidR="005A0954" w:rsidRPr="00890A84">
        <w:t xml:space="preserve">19.1. Rights and obligations for revenue measures </w:t>
      </w:r>
    </w:p>
    <w:p w14:paraId="78F61305" w14:textId="18BA6F57" w:rsidR="00C50D63" w:rsidRPr="00BA08FC" w:rsidRDefault="00C50D63" w:rsidP="00BA08FC">
      <w:pPr>
        <w:spacing w:after="240"/>
        <w:rPr>
          <w:sz w:val="22"/>
        </w:rPr>
      </w:pPr>
      <w:r w:rsidRPr="00BA08FC">
        <w:rPr>
          <w:sz w:val="22"/>
        </w:rPr>
        <w:t xml:space="preserve">The county government has enacted legislation </w:t>
      </w:r>
      <w:r w:rsidR="008C35CA" w:rsidRPr="00BA08FC">
        <w:rPr>
          <w:sz w:val="22"/>
        </w:rPr>
        <w:t>to</w:t>
      </w:r>
      <w:r w:rsidRPr="00BA08FC">
        <w:rPr>
          <w:sz w:val="22"/>
        </w:rPr>
        <w:t xml:space="preserve"> guide </w:t>
      </w:r>
      <w:r w:rsidR="008C35CA" w:rsidRPr="00BA08FC">
        <w:rPr>
          <w:sz w:val="22"/>
        </w:rPr>
        <w:t>tax</w:t>
      </w:r>
      <w:r w:rsidRPr="00BA08FC">
        <w:rPr>
          <w:sz w:val="22"/>
        </w:rPr>
        <w:t>payers on their rights and obligations</w:t>
      </w:r>
      <w:r w:rsidR="00625C7E">
        <w:rPr>
          <w:sz w:val="22"/>
        </w:rPr>
        <w:t>,</w:t>
      </w:r>
      <w:r w:rsidRPr="00BA08FC">
        <w:rPr>
          <w:sz w:val="22"/>
        </w:rPr>
        <w:t xml:space="preserve"> redress process</w:t>
      </w:r>
      <w:r w:rsidR="004F5FBA" w:rsidRPr="00BA08FC">
        <w:rPr>
          <w:sz w:val="22"/>
        </w:rPr>
        <w:t>es</w:t>
      </w:r>
      <w:r w:rsidR="00625C7E">
        <w:rPr>
          <w:sz w:val="22"/>
        </w:rPr>
        <w:t>,</w:t>
      </w:r>
      <w:r w:rsidR="004F5FBA" w:rsidRPr="00BA08FC">
        <w:rPr>
          <w:sz w:val="22"/>
        </w:rPr>
        <w:t xml:space="preserve"> </w:t>
      </w:r>
      <w:r w:rsidRPr="00BA08FC">
        <w:rPr>
          <w:sz w:val="22"/>
        </w:rPr>
        <w:t>and procedures on payment of rates and other charges</w:t>
      </w:r>
      <w:r w:rsidR="008C35CA" w:rsidRPr="00BA08FC">
        <w:rPr>
          <w:sz w:val="22"/>
        </w:rPr>
        <w:t xml:space="preserve">. This includes the </w:t>
      </w:r>
      <w:r w:rsidRPr="00BA08FC">
        <w:rPr>
          <w:sz w:val="22"/>
        </w:rPr>
        <w:t>Finance Act, 2016</w:t>
      </w:r>
      <w:r w:rsidR="00625C7E">
        <w:rPr>
          <w:sz w:val="22"/>
        </w:rPr>
        <w:t>;</w:t>
      </w:r>
      <w:r w:rsidRPr="00BA08FC">
        <w:rPr>
          <w:sz w:val="22"/>
        </w:rPr>
        <w:t xml:space="preserve"> County Revenue Administration Act, 2016</w:t>
      </w:r>
      <w:r w:rsidR="00625C7E">
        <w:rPr>
          <w:sz w:val="22"/>
        </w:rPr>
        <w:t>;</w:t>
      </w:r>
      <w:r w:rsidRPr="00BA08FC">
        <w:rPr>
          <w:sz w:val="22"/>
        </w:rPr>
        <w:t xml:space="preserve"> and </w:t>
      </w:r>
      <w:r w:rsidR="008C35CA" w:rsidRPr="00BA08FC">
        <w:rPr>
          <w:sz w:val="22"/>
        </w:rPr>
        <w:t xml:space="preserve">the </w:t>
      </w:r>
      <w:r w:rsidRPr="00BA08FC">
        <w:rPr>
          <w:sz w:val="22"/>
        </w:rPr>
        <w:t xml:space="preserve">Trade Licensing Act, 2014. The county is in the process of enacting a County </w:t>
      </w:r>
      <w:r w:rsidR="00625C7E">
        <w:rPr>
          <w:sz w:val="22"/>
        </w:rPr>
        <w:t>R</w:t>
      </w:r>
      <w:r w:rsidRPr="00BA08FC">
        <w:rPr>
          <w:sz w:val="22"/>
        </w:rPr>
        <w:t>ating Bill, 2014</w:t>
      </w:r>
      <w:r w:rsidR="00625C7E">
        <w:rPr>
          <w:sz w:val="22"/>
        </w:rPr>
        <w:t>,</w:t>
      </w:r>
      <w:r w:rsidRPr="00BA08FC">
        <w:rPr>
          <w:sz w:val="22"/>
        </w:rPr>
        <w:t xml:space="preserve"> that will enable the county to impose rates on land and buildings in the county.</w:t>
      </w:r>
    </w:p>
    <w:p w14:paraId="48AEE042" w14:textId="34DF5FF0" w:rsidR="00C50D63" w:rsidRPr="00BA08FC" w:rsidRDefault="00C50D63" w:rsidP="00BA08FC">
      <w:pPr>
        <w:spacing w:after="240"/>
        <w:rPr>
          <w:sz w:val="22"/>
        </w:rPr>
      </w:pPr>
      <w:r w:rsidRPr="00BA08FC">
        <w:rPr>
          <w:sz w:val="22"/>
        </w:rPr>
        <w:t>The revenue unit does</w:t>
      </w:r>
      <w:r w:rsidR="00625C7E">
        <w:rPr>
          <w:sz w:val="22"/>
        </w:rPr>
        <w:t xml:space="preserve"> </w:t>
      </w:r>
      <w:r w:rsidRPr="00BA08FC">
        <w:rPr>
          <w:sz w:val="22"/>
        </w:rPr>
        <w:t>n</w:t>
      </w:r>
      <w:r w:rsidR="00625C7E">
        <w:rPr>
          <w:sz w:val="22"/>
        </w:rPr>
        <w:t>o</w:t>
      </w:r>
      <w:r w:rsidRPr="00BA08FC">
        <w:rPr>
          <w:sz w:val="22"/>
        </w:rPr>
        <w:t xml:space="preserve">t have an online portal and </w:t>
      </w:r>
      <w:r w:rsidR="008876BE" w:rsidRPr="00BA08FC">
        <w:rPr>
          <w:sz w:val="22"/>
        </w:rPr>
        <w:t>therefore taxpayers</w:t>
      </w:r>
      <w:r w:rsidRPr="00BA08FC">
        <w:rPr>
          <w:sz w:val="22"/>
        </w:rPr>
        <w:t xml:space="preserve"> do</w:t>
      </w:r>
      <w:r w:rsidR="008C35CA" w:rsidRPr="00BA08FC">
        <w:rPr>
          <w:sz w:val="22"/>
        </w:rPr>
        <w:t xml:space="preserve"> not</w:t>
      </w:r>
      <w:r w:rsidRPr="00BA08FC">
        <w:rPr>
          <w:sz w:val="22"/>
        </w:rPr>
        <w:t xml:space="preserve"> access the information online</w:t>
      </w:r>
      <w:r w:rsidR="008C35CA" w:rsidRPr="00BA08FC">
        <w:rPr>
          <w:sz w:val="22"/>
        </w:rPr>
        <w:t xml:space="preserve"> but</w:t>
      </w:r>
      <w:r w:rsidRPr="00BA08FC">
        <w:rPr>
          <w:sz w:val="22"/>
        </w:rPr>
        <w:t xml:space="preserve"> </w:t>
      </w:r>
      <w:r w:rsidR="00625C7E">
        <w:rPr>
          <w:sz w:val="22"/>
        </w:rPr>
        <w:t>the information is</w:t>
      </w:r>
      <w:r w:rsidR="00625C7E" w:rsidRPr="00BA08FC">
        <w:rPr>
          <w:sz w:val="22"/>
        </w:rPr>
        <w:t xml:space="preserve"> </w:t>
      </w:r>
      <w:r w:rsidRPr="00BA08FC">
        <w:rPr>
          <w:sz w:val="22"/>
        </w:rPr>
        <w:t xml:space="preserve">provided in the subcounty offices </w:t>
      </w:r>
      <w:r w:rsidR="008C35CA" w:rsidRPr="00BA08FC">
        <w:rPr>
          <w:sz w:val="22"/>
        </w:rPr>
        <w:t>and</w:t>
      </w:r>
      <w:r w:rsidRPr="00BA08FC">
        <w:rPr>
          <w:sz w:val="22"/>
        </w:rPr>
        <w:t xml:space="preserve"> the county headquarters. </w:t>
      </w:r>
      <w:r w:rsidR="008C35CA" w:rsidRPr="00BA08FC">
        <w:rPr>
          <w:sz w:val="22"/>
        </w:rPr>
        <w:t>T</w:t>
      </w:r>
      <w:r w:rsidRPr="00BA08FC">
        <w:rPr>
          <w:sz w:val="22"/>
        </w:rPr>
        <w:t xml:space="preserve">he </w:t>
      </w:r>
      <w:r w:rsidR="008C35CA" w:rsidRPr="00BA08FC">
        <w:rPr>
          <w:sz w:val="22"/>
        </w:rPr>
        <w:t>County Revenue Administration Act, 2016</w:t>
      </w:r>
      <w:r w:rsidR="00625C7E">
        <w:rPr>
          <w:sz w:val="22"/>
        </w:rPr>
        <w:t>,</w:t>
      </w:r>
      <w:r w:rsidR="008C35CA" w:rsidRPr="00BA08FC">
        <w:rPr>
          <w:sz w:val="22"/>
        </w:rPr>
        <w:t xml:space="preserve"> is uploaded </w:t>
      </w:r>
      <w:r w:rsidR="00DA49C5">
        <w:rPr>
          <w:sz w:val="22"/>
        </w:rPr>
        <w:t>o</w:t>
      </w:r>
      <w:r w:rsidR="008C35CA" w:rsidRPr="00BA08FC">
        <w:rPr>
          <w:sz w:val="22"/>
        </w:rPr>
        <w:t xml:space="preserve">n the </w:t>
      </w:r>
      <w:r w:rsidRPr="00BA08FC">
        <w:rPr>
          <w:sz w:val="22"/>
        </w:rPr>
        <w:t xml:space="preserve">county </w:t>
      </w:r>
      <w:r w:rsidR="008876BE" w:rsidRPr="00BA08FC">
        <w:rPr>
          <w:sz w:val="22"/>
        </w:rPr>
        <w:t>website. Taxpayers</w:t>
      </w:r>
      <w:r w:rsidRPr="00BA08FC">
        <w:rPr>
          <w:sz w:val="22"/>
        </w:rPr>
        <w:t xml:space="preserve"> know their rights </w:t>
      </w:r>
      <w:r w:rsidR="008C35CA" w:rsidRPr="00BA08FC">
        <w:rPr>
          <w:sz w:val="22"/>
        </w:rPr>
        <w:t>and obligations through the sub</w:t>
      </w:r>
      <w:r w:rsidRPr="00BA08FC">
        <w:rPr>
          <w:sz w:val="22"/>
        </w:rPr>
        <w:t xml:space="preserve">county offices. </w:t>
      </w:r>
      <w:r w:rsidR="008C35CA" w:rsidRPr="00BA08FC">
        <w:rPr>
          <w:sz w:val="22"/>
        </w:rPr>
        <w:t xml:space="preserve">The </w:t>
      </w:r>
      <w:r w:rsidR="00625C7E">
        <w:rPr>
          <w:sz w:val="22"/>
        </w:rPr>
        <w:t>r</w:t>
      </w:r>
      <w:r w:rsidRPr="00BA08FC">
        <w:rPr>
          <w:sz w:val="22"/>
        </w:rPr>
        <w:t xml:space="preserve">ights and obligations of the </w:t>
      </w:r>
      <w:r w:rsidR="008C35CA" w:rsidRPr="00BA08FC">
        <w:rPr>
          <w:sz w:val="22"/>
        </w:rPr>
        <w:t>tax</w:t>
      </w:r>
      <w:r w:rsidRPr="00BA08FC">
        <w:rPr>
          <w:sz w:val="22"/>
        </w:rPr>
        <w:t>payers are also contained in the Finance Act, 2016.</w:t>
      </w:r>
      <w:r w:rsidR="00F56A67" w:rsidRPr="00BA08FC">
        <w:rPr>
          <w:sz w:val="22"/>
        </w:rPr>
        <w:t xml:space="preserve"> </w:t>
      </w:r>
      <w:r w:rsidRPr="00BA08FC">
        <w:rPr>
          <w:sz w:val="22"/>
        </w:rPr>
        <w:t xml:space="preserve">The </w:t>
      </w:r>
      <w:r w:rsidR="008876BE" w:rsidRPr="00BA08FC">
        <w:rPr>
          <w:sz w:val="22"/>
        </w:rPr>
        <w:t>county holds</w:t>
      </w:r>
      <w:r w:rsidRPr="00BA08FC">
        <w:rPr>
          <w:sz w:val="22"/>
        </w:rPr>
        <w:t xml:space="preserve"> public forums</w:t>
      </w:r>
      <w:r w:rsidR="00DA49C5">
        <w:rPr>
          <w:sz w:val="22"/>
        </w:rPr>
        <w:t>,</w:t>
      </w:r>
      <w:r w:rsidRPr="00BA08FC">
        <w:rPr>
          <w:sz w:val="22"/>
        </w:rPr>
        <w:t xml:space="preserve"> which are announced in advance through </w:t>
      </w:r>
      <w:r w:rsidR="00625C7E">
        <w:rPr>
          <w:sz w:val="22"/>
        </w:rPr>
        <w:t xml:space="preserve">the </w:t>
      </w:r>
      <w:r w:rsidRPr="00BA08FC">
        <w:rPr>
          <w:sz w:val="22"/>
        </w:rPr>
        <w:t xml:space="preserve">print </w:t>
      </w:r>
      <w:r w:rsidR="008C35CA" w:rsidRPr="00BA08FC">
        <w:rPr>
          <w:sz w:val="22"/>
        </w:rPr>
        <w:t>media or</w:t>
      </w:r>
      <w:r w:rsidRPr="00BA08FC">
        <w:rPr>
          <w:sz w:val="22"/>
        </w:rPr>
        <w:t xml:space="preserve"> a mobile vehicle tha</w:t>
      </w:r>
      <w:r w:rsidR="008C35CA" w:rsidRPr="00BA08FC">
        <w:rPr>
          <w:sz w:val="22"/>
        </w:rPr>
        <w:t>t traverse</w:t>
      </w:r>
      <w:r w:rsidR="00625C7E">
        <w:rPr>
          <w:sz w:val="22"/>
        </w:rPr>
        <w:t>s</w:t>
      </w:r>
      <w:r w:rsidR="008C35CA" w:rsidRPr="00BA08FC">
        <w:rPr>
          <w:sz w:val="22"/>
        </w:rPr>
        <w:t xml:space="preserve"> the county</w:t>
      </w:r>
      <w:r w:rsidRPr="00BA08FC">
        <w:rPr>
          <w:sz w:val="22"/>
        </w:rPr>
        <w:t xml:space="preserve"> </w:t>
      </w:r>
      <w:r w:rsidR="00DA49C5">
        <w:rPr>
          <w:sz w:val="22"/>
        </w:rPr>
        <w:t>on</w:t>
      </w:r>
      <w:r w:rsidR="00DA49C5" w:rsidRPr="00BA08FC">
        <w:rPr>
          <w:sz w:val="22"/>
        </w:rPr>
        <w:t xml:space="preserve"> </w:t>
      </w:r>
      <w:r w:rsidRPr="00BA08FC">
        <w:rPr>
          <w:sz w:val="22"/>
        </w:rPr>
        <w:t xml:space="preserve">market days. </w:t>
      </w:r>
      <w:r w:rsidR="0028503B" w:rsidRPr="00BA08FC">
        <w:rPr>
          <w:sz w:val="22"/>
        </w:rPr>
        <w:t xml:space="preserve">The redress mechanism is implemented and handled at the subcounty offices. </w:t>
      </w:r>
      <w:r w:rsidR="00625C7E">
        <w:rPr>
          <w:sz w:val="22"/>
        </w:rPr>
        <w:t>If</w:t>
      </w:r>
      <w:r w:rsidR="0028503B" w:rsidRPr="00BA08FC">
        <w:rPr>
          <w:sz w:val="22"/>
        </w:rPr>
        <w:t xml:space="preserve"> the complainant is not satisfied, the matter is referred to the Director of Revenue. However, </w:t>
      </w:r>
      <w:r w:rsidR="00F56A67" w:rsidRPr="00BA08FC">
        <w:rPr>
          <w:sz w:val="22"/>
        </w:rPr>
        <w:t>payers</w:t>
      </w:r>
      <w:r w:rsidR="0028503B" w:rsidRPr="00BA08FC">
        <w:rPr>
          <w:sz w:val="22"/>
        </w:rPr>
        <w:t xml:space="preserve"> are not provided</w:t>
      </w:r>
      <w:r w:rsidR="00F56A67" w:rsidRPr="00BA08FC">
        <w:rPr>
          <w:sz w:val="22"/>
        </w:rPr>
        <w:t xml:space="preserve"> with access to information redress processes and procedures. </w:t>
      </w:r>
      <w:r w:rsidR="0028503B" w:rsidRPr="00BA08FC">
        <w:rPr>
          <w:sz w:val="22"/>
        </w:rPr>
        <w:t>The</w:t>
      </w:r>
      <w:r w:rsidR="00F56A67" w:rsidRPr="00BA08FC">
        <w:rPr>
          <w:sz w:val="22"/>
        </w:rPr>
        <w:t xml:space="preserve"> County </w:t>
      </w:r>
      <w:r w:rsidR="00DA49C5">
        <w:rPr>
          <w:sz w:val="22"/>
        </w:rPr>
        <w:t>R</w:t>
      </w:r>
      <w:r w:rsidR="00F56A67" w:rsidRPr="00BA08FC">
        <w:rPr>
          <w:sz w:val="22"/>
        </w:rPr>
        <w:t>evenue Administration Act presents only the procedure for reduction of taxes, fees</w:t>
      </w:r>
      <w:r w:rsidR="00DA49C5">
        <w:rPr>
          <w:sz w:val="22"/>
        </w:rPr>
        <w:t>,</w:t>
      </w:r>
      <w:r w:rsidR="00F56A67" w:rsidRPr="00BA08FC">
        <w:rPr>
          <w:sz w:val="22"/>
        </w:rPr>
        <w:t xml:space="preserve"> and charges </w:t>
      </w:r>
      <w:r w:rsidR="0028503B" w:rsidRPr="00BA08FC">
        <w:rPr>
          <w:sz w:val="22"/>
        </w:rPr>
        <w:t>(</w:t>
      </w:r>
      <w:r w:rsidR="00F56A67" w:rsidRPr="00BA08FC">
        <w:rPr>
          <w:sz w:val="22"/>
        </w:rPr>
        <w:t>article 12).</w:t>
      </w:r>
    </w:p>
    <w:p w14:paraId="0669E0E9" w14:textId="52ED7729" w:rsidR="008A646C" w:rsidRPr="00BA08FC" w:rsidRDefault="00035673" w:rsidP="00BA08FC">
      <w:pPr>
        <w:spacing w:after="240"/>
        <w:rPr>
          <w:sz w:val="22"/>
        </w:rPr>
      </w:pPr>
      <w:r w:rsidRPr="00BA08FC">
        <w:rPr>
          <w:sz w:val="22"/>
        </w:rPr>
        <w:t>In summary, e</w:t>
      </w:r>
      <w:r w:rsidR="00280C4D" w:rsidRPr="00BA08FC">
        <w:rPr>
          <w:sz w:val="22"/>
        </w:rPr>
        <w:t xml:space="preserve">ntities collecting revenues provide payers with access to information on the main revenue obligation areas but not on redress processes and procedures, while the mechanism is in place. The County </w:t>
      </w:r>
      <w:r w:rsidR="007274DE" w:rsidRPr="00BA08FC">
        <w:rPr>
          <w:sz w:val="22"/>
        </w:rPr>
        <w:t>Revenue</w:t>
      </w:r>
      <w:r w:rsidR="00280C4D" w:rsidRPr="00BA08FC">
        <w:rPr>
          <w:sz w:val="22"/>
        </w:rPr>
        <w:t xml:space="preserve"> Administration Act presents only the procedure for reduction of taxes, fees and charges. </w:t>
      </w:r>
    </w:p>
    <w:p w14:paraId="0661E965" w14:textId="78703C1F" w:rsidR="008A646C" w:rsidRPr="00BA08FC" w:rsidRDefault="008A646C" w:rsidP="00BA08FC">
      <w:pPr>
        <w:spacing w:after="240"/>
        <w:ind w:left="360" w:hanging="360"/>
        <w:rPr>
          <w:b/>
          <w:sz w:val="22"/>
        </w:rPr>
      </w:pPr>
      <w:r w:rsidRPr="00BA08FC">
        <w:rPr>
          <w:b/>
          <w:sz w:val="22"/>
        </w:rPr>
        <w:t>Dimension rating = D</w:t>
      </w:r>
    </w:p>
    <w:p w14:paraId="77DE16D8" w14:textId="77777777" w:rsidR="00C50D63" w:rsidRPr="00890A84" w:rsidRDefault="00867DDD" w:rsidP="00BA6B2B">
      <w:pPr>
        <w:pStyle w:val="Heading5"/>
      </w:pPr>
      <w:r w:rsidRPr="00890A84">
        <w:t>PI-</w:t>
      </w:r>
      <w:r w:rsidR="00C50D63" w:rsidRPr="00890A84">
        <w:t xml:space="preserve">19.2. Revenue risk management </w:t>
      </w:r>
    </w:p>
    <w:p w14:paraId="1E1F58A1" w14:textId="04BF6B79" w:rsidR="00C50D63" w:rsidRPr="00BA08FC" w:rsidRDefault="00C50D63" w:rsidP="00BA08FC">
      <w:pPr>
        <w:spacing w:after="240"/>
        <w:rPr>
          <w:sz w:val="22"/>
        </w:rPr>
      </w:pPr>
      <w:r w:rsidRPr="00BA08FC">
        <w:rPr>
          <w:sz w:val="22"/>
        </w:rPr>
        <w:t xml:space="preserve">The county </w:t>
      </w:r>
      <w:r w:rsidR="0085242F" w:rsidRPr="00BA08FC">
        <w:rPr>
          <w:sz w:val="22"/>
        </w:rPr>
        <w:t>does not u</w:t>
      </w:r>
      <w:r w:rsidRPr="00BA08FC">
        <w:rPr>
          <w:sz w:val="22"/>
        </w:rPr>
        <w:t>se risk management process in the main rights and obligation areas</w:t>
      </w:r>
      <w:r w:rsidR="00DA49C5">
        <w:rPr>
          <w:sz w:val="22"/>
        </w:rPr>
        <w:t>,</w:t>
      </w:r>
      <w:r w:rsidRPr="00BA08FC">
        <w:rPr>
          <w:sz w:val="22"/>
        </w:rPr>
        <w:t xml:space="preserve"> including registration, filing, </w:t>
      </w:r>
      <w:r w:rsidR="0085242F" w:rsidRPr="00BA08FC">
        <w:rPr>
          <w:sz w:val="22"/>
        </w:rPr>
        <w:t>and payment</w:t>
      </w:r>
      <w:r w:rsidRPr="00BA08FC">
        <w:rPr>
          <w:sz w:val="22"/>
        </w:rPr>
        <w:t xml:space="preserve">. The revenue risk assessment is not carried out by the county and hence the compliance risks are not </w:t>
      </w:r>
      <w:r w:rsidR="00123901" w:rsidRPr="00BA08FC">
        <w:rPr>
          <w:sz w:val="22"/>
        </w:rPr>
        <w:t>prioritized.</w:t>
      </w:r>
      <w:r w:rsidR="00123901" w:rsidRPr="00BA08FC">
        <w:rPr>
          <w:color w:val="000000"/>
          <w:sz w:val="22"/>
        </w:rPr>
        <w:t xml:space="preserve"> However</w:t>
      </w:r>
      <w:r w:rsidR="00A90224" w:rsidRPr="00BA08FC">
        <w:rPr>
          <w:color w:val="000000"/>
          <w:sz w:val="22"/>
        </w:rPr>
        <w:t>, risks are identified in the revenue audit report</w:t>
      </w:r>
      <w:r w:rsidR="0085242F" w:rsidRPr="00BA08FC">
        <w:rPr>
          <w:color w:val="000000"/>
          <w:sz w:val="22"/>
        </w:rPr>
        <w:t>s</w:t>
      </w:r>
      <w:r w:rsidR="00A90224" w:rsidRPr="00BA08FC">
        <w:rPr>
          <w:color w:val="000000"/>
          <w:sz w:val="22"/>
        </w:rPr>
        <w:t xml:space="preserve"> for some revenue streams and recommendations are given in the</w:t>
      </w:r>
      <w:r w:rsidR="0085242F" w:rsidRPr="00BA08FC">
        <w:rPr>
          <w:color w:val="000000"/>
          <w:sz w:val="22"/>
        </w:rPr>
        <w:t>se</w:t>
      </w:r>
      <w:r w:rsidR="00A90224" w:rsidRPr="00BA08FC">
        <w:rPr>
          <w:color w:val="000000"/>
          <w:sz w:val="22"/>
        </w:rPr>
        <w:t xml:space="preserve"> audit report</w:t>
      </w:r>
      <w:r w:rsidR="0085242F" w:rsidRPr="00BA08FC">
        <w:rPr>
          <w:color w:val="000000"/>
          <w:sz w:val="22"/>
        </w:rPr>
        <w:t>s</w:t>
      </w:r>
      <w:r w:rsidR="00A90224" w:rsidRPr="00BA08FC">
        <w:rPr>
          <w:color w:val="000000"/>
          <w:sz w:val="22"/>
        </w:rPr>
        <w:t>.</w:t>
      </w:r>
    </w:p>
    <w:p w14:paraId="75436E47" w14:textId="3E8ABE53" w:rsidR="008A646C" w:rsidRPr="00BA08FC" w:rsidRDefault="00035673" w:rsidP="00BA08FC">
      <w:pPr>
        <w:spacing w:after="240"/>
        <w:rPr>
          <w:sz w:val="22"/>
        </w:rPr>
      </w:pPr>
      <w:r w:rsidRPr="00BA08FC">
        <w:rPr>
          <w:sz w:val="22"/>
        </w:rPr>
        <w:t>In summary, t</w:t>
      </w:r>
      <w:r w:rsidR="00280C4D" w:rsidRPr="00BA08FC">
        <w:rPr>
          <w:sz w:val="22"/>
        </w:rPr>
        <w:t>he county does</w:t>
      </w:r>
      <w:r w:rsidR="00DA49C5">
        <w:rPr>
          <w:sz w:val="22"/>
        </w:rPr>
        <w:t xml:space="preserve"> </w:t>
      </w:r>
      <w:r w:rsidR="00280C4D" w:rsidRPr="00BA08FC">
        <w:rPr>
          <w:sz w:val="22"/>
        </w:rPr>
        <w:t>n</w:t>
      </w:r>
      <w:r w:rsidR="00DA49C5">
        <w:rPr>
          <w:sz w:val="22"/>
        </w:rPr>
        <w:t>o</w:t>
      </w:r>
      <w:r w:rsidR="00280C4D" w:rsidRPr="00BA08FC">
        <w:rPr>
          <w:sz w:val="22"/>
        </w:rPr>
        <w:t>t have a risk assessment framework in place for assessing and prioritizing risks.</w:t>
      </w:r>
    </w:p>
    <w:p w14:paraId="29E9184F" w14:textId="6BB446EC" w:rsidR="008A646C" w:rsidRPr="00BA08FC" w:rsidRDefault="008A646C" w:rsidP="00BA08FC">
      <w:pPr>
        <w:spacing w:after="240"/>
        <w:ind w:left="360" w:hanging="360"/>
        <w:rPr>
          <w:b/>
          <w:sz w:val="22"/>
        </w:rPr>
      </w:pPr>
      <w:r w:rsidRPr="00BA08FC">
        <w:rPr>
          <w:b/>
          <w:sz w:val="22"/>
        </w:rPr>
        <w:t>Dimension rating = D</w:t>
      </w:r>
    </w:p>
    <w:p w14:paraId="3397CB37" w14:textId="77777777" w:rsidR="00C50D63" w:rsidRPr="00890A84" w:rsidRDefault="00867DDD" w:rsidP="00BA6B2B">
      <w:pPr>
        <w:pStyle w:val="Heading5"/>
      </w:pPr>
      <w:r w:rsidRPr="00890A84">
        <w:t>PI-</w:t>
      </w:r>
      <w:r w:rsidR="00C50D63" w:rsidRPr="00890A84">
        <w:t xml:space="preserve">19.3. Revenue audit and investigation </w:t>
      </w:r>
    </w:p>
    <w:p w14:paraId="75B4B5E2" w14:textId="0AAFD49D" w:rsidR="00646E15" w:rsidRPr="00BA08FC" w:rsidRDefault="00FC6487" w:rsidP="00BA08FC">
      <w:pPr>
        <w:spacing w:after="240"/>
        <w:rPr>
          <w:sz w:val="22"/>
        </w:rPr>
      </w:pPr>
      <w:r w:rsidRPr="00BA08FC">
        <w:rPr>
          <w:sz w:val="22"/>
        </w:rPr>
        <w:t>The c</w:t>
      </w:r>
      <w:r w:rsidR="00C50D63" w:rsidRPr="00BA08FC">
        <w:rPr>
          <w:sz w:val="22"/>
        </w:rPr>
        <w:t>ounty undertakes quarterly audit</w:t>
      </w:r>
      <w:r w:rsidRPr="00BA08FC">
        <w:rPr>
          <w:sz w:val="22"/>
        </w:rPr>
        <w:t>s</w:t>
      </w:r>
      <w:r w:rsidR="00C50D63" w:rsidRPr="00BA08FC">
        <w:rPr>
          <w:sz w:val="22"/>
        </w:rPr>
        <w:t xml:space="preserve"> of revenue collection after which an investigation is carried out to establish the reasons for the revenue collection performance. </w:t>
      </w:r>
      <w:r w:rsidR="00646E15" w:rsidRPr="00BA08FC">
        <w:rPr>
          <w:sz w:val="22"/>
        </w:rPr>
        <w:t>The audit exercise is planned and programmed in such a way that all material irregularities pertain</w:t>
      </w:r>
      <w:r w:rsidR="00DA49C5">
        <w:rPr>
          <w:sz w:val="22"/>
        </w:rPr>
        <w:t>ing to</w:t>
      </w:r>
      <w:r w:rsidR="00646E15" w:rsidRPr="00BA08FC">
        <w:rPr>
          <w:sz w:val="22"/>
        </w:rPr>
        <w:t xml:space="preserve"> revenue collection and management are captured </w:t>
      </w:r>
      <w:r w:rsidR="00DA49C5">
        <w:rPr>
          <w:sz w:val="22"/>
        </w:rPr>
        <w:t>during</w:t>
      </w:r>
      <w:r w:rsidR="00646E15" w:rsidRPr="00BA08FC">
        <w:rPr>
          <w:sz w:val="22"/>
        </w:rPr>
        <w:t xml:space="preserve"> audit. </w:t>
      </w:r>
    </w:p>
    <w:p w14:paraId="354940BA" w14:textId="1E7DB4FF" w:rsidR="00646E15" w:rsidRPr="00BA08FC" w:rsidRDefault="00FC6487" w:rsidP="00BA08FC">
      <w:pPr>
        <w:spacing w:after="240"/>
        <w:rPr>
          <w:sz w:val="22"/>
        </w:rPr>
      </w:pPr>
      <w:r w:rsidRPr="00BA08FC">
        <w:rPr>
          <w:sz w:val="22"/>
        </w:rPr>
        <w:t>During audits</w:t>
      </w:r>
      <w:r w:rsidR="00F77FEA" w:rsidRPr="00BA08FC">
        <w:rPr>
          <w:sz w:val="22"/>
        </w:rPr>
        <w:t>,</w:t>
      </w:r>
      <w:r w:rsidR="00A90224" w:rsidRPr="00BA08FC">
        <w:rPr>
          <w:sz w:val="22"/>
        </w:rPr>
        <w:t xml:space="preserve"> r</w:t>
      </w:r>
      <w:r w:rsidR="00C50D63" w:rsidRPr="00BA08FC">
        <w:rPr>
          <w:sz w:val="22"/>
        </w:rPr>
        <w:t xml:space="preserve">eceipt books are </w:t>
      </w:r>
      <w:r w:rsidRPr="00BA08FC">
        <w:rPr>
          <w:sz w:val="22"/>
        </w:rPr>
        <w:t xml:space="preserve">examined </w:t>
      </w:r>
      <w:r w:rsidR="00C50D63" w:rsidRPr="00BA08FC">
        <w:rPr>
          <w:sz w:val="22"/>
        </w:rPr>
        <w:t xml:space="preserve">and </w:t>
      </w:r>
      <w:r w:rsidRPr="00BA08FC">
        <w:rPr>
          <w:sz w:val="22"/>
        </w:rPr>
        <w:t xml:space="preserve">serial numbers are </w:t>
      </w:r>
      <w:r w:rsidR="00C50D63" w:rsidRPr="00BA08FC">
        <w:rPr>
          <w:sz w:val="22"/>
        </w:rPr>
        <w:t>cross</w:t>
      </w:r>
      <w:r w:rsidR="00DA49C5">
        <w:rPr>
          <w:sz w:val="22"/>
        </w:rPr>
        <w:t>-</w:t>
      </w:r>
      <w:r w:rsidR="00C50D63" w:rsidRPr="00BA08FC">
        <w:rPr>
          <w:sz w:val="22"/>
        </w:rPr>
        <w:t xml:space="preserve">checked with </w:t>
      </w:r>
      <w:r w:rsidRPr="00BA08FC">
        <w:rPr>
          <w:sz w:val="22"/>
        </w:rPr>
        <w:t xml:space="preserve">those from the Central Bank. </w:t>
      </w:r>
      <w:r w:rsidR="00C50D63" w:rsidRPr="00BA08FC">
        <w:rPr>
          <w:sz w:val="22"/>
        </w:rPr>
        <w:t xml:space="preserve">Audit </w:t>
      </w:r>
      <w:r w:rsidRPr="00BA08FC">
        <w:rPr>
          <w:sz w:val="22"/>
        </w:rPr>
        <w:t>follow-up i</w:t>
      </w:r>
      <w:r w:rsidR="00C50D63" w:rsidRPr="00BA08FC">
        <w:rPr>
          <w:sz w:val="22"/>
        </w:rPr>
        <w:t>nclude</w:t>
      </w:r>
      <w:r w:rsidR="004F5FBA" w:rsidRPr="00BA08FC">
        <w:rPr>
          <w:sz w:val="22"/>
        </w:rPr>
        <w:t xml:space="preserve">s </w:t>
      </w:r>
      <w:r w:rsidRPr="00BA08FC">
        <w:rPr>
          <w:sz w:val="22"/>
        </w:rPr>
        <w:t>f</w:t>
      </w:r>
      <w:r w:rsidR="00C50D63" w:rsidRPr="00BA08FC">
        <w:rPr>
          <w:sz w:val="22"/>
        </w:rPr>
        <w:t>ield visits to establish how much was collected</w:t>
      </w:r>
      <w:r w:rsidR="00DA49C5">
        <w:rPr>
          <w:sz w:val="22"/>
        </w:rPr>
        <w:t xml:space="preserve"> and</w:t>
      </w:r>
      <w:r w:rsidR="00C50D63" w:rsidRPr="00BA08FC">
        <w:rPr>
          <w:sz w:val="22"/>
        </w:rPr>
        <w:t xml:space="preserve"> ensure enforcement and compliance with the existing laws and how to maximi</w:t>
      </w:r>
      <w:r w:rsidR="009D21FC">
        <w:rPr>
          <w:sz w:val="22"/>
        </w:rPr>
        <w:t>z</w:t>
      </w:r>
      <w:r w:rsidR="00C50D63" w:rsidRPr="00BA08FC">
        <w:rPr>
          <w:sz w:val="22"/>
        </w:rPr>
        <w:t xml:space="preserve">e revenue collection. </w:t>
      </w:r>
      <w:r w:rsidR="00646E15" w:rsidRPr="00BA08FC">
        <w:rPr>
          <w:sz w:val="22"/>
        </w:rPr>
        <w:t>Revenue collection performance is also analy</w:t>
      </w:r>
      <w:r w:rsidR="00DA49C5">
        <w:rPr>
          <w:sz w:val="22"/>
        </w:rPr>
        <w:t>z</w:t>
      </w:r>
      <w:r w:rsidR="00646E15" w:rsidRPr="00BA08FC">
        <w:rPr>
          <w:sz w:val="22"/>
        </w:rPr>
        <w:t xml:space="preserve">ed in the quarterly </w:t>
      </w:r>
      <w:r w:rsidR="00DA49C5">
        <w:rPr>
          <w:sz w:val="22"/>
        </w:rPr>
        <w:t>BIRR</w:t>
      </w:r>
      <w:r w:rsidR="00646E15" w:rsidRPr="00BA08FC">
        <w:rPr>
          <w:sz w:val="22"/>
        </w:rPr>
        <w:t>s of the C</w:t>
      </w:r>
      <w:r w:rsidR="00DA49C5">
        <w:rPr>
          <w:sz w:val="22"/>
        </w:rPr>
        <w:t>O</w:t>
      </w:r>
      <w:r w:rsidR="00646E15" w:rsidRPr="00BA08FC">
        <w:rPr>
          <w:sz w:val="22"/>
        </w:rPr>
        <w:t>B.</w:t>
      </w:r>
    </w:p>
    <w:p w14:paraId="68A6B6C5" w14:textId="188EA16E" w:rsidR="00646E15" w:rsidRPr="00BA08FC" w:rsidRDefault="0028503B" w:rsidP="00BA08FC">
      <w:pPr>
        <w:spacing w:after="240"/>
        <w:rPr>
          <w:sz w:val="22"/>
        </w:rPr>
      </w:pPr>
      <w:r w:rsidRPr="00BA08FC">
        <w:rPr>
          <w:sz w:val="22"/>
        </w:rPr>
        <w:t xml:space="preserve">From both the audit and investigations, recommendations are proposed for implementation to improve on the collections, </w:t>
      </w:r>
      <w:r w:rsidR="00646E15" w:rsidRPr="00BA08FC">
        <w:rPr>
          <w:sz w:val="22"/>
        </w:rPr>
        <w:t>and the government provides an audit response report</w:t>
      </w:r>
      <w:r w:rsidRPr="00BA08FC">
        <w:rPr>
          <w:sz w:val="22"/>
        </w:rPr>
        <w:t xml:space="preserve">. </w:t>
      </w:r>
      <w:r w:rsidR="0001675F" w:rsidRPr="00BA08FC">
        <w:rPr>
          <w:sz w:val="22"/>
        </w:rPr>
        <w:t>It was said that t</w:t>
      </w:r>
      <w:r w:rsidR="00C50D63" w:rsidRPr="00BA08FC">
        <w:rPr>
          <w:sz w:val="22"/>
        </w:rPr>
        <w:t>he county has a documented compliance improvement plan and all audits are managed and reported according to the documented compliance improvement plan</w:t>
      </w:r>
      <w:r w:rsidR="0001675F" w:rsidRPr="00BA08FC">
        <w:rPr>
          <w:sz w:val="22"/>
        </w:rPr>
        <w:t xml:space="preserve">, but the evidence was not produced by the County </w:t>
      </w:r>
      <w:r w:rsidR="00DA49C5">
        <w:rPr>
          <w:sz w:val="22"/>
        </w:rPr>
        <w:t>E</w:t>
      </w:r>
      <w:r w:rsidR="0001675F" w:rsidRPr="00BA08FC">
        <w:rPr>
          <w:sz w:val="22"/>
        </w:rPr>
        <w:t>xecutive.</w:t>
      </w:r>
    </w:p>
    <w:p w14:paraId="6E564A1D" w14:textId="77777777" w:rsidR="008A646C" w:rsidRPr="00BA08FC" w:rsidRDefault="00035673" w:rsidP="00BA08FC">
      <w:pPr>
        <w:spacing w:after="240"/>
        <w:rPr>
          <w:sz w:val="22"/>
        </w:rPr>
      </w:pPr>
      <w:r w:rsidRPr="00BA08FC">
        <w:rPr>
          <w:sz w:val="22"/>
        </w:rPr>
        <w:t>In summary, t</w:t>
      </w:r>
      <w:r w:rsidR="00280C4D" w:rsidRPr="00BA08FC">
        <w:rPr>
          <w:sz w:val="22"/>
        </w:rPr>
        <w:t xml:space="preserve">he majority of planned audits and investigations have been completed. However, no evidence that a compliance improvement plan was used has been provided. </w:t>
      </w:r>
    </w:p>
    <w:p w14:paraId="663FE40C" w14:textId="32D3BC9F" w:rsidR="008A646C" w:rsidRPr="00BA08FC" w:rsidRDefault="008A646C" w:rsidP="00BA08FC">
      <w:pPr>
        <w:spacing w:after="240"/>
        <w:ind w:left="360" w:hanging="360"/>
        <w:rPr>
          <w:b/>
          <w:sz w:val="22"/>
        </w:rPr>
      </w:pPr>
      <w:r w:rsidRPr="00BA08FC">
        <w:rPr>
          <w:b/>
          <w:sz w:val="22"/>
        </w:rPr>
        <w:t>Dimension rating = D</w:t>
      </w:r>
    </w:p>
    <w:p w14:paraId="1B21E9E7" w14:textId="77777777" w:rsidR="00C50D63" w:rsidRPr="00890A84" w:rsidRDefault="00867DDD" w:rsidP="00BA6B2B">
      <w:pPr>
        <w:pStyle w:val="Heading5"/>
      </w:pPr>
      <w:r w:rsidRPr="00890A84">
        <w:t>PI-</w:t>
      </w:r>
      <w:r w:rsidR="00C50D63" w:rsidRPr="00890A84">
        <w:t xml:space="preserve">19.4. Revenue arrears monitoring </w:t>
      </w:r>
    </w:p>
    <w:p w14:paraId="48845EB4" w14:textId="7FF7FA6C" w:rsidR="008A646C" w:rsidRPr="00BA08FC" w:rsidRDefault="008133B5" w:rsidP="00BA08FC">
      <w:pPr>
        <w:spacing w:after="240"/>
        <w:rPr>
          <w:sz w:val="22"/>
        </w:rPr>
      </w:pPr>
      <w:r w:rsidRPr="00BA08FC">
        <w:rPr>
          <w:sz w:val="22"/>
        </w:rPr>
        <w:t>The</w:t>
      </w:r>
      <w:r w:rsidR="002D6344" w:rsidRPr="00BA08FC">
        <w:rPr>
          <w:sz w:val="22"/>
        </w:rPr>
        <w:t xml:space="preserve"> county does not keep a </w:t>
      </w:r>
      <w:r w:rsidRPr="00BA08FC">
        <w:rPr>
          <w:sz w:val="22"/>
        </w:rPr>
        <w:t xml:space="preserve">record of </w:t>
      </w:r>
      <w:r w:rsidR="002D6344" w:rsidRPr="00BA08FC">
        <w:rPr>
          <w:sz w:val="22"/>
        </w:rPr>
        <w:t xml:space="preserve">all </w:t>
      </w:r>
      <w:r w:rsidRPr="00BA08FC">
        <w:rPr>
          <w:sz w:val="22"/>
        </w:rPr>
        <w:t>revenue arrears</w:t>
      </w:r>
      <w:r w:rsidR="002D6344" w:rsidRPr="00BA08FC">
        <w:rPr>
          <w:sz w:val="22"/>
        </w:rPr>
        <w:t xml:space="preserve"> except for property</w:t>
      </w:r>
      <w:r w:rsidRPr="00BA08FC">
        <w:rPr>
          <w:sz w:val="22"/>
        </w:rPr>
        <w:t xml:space="preserve"> rates from July 2014 to April 2017. </w:t>
      </w:r>
      <w:r w:rsidR="002D6344" w:rsidRPr="00BA08FC">
        <w:rPr>
          <w:sz w:val="22"/>
        </w:rPr>
        <w:t xml:space="preserve">In </w:t>
      </w:r>
      <w:r w:rsidR="00DA49C5">
        <w:rPr>
          <w:sz w:val="22"/>
        </w:rPr>
        <w:t>such a</w:t>
      </w:r>
      <w:r w:rsidR="00DA49C5" w:rsidRPr="00BA08FC">
        <w:rPr>
          <w:sz w:val="22"/>
        </w:rPr>
        <w:t xml:space="preserve"> </w:t>
      </w:r>
      <w:r w:rsidR="002D6344" w:rsidRPr="00BA08FC">
        <w:rPr>
          <w:sz w:val="22"/>
        </w:rPr>
        <w:t>case</w:t>
      </w:r>
      <w:r w:rsidR="00DA49C5">
        <w:rPr>
          <w:sz w:val="22"/>
        </w:rPr>
        <w:t>,</w:t>
      </w:r>
      <w:r w:rsidR="002D6344" w:rsidRPr="00BA08FC">
        <w:rPr>
          <w:sz w:val="22"/>
        </w:rPr>
        <w:t xml:space="preserve"> </w:t>
      </w:r>
      <w:r w:rsidR="00A010D9">
        <w:rPr>
          <w:sz w:val="22"/>
        </w:rPr>
        <w:t>the extent o</w:t>
      </w:r>
      <w:r w:rsidR="002D6344" w:rsidRPr="00BA08FC">
        <w:rPr>
          <w:sz w:val="22"/>
        </w:rPr>
        <w:t xml:space="preserve">f the arrears </w:t>
      </w:r>
      <w:r w:rsidRPr="00BA08FC">
        <w:rPr>
          <w:sz w:val="22"/>
        </w:rPr>
        <w:t xml:space="preserve">cannot </w:t>
      </w:r>
      <w:r w:rsidR="002D6344" w:rsidRPr="00BA08FC">
        <w:rPr>
          <w:sz w:val="22"/>
        </w:rPr>
        <w:t>be ascertained</w:t>
      </w:r>
      <w:r w:rsidRPr="00BA08FC">
        <w:rPr>
          <w:sz w:val="22"/>
        </w:rPr>
        <w:t xml:space="preserve">. </w:t>
      </w:r>
      <w:r w:rsidR="002D6344" w:rsidRPr="00BA08FC">
        <w:rPr>
          <w:sz w:val="22"/>
        </w:rPr>
        <w:t>Besides, the</w:t>
      </w:r>
      <w:r w:rsidRPr="00BA08FC">
        <w:rPr>
          <w:sz w:val="22"/>
        </w:rPr>
        <w:t xml:space="preserve"> list of debtors</w:t>
      </w:r>
      <w:r w:rsidR="002D6344" w:rsidRPr="00BA08FC">
        <w:rPr>
          <w:sz w:val="22"/>
        </w:rPr>
        <w:t xml:space="preserve"> in some sub</w:t>
      </w:r>
      <w:r w:rsidR="00A010D9">
        <w:rPr>
          <w:sz w:val="22"/>
        </w:rPr>
        <w:t xml:space="preserve"> </w:t>
      </w:r>
      <w:r w:rsidR="002D6344" w:rsidRPr="00BA08FC">
        <w:rPr>
          <w:sz w:val="22"/>
        </w:rPr>
        <w:t xml:space="preserve">counties </w:t>
      </w:r>
      <w:r w:rsidR="000C5AAB" w:rsidRPr="00BA08FC">
        <w:rPr>
          <w:sz w:val="22"/>
        </w:rPr>
        <w:t>has not</w:t>
      </w:r>
      <w:r w:rsidR="002D6344" w:rsidRPr="00BA08FC">
        <w:rPr>
          <w:sz w:val="22"/>
        </w:rPr>
        <w:t xml:space="preserve"> be</w:t>
      </w:r>
      <w:r w:rsidR="000C5AAB" w:rsidRPr="00BA08FC">
        <w:rPr>
          <w:sz w:val="22"/>
        </w:rPr>
        <w:t>en</w:t>
      </w:r>
      <w:r w:rsidR="002D6344" w:rsidRPr="00BA08FC">
        <w:rPr>
          <w:sz w:val="22"/>
        </w:rPr>
        <w:t xml:space="preserve"> reconciled</w:t>
      </w:r>
      <w:r w:rsidR="000C5AAB" w:rsidRPr="00BA08FC">
        <w:rPr>
          <w:sz w:val="22"/>
        </w:rPr>
        <w:t xml:space="preserve"> with</w:t>
      </w:r>
      <w:r w:rsidRPr="00BA08FC">
        <w:rPr>
          <w:sz w:val="22"/>
        </w:rPr>
        <w:t xml:space="preserve"> </w:t>
      </w:r>
      <w:r w:rsidR="005578EE">
        <w:rPr>
          <w:sz w:val="22"/>
        </w:rPr>
        <w:t xml:space="preserve">the list </w:t>
      </w:r>
      <w:r w:rsidRPr="00BA08FC">
        <w:rPr>
          <w:sz w:val="22"/>
        </w:rPr>
        <w:t xml:space="preserve">at the county headquarters. </w:t>
      </w:r>
    </w:p>
    <w:p w14:paraId="78434A40" w14:textId="674EF931" w:rsidR="008A646C" w:rsidRPr="00BA08FC" w:rsidRDefault="008A646C" w:rsidP="00BA08FC">
      <w:pPr>
        <w:spacing w:after="240"/>
        <w:ind w:left="360" w:hanging="360"/>
        <w:rPr>
          <w:b/>
          <w:sz w:val="22"/>
        </w:rPr>
      </w:pPr>
      <w:r w:rsidRPr="00BA08FC">
        <w:rPr>
          <w:b/>
          <w:sz w:val="22"/>
        </w:rPr>
        <w:t>Dimension rating = D</w:t>
      </w:r>
    </w:p>
    <w:p w14:paraId="7F32988F" w14:textId="77777777" w:rsidR="00BB1084" w:rsidRPr="00890A84" w:rsidRDefault="00BB1084" w:rsidP="00590C8E">
      <w:pPr>
        <w:pStyle w:val="Heading4"/>
      </w:pPr>
      <w:r w:rsidRPr="00890A84">
        <w:t>PI-20. Accounting for revenue</w:t>
      </w:r>
    </w:p>
    <w:p w14:paraId="0630F55C" w14:textId="77777777" w:rsidR="003E5B0C" w:rsidRPr="00890A84" w:rsidRDefault="003E5B0C" w:rsidP="00BA6B2B">
      <w:pPr>
        <w:pStyle w:val="Heading5"/>
      </w:pPr>
      <w:r>
        <w:t>Summary of scores and performance table</w:t>
      </w:r>
    </w:p>
    <w:tbl>
      <w:tblPr>
        <w:tblW w:w="4944"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20" w:firstRow="1" w:lastRow="0" w:firstColumn="0" w:lastColumn="0" w:noHBand="1" w:noVBand="1"/>
      </w:tblPr>
      <w:tblGrid>
        <w:gridCol w:w="2723"/>
        <w:gridCol w:w="529"/>
        <w:gridCol w:w="5993"/>
      </w:tblGrid>
      <w:tr w:rsidR="003E5B0C" w:rsidRPr="00BA08FC" w14:paraId="7E0D4F35" w14:textId="77777777" w:rsidTr="00F3119B">
        <w:tc>
          <w:tcPr>
            <w:tcW w:w="1473" w:type="pct"/>
            <w:shd w:val="clear" w:color="auto" w:fill="5B9BD5"/>
          </w:tcPr>
          <w:p w14:paraId="1F416B78" w14:textId="216CED5F" w:rsidR="003E5B0C" w:rsidRPr="00BA08FC" w:rsidRDefault="003E5B0C" w:rsidP="00F3119B">
            <w:pPr>
              <w:jc w:val="center"/>
              <w:rPr>
                <w:b/>
                <w:color w:val="FFFFFF" w:themeColor="background1"/>
                <w:sz w:val="20"/>
                <w:szCs w:val="20"/>
              </w:rPr>
            </w:pPr>
            <w:r w:rsidRPr="00BA08FC">
              <w:rPr>
                <w:b/>
                <w:color w:val="FFFFFF" w:themeColor="background1"/>
                <w:sz w:val="20"/>
                <w:szCs w:val="20"/>
              </w:rPr>
              <w:t>PI-20</w:t>
            </w:r>
            <w:r w:rsidR="005578EE">
              <w:rPr>
                <w:b/>
                <w:color w:val="FFFFFF" w:themeColor="background1"/>
                <w:sz w:val="20"/>
                <w:szCs w:val="20"/>
              </w:rPr>
              <w:t>.</w:t>
            </w:r>
            <w:r w:rsidRPr="00BA08FC">
              <w:rPr>
                <w:b/>
                <w:color w:val="FFFFFF" w:themeColor="background1"/>
                <w:sz w:val="20"/>
                <w:szCs w:val="20"/>
              </w:rPr>
              <w:t xml:space="preserve"> Accounting for revenue (M1)</w:t>
            </w:r>
          </w:p>
        </w:tc>
        <w:tc>
          <w:tcPr>
            <w:tcW w:w="286" w:type="pct"/>
            <w:shd w:val="clear" w:color="auto" w:fill="5B9BD5"/>
          </w:tcPr>
          <w:p w14:paraId="2BC4920B" w14:textId="77777777" w:rsidR="003E5B0C" w:rsidRPr="00BA08FC" w:rsidRDefault="003E5B0C" w:rsidP="005578EE">
            <w:pPr>
              <w:jc w:val="center"/>
              <w:rPr>
                <w:b/>
                <w:color w:val="FFFFFF" w:themeColor="background1"/>
                <w:sz w:val="20"/>
                <w:szCs w:val="20"/>
              </w:rPr>
            </w:pPr>
            <w:r w:rsidRPr="00BA08FC">
              <w:rPr>
                <w:b/>
                <w:color w:val="FFFFFF" w:themeColor="background1"/>
                <w:sz w:val="20"/>
                <w:szCs w:val="20"/>
              </w:rPr>
              <w:t>D+</w:t>
            </w:r>
          </w:p>
        </w:tc>
        <w:tc>
          <w:tcPr>
            <w:tcW w:w="3242" w:type="pct"/>
            <w:shd w:val="clear" w:color="auto" w:fill="5B9BD5"/>
          </w:tcPr>
          <w:p w14:paraId="2F23735C" w14:textId="77777777" w:rsidR="003E5B0C" w:rsidRPr="00BA08FC" w:rsidRDefault="003E5B0C" w:rsidP="00F3119B">
            <w:pPr>
              <w:jc w:val="center"/>
              <w:rPr>
                <w:b/>
                <w:color w:val="FFFFFF" w:themeColor="background1"/>
                <w:sz w:val="20"/>
                <w:szCs w:val="20"/>
              </w:rPr>
            </w:pPr>
            <w:r w:rsidRPr="00BA08FC">
              <w:rPr>
                <w:b/>
                <w:color w:val="FFFFFF" w:themeColor="background1"/>
                <w:sz w:val="20"/>
                <w:szCs w:val="20"/>
              </w:rPr>
              <w:t>Brief justification for score</w:t>
            </w:r>
          </w:p>
        </w:tc>
      </w:tr>
      <w:tr w:rsidR="003E5B0C" w:rsidRPr="00BA08FC" w14:paraId="365FBA15" w14:textId="77777777" w:rsidTr="00F3119B">
        <w:tc>
          <w:tcPr>
            <w:tcW w:w="1473" w:type="pct"/>
            <w:shd w:val="clear" w:color="auto" w:fill="auto"/>
          </w:tcPr>
          <w:p w14:paraId="5FA4ACB2" w14:textId="77777777" w:rsidR="003E5B0C" w:rsidRPr="00BA08FC" w:rsidRDefault="003E5B0C" w:rsidP="00F3119B">
            <w:pPr>
              <w:jc w:val="left"/>
              <w:rPr>
                <w:sz w:val="20"/>
                <w:szCs w:val="20"/>
              </w:rPr>
            </w:pPr>
            <w:r w:rsidRPr="00BA08FC">
              <w:rPr>
                <w:sz w:val="20"/>
                <w:szCs w:val="20"/>
              </w:rPr>
              <w:t xml:space="preserve">20.1 Information on revenue collections </w:t>
            </w:r>
          </w:p>
        </w:tc>
        <w:tc>
          <w:tcPr>
            <w:tcW w:w="286" w:type="pct"/>
            <w:shd w:val="clear" w:color="auto" w:fill="auto"/>
          </w:tcPr>
          <w:p w14:paraId="4B822006" w14:textId="77777777" w:rsidR="003E5B0C" w:rsidRPr="00BA08FC" w:rsidRDefault="003E5B0C" w:rsidP="005578EE">
            <w:pPr>
              <w:jc w:val="center"/>
              <w:rPr>
                <w:sz w:val="20"/>
                <w:szCs w:val="20"/>
              </w:rPr>
            </w:pPr>
            <w:r w:rsidRPr="00BA08FC">
              <w:rPr>
                <w:sz w:val="20"/>
                <w:szCs w:val="20"/>
              </w:rPr>
              <w:t>A</w:t>
            </w:r>
          </w:p>
        </w:tc>
        <w:tc>
          <w:tcPr>
            <w:tcW w:w="3242" w:type="pct"/>
            <w:shd w:val="clear" w:color="auto" w:fill="auto"/>
          </w:tcPr>
          <w:p w14:paraId="5A136D94" w14:textId="06A3B661" w:rsidR="003E5B0C" w:rsidRPr="00BA08FC" w:rsidRDefault="003E5B0C" w:rsidP="00F3119B">
            <w:pPr>
              <w:jc w:val="left"/>
              <w:rPr>
                <w:sz w:val="20"/>
                <w:szCs w:val="20"/>
              </w:rPr>
            </w:pPr>
            <w:r w:rsidRPr="00BA08FC">
              <w:rPr>
                <w:sz w:val="20"/>
                <w:szCs w:val="20"/>
              </w:rPr>
              <w:t>The county consolidates the revenue data into</w:t>
            </w:r>
            <w:r w:rsidR="007A393A" w:rsidRPr="00BA08FC">
              <w:rPr>
                <w:sz w:val="20"/>
                <w:szCs w:val="20"/>
              </w:rPr>
              <w:t xml:space="preserve"> quarterly and annual </w:t>
            </w:r>
            <w:r w:rsidRPr="00BA08FC">
              <w:rPr>
                <w:sz w:val="20"/>
                <w:szCs w:val="20"/>
              </w:rPr>
              <w:t>reports. Data is presented by type of revenue in the quarterly BIR</w:t>
            </w:r>
            <w:r w:rsidR="005578EE">
              <w:rPr>
                <w:sz w:val="20"/>
                <w:szCs w:val="20"/>
              </w:rPr>
              <w:t>R</w:t>
            </w:r>
            <w:r w:rsidRPr="00BA08FC">
              <w:rPr>
                <w:sz w:val="20"/>
                <w:szCs w:val="20"/>
              </w:rPr>
              <w:t xml:space="preserve">s. </w:t>
            </w:r>
          </w:p>
        </w:tc>
      </w:tr>
      <w:tr w:rsidR="003E5B0C" w:rsidRPr="00BA08FC" w14:paraId="3482D3B3" w14:textId="77777777" w:rsidTr="00F3119B">
        <w:tc>
          <w:tcPr>
            <w:tcW w:w="1473" w:type="pct"/>
            <w:shd w:val="clear" w:color="auto" w:fill="auto"/>
          </w:tcPr>
          <w:p w14:paraId="11728003" w14:textId="77777777" w:rsidR="003E5B0C" w:rsidRPr="00BA08FC" w:rsidRDefault="003E5B0C" w:rsidP="00F3119B">
            <w:pPr>
              <w:jc w:val="left"/>
              <w:rPr>
                <w:sz w:val="20"/>
                <w:szCs w:val="20"/>
              </w:rPr>
            </w:pPr>
            <w:r w:rsidRPr="00BA08FC">
              <w:rPr>
                <w:sz w:val="20"/>
                <w:szCs w:val="20"/>
              </w:rPr>
              <w:t xml:space="preserve">20.2 Transfer of revenue collections </w:t>
            </w:r>
          </w:p>
        </w:tc>
        <w:tc>
          <w:tcPr>
            <w:tcW w:w="286" w:type="pct"/>
            <w:shd w:val="clear" w:color="auto" w:fill="auto"/>
          </w:tcPr>
          <w:p w14:paraId="70A5B865" w14:textId="77777777" w:rsidR="003E5B0C" w:rsidRPr="00BA08FC" w:rsidRDefault="003E5B0C" w:rsidP="005578EE">
            <w:pPr>
              <w:jc w:val="center"/>
              <w:rPr>
                <w:sz w:val="20"/>
                <w:szCs w:val="20"/>
              </w:rPr>
            </w:pPr>
            <w:r w:rsidRPr="00BA08FC">
              <w:rPr>
                <w:sz w:val="20"/>
                <w:szCs w:val="20"/>
              </w:rPr>
              <w:t>B</w:t>
            </w:r>
          </w:p>
        </w:tc>
        <w:tc>
          <w:tcPr>
            <w:tcW w:w="3242" w:type="pct"/>
            <w:shd w:val="clear" w:color="auto" w:fill="auto"/>
          </w:tcPr>
          <w:p w14:paraId="209FFB92" w14:textId="3F42EC00" w:rsidR="003E5B0C" w:rsidRPr="00BA08FC" w:rsidRDefault="003E5B0C" w:rsidP="00F3119B">
            <w:pPr>
              <w:jc w:val="left"/>
              <w:rPr>
                <w:sz w:val="20"/>
                <w:szCs w:val="20"/>
              </w:rPr>
            </w:pPr>
            <w:r w:rsidRPr="00BA08FC">
              <w:rPr>
                <w:sz w:val="20"/>
                <w:szCs w:val="20"/>
              </w:rPr>
              <w:t xml:space="preserve">The revenue collectors deposit the revenue collection accounts held at the Kenya Commercial Bank </w:t>
            </w:r>
            <w:r w:rsidR="005578EE">
              <w:rPr>
                <w:sz w:val="20"/>
                <w:szCs w:val="20"/>
              </w:rPr>
              <w:t xml:space="preserve">(KCB) </w:t>
            </w:r>
            <w:r w:rsidRPr="00BA08FC">
              <w:rPr>
                <w:sz w:val="20"/>
                <w:szCs w:val="20"/>
              </w:rPr>
              <w:t xml:space="preserve">weekly. </w:t>
            </w:r>
          </w:p>
        </w:tc>
      </w:tr>
      <w:tr w:rsidR="003E5B0C" w:rsidRPr="00BA08FC" w14:paraId="45F5C12B" w14:textId="77777777" w:rsidTr="00F3119B">
        <w:tc>
          <w:tcPr>
            <w:tcW w:w="1473" w:type="pct"/>
            <w:shd w:val="clear" w:color="auto" w:fill="auto"/>
          </w:tcPr>
          <w:p w14:paraId="1A0054B1" w14:textId="77777777" w:rsidR="003E5B0C" w:rsidRPr="00BA08FC" w:rsidRDefault="003E5B0C" w:rsidP="00F3119B">
            <w:pPr>
              <w:jc w:val="left"/>
              <w:rPr>
                <w:sz w:val="20"/>
                <w:szCs w:val="20"/>
              </w:rPr>
            </w:pPr>
            <w:r w:rsidRPr="00BA08FC">
              <w:rPr>
                <w:sz w:val="20"/>
                <w:szCs w:val="20"/>
              </w:rPr>
              <w:t xml:space="preserve">20.3 Revenue accounts reconciliation </w:t>
            </w:r>
          </w:p>
        </w:tc>
        <w:tc>
          <w:tcPr>
            <w:tcW w:w="286" w:type="pct"/>
            <w:shd w:val="clear" w:color="auto" w:fill="auto"/>
          </w:tcPr>
          <w:p w14:paraId="19BDDBE6" w14:textId="77777777" w:rsidR="003E5B0C" w:rsidRPr="00BA08FC" w:rsidRDefault="003E5B0C" w:rsidP="005578EE">
            <w:pPr>
              <w:jc w:val="center"/>
              <w:rPr>
                <w:sz w:val="20"/>
                <w:szCs w:val="20"/>
              </w:rPr>
            </w:pPr>
            <w:r w:rsidRPr="00BA08FC">
              <w:rPr>
                <w:sz w:val="20"/>
                <w:szCs w:val="20"/>
              </w:rPr>
              <w:t>D</w:t>
            </w:r>
          </w:p>
        </w:tc>
        <w:tc>
          <w:tcPr>
            <w:tcW w:w="3242" w:type="pct"/>
            <w:shd w:val="clear" w:color="auto" w:fill="auto"/>
          </w:tcPr>
          <w:p w14:paraId="23A9D8FA" w14:textId="1FD3F3E5" w:rsidR="003E5B0C" w:rsidRPr="00BA08FC" w:rsidRDefault="003E5B0C" w:rsidP="00F3119B">
            <w:pPr>
              <w:jc w:val="left"/>
              <w:rPr>
                <w:sz w:val="20"/>
                <w:szCs w:val="20"/>
              </w:rPr>
            </w:pPr>
            <w:r w:rsidRPr="00BA08FC">
              <w:rPr>
                <w:sz w:val="20"/>
                <w:szCs w:val="20"/>
              </w:rPr>
              <w:t>There is no complete reconciliation of assessments, collections, arrears</w:t>
            </w:r>
            <w:r w:rsidR="005578EE">
              <w:rPr>
                <w:sz w:val="20"/>
                <w:szCs w:val="20"/>
              </w:rPr>
              <w:t>,</w:t>
            </w:r>
            <w:r w:rsidRPr="00BA08FC">
              <w:rPr>
                <w:sz w:val="20"/>
                <w:szCs w:val="20"/>
              </w:rPr>
              <w:t xml:space="preserve"> and transfers. </w:t>
            </w:r>
          </w:p>
        </w:tc>
      </w:tr>
    </w:tbl>
    <w:p w14:paraId="3455926E" w14:textId="77777777" w:rsidR="005A0954" w:rsidRPr="003E5B0C" w:rsidRDefault="00867DDD" w:rsidP="00BA6B2B">
      <w:pPr>
        <w:pStyle w:val="Heading5"/>
        <w:rPr>
          <w:lang w:val="fr-FR"/>
        </w:rPr>
      </w:pPr>
      <w:r w:rsidRPr="003E5B0C">
        <w:rPr>
          <w:lang w:val="fr-FR"/>
        </w:rPr>
        <w:t>PI-</w:t>
      </w:r>
      <w:r w:rsidR="005A0954" w:rsidRPr="003E5B0C">
        <w:rPr>
          <w:lang w:val="fr-FR"/>
        </w:rPr>
        <w:t xml:space="preserve">20.1. Information on revenue collections </w:t>
      </w:r>
    </w:p>
    <w:p w14:paraId="16DD420F" w14:textId="519850BF" w:rsidR="002277B6" w:rsidRPr="00F3119B" w:rsidRDefault="002277B6" w:rsidP="00F3119B">
      <w:pPr>
        <w:spacing w:after="240"/>
        <w:rPr>
          <w:w w:val="103"/>
          <w:sz w:val="22"/>
        </w:rPr>
      </w:pPr>
      <w:bookmarkStart w:id="97" w:name="_Hlk526598423"/>
      <w:r w:rsidRPr="00F3119B">
        <w:rPr>
          <w:w w:val="103"/>
          <w:sz w:val="22"/>
        </w:rPr>
        <w:t xml:space="preserve">The </w:t>
      </w:r>
      <w:r w:rsidR="005578EE">
        <w:rPr>
          <w:w w:val="103"/>
          <w:sz w:val="22"/>
        </w:rPr>
        <w:t>c</w:t>
      </w:r>
      <w:r w:rsidRPr="00F3119B">
        <w:rPr>
          <w:w w:val="103"/>
          <w:sz w:val="22"/>
        </w:rPr>
        <w:t xml:space="preserve">ounty uses LAIFOMS to collect some of the revenue. </w:t>
      </w:r>
      <w:bookmarkEnd w:id="97"/>
      <w:r w:rsidR="005578EE">
        <w:rPr>
          <w:w w:val="103"/>
          <w:sz w:val="22"/>
        </w:rPr>
        <w:t xml:space="preserve">The </w:t>
      </w:r>
      <w:r w:rsidRPr="00F3119B">
        <w:rPr>
          <w:w w:val="103"/>
          <w:sz w:val="22"/>
        </w:rPr>
        <w:t xml:space="preserve">IFMIS </w:t>
      </w:r>
      <w:r w:rsidR="00F77FEA" w:rsidRPr="00F3119B">
        <w:rPr>
          <w:w w:val="103"/>
          <w:sz w:val="22"/>
        </w:rPr>
        <w:t xml:space="preserve">is </w:t>
      </w:r>
      <w:r w:rsidRPr="00F3119B">
        <w:rPr>
          <w:w w:val="103"/>
          <w:sz w:val="22"/>
        </w:rPr>
        <w:t>being upgraded to</w:t>
      </w:r>
      <w:r w:rsidR="00590C8E" w:rsidRPr="00F3119B">
        <w:rPr>
          <w:w w:val="103"/>
          <w:sz w:val="22"/>
        </w:rPr>
        <w:t xml:space="preserve"> </w:t>
      </w:r>
      <w:r w:rsidRPr="00F3119B">
        <w:rPr>
          <w:w w:val="103"/>
          <w:sz w:val="22"/>
        </w:rPr>
        <w:t xml:space="preserve">have revenue - expenditure integrated systems. </w:t>
      </w:r>
    </w:p>
    <w:p w14:paraId="03A8D0FC" w14:textId="23A67988" w:rsidR="003956D5" w:rsidRPr="00A010D9" w:rsidRDefault="000C5AAB" w:rsidP="00F3119B">
      <w:pPr>
        <w:spacing w:after="240"/>
        <w:rPr>
          <w:w w:val="103"/>
          <w:sz w:val="22"/>
        </w:rPr>
      </w:pPr>
      <w:r w:rsidRPr="00F3119B">
        <w:rPr>
          <w:w w:val="103"/>
          <w:sz w:val="22"/>
        </w:rPr>
        <w:t>The County R</w:t>
      </w:r>
      <w:r w:rsidR="00F93520" w:rsidRPr="00F3119B">
        <w:rPr>
          <w:w w:val="103"/>
          <w:sz w:val="22"/>
        </w:rPr>
        <w:t>evenue Administration Act, 2016</w:t>
      </w:r>
      <w:r w:rsidR="005578EE">
        <w:rPr>
          <w:w w:val="103"/>
          <w:sz w:val="22"/>
        </w:rPr>
        <w:t>,</w:t>
      </w:r>
      <w:r w:rsidR="00F93520" w:rsidRPr="00F3119B">
        <w:rPr>
          <w:w w:val="103"/>
          <w:sz w:val="22"/>
        </w:rPr>
        <w:t xml:space="preserve"> outlines the procedures for revenue reports and stipulates that the receiver of revenues must give quarterly reports to the sectoral committee</w:t>
      </w:r>
      <w:r w:rsidRPr="00F3119B">
        <w:rPr>
          <w:w w:val="103"/>
          <w:sz w:val="22"/>
        </w:rPr>
        <w:t xml:space="preserve">s. In addition, </w:t>
      </w:r>
      <w:r w:rsidR="00F93520" w:rsidRPr="00F3119B">
        <w:rPr>
          <w:w w:val="103"/>
          <w:sz w:val="22"/>
        </w:rPr>
        <w:t xml:space="preserve">annual </w:t>
      </w:r>
      <w:r w:rsidRPr="00F3119B">
        <w:rPr>
          <w:w w:val="103"/>
          <w:sz w:val="22"/>
        </w:rPr>
        <w:t xml:space="preserve">revenue </w:t>
      </w:r>
      <w:r w:rsidR="00F93520" w:rsidRPr="00F3119B">
        <w:rPr>
          <w:w w:val="103"/>
          <w:sz w:val="22"/>
        </w:rPr>
        <w:t xml:space="preserve">reports </w:t>
      </w:r>
      <w:r w:rsidRPr="00F3119B">
        <w:rPr>
          <w:w w:val="103"/>
          <w:sz w:val="22"/>
        </w:rPr>
        <w:t xml:space="preserve">should be </w:t>
      </w:r>
      <w:r w:rsidR="00F93520" w:rsidRPr="00F3119B">
        <w:rPr>
          <w:w w:val="103"/>
          <w:sz w:val="22"/>
        </w:rPr>
        <w:t xml:space="preserve">given to the </w:t>
      </w:r>
      <w:r w:rsidRPr="00F3119B">
        <w:rPr>
          <w:w w:val="103"/>
          <w:sz w:val="22"/>
        </w:rPr>
        <w:t>County Executive C</w:t>
      </w:r>
      <w:r w:rsidR="00F93520" w:rsidRPr="00F3119B">
        <w:rPr>
          <w:w w:val="103"/>
          <w:sz w:val="22"/>
        </w:rPr>
        <w:t xml:space="preserve">ommittee member responsible </w:t>
      </w:r>
      <w:r w:rsidR="005578EE">
        <w:rPr>
          <w:w w:val="103"/>
          <w:sz w:val="22"/>
        </w:rPr>
        <w:t>for</w:t>
      </w:r>
      <w:r w:rsidR="005578EE" w:rsidRPr="00F3119B">
        <w:rPr>
          <w:w w:val="103"/>
          <w:sz w:val="22"/>
        </w:rPr>
        <w:t xml:space="preserve"> </w:t>
      </w:r>
      <w:r w:rsidRPr="00F3119B">
        <w:rPr>
          <w:w w:val="103"/>
          <w:sz w:val="22"/>
        </w:rPr>
        <w:t>f</w:t>
      </w:r>
      <w:r w:rsidR="00F93520" w:rsidRPr="00F3119B">
        <w:rPr>
          <w:w w:val="103"/>
          <w:sz w:val="22"/>
        </w:rPr>
        <w:t xml:space="preserve">inance within 90 days after the end of the </w:t>
      </w:r>
      <w:r w:rsidR="005578EE">
        <w:rPr>
          <w:w w:val="103"/>
          <w:sz w:val="22"/>
        </w:rPr>
        <w:t>FY</w:t>
      </w:r>
      <w:r w:rsidR="00F93520" w:rsidRPr="00F3119B">
        <w:rPr>
          <w:w w:val="103"/>
          <w:sz w:val="22"/>
        </w:rPr>
        <w:t xml:space="preserve">. According to </w:t>
      </w:r>
      <w:r w:rsidRPr="00F3119B">
        <w:rPr>
          <w:w w:val="103"/>
          <w:sz w:val="22"/>
        </w:rPr>
        <w:t xml:space="preserve">this </w:t>
      </w:r>
      <w:r w:rsidR="005578EE">
        <w:rPr>
          <w:w w:val="103"/>
          <w:sz w:val="22"/>
        </w:rPr>
        <w:t>a</w:t>
      </w:r>
      <w:r w:rsidR="00F93520" w:rsidRPr="00F3119B">
        <w:rPr>
          <w:w w:val="103"/>
          <w:sz w:val="22"/>
        </w:rPr>
        <w:t>ct, there is an estab</w:t>
      </w:r>
      <w:r w:rsidRPr="00F3119B">
        <w:rPr>
          <w:w w:val="103"/>
          <w:sz w:val="22"/>
        </w:rPr>
        <w:t>lished revenue register which should be</w:t>
      </w:r>
      <w:r w:rsidR="00F93520" w:rsidRPr="00F3119B">
        <w:rPr>
          <w:w w:val="103"/>
          <w:sz w:val="22"/>
        </w:rPr>
        <w:t xml:space="preserve"> maintained by the </w:t>
      </w:r>
      <w:r w:rsidRPr="00F3119B">
        <w:rPr>
          <w:w w:val="103"/>
          <w:sz w:val="22"/>
        </w:rPr>
        <w:t>Director of R</w:t>
      </w:r>
      <w:r w:rsidR="00F93520" w:rsidRPr="00F3119B">
        <w:rPr>
          <w:w w:val="103"/>
          <w:sz w:val="22"/>
        </w:rPr>
        <w:t>evenue</w:t>
      </w:r>
      <w:r w:rsidRPr="00F3119B">
        <w:rPr>
          <w:w w:val="103"/>
          <w:sz w:val="22"/>
        </w:rPr>
        <w:t xml:space="preserve"> on behalf of the County Treasury</w:t>
      </w:r>
      <w:r w:rsidR="00F93520" w:rsidRPr="00F3119B">
        <w:rPr>
          <w:w w:val="103"/>
          <w:sz w:val="22"/>
        </w:rPr>
        <w:t>. The county has also establi</w:t>
      </w:r>
      <w:r w:rsidR="008B449C" w:rsidRPr="00F3119B">
        <w:rPr>
          <w:w w:val="103"/>
          <w:sz w:val="22"/>
        </w:rPr>
        <w:t xml:space="preserve">shed the </w:t>
      </w:r>
      <w:r w:rsidR="005578EE">
        <w:rPr>
          <w:w w:val="103"/>
          <w:sz w:val="22"/>
        </w:rPr>
        <w:t>R</w:t>
      </w:r>
      <w:r w:rsidR="008B449C" w:rsidRPr="00F3119B">
        <w:rPr>
          <w:w w:val="103"/>
          <w:sz w:val="22"/>
        </w:rPr>
        <w:t xml:space="preserve">evenue </w:t>
      </w:r>
      <w:r w:rsidR="005578EE">
        <w:rPr>
          <w:w w:val="103"/>
          <w:sz w:val="22"/>
        </w:rPr>
        <w:t>U</w:t>
      </w:r>
      <w:r w:rsidR="008B449C" w:rsidRPr="00F3119B">
        <w:rPr>
          <w:w w:val="103"/>
          <w:sz w:val="22"/>
        </w:rPr>
        <w:t>nit with two D</w:t>
      </w:r>
      <w:r w:rsidR="00F93520" w:rsidRPr="00F3119B">
        <w:rPr>
          <w:w w:val="103"/>
          <w:sz w:val="22"/>
        </w:rPr>
        <w:t xml:space="preserve">irectors in charge of </w:t>
      </w:r>
      <w:r w:rsidR="008B449C" w:rsidRPr="00F3119B">
        <w:rPr>
          <w:w w:val="103"/>
          <w:sz w:val="22"/>
        </w:rPr>
        <w:t xml:space="preserve">managing revenue in </w:t>
      </w:r>
      <w:r w:rsidR="00F93520" w:rsidRPr="00F3119B">
        <w:rPr>
          <w:w w:val="103"/>
          <w:sz w:val="22"/>
        </w:rPr>
        <w:t xml:space="preserve">different </w:t>
      </w:r>
      <w:r w:rsidR="008B449C" w:rsidRPr="00F3119B">
        <w:rPr>
          <w:w w:val="103"/>
          <w:sz w:val="22"/>
        </w:rPr>
        <w:t>regions.</w:t>
      </w:r>
      <w:r w:rsidR="00A010D9">
        <w:rPr>
          <w:w w:val="103"/>
          <w:sz w:val="22"/>
        </w:rPr>
        <w:t xml:space="preserve"> </w:t>
      </w:r>
      <w:r w:rsidR="005F41BD" w:rsidRPr="00F3119B">
        <w:rPr>
          <w:w w:val="103"/>
          <w:sz w:val="22"/>
        </w:rPr>
        <w:t>Data is broken down by type of revenue and consolidated into the quarterly BIR</w:t>
      </w:r>
      <w:r w:rsidR="005578EE">
        <w:rPr>
          <w:w w:val="103"/>
          <w:sz w:val="22"/>
        </w:rPr>
        <w:t>R</w:t>
      </w:r>
      <w:r w:rsidR="005F41BD" w:rsidRPr="00F3119B">
        <w:rPr>
          <w:w w:val="103"/>
          <w:sz w:val="22"/>
        </w:rPr>
        <w:t xml:space="preserve">s. </w:t>
      </w:r>
    </w:p>
    <w:p w14:paraId="17F3C41A" w14:textId="0C2C29A8" w:rsidR="003956D5" w:rsidRDefault="003956D5" w:rsidP="00F3119B">
      <w:pPr>
        <w:pStyle w:val="TableStyle"/>
        <w:rPr>
          <w:w w:val="103"/>
        </w:rPr>
      </w:pPr>
      <w:bookmarkStart w:id="98" w:name="_Toc532426102"/>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15</w:t>
      </w:r>
      <w:r w:rsidR="008B59A7">
        <w:rPr>
          <w:noProof/>
        </w:rPr>
        <w:fldChar w:fldCharType="end"/>
      </w:r>
      <w:r>
        <w:t xml:space="preserve">: Annual </w:t>
      </w:r>
      <w:r w:rsidR="009F753A">
        <w:t>revenue</w:t>
      </w:r>
      <w:r>
        <w:t xml:space="preserve"> collection streams for FY2014/15 and 2015/16 </w:t>
      </w:r>
      <w:r w:rsidR="005578EE">
        <w:t>(</w:t>
      </w:r>
      <w:r w:rsidR="00E73ED7">
        <w:t>Ksh</w:t>
      </w:r>
      <w:r w:rsidR="005578EE">
        <w:t>)</w:t>
      </w:r>
      <w:bookmarkEnd w:id="98"/>
    </w:p>
    <w:tbl>
      <w:tblPr>
        <w:tblStyle w:val="table-style-blauw-070-none"/>
        <w:tblW w:w="880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940"/>
        <w:gridCol w:w="1723"/>
        <w:gridCol w:w="2142"/>
      </w:tblGrid>
      <w:tr w:rsidR="009F753A" w:rsidRPr="00F3119B" w14:paraId="3008D1A6" w14:textId="77777777" w:rsidTr="00F3119B">
        <w:trPr>
          <w:cnfStyle w:val="100000000000" w:firstRow="1" w:lastRow="0" w:firstColumn="0" w:lastColumn="0" w:oddVBand="0" w:evenVBand="0" w:oddHBand="0" w:evenHBand="0" w:firstRowFirstColumn="0" w:firstRowLastColumn="0" w:lastRowFirstColumn="0" w:lastRowLastColumn="0"/>
          <w:trHeight w:val="300"/>
          <w:tblHeader/>
        </w:trPr>
        <w:tc>
          <w:tcPr>
            <w:tcW w:w="494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90DBBF5" w14:textId="72CAD5D6" w:rsidR="003956D5" w:rsidRPr="00F3119B" w:rsidRDefault="003956D5" w:rsidP="00F3119B">
            <w:pPr>
              <w:jc w:val="center"/>
              <w:rPr>
                <w:rFonts w:asciiTheme="minorHAnsi" w:hAnsiTheme="minorHAnsi" w:cs="Times New Roman"/>
                <w:color w:val="FFFFFF" w:themeColor="background1"/>
                <w:sz w:val="20"/>
                <w:szCs w:val="20"/>
                <w:lang w:val="fr-FR"/>
              </w:rPr>
            </w:pPr>
            <w:r w:rsidRPr="00F3119B">
              <w:rPr>
                <w:rFonts w:asciiTheme="minorHAnsi" w:hAnsiTheme="minorHAnsi" w:cs="Times New Roman"/>
                <w:color w:val="FFFFFF" w:themeColor="background1"/>
                <w:sz w:val="20"/>
                <w:szCs w:val="20"/>
                <w:lang w:val="fr-FR"/>
              </w:rPr>
              <w:t>Collection stream</w:t>
            </w:r>
          </w:p>
        </w:tc>
        <w:tc>
          <w:tcPr>
            <w:tcW w:w="1723"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EF08C0E" w14:textId="77777777" w:rsidR="003956D5" w:rsidRPr="00F3119B" w:rsidRDefault="003956D5" w:rsidP="00F3119B">
            <w:pPr>
              <w:jc w:val="center"/>
              <w:rPr>
                <w:rFonts w:asciiTheme="minorHAnsi" w:hAnsiTheme="minorHAnsi" w:cs="Times New Roman"/>
                <w:color w:val="FFFFFF" w:themeColor="background1"/>
                <w:sz w:val="20"/>
                <w:szCs w:val="20"/>
                <w:lang w:val="fr-FR"/>
              </w:rPr>
            </w:pPr>
            <w:r w:rsidRPr="00F3119B">
              <w:rPr>
                <w:rFonts w:asciiTheme="minorHAnsi" w:hAnsiTheme="minorHAnsi" w:cs="Times New Roman"/>
                <w:color w:val="FFFFFF" w:themeColor="background1"/>
                <w:sz w:val="20"/>
                <w:szCs w:val="20"/>
                <w:lang w:val="fr-FR"/>
              </w:rPr>
              <w:t>20145/15</w:t>
            </w:r>
          </w:p>
        </w:tc>
        <w:tc>
          <w:tcPr>
            <w:tcW w:w="2142"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D39DE0F" w14:textId="77777777" w:rsidR="003956D5" w:rsidRPr="00F3119B" w:rsidRDefault="003956D5" w:rsidP="00F3119B">
            <w:pPr>
              <w:jc w:val="center"/>
              <w:rPr>
                <w:rFonts w:asciiTheme="minorHAnsi" w:hAnsiTheme="minorHAnsi" w:cs="Times New Roman"/>
                <w:color w:val="FFFFFF" w:themeColor="background1"/>
                <w:sz w:val="20"/>
                <w:szCs w:val="20"/>
                <w:lang w:val="fr-FR"/>
              </w:rPr>
            </w:pPr>
            <w:r w:rsidRPr="00F3119B">
              <w:rPr>
                <w:rFonts w:asciiTheme="minorHAnsi" w:hAnsiTheme="minorHAnsi" w:cs="Times New Roman"/>
                <w:color w:val="FFFFFF" w:themeColor="background1"/>
                <w:sz w:val="20"/>
                <w:szCs w:val="20"/>
                <w:lang w:val="fr-FR"/>
              </w:rPr>
              <w:t>2015/16</w:t>
            </w:r>
          </w:p>
        </w:tc>
      </w:tr>
      <w:tr w:rsidR="003956D5" w:rsidRPr="00F3119B" w14:paraId="329D5D84" w14:textId="77777777" w:rsidTr="00F3119B">
        <w:trPr>
          <w:cnfStyle w:val="000000100000" w:firstRow="0" w:lastRow="0" w:firstColumn="0" w:lastColumn="0" w:oddVBand="0" w:evenVBand="0" w:oddHBand="1" w:evenHBand="0" w:firstRowFirstColumn="0" w:firstRowLastColumn="0" w:lastRowFirstColumn="0" w:lastRowLastColumn="0"/>
          <w:trHeight w:val="300"/>
        </w:trPr>
        <w:tc>
          <w:tcPr>
            <w:tcW w:w="4940" w:type="dxa"/>
            <w:tcBorders>
              <w:top w:val="none" w:sz="0" w:space="0" w:color="auto"/>
            </w:tcBorders>
            <w:noWrap/>
            <w:hideMark/>
          </w:tcPr>
          <w:p w14:paraId="5D5F8BDE" w14:textId="73C14074"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Finance</w:t>
            </w:r>
          </w:p>
        </w:tc>
        <w:tc>
          <w:tcPr>
            <w:tcW w:w="1723" w:type="dxa"/>
            <w:tcBorders>
              <w:top w:val="none" w:sz="0" w:space="0" w:color="auto"/>
            </w:tcBorders>
            <w:noWrap/>
            <w:hideMark/>
          </w:tcPr>
          <w:p w14:paraId="3585B730" w14:textId="77777777" w:rsidR="003956D5" w:rsidRPr="00F3119B" w:rsidRDefault="003956D5" w:rsidP="009F753A">
            <w:pPr>
              <w:jc w:val="center"/>
              <w:rPr>
                <w:rFonts w:asciiTheme="minorHAnsi" w:hAnsiTheme="minorHAnsi" w:cs="Times New Roman"/>
                <w:sz w:val="20"/>
                <w:szCs w:val="20"/>
                <w:lang w:val="fr-FR"/>
              </w:rPr>
            </w:pPr>
          </w:p>
        </w:tc>
        <w:tc>
          <w:tcPr>
            <w:tcW w:w="2142" w:type="dxa"/>
            <w:tcBorders>
              <w:top w:val="none" w:sz="0" w:space="0" w:color="auto"/>
            </w:tcBorders>
            <w:noWrap/>
            <w:hideMark/>
          </w:tcPr>
          <w:p w14:paraId="65D189B9" w14:textId="6040F9C6"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1</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866</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600</w:t>
            </w:r>
          </w:p>
        </w:tc>
      </w:tr>
      <w:tr w:rsidR="003956D5" w:rsidRPr="00F3119B" w14:paraId="4C936E6E" w14:textId="77777777" w:rsidTr="00F3119B">
        <w:trPr>
          <w:cnfStyle w:val="000000010000" w:firstRow="0" w:lastRow="0" w:firstColumn="0" w:lastColumn="0" w:oddVBand="0" w:evenVBand="0" w:oddHBand="0" w:evenHBand="1" w:firstRowFirstColumn="0" w:firstRowLastColumn="0" w:lastRowFirstColumn="0" w:lastRowLastColumn="0"/>
          <w:trHeight w:val="300"/>
        </w:trPr>
        <w:tc>
          <w:tcPr>
            <w:tcW w:w="4940" w:type="dxa"/>
            <w:tcBorders>
              <w:top w:val="none" w:sz="0" w:space="0" w:color="auto"/>
            </w:tcBorders>
            <w:noWrap/>
            <w:hideMark/>
          </w:tcPr>
          <w:p w14:paraId="5A196C97" w14:textId="37BB063C"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 xml:space="preserve">Trade </w:t>
            </w:r>
            <w:r w:rsidR="005578EE">
              <w:rPr>
                <w:rFonts w:asciiTheme="minorHAnsi" w:hAnsiTheme="minorHAnsi" w:cs="Times New Roman"/>
                <w:sz w:val="20"/>
                <w:szCs w:val="20"/>
                <w:lang w:val="fr-FR"/>
              </w:rPr>
              <w:t>and</w:t>
            </w:r>
            <w:r w:rsidRPr="00F3119B">
              <w:rPr>
                <w:rFonts w:asciiTheme="minorHAnsi" w:hAnsiTheme="minorHAnsi" w:cs="Times New Roman"/>
                <w:sz w:val="20"/>
                <w:szCs w:val="20"/>
                <w:lang w:val="fr-FR"/>
              </w:rPr>
              <w:t xml:space="preserve"> industrialization</w:t>
            </w:r>
          </w:p>
        </w:tc>
        <w:tc>
          <w:tcPr>
            <w:tcW w:w="1723" w:type="dxa"/>
            <w:tcBorders>
              <w:top w:val="none" w:sz="0" w:space="0" w:color="auto"/>
            </w:tcBorders>
            <w:noWrap/>
            <w:hideMark/>
          </w:tcPr>
          <w:p w14:paraId="1C67BC51" w14:textId="7CD72BD1"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163</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930</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234</w:t>
            </w:r>
          </w:p>
        </w:tc>
        <w:tc>
          <w:tcPr>
            <w:tcW w:w="2142" w:type="dxa"/>
            <w:tcBorders>
              <w:top w:val="none" w:sz="0" w:space="0" w:color="auto"/>
            </w:tcBorders>
            <w:noWrap/>
            <w:hideMark/>
          </w:tcPr>
          <w:p w14:paraId="52B032A3" w14:textId="04210411"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143</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385</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105</w:t>
            </w:r>
          </w:p>
        </w:tc>
      </w:tr>
      <w:tr w:rsidR="003956D5" w:rsidRPr="00F3119B" w14:paraId="07F2CB37" w14:textId="77777777" w:rsidTr="00F3119B">
        <w:trPr>
          <w:cnfStyle w:val="000000100000" w:firstRow="0" w:lastRow="0" w:firstColumn="0" w:lastColumn="0" w:oddVBand="0" w:evenVBand="0" w:oddHBand="1" w:evenHBand="0" w:firstRowFirstColumn="0" w:firstRowLastColumn="0" w:lastRowFirstColumn="0" w:lastRowLastColumn="0"/>
          <w:trHeight w:val="300"/>
        </w:trPr>
        <w:tc>
          <w:tcPr>
            <w:tcW w:w="4940" w:type="dxa"/>
            <w:tcBorders>
              <w:top w:val="none" w:sz="0" w:space="0" w:color="auto"/>
            </w:tcBorders>
            <w:noWrap/>
            <w:hideMark/>
          </w:tcPr>
          <w:p w14:paraId="4F005C49" w14:textId="01A5A5F2"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 xml:space="preserve">Land </w:t>
            </w:r>
            <w:r w:rsidR="005578EE">
              <w:rPr>
                <w:rFonts w:asciiTheme="minorHAnsi" w:hAnsiTheme="minorHAnsi" w:cs="Times New Roman"/>
                <w:sz w:val="20"/>
                <w:szCs w:val="20"/>
                <w:lang w:val="fr-FR"/>
              </w:rPr>
              <w:t>and</w:t>
            </w:r>
            <w:r w:rsidRPr="00F3119B">
              <w:rPr>
                <w:rFonts w:asciiTheme="minorHAnsi" w:hAnsiTheme="minorHAnsi" w:cs="Times New Roman"/>
                <w:sz w:val="20"/>
                <w:szCs w:val="20"/>
                <w:lang w:val="fr-FR"/>
              </w:rPr>
              <w:t xml:space="preserve"> natural resources</w:t>
            </w:r>
          </w:p>
        </w:tc>
        <w:tc>
          <w:tcPr>
            <w:tcW w:w="1723" w:type="dxa"/>
            <w:tcBorders>
              <w:top w:val="none" w:sz="0" w:space="0" w:color="auto"/>
            </w:tcBorders>
            <w:noWrap/>
            <w:hideMark/>
          </w:tcPr>
          <w:p w14:paraId="5BE12CB1" w14:textId="6ED43401"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341</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709</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509</w:t>
            </w:r>
          </w:p>
        </w:tc>
        <w:tc>
          <w:tcPr>
            <w:tcW w:w="2142" w:type="dxa"/>
            <w:tcBorders>
              <w:top w:val="none" w:sz="0" w:space="0" w:color="auto"/>
            </w:tcBorders>
            <w:noWrap/>
            <w:hideMark/>
          </w:tcPr>
          <w:p w14:paraId="687C69C6" w14:textId="590202E0"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224</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219</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117</w:t>
            </w:r>
          </w:p>
        </w:tc>
      </w:tr>
      <w:tr w:rsidR="003956D5" w:rsidRPr="00F3119B" w14:paraId="2953434F" w14:textId="77777777" w:rsidTr="00F3119B">
        <w:trPr>
          <w:cnfStyle w:val="000000010000" w:firstRow="0" w:lastRow="0" w:firstColumn="0" w:lastColumn="0" w:oddVBand="0" w:evenVBand="0" w:oddHBand="0" w:evenHBand="1" w:firstRowFirstColumn="0" w:firstRowLastColumn="0" w:lastRowFirstColumn="0" w:lastRowLastColumn="0"/>
          <w:trHeight w:val="300"/>
        </w:trPr>
        <w:tc>
          <w:tcPr>
            <w:tcW w:w="4940" w:type="dxa"/>
            <w:tcBorders>
              <w:top w:val="none" w:sz="0" w:space="0" w:color="auto"/>
            </w:tcBorders>
            <w:noWrap/>
            <w:hideMark/>
          </w:tcPr>
          <w:p w14:paraId="086AC13E" w14:textId="6F6192C2"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Roads</w:t>
            </w:r>
          </w:p>
        </w:tc>
        <w:tc>
          <w:tcPr>
            <w:tcW w:w="1723" w:type="dxa"/>
            <w:tcBorders>
              <w:top w:val="none" w:sz="0" w:space="0" w:color="auto"/>
            </w:tcBorders>
            <w:noWrap/>
            <w:hideMark/>
          </w:tcPr>
          <w:p w14:paraId="02842D36" w14:textId="3A0FAA18"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31</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891</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695</w:t>
            </w:r>
          </w:p>
        </w:tc>
        <w:tc>
          <w:tcPr>
            <w:tcW w:w="2142" w:type="dxa"/>
            <w:tcBorders>
              <w:top w:val="none" w:sz="0" w:space="0" w:color="auto"/>
            </w:tcBorders>
            <w:noWrap/>
            <w:hideMark/>
          </w:tcPr>
          <w:p w14:paraId="23C7213F" w14:textId="5CDC0EDF"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27</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299</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702</w:t>
            </w:r>
          </w:p>
        </w:tc>
      </w:tr>
      <w:tr w:rsidR="003956D5" w:rsidRPr="00F3119B" w14:paraId="10E31EE7" w14:textId="77777777" w:rsidTr="00F3119B">
        <w:trPr>
          <w:cnfStyle w:val="000000100000" w:firstRow="0" w:lastRow="0" w:firstColumn="0" w:lastColumn="0" w:oddVBand="0" w:evenVBand="0" w:oddHBand="1" w:evenHBand="0" w:firstRowFirstColumn="0" w:firstRowLastColumn="0" w:lastRowFirstColumn="0" w:lastRowLastColumn="0"/>
          <w:trHeight w:val="300"/>
        </w:trPr>
        <w:tc>
          <w:tcPr>
            <w:tcW w:w="4940" w:type="dxa"/>
            <w:tcBorders>
              <w:top w:val="none" w:sz="0" w:space="0" w:color="auto"/>
            </w:tcBorders>
            <w:noWrap/>
            <w:hideMark/>
          </w:tcPr>
          <w:p w14:paraId="7A49FADF" w14:textId="1EB85C9E"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Cooperatives</w:t>
            </w:r>
          </w:p>
        </w:tc>
        <w:tc>
          <w:tcPr>
            <w:tcW w:w="1723" w:type="dxa"/>
            <w:tcBorders>
              <w:top w:val="none" w:sz="0" w:space="0" w:color="auto"/>
            </w:tcBorders>
            <w:noWrap/>
            <w:hideMark/>
          </w:tcPr>
          <w:p w14:paraId="032A40AA" w14:textId="2C1CB8C1"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23</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952</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070</w:t>
            </w:r>
          </w:p>
        </w:tc>
        <w:tc>
          <w:tcPr>
            <w:tcW w:w="2142" w:type="dxa"/>
            <w:tcBorders>
              <w:top w:val="none" w:sz="0" w:space="0" w:color="auto"/>
            </w:tcBorders>
            <w:noWrap/>
            <w:hideMark/>
          </w:tcPr>
          <w:p w14:paraId="06FF72C8" w14:textId="48CFF008"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21</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237</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530</w:t>
            </w:r>
          </w:p>
        </w:tc>
      </w:tr>
      <w:tr w:rsidR="003956D5" w:rsidRPr="00F3119B" w14:paraId="06485E07" w14:textId="77777777" w:rsidTr="00F3119B">
        <w:trPr>
          <w:cnfStyle w:val="000000010000" w:firstRow="0" w:lastRow="0" w:firstColumn="0" w:lastColumn="0" w:oddVBand="0" w:evenVBand="0" w:oddHBand="0" w:evenHBand="1" w:firstRowFirstColumn="0" w:firstRowLastColumn="0" w:lastRowFirstColumn="0" w:lastRowLastColumn="0"/>
          <w:trHeight w:val="300"/>
        </w:trPr>
        <w:tc>
          <w:tcPr>
            <w:tcW w:w="4940" w:type="dxa"/>
            <w:tcBorders>
              <w:top w:val="none" w:sz="0" w:space="0" w:color="auto"/>
            </w:tcBorders>
            <w:noWrap/>
            <w:hideMark/>
          </w:tcPr>
          <w:p w14:paraId="74254FE2" w14:textId="3F7EFA73"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Public works</w:t>
            </w:r>
          </w:p>
        </w:tc>
        <w:tc>
          <w:tcPr>
            <w:tcW w:w="1723" w:type="dxa"/>
            <w:tcBorders>
              <w:top w:val="none" w:sz="0" w:space="0" w:color="auto"/>
            </w:tcBorders>
            <w:noWrap/>
            <w:hideMark/>
          </w:tcPr>
          <w:p w14:paraId="56768919" w14:textId="4653C7FA"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66</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562</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862</w:t>
            </w:r>
          </w:p>
        </w:tc>
        <w:tc>
          <w:tcPr>
            <w:tcW w:w="2142" w:type="dxa"/>
            <w:tcBorders>
              <w:top w:val="none" w:sz="0" w:space="0" w:color="auto"/>
            </w:tcBorders>
            <w:noWrap/>
            <w:hideMark/>
          </w:tcPr>
          <w:p w14:paraId="1C766D35" w14:textId="01C29442"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61</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349</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069</w:t>
            </w:r>
          </w:p>
        </w:tc>
      </w:tr>
      <w:tr w:rsidR="003956D5" w:rsidRPr="00F3119B" w14:paraId="17CF897B" w14:textId="77777777" w:rsidTr="00F3119B">
        <w:trPr>
          <w:cnfStyle w:val="000000100000" w:firstRow="0" w:lastRow="0" w:firstColumn="0" w:lastColumn="0" w:oddVBand="0" w:evenVBand="0" w:oddHBand="1" w:evenHBand="0" w:firstRowFirstColumn="0" w:firstRowLastColumn="0" w:lastRowFirstColumn="0" w:lastRowLastColumn="0"/>
          <w:trHeight w:val="300"/>
        </w:trPr>
        <w:tc>
          <w:tcPr>
            <w:tcW w:w="4940" w:type="dxa"/>
            <w:tcBorders>
              <w:top w:val="none" w:sz="0" w:space="0" w:color="auto"/>
            </w:tcBorders>
            <w:noWrap/>
            <w:hideMark/>
          </w:tcPr>
          <w:p w14:paraId="214BE8DE" w14:textId="20BE4AAC"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 xml:space="preserve">Communication </w:t>
            </w:r>
            <w:r w:rsidR="005578EE">
              <w:rPr>
                <w:rFonts w:asciiTheme="minorHAnsi" w:hAnsiTheme="minorHAnsi" w:cs="Times New Roman"/>
                <w:sz w:val="20"/>
                <w:szCs w:val="20"/>
                <w:lang w:val="fr-FR"/>
              </w:rPr>
              <w:t xml:space="preserve">and </w:t>
            </w:r>
            <w:r w:rsidR="005578EE" w:rsidRPr="00F3119B">
              <w:rPr>
                <w:rFonts w:asciiTheme="minorHAnsi" w:hAnsiTheme="minorHAnsi" w:cs="Times New Roman"/>
                <w:sz w:val="20"/>
                <w:szCs w:val="20"/>
                <w:lang w:val="fr-FR"/>
              </w:rPr>
              <w:t>ICT</w:t>
            </w:r>
          </w:p>
        </w:tc>
        <w:tc>
          <w:tcPr>
            <w:tcW w:w="1723" w:type="dxa"/>
            <w:tcBorders>
              <w:top w:val="none" w:sz="0" w:space="0" w:color="auto"/>
            </w:tcBorders>
            <w:noWrap/>
            <w:hideMark/>
          </w:tcPr>
          <w:p w14:paraId="78315A92" w14:textId="16BE6E73"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27</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050</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240</w:t>
            </w:r>
          </w:p>
        </w:tc>
        <w:tc>
          <w:tcPr>
            <w:tcW w:w="2142" w:type="dxa"/>
            <w:tcBorders>
              <w:top w:val="none" w:sz="0" w:space="0" w:color="auto"/>
            </w:tcBorders>
            <w:noWrap/>
            <w:hideMark/>
          </w:tcPr>
          <w:p w14:paraId="186C8FA6" w14:textId="6CBD2E2D"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47</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577</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406</w:t>
            </w:r>
          </w:p>
        </w:tc>
      </w:tr>
      <w:tr w:rsidR="003956D5" w:rsidRPr="00F3119B" w14:paraId="7B9A1942" w14:textId="77777777" w:rsidTr="00F3119B">
        <w:trPr>
          <w:cnfStyle w:val="000000010000" w:firstRow="0" w:lastRow="0" w:firstColumn="0" w:lastColumn="0" w:oddVBand="0" w:evenVBand="0" w:oddHBand="0" w:evenHBand="1" w:firstRowFirstColumn="0" w:firstRowLastColumn="0" w:lastRowFirstColumn="0" w:lastRowLastColumn="0"/>
          <w:trHeight w:val="300"/>
        </w:trPr>
        <w:tc>
          <w:tcPr>
            <w:tcW w:w="4940" w:type="dxa"/>
            <w:tcBorders>
              <w:top w:val="none" w:sz="0" w:space="0" w:color="auto"/>
            </w:tcBorders>
            <w:noWrap/>
            <w:hideMark/>
          </w:tcPr>
          <w:p w14:paraId="0FD9F3AD" w14:textId="0D3B16E8"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Agrculture and livestock</w:t>
            </w:r>
          </w:p>
        </w:tc>
        <w:tc>
          <w:tcPr>
            <w:tcW w:w="1723" w:type="dxa"/>
            <w:tcBorders>
              <w:top w:val="none" w:sz="0" w:space="0" w:color="auto"/>
            </w:tcBorders>
            <w:noWrap/>
            <w:hideMark/>
          </w:tcPr>
          <w:p w14:paraId="3765EBF8" w14:textId="3CB65A55"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44</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933</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391</w:t>
            </w:r>
          </w:p>
        </w:tc>
        <w:tc>
          <w:tcPr>
            <w:tcW w:w="2142" w:type="dxa"/>
            <w:tcBorders>
              <w:top w:val="none" w:sz="0" w:space="0" w:color="auto"/>
            </w:tcBorders>
            <w:noWrap/>
            <w:hideMark/>
          </w:tcPr>
          <w:p w14:paraId="5C1A64CE" w14:textId="311FEEF9"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38</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584</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670</w:t>
            </w:r>
          </w:p>
        </w:tc>
      </w:tr>
      <w:tr w:rsidR="003956D5" w:rsidRPr="00F3119B" w14:paraId="5E6C6CB5" w14:textId="77777777" w:rsidTr="00F3119B">
        <w:trPr>
          <w:cnfStyle w:val="000000100000" w:firstRow="0" w:lastRow="0" w:firstColumn="0" w:lastColumn="0" w:oddVBand="0" w:evenVBand="0" w:oddHBand="1" w:evenHBand="0" w:firstRowFirstColumn="0" w:firstRowLastColumn="0" w:lastRowFirstColumn="0" w:lastRowLastColumn="0"/>
          <w:trHeight w:val="300"/>
        </w:trPr>
        <w:tc>
          <w:tcPr>
            <w:tcW w:w="4940" w:type="dxa"/>
            <w:tcBorders>
              <w:top w:val="none" w:sz="0" w:space="0" w:color="auto"/>
            </w:tcBorders>
            <w:noWrap/>
            <w:hideMark/>
          </w:tcPr>
          <w:p w14:paraId="61C804CB" w14:textId="73B74504"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Public health</w:t>
            </w:r>
          </w:p>
        </w:tc>
        <w:tc>
          <w:tcPr>
            <w:tcW w:w="1723" w:type="dxa"/>
            <w:tcBorders>
              <w:top w:val="none" w:sz="0" w:space="0" w:color="auto"/>
            </w:tcBorders>
            <w:noWrap/>
            <w:hideMark/>
          </w:tcPr>
          <w:p w14:paraId="516CB77D" w14:textId="25807358"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74</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963</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193</w:t>
            </w:r>
          </w:p>
        </w:tc>
        <w:tc>
          <w:tcPr>
            <w:tcW w:w="2142" w:type="dxa"/>
            <w:tcBorders>
              <w:top w:val="none" w:sz="0" w:space="0" w:color="auto"/>
            </w:tcBorders>
            <w:noWrap/>
            <w:hideMark/>
          </w:tcPr>
          <w:p w14:paraId="52C804C9" w14:textId="61237020"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67</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945</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829</w:t>
            </w:r>
          </w:p>
        </w:tc>
      </w:tr>
      <w:tr w:rsidR="003956D5" w:rsidRPr="00F3119B" w14:paraId="72E40F11" w14:textId="77777777" w:rsidTr="00F3119B">
        <w:trPr>
          <w:cnfStyle w:val="000000010000" w:firstRow="0" w:lastRow="0" w:firstColumn="0" w:lastColumn="0" w:oddVBand="0" w:evenVBand="0" w:oddHBand="0" w:evenHBand="1" w:firstRowFirstColumn="0" w:firstRowLastColumn="0" w:lastRowFirstColumn="0" w:lastRowLastColumn="0"/>
          <w:trHeight w:val="300"/>
        </w:trPr>
        <w:tc>
          <w:tcPr>
            <w:tcW w:w="4940" w:type="dxa"/>
            <w:tcBorders>
              <w:top w:val="none" w:sz="0" w:space="0" w:color="auto"/>
            </w:tcBorders>
            <w:noWrap/>
            <w:hideMark/>
          </w:tcPr>
          <w:p w14:paraId="009345DB" w14:textId="16F368BF" w:rsidR="003956D5" w:rsidRPr="00F3119B" w:rsidRDefault="003956D5" w:rsidP="009F753A">
            <w:pPr>
              <w:jc w:val="left"/>
              <w:rPr>
                <w:rFonts w:asciiTheme="minorHAnsi" w:hAnsiTheme="minorHAnsi" w:cs="Times New Roman"/>
                <w:sz w:val="20"/>
                <w:szCs w:val="20"/>
                <w:lang w:val="fr-FR"/>
              </w:rPr>
            </w:pPr>
            <w:r w:rsidRPr="00F3119B">
              <w:rPr>
                <w:rFonts w:asciiTheme="minorHAnsi" w:hAnsiTheme="minorHAnsi" w:cs="Times New Roman"/>
                <w:sz w:val="20"/>
                <w:szCs w:val="20"/>
                <w:lang w:val="fr-FR"/>
              </w:rPr>
              <w:t>Water and irrigation</w:t>
            </w:r>
          </w:p>
        </w:tc>
        <w:tc>
          <w:tcPr>
            <w:tcW w:w="1723" w:type="dxa"/>
            <w:tcBorders>
              <w:top w:val="none" w:sz="0" w:space="0" w:color="auto"/>
            </w:tcBorders>
            <w:noWrap/>
            <w:hideMark/>
          </w:tcPr>
          <w:p w14:paraId="2CEB9DD4" w14:textId="27915F48"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476</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700</w:t>
            </w:r>
          </w:p>
        </w:tc>
        <w:tc>
          <w:tcPr>
            <w:tcW w:w="2142" w:type="dxa"/>
            <w:tcBorders>
              <w:top w:val="none" w:sz="0" w:space="0" w:color="auto"/>
            </w:tcBorders>
            <w:noWrap/>
            <w:hideMark/>
          </w:tcPr>
          <w:p w14:paraId="66129B7E" w14:textId="37DAB1FC"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1</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192</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550</w:t>
            </w:r>
          </w:p>
        </w:tc>
      </w:tr>
      <w:tr w:rsidR="003956D5" w:rsidRPr="00F3119B" w14:paraId="52EE5A6E" w14:textId="77777777" w:rsidTr="00F3119B">
        <w:trPr>
          <w:cnfStyle w:val="000000100000" w:firstRow="0" w:lastRow="0" w:firstColumn="0" w:lastColumn="0" w:oddVBand="0" w:evenVBand="0" w:oddHBand="1" w:evenHBand="0" w:firstRowFirstColumn="0" w:firstRowLastColumn="0" w:lastRowFirstColumn="0" w:lastRowLastColumn="0"/>
          <w:trHeight w:val="300"/>
        </w:trPr>
        <w:tc>
          <w:tcPr>
            <w:tcW w:w="4940" w:type="dxa"/>
            <w:tcBorders>
              <w:top w:val="none" w:sz="0" w:space="0" w:color="auto"/>
            </w:tcBorders>
            <w:noWrap/>
            <w:hideMark/>
          </w:tcPr>
          <w:p w14:paraId="3223030D" w14:textId="6BB4884B" w:rsidR="003956D5" w:rsidRPr="00F3119B" w:rsidRDefault="003956D5" w:rsidP="009F753A">
            <w:pPr>
              <w:jc w:val="left"/>
              <w:rPr>
                <w:rFonts w:asciiTheme="minorHAnsi" w:hAnsiTheme="minorHAnsi" w:cs="Times New Roman"/>
                <w:sz w:val="20"/>
                <w:szCs w:val="20"/>
                <w:lang w:val="en-GB"/>
              </w:rPr>
            </w:pPr>
            <w:r w:rsidRPr="00F3119B">
              <w:rPr>
                <w:rFonts w:asciiTheme="minorHAnsi" w:hAnsiTheme="minorHAnsi" w:cs="Times New Roman"/>
                <w:sz w:val="20"/>
                <w:szCs w:val="20"/>
                <w:lang w:val="en-GB"/>
              </w:rPr>
              <w:t>Education youth culture and social services</w:t>
            </w:r>
          </w:p>
        </w:tc>
        <w:tc>
          <w:tcPr>
            <w:tcW w:w="1723" w:type="dxa"/>
            <w:tcBorders>
              <w:top w:val="none" w:sz="0" w:space="0" w:color="auto"/>
            </w:tcBorders>
            <w:noWrap/>
            <w:hideMark/>
          </w:tcPr>
          <w:p w14:paraId="0438D794" w14:textId="5E0C2B30"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31</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830</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575</w:t>
            </w:r>
          </w:p>
        </w:tc>
        <w:tc>
          <w:tcPr>
            <w:tcW w:w="2142" w:type="dxa"/>
            <w:tcBorders>
              <w:top w:val="none" w:sz="0" w:space="0" w:color="auto"/>
            </w:tcBorders>
            <w:noWrap/>
            <w:hideMark/>
          </w:tcPr>
          <w:p w14:paraId="13B2F1AE" w14:textId="54E66519" w:rsidR="003956D5" w:rsidRPr="00F3119B" w:rsidRDefault="003956D5" w:rsidP="009F753A">
            <w:pPr>
              <w:jc w:val="center"/>
              <w:rPr>
                <w:rFonts w:asciiTheme="minorHAnsi" w:hAnsiTheme="minorHAnsi" w:cs="Times New Roman"/>
                <w:sz w:val="20"/>
                <w:szCs w:val="20"/>
                <w:lang w:val="fr-FR"/>
              </w:rPr>
            </w:pPr>
            <w:r w:rsidRPr="00F3119B">
              <w:rPr>
                <w:rFonts w:asciiTheme="minorHAnsi" w:hAnsiTheme="minorHAnsi" w:cs="Times New Roman"/>
                <w:sz w:val="20"/>
                <w:szCs w:val="20"/>
                <w:lang w:val="fr-FR"/>
              </w:rPr>
              <w:t>16</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327</w:t>
            </w:r>
            <w:r w:rsidR="005578EE">
              <w:rPr>
                <w:rFonts w:asciiTheme="minorHAnsi" w:hAnsiTheme="minorHAnsi" w:cs="Times New Roman"/>
                <w:sz w:val="20"/>
                <w:szCs w:val="20"/>
                <w:lang w:val="fr-FR"/>
              </w:rPr>
              <w:t>,</w:t>
            </w:r>
            <w:r w:rsidRPr="00F3119B">
              <w:rPr>
                <w:rFonts w:asciiTheme="minorHAnsi" w:hAnsiTheme="minorHAnsi" w:cs="Times New Roman"/>
                <w:sz w:val="20"/>
                <w:szCs w:val="20"/>
                <w:lang w:val="fr-FR"/>
              </w:rPr>
              <w:t>400</w:t>
            </w:r>
          </w:p>
        </w:tc>
      </w:tr>
      <w:tr w:rsidR="003956D5" w:rsidRPr="00F3119B" w14:paraId="5B1E2898" w14:textId="77777777" w:rsidTr="00F3119B">
        <w:trPr>
          <w:cnfStyle w:val="000000010000" w:firstRow="0" w:lastRow="0" w:firstColumn="0" w:lastColumn="0" w:oddVBand="0" w:evenVBand="0" w:oddHBand="0" w:evenHBand="1" w:firstRowFirstColumn="0" w:firstRowLastColumn="0" w:lastRowFirstColumn="0" w:lastRowLastColumn="0"/>
          <w:trHeight w:val="300"/>
        </w:trPr>
        <w:tc>
          <w:tcPr>
            <w:tcW w:w="4940" w:type="dxa"/>
            <w:tcBorders>
              <w:top w:val="none" w:sz="0" w:space="0" w:color="auto"/>
            </w:tcBorders>
            <w:noWrap/>
            <w:hideMark/>
          </w:tcPr>
          <w:p w14:paraId="1D100CF9" w14:textId="6DFD6EC5" w:rsidR="003956D5" w:rsidRPr="00F3119B" w:rsidRDefault="009F753A" w:rsidP="009F753A">
            <w:pPr>
              <w:jc w:val="left"/>
              <w:rPr>
                <w:rFonts w:asciiTheme="minorHAnsi" w:hAnsiTheme="minorHAnsi" w:cs="Times New Roman"/>
                <w:b/>
                <w:sz w:val="20"/>
                <w:szCs w:val="20"/>
                <w:lang w:val="fr-FR"/>
              </w:rPr>
            </w:pPr>
            <w:r w:rsidRPr="00F3119B">
              <w:rPr>
                <w:rFonts w:asciiTheme="minorHAnsi" w:hAnsiTheme="minorHAnsi" w:cs="Times New Roman"/>
                <w:b/>
                <w:sz w:val="20"/>
                <w:szCs w:val="20"/>
                <w:lang w:val="fr-FR"/>
              </w:rPr>
              <w:t>Total</w:t>
            </w:r>
          </w:p>
        </w:tc>
        <w:tc>
          <w:tcPr>
            <w:tcW w:w="1723" w:type="dxa"/>
            <w:tcBorders>
              <w:top w:val="none" w:sz="0" w:space="0" w:color="auto"/>
            </w:tcBorders>
            <w:noWrap/>
            <w:hideMark/>
          </w:tcPr>
          <w:p w14:paraId="0BCE6C39" w14:textId="077683C9" w:rsidR="003956D5" w:rsidRPr="00F3119B" w:rsidRDefault="003956D5" w:rsidP="009F753A">
            <w:pPr>
              <w:jc w:val="center"/>
              <w:rPr>
                <w:rFonts w:asciiTheme="minorHAnsi" w:hAnsiTheme="minorHAnsi" w:cs="Times New Roman"/>
                <w:b/>
                <w:sz w:val="20"/>
                <w:szCs w:val="20"/>
                <w:lang w:val="fr-FR"/>
              </w:rPr>
            </w:pPr>
            <w:r w:rsidRPr="00F3119B">
              <w:rPr>
                <w:rFonts w:asciiTheme="minorHAnsi" w:hAnsiTheme="minorHAnsi" w:cs="Times New Roman"/>
                <w:b/>
                <w:sz w:val="20"/>
                <w:szCs w:val="20"/>
                <w:lang w:val="fr-FR"/>
              </w:rPr>
              <w:t>807</w:t>
            </w:r>
            <w:r w:rsidR="005578EE">
              <w:rPr>
                <w:rFonts w:asciiTheme="minorHAnsi" w:hAnsiTheme="minorHAnsi" w:cs="Times New Roman"/>
                <w:b/>
                <w:sz w:val="20"/>
                <w:szCs w:val="20"/>
                <w:lang w:val="fr-FR"/>
              </w:rPr>
              <w:t>,</w:t>
            </w:r>
            <w:r w:rsidRPr="00F3119B">
              <w:rPr>
                <w:rFonts w:asciiTheme="minorHAnsi" w:hAnsiTheme="minorHAnsi" w:cs="Times New Roman"/>
                <w:b/>
                <w:sz w:val="20"/>
                <w:szCs w:val="20"/>
                <w:lang w:val="fr-FR"/>
              </w:rPr>
              <w:t>300</w:t>
            </w:r>
            <w:r w:rsidR="005578EE">
              <w:rPr>
                <w:rFonts w:asciiTheme="minorHAnsi" w:hAnsiTheme="minorHAnsi" w:cs="Times New Roman"/>
                <w:b/>
                <w:sz w:val="20"/>
                <w:szCs w:val="20"/>
                <w:lang w:val="fr-FR"/>
              </w:rPr>
              <w:t>,</w:t>
            </w:r>
            <w:r w:rsidRPr="00F3119B">
              <w:rPr>
                <w:rFonts w:asciiTheme="minorHAnsi" w:hAnsiTheme="minorHAnsi" w:cs="Times New Roman"/>
                <w:b/>
                <w:sz w:val="20"/>
                <w:szCs w:val="20"/>
                <w:lang w:val="fr-FR"/>
              </w:rPr>
              <w:t>469</w:t>
            </w:r>
          </w:p>
        </w:tc>
        <w:tc>
          <w:tcPr>
            <w:tcW w:w="2142" w:type="dxa"/>
            <w:tcBorders>
              <w:top w:val="none" w:sz="0" w:space="0" w:color="auto"/>
            </w:tcBorders>
            <w:noWrap/>
            <w:hideMark/>
          </w:tcPr>
          <w:p w14:paraId="091A904A" w14:textId="6A4DD973" w:rsidR="003956D5" w:rsidRPr="00F3119B" w:rsidRDefault="003956D5" w:rsidP="009F753A">
            <w:pPr>
              <w:jc w:val="center"/>
              <w:rPr>
                <w:rFonts w:asciiTheme="minorHAnsi" w:hAnsiTheme="minorHAnsi" w:cs="Times New Roman"/>
                <w:b/>
                <w:sz w:val="20"/>
                <w:szCs w:val="20"/>
                <w:lang w:val="fr-FR"/>
              </w:rPr>
            </w:pPr>
            <w:r w:rsidRPr="00F3119B">
              <w:rPr>
                <w:rFonts w:asciiTheme="minorHAnsi" w:hAnsiTheme="minorHAnsi" w:cs="Times New Roman"/>
                <w:b/>
                <w:sz w:val="20"/>
                <w:szCs w:val="20"/>
                <w:lang w:val="fr-FR"/>
              </w:rPr>
              <w:t>650</w:t>
            </w:r>
            <w:r w:rsidR="005578EE">
              <w:rPr>
                <w:rFonts w:asciiTheme="minorHAnsi" w:hAnsiTheme="minorHAnsi" w:cs="Times New Roman"/>
                <w:b/>
                <w:sz w:val="20"/>
                <w:szCs w:val="20"/>
                <w:lang w:val="fr-FR"/>
              </w:rPr>
              <w:t>,</w:t>
            </w:r>
            <w:r w:rsidRPr="00F3119B">
              <w:rPr>
                <w:rFonts w:asciiTheme="minorHAnsi" w:hAnsiTheme="minorHAnsi" w:cs="Times New Roman"/>
                <w:b/>
                <w:sz w:val="20"/>
                <w:szCs w:val="20"/>
                <w:lang w:val="fr-FR"/>
              </w:rPr>
              <w:t>984</w:t>
            </w:r>
            <w:r w:rsidR="005578EE">
              <w:rPr>
                <w:rFonts w:asciiTheme="minorHAnsi" w:hAnsiTheme="minorHAnsi" w:cs="Times New Roman"/>
                <w:b/>
                <w:sz w:val="20"/>
                <w:szCs w:val="20"/>
                <w:lang w:val="fr-FR"/>
              </w:rPr>
              <w:t>,</w:t>
            </w:r>
            <w:r w:rsidRPr="00F3119B">
              <w:rPr>
                <w:rFonts w:asciiTheme="minorHAnsi" w:hAnsiTheme="minorHAnsi" w:cs="Times New Roman"/>
                <w:b/>
                <w:sz w:val="20"/>
                <w:szCs w:val="20"/>
                <w:lang w:val="fr-FR"/>
              </w:rPr>
              <w:t>978</w:t>
            </w:r>
          </w:p>
        </w:tc>
      </w:tr>
    </w:tbl>
    <w:p w14:paraId="18EFB795" w14:textId="4430F950" w:rsidR="003956D5" w:rsidRPr="00F3119B" w:rsidRDefault="009F753A" w:rsidP="00F3119B">
      <w:pPr>
        <w:pStyle w:val="italic0"/>
        <w:spacing w:after="240"/>
        <w:rPr>
          <w:i w:val="0"/>
          <w:w w:val="103"/>
          <w:sz w:val="20"/>
        </w:rPr>
      </w:pPr>
      <w:r w:rsidRPr="00F3119B">
        <w:rPr>
          <w:w w:val="103"/>
          <w:sz w:val="20"/>
        </w:rPr>
        <w:t xml:space="preserve">Source: </w:t>
      </w:r>
      <w:r w:rsidR="00F3119B">
        <w:rPr>
          <w:i w:val="0"/>
          <w:w w:val="103"/>
          <w:sz w:val="20"/>
        </w:rPr>
        <w:t>Q</w:t>
      </w:r>
      <w:r w:rsidRPr="00F3119B">
        <w:rPr>
          <w:i w:val="0"/>
          <w:w w:val="103"/>
          <w:sz w:val="20"/>
        </w:rPr>
        <w:t xml:space="preserve">uarterly </w:t>
      </w:r>
      <w:r w:rsidR="005578EE">
        <w:rPr>
          <w:i w:val="0"/>
          <w:w w:val="103"/>
          <w:sz w:val="20"/>
        </w:rPr>
        <w:t>BIRR</w:t>
      </w:r>
      <w:r w:rsidRPr="00F3119B">
        <w:rPr>
          <w:i w:val="0"/>
          <w:w w:val="103"/>
          <w:sz w:val="20"/>
        </w:rPr>
        <w:t>s</w:t>
      </w:r>
      <w:r w:rsidR="00F3119B">
        <w:rPr>
          <w:i w:val="0"/>
          <w:w w:val="103"/>
          <w:sz w:val="20"/>
        </w:rPr>
        <w:t>.</w:t>
      </w:r>
    </w:p>
    <w:p w14:paraId="31BBEA66" w14:textId="19A10CDB" w:rsidR="008A646C" w:rsidRPr="00F3119B" w:rsidRDefault="00035673" w:rsidP="00F3119B">
      <w:pPr>
        <w:spacing w:after="240"/>
        <w:rPr>
          <w:w w:val="103"/>
          <w:sz w:val="22"/>
        </w:rPr>
      </w:pPr>
      <w:r w:rsidRPr="00F3119B">
        <w:rPr>
          <w:sz w:val="22"/>
        </w:rPr>
        <w:t>In summary, t</w:t>
      </w:r>
      <w:r w:rsidR="00280C4D" w:rsidRPr="00F3119B">
        <w:rPr>
          <w:sz w:val="22"/>
        </w:rPr>
        <w:t>he county consolidates the rev</w:t>
      </w:r>
      <w:r w:rsidR="00A010D9">
        <w:rPr>
          <w:sz w:val="22"/>
        </w:rPr>
        <w:t xml:space="preserve">enue data. </w:t>
      </w:r>
      <w:r w:rsidR="00280C4D" w:rsidRPr="00F3119B">
        <w:rPr>
          <w:sz w:val="22"/>
        </w:rPr>
        <w:t>The information is broken down by revenue type and consolidated into monthly, quarterly</w:t>
      </w:r>
      <w:r w:rsidR="005578EE">
        <w:rPr>
          <w:sz w:val="22"/>
        </w:rPr>
        <w:t>,</w:t>
      </w:r>
      <w:r w:rsidR="00280C4D" w:rsidRPr="00F3119B">
        <w:rPr>
          <w:sz w:val="22"/>
        </w:rPr>
        <w:t xml:space="preserve"> and annual report</w:t>
      </w:r>
      <w:r w:rsidR="005578EE">
        <w:rPr>
          <w:sz w:val="22"/>
        </w:rPr>
        <w:t>s</w:t>
      </w:r>
      <w:r w:rsidR="00280C4D" w:rsidRPr="00F3119B">
        <w:rPr>
          <w:sz w:val="22"/>
        </w:rPr>
        <w:t>. Data is presented by type of revenue in the quarterly BIR</w:t>
      </w:r>
      <w:r w:rsidR="005578EE">
        <w:rPr>
          <w:sz w:val="22"/>
        </w:rPr>
        <w:t>R</w:t>
      </w:r>
      <w:r w:rsidR="00280C4D" w:rsidRPr="00F3119B">
        <w:rPr>
          <w:sz w:val="22"/>
        </w:rPr>
        <w:t>s</w:t>
      </w:r>
      <w:r w:rsidR="00280C4D" w:rsidRPr="00F3119B">
        <w:rPr>
          <w:w w:val="103"/>
          <w:sz w:val="22"/>
        </w:rPr>
        <w:t>.</w:t>
      </w:r>
      <w:r w:rsidR="00BE289E" w:rsidRPr="00F3119B">
        <w:rPr>
          <w:w w:val="103"/>
          <w:sz w:val="22"/>
        </w:rPr>
        <w:t xml:space="preserve"> </w:t>
      </w:r>
    </w:p>
    <w:p w14:paraId="001FC8DE" w14:textId="5276E5D4" w:rsidR="008A646C" w:rsidRPr="00F3119B" w:rsidRDefault="008A646C" w:rsidP="00F3119B">
      <w:pPr>
        <w:spacing w:after="240"/>
        <w:ind w:left="360" w:hanging="360"/>
        <w:rPr>
          <w:b/>
          <w:sz w:val="22"/>
        </w:rPr>
      </w:pPr>
      <w:r w:rsidRPr="00F3119B">
        <w:rPr>
          <w:b/>
          <w:sz w:val="22"/>
        </w:rPr>
        <w:t>Dimension rating = A</w:t>
      </w:r>
    </w:p>
    <w:p w14:paraId="7FE13EDC" w14:textId="77777777" w:rsidR="00F93520" w:rsidRPr="00890A84" w:rsidRDefault="00867DDD" w:rsidP="00BA6B2B">
      <w:pPr>
        <w:pStyle w:val="Heading5"/>
      </w:pPr>
      <w:r w:rsidRPr="00890A84">
        <w:t>PI-</w:t>
      </w:r>
      <w:r w:rsidR="00F93520" w:rsidRPr="00890A84">
        <w:t xml:space="preserve">20.2. Transfer of revenue collections </w:t>
      </w:r>
    </w:p>
    <w:p w14:paraId="52B55BBD" w14:textId="6DC27DA9" w:rsidR="00BE289E" w:rsidRPr="00F3119B" w:rsidRDefault="008B449C" w:rsidP="00F3119B">
      <w:pPr>
        <w:spacing w:after="240"/>
        <w:rPr>
          <w:w w:val="103"/>
          <w:sz w:val="22"/>
        </w:rPr>
      </w:pPr>
      <w:r w:rsidRPr="00F3119B">
        <w:rPr>
          <w:w w:val="103"/>
          <w:sz w:val="22"/>
        </w:rPr>
        <w:t>The revenue collected is</w:t>
      </w:r>
      <w:r w:rsidR="001D7E75" w:rsidRPr="00F3119B">
        <w:rPr>
          <w:w w:val="103"/>
          <w:sz w:val="22"/>
        </w:rPr>
        <w:t xml:space="preserve"> </w:t>
      </w:r>
      <w:r w:rsidRPr="00F3119B">
        <w:rPr>
          <w:w w:val="103"/>
          <w:sz w:val="22"/>
        </w:rPr>
        <w:t xml:space="preserve">supposed to be </w:t>
      </w:r>
      <w:r w:rsidR="00F93520" w:rsidRPr="00F3119B">
        <w:rPr>
          <w:w w:val="103"/>
          <w:sz w:val="22"/>
        </w:rPr>
        <w:t>deposit</w:t>
      </w:r>
      <w:r w:rsidRPr="00F3119B">
        <w:rPr>
          <w:w w:val="103"/>
          <w:sz w:val="22"/>
        </w:rPr>
        <w:t xml:space="preserve">ed </w:t>
      </w:r>
      <w:r w:rsidR="0091086E" w:rsidRPr="00F3119B">
        <w:rPr>
          <w:w w:val="103"/>
          <w:sz w:val="22"/>
        </w:rPr>
        <w:t>daily</w:t>
      </w:r>
      <w:r w:rsidRPr="00F3119B">
        <w:rPr>
          <w:w w:val="103"/>
          <w:sz w:val="22"/>
        </w:rPr>
        <w:t xml:space="preserve"> by revenue collectors in</w:t>
      </w:r>
      <w:r w:rsidR="00F93520" w:rsidRPr="00F3119B">
        <w:rPr>
          <w:w w:val="103"/>
          <w:sz w:val="22"/>
        </w:rPr>
        <w:t xml:space="preserve"> revenue collection accounts held at the KCB </w:t>
      </w:r>
      <w:r w:rsidRPr="00F3119B">
        <w:rPr>
          <w:w w:val="103"/>
          <w:sz w:val="22"/>
        </w:rPr>
        <w:t xml:space="preserve">and swept </w:t>
      </w:r>
      <w:r w:rsidR="005D4B8A" w:rsidRPr="00F3119B">
        <w:rPr>
          <w:w w:val="103"/>
          <w:sz w:val="22"/>
        </w:rPr>
        <w:t>to the County Revenue F</w:t>
      </w:r>
      <w:r w:rsidR="00A90224" w:rsidRPr="00F3119B">
        <w:rPr>
          <w:w w:val="103"/>
          <w:sz w:val="22"/>
        </w:rPr>
        <w:t xml:space="preserve">und </w:t>
      </w:r>
      <w:r w:rsidRPr="00F3119B">
        <w:rPr>
          <w:w w:val="103"/>
          <w:sz w:val="22"/>
        </w:rPr>
        <w:t>(CRF) account held at the Central B</w:t>
      </w:r>
      <w:r w:rsidR="00A90224" w:rsidRPr="00F3119B">
        <w:rPr>
          <w:w w:val="103"/>
          <w:sz w:val="22"/>
        </w:rPr>
        <w:t>ank of Kenya on a weekly basis.</w:t>
      </w:r>
      <w:r w:rsidR="001D7E75" w:rsidRPr="00F3119B">
        <w:rPr>
          <w:w w:val="103"/>
          <w:sz w:val="22"/>
        </w:rPr>
        <w:t xml:space="preserve"> </w:t>
      </w:r>
      <w:r w:rsidR="000731AC" w:rsidRPr="00F3119B">
        <w:rPr>
          <w:w w:val="103"/>
          <w:sz w:val="22"/>
        </w:rPr>
        <w:t xml:space="preserve">A credit advice is issued by </w:t>
      </w:r>
      <w:r w:rsidR="005578EE">
        <w:rPr>
          <w:w w:val="103"/>
          <w:sz w:val="22"/>
        </w:rPr>
        <w:t xml:space="preserve">the </w:t>
      </w:r>
      <w:r w:rsidR="000731AC" w:rsidRPr="00F3119B">
        <w:rPr>
          <w:w w:val="103"/>
          <w:sz w:val="22"/>
        </w:rPr>
        <w:t>KCB and transferred to the revenue collection accountant each time a deposit is made.</w:t>
      </w:r>
    </w:p>
    <w:p w14:paraId="0BE3375B" w14:textId="2B235C29" w:rsidR="008A646C" w:rsidRPr="00F3119B" w:rsidRDefault="00035673" w:rsidP="00F3119B">
      <w:pPr>
        <w:spacing w:after="240"/>
        <w:rPr>
          <w:w w:val="103"/>
          <w:sz w:val="22"/>
        </w:rPr>
      </w:pPr>
      <w:r w:rsidRPr="00F3119B">
        <w:rPr>
          <w:sz w:val="22"/>
        </w:rPr>
        <w:t>In summary, f</w:t>
      </w:r>
      <w:r w:rsidR="00F93520" w:rsidRPr="00F3119B">
        <w:rPr>
          <w:w w:val="103"/>
          <w:sz w:val="22"/>
        </w:rPr>
        <w:t xml:space="preserve">rom the evidence </w:t>
      </w:r>
      <w:r w:rsidR="000731AC" w:rsidRPr="00F3119B">
        <w:rPr>
          <w:w w:val="103"/>
          <w:sz w:val="22"/>
        </w:rPr>
        <w:t>made on the banking slips</w:t>
      </w:r>
      <w:r w:rsidR="00F93520" w:rsidRPr="00F3119B">
        <w:rPr>
          <w:w w:val="103"/>
          <w:sz w:val="22"/>
        </w:rPr>
        <w:t xml:space="preserve">, the revenues are banked in the revenue collection account </w:t>
      </w:r>
      <w:r w:rsidR="000731AC" w:rsidRPr="00F3119B">
        <w:rPr>
          <w:w w:val="103"/>
          <w:sz w:val="22"/>
        </w:rPr>
        <w:t xml:space="preserve">in the KCB </w:t>
      </w:r>
      <w:r w:rsidR="00F93520" w:rsidRPr="00F3119B">
        <w:rPr>
          <w:w w:val="103"/>
          <w:sz w:val="22"/>
        </w:rPr>
        <w:t>on a weekly basis.</w:t>
      </w:r>
      <w:r w:rsidR="000731AC" w:rsidRPr="00F3119B">
        <w:rPr>
          <w:w w:val="103"/>
          <w:sz w:val="22"/>
        </w:rPr>
        <w:t xml:space="preserve"> </w:t>
      </w:r>
    </w:p>
    <w:p w14:paraId="65D87FBD" w14:textId="069364F8" w:rsidR="008A646C" w:rsidRPr="00F3119B" w:rsidRDefault="008A646C" w:rsidP="00F3119B">
      <w:pPr>
        <w:spacing w:after="240"/>
        <w:ind w:left="360" w:hanging="360"/>
        <w:rPr>
          <w:b/>
          <w:sz w:val="22"/>
        </w:rPr>
      </w:pPr>
      <w:r w:rsidRPr="00F3119B">
        <w:rPr>
          <w:b/>
          <w:sz w:val="22"/>
        </w:rPr>
        <w:t>Dimension rating = B</w:t>
      </w:r>
    </w:p>
    <w:p w14:paraId="408256D3" w14:textId="77777777" w:rsidR="00F93520" w:rsidRPr="00890A84" w:rsidRDefault="00867DDD" w:rsidP="00BA6B2B">
      <w:pPr>
        <w:pStyle w:val="Heading5"/>
      </w:pPr>
      <w:r w:rsidRPr="00890A84">
        <w:t>PI-</w:t>
      </w:r>
      <w:r w:rsidR="00F93520" w:rsidRPr="00890A84">
        <w:t xml:space="preserve">20.3. Revenue accounts reconciliation </w:t>
      </w:r>
    </w:p>
    <w:p w14:paraId="3DD108A1" w14:textId="6D7111A8" w:rsidR="00BE289E" w:rsidRPr="00F3119B" w:rsidRDefault="00F93520" w:rsidP="00F3119B">
      <w:pPr>
        <w:spacing w:after="240"/>
        <w:rPr>
          <w:w w:val="103"/>
          <w:sz w:val="22"/>
        </w:rPr>
      </w:pPr>
      <w:r w:rsidRPr="00F3119B">
        <w:rPr>
          <w:w w:val="103"/>
          <w:sz w:val="22"/>
        </w:rPr>
        <w:t xml:space="preserve">The revenue reconciliation in the county is governed by the </w:t>
      </w:r>
      <w:r w:rsidR="00EB09D7">
        <w:rPr>
          <w:w w:val="103"/>
          <w:sz w:val="22"/>
        </w:rPr>
        <w:t>C</w:t>
      </w:r>
      <w:r w:rsidRPr="00F3119B">
        <w:rPr>
          <w:w w:val="103"/>
          <w:sz w:val="22"/>
        </w:rPr>
        <w:t xml:space="preserve">ounty Revenue Administration Act, 2016. </w:t>
      </w:r>
      <w:r w:rsidR="0042535B" w:rsidRPr="00F3119B">
        <w:rPr>
          <w:w w:val="103"/>
          <w:sz w:val="22"/>
        </w:rPr>
        <w:t xml:space="preserve">The </w:t>
      </w:r>
      <w:r w:rsidR="00EB09D7">
        <w:rPr>
          <w:w w:val="103"/>
          <w:sz w:val="22"/>
        </w:rPr>
        <w:t>a</w:t>
      </w:r>
      <w:r w:rsidR="0042535B" w:rsidRPr="00F3119B">
        <w:rPr>
          <w:w w:val="103"/>
          <w:sz w:val="22"/>
        </w:rPr>
        <w:t>ct stipulates that re</w:t>
      </w:r>
      <w:r w:rsidRPr="00F3119B">
        <w:rPr>
          <w:w w:val="103"/>
          <w:sz w:val="22"/>
        </w:rPr>
        <w:t xml:space="preserve">venue analysis </w:t>
      </w:r>
      <w:r w:rsidR="0042535B" w:rsidRPr="00F3119B">
        <w:rPr>
          <w:w w:val="103"/>
          <w:sz w:val="22"/>
        </w:rPr>
        <w:t xml:space="preserve">should be </w:t>
      </w:r>
      <w:r w:rsidRPr="00F3119B">
        <w:rPr>
          <w:w w:val="103"/>
          <w:sz w:val="22"/>
        </w:rPr>
        <w:t xml:space="preserve">done monthly </w:t>
      </w:r>
      <w:r w:rsidR="0042535B" w:rsidRPr="00F3119B">
        <w:rPr>
          <w:w w:val="103"/>
          <w:sz w:val="22"/>
        </w:rPr>
        <w:t xml:space="preserve">and </w:t>
      </w:r>
      <w:r w:rsidRPr="00F3119B">
        <w:rPr>
          <w:w w:val="103"/>
          <w:sz w:val="22"/>
        </w:rPr>
        <w:t>not later than the 15</w:t>
      </w:r>
      <w:r w:rsidRPr="001412E3">
        <w:rPr>
          <w:w w:val="103"/>
          <w:sz w:val="22"/>
        </w:rPr>
        <w:t>th</w:t>
      </w:r>
      <w:r w:rsidRPr="00F3119B">
        <w:rPr>
          <w:w w:val="103"/>
          <w:sz w:val="22"/>
        </w:rPr>
        <w:t xml:space="preserve"> day of the following month based on the revenue targets and actual revenue collected. </w:t>
      </w:r>
      <w:r w:rsidR="0042535B" w:rsidRPr="00F3119B">
        <w:rPr>
          <w:w w:val="103"/>
          <w:sz w:val="22"/>
        </w:rPr>
        <w:t>In addition, c</w:t>
      </w:r>
      <w:r w:rsidRPr="00F3119B">
        <w:rPr>
          <w:w w:val="103"/>
          <w:sz w:val="22"/>
        </w:rPr>
        <w:t xml:space="preserve">onsolidation and reporting </w:t>
      </w:r>
      <w:r w:rsidR="0042535B" w:rsidRPr="00F3119B">
        <w:rPr>
          <w:w w:val="103"/>
          <w:sz w:val="22"/>
        </w:rPr>
        <w:t>of revenues collected should be</w:t>
      </w:r>
      <w:r w:rsidRPr="00F3119B">
        <w:rPr>
          <w:w w:val="103"/>
          <w:sz w:val="22"/>
        </w:rPr>
        <w:t xml:space="preserve"> done quarterly. </w:t>
      </w:r>
      <w:r w:rsidR="00D44E4B" w:rsidRPr="00F3119B">
        <w:rPr>
          <w:w w:val="103"/>
          <w:sz w:val="22"/>
        </w:rPr>
        <w:t xml:space="preserve">Banking </w:t>
      </w:r>
      <w:r w:rsidR="000731AC" w:rsidRPr="00F3119B">
        <w:rPr>
          <w:w w:val="103"/>
          <w:sz w:val="22"/>
        </w:rPr>
        <w:t xml:space="preserve">detailed operations can be </w:t>
      </w:r>
      <w:r w:rsidR="00D44E4B" w:rsidRPr="00F3119B">
        <w:rPr>
          <w:w w:val="103"/>
          <w:sz w:val="22"/>
        </w:rPr>
        <w:t>extract</w:t>
      </w:r>
      <w:r w:rsidR="000731AC" w:rsidRPr="00F3119B">
        <w:rPr>
          <w:w w:val="103"/>
          <w:sz w:val="22"/>
        </w:rPr>
        <w:t>ed</w:t>
      </w:r>
      <w:r w:rsidR="00D44E4B" w:rsidRPr="00F3119B">
        <w:rPr>
          <w:w w:val="103"/>
          <w:sz w:val="22"/>
        </w:rPr>
        <w:t xml:space="preserve"> </w:t>
      </w:r>
      <w:r w:rsidR="000731AC" w:rsidRPr="00F3119B">
        <w:rPr>
          <w:w w:val="103"/>
          <w:sz w:val="22"/>
        </w:rPr>
        <w:t xml:space="preserve">daily through an online interface provided by </w:t>
      </w:r>
      <w:r w:rsidR="00EB09D7">
        <w:rPr>
          <w:w w:val="103"/>
          <w:sz w:val="22"/>
        </w:rPr>
        <w:t xml:space="preserve">the </w:t>
      </w:r>
      <w:r w:rsidR="000731AC" w:rsidRPr="00F3119B">
        <w:rPr>
          <w:w w:val="103"/>
          <w:sz w:val="22"/>
        </w:rPr>
        <w:t xml:space="preserve">KCB. </w:t>
      </w:r>
      <w:r w:rsidRPr="000B4EB8">
        <w:rPr>
          <w:w w:val="103"/>
          <w:sz w:val="22"/>
        </w:rPr>
        <w:t xml:space="preserve">However, </w:t>
      </w:r>
      <w:r w:rsidR="0042535B" w:rsidRPr="000B4EB8">
        <w:rPr>
          <w:w w:val="103"/>
          <w:sz w:val="22"/>
        </w:rPr>
        <w:t xml:space="preserve">no evidence was </w:t>
      </w:r>
      <w:r w:rsidR="000B4EB8">
        <w:rPr>
          <w:w w:val="103"/>
          <w:sz w:val="22"/>
        </w:rPr>
        <w:t>provided</w:t>
      </w:r>
      <w:r w:rsidR="000B4EB8" w:rsidRPr="000B4EB8">
        <w:rPr>
          <w:w w:val="103"/>
          <w:sz w:val="22"/>
        </w:rPr>
        <w:t xml:space="preserve"> </w:t>
      </w:r>
      <w:r w:rsidRPr="000B4EB8">
        <w:rPr>
          <w:w w:val="103"/>
          <w:sz w:val="22"/>
        </w:rPr>
        <w:t>on the same</w:t>
      </w:r>
      <w:r w:rsidRPr="00F3119B">
        <w:rPr>
          <w:w w:val="103"/>
          <w:sz w:val="22"/>
        </w:rPr>
        <w:t xml:space="preserve">. </w:t>
      </w:r>
      <w:r w:rsidR="0064251C" w:rsidRPr="00F3119B">
        <w:rPr>
          <w:w w:val="103"/>
          <w:sz w:val="22"/>
        </w:rPr>
        <w:t>Reconciliation</w:t>
      </w:r>
      <w:r w:rsidR="003867CE">
        <w:rPr>
          <w:w w:val="103"/>
          <w:sz w:val="22"/>
        </w:rPr>
        <w:t>s</w:t>
      </w:r>
      <w:r w:rsidR="0064251C" w:rsidRPr="00F3119B">
        <w:rPr>
          <w:w w:val="103"/>
          <w:sz w:val="22"/>
        </w:rPr>
        <w:t xml:space="preserve"> </w:t>
      </w:r>
      <w:r w:rsidRPr="00F3119B">
        <w:rPr>
          <w:w w:val="103"/>
          <w:sz w:val="22"/>
        </w:rPr>
        <w:t>are done on</w:t>
      </w:r>
      <w:r w:rsidR="003867CE">
        <w:rPr>
          <w:w w:val="103"/>
          <w:sz w:val="22"/>
        </w:rPr>
        <w:t xml:space="preserve"> a</w:t>
      </w:r>
      <w:r w:rsidRPr="00F3119B">
        <w:rPr>
          <w:w w:val="103"/>
          <w:sz w:val="22"/>
        </w:rPr>
        <w:t xml:space="preserve"> monthly basis.</w:t>
      </w:r>
    </w:p>
    <w:p w14:paraId="687649D0" w14:textId="20636271" w:rsidR="008A646C" w:rsidRPr="00F3119B" w:rsidRDefault="00F5429C" w:rsidP="00F3119B">
      <w:pPr>
        <w:spacing w:after="240"/>
        <w:rPr>
          <w:sz w:val="22"/>
        </w:rPr>
      </w:pPr>
      <w:r w:rsidRPr="00F3119B">
        <w:rPr>
          <w:sz w:val="22"/>
        </w:rPr>
        <w:t>In summary, t</w:t>
      </w:r>
      <w:r w:rsidR="00BE289E" w:rsidRPr="00F3119B">
        <w:rPr>
          <w:sz w:val="22"/>
        </w:rPr>
        <w:t>here is no complete reconciliation of assessments, collections, arrears</w:t>
      </w:r>
      <w:r w:rsidR="00656226">
        <w:rPr>
          <w:sz w:val="22"/>
        </w:rPr>
        <w:t>,</w:t>
      </w:r>
      <w:r w:rsidR="00BE289E" w:rsidRPr="00F3119B">
        <w:rPr>
          <w:sz w:val="22"/>
        </w:rPr>
        <w:t xml:space="preserve"> and transfers. </w:t>
      </w:r>
    </w:p>
    <w:p w14:paraId="4A743CE4" w14:textId="25BF4ED9" w:rsidR="008A646C" w:rsidRPr="00F3119B" w:rsidRDefault="008A646C" w:rsidP="00F3119B">
      <w:pPr>
        <w:spacing w:after="240"/>
        <w:ind w:left="360" w:hanging="360"/>
        <w:rPr>
          <w:b/>
          <w:sz w:val="22"/>
        </w:rPr>
      </w:pPr>
      <w:r w:rsidRPr="00F3119B">
        <w:rPr>
          <w:b/>
          <w:sz w:val="22"/>
        </w:rPr>
        <w:t>Dimension rating = D</w:t>
      </w:r>
    </w:p>
    <w:p w14:paraId="2DEFE68D" w14:textId="37409534" w:rsidR="002277B6" w:rsidRPr="00890A84" w:rsidRDefault="00BE289E" w:rsidP="00BA6B2B">
      <w:pPr>
        <w:pStyle w:val="Heading5"/>
      </w:pPr>
      <w:r>
        <w:t>Ongoing</w:t>
      </w:r>
      <w:r w:rsidR="002277B6">
        <w:t xml:space="preserve"> reforms</w:t>
      </w:r>
    </w:p>
    <w:p w14:paraId="70852CA3" w14:textId="1C8FA000" w:rsidR="002277B6" w:rsidRPr="00F3119B" w:rsidRDefault="002277B6" w:rsidP="00F3119B">
      <w:pPr>
        <w:spacing w:after="240"/>
        <w:rPr>
          <w:w w:val="103"/>
          <w:sz w:val="22"/>
        </w:rPr>
      </w:pPr>
      <w:r w:rsidRPr="00F3119B">
        <w:rPr>
          <w:w w:val="103"/>
          <w:sz w:val="22"/>
        </w:rPr>
        <w:t>A new system has been contracted to integrate all revenue collection.</w:t>
      </w:r>
    </w:p>
    <w:p w14:paraId="1746C29F" w14:textId="77777777" w:rsidR="00BB1084" w:rsidRPr="001E3161" w:rsidRDefault="00BB1084" w:rsidP="00590C8E">
      <w:pPr>
        <w:pStyle w:val="Heading4"/>
      </w:pPr>
      <w:r w:rsidRPr="001E3161">
        <w:t>PI-21. Predictability of in-year resource allocation</w:t>
      </w:r>
    </w:p>
    <w:p w14:paraId="45D13F5F" w14:textId="77777777" w:rsidR="003E5B0C" w:rsidRPr="00890A84" w:rsidRDefault="003E5B0C" w:rsidP="00BA6B2B">
      <w:pPr>
        <w:pStyle w:val="Heading5"/>
      </w:pPr>
      <w:r>
        <w:t>Summary of scores and performance table</w:t>
      </w:r>
    </w:p>
    <w:tbl>
      <w:tblPr>
        <w:tblW w:w="924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20" w:firstRow="1" w:lastRow="0" w:firstColumn="0" w:lastColumn="0" w:noHBand="1" w:noVBand="1"/>
      </w:tblPr>
      <w:tblGrid>
        <w:gridCol w:w="3828"/>
        <w:gridCol w:w="567"/>
        <w:gridCol w:w="4848"/>
      </w:tblGrid>
      <w:tr w:rsidR="003E5B0C" w:rsidRPr="00F3119B" w14:paraId="1D03133A" w14:textId="77777777" w:rsidTr="00F3119B">
        <w:trPr>
          <w:tblHeader/>
        </w:trPr>
        <w:tc>
          <w:tcPr>
            <w:tcW w:w="3828" w:type="dxa"/>
            <w:shd w:val="clear" w:color="auto" w:fill="5B9BD5"/>
          </w:tcPr>
          <w:p w14:paraId="0778F935" w14:textId="4B439FD0" w:rsidR="003E5B0C" w:rsidRPr="00F3119B" w:rsidRDefault="003E5B0C" w:rsidP="00F3119B">
            <w:pPr>
              <w:jc w:val="center"/>
              <w:rPr>
                <w:b/>
                <w:color w:val="FFFFFF" w:themeColor="background1"/>
                <w:sz w:val="20"/>
              </w:rPr>
            </w:pPr>
            <w:r w:rsidRPr="00F3119B">
              <w:rPr>
                <w:b/>
                <w:color w:val="FFFFFF" w:themeColor="background1"/>
                <w:sz w:val="20"/>
              </w:rPr>
              <w:t>PI-21</w:t>
            </w:r>
            <w:r w:rsidR="00656226">
              <w:rPr>
                <w:b/>
                <w:color w:val="FFFFFF" w:themeColor="background1"/>
                <w:sz w:val="20"/>
              </w:rPr>
              <w:t>.</w:t>
            </w:r>
            <w:r w:rsidRPr="00F3119B">
              <w:rPr>
                <w:b/>
                <w:color w:val="FFFFFF" w:themeColor="background1"/>
                <w:sz w:val="20"/>
              </w:rPr>
              <w:t xml:space="preserve"> Predictability of in-year resource allocation (M2)</w:t>
            </w:r>
          </w:p>
        </w:tc>
        <w:tc>
          <w:tcPr>
            <w:tcW w:w="567" w:type="dxa"/>
            <w:shd w:val="clear" w:color="auto" w:fill="5B9BD5"/>
          </w:tcPr>
          <w:p w14:paraId="46FD0F17" w14:textId="77777777" w:rsidR="003E5B0C" w:rsidRPr="00F3119B" w:rsidRDefault="003E5B0C" w:rsidP="00656226">
            <w:pPr>
              <w:jc w:val="center"/>
              <w:rPr>
                <w:b/>
                <w:color w:val="FFFFFF" w:themeColor="background1"/>
                <w:sz w:val="20"/>
              </w:rPr>
            </w:pPr>
            <w:r w:rsidRPr="00F3119B">
              <w:rPr>
                <w:b/>
                <w:color w:val="FFFFFF" w:themeColor="background1"/>
                <w:sz w:val="20"/>
              </w:rPr>
              <w:t>C+</w:t>
            </w:r>
          </w:p>
        </w:tc>
        <w:tc>
          <w:tcPr>
            <w:tcW w:w="4848" w:type="dxa"/>
            <w:shd w:val="clear" w:color="auto" w:fill="5B9BD5"/>
          </w:tcPr>
          <w:p w14:paraId="7538BEF7" w14:textId="77777777" w:rsidR="003E5B0C" w:rsidRPr="00F3119B" w:rsidRDefault="003E5B0C" w:rsidP="00F3119B">
            <w:pPr>
              <w:jc w:val="center"/>
              <w:rPr>
                <w:b/>
                <w:color w:val="FFFFFF" w:themeColor="background1"/>
                <w:sz w:val="20"/>
              </w:rPr>
            </w:pPr>
            <w:r w:rsidRPr="00F3119B">
              <w:rPr>
                <w:b/>
                <w:color w:val="FFFFFF" w:themeColor="background1"/>
                <w:sz w:val="20"/>
              </w:rPr>
              <w:t>Brief justification for score</w:t>
            </w:r>
          </w:p>
        </w:tc>
      </w:tr>
      <w:tr w:rsidR="003E5B0C" w:rsidRPr="00F3119B" w14:paraId="5F6335C7" w14:textId="77777777" w:rsidTr="00F3119B">
        <w:tc>
          <w:tcPr>
            <w:tcW w:w="3828" w:type="dxa"/>
            <w:shd w:val="clear" w:color="auto" w:fill="auto"/>
          </w:tcPr>
          <w:p w14:paraId="1A05578A" w14:textId="77777777" w:rsidR="003E5B0C" w:rsidRPr="00F3119B" w:rsidRDefault="003E5B0C" w:rsidP="00F3119B">
            <w:pPr>
              <w:jc w:val="left"/>
              <w:rPr>
                <w:sz w:val="20"/>
              </w:rPr>
            </w:pPr>
            <w:r w:rsidRPr="00F3119B">
              <w:rPr>
                <w:sz w:val="20"/>
              </w:rPr>
              <w:t xml:space="preserve">21.1 Consolidation of cash balances </w:t>
            </w:r>
          </w:p>
        </w:tc>
        <w:tc>
          <w:tcPr>
            <w:tcW w:w="567" w:type="dxa"/>
            <w:shd w:val="clear" w:color="auto" w:fill="auto"/>
          </w:tcPr>
          <w:p w14:paraId="59FBF6D6" w14:textId="77777777" w:rsidR="003E5B0C" w:rsidRPr="00F3119B" w:rsidRDefault="003E5B0C" w:rsidP="00656226">
            <w:pPr>
              <w:jc w:val="center"/>
              <w:rPr>
                <w:sz w:val="20"/>
              </w:rPr>
            </w:pPr>
            <w:r w:rsidRPr="00F3119B">
              <w:rPr>
                <w:sz w:val="20"/>
              </w:rPr>
              <w:t>D</w:t>
            </w:r>
          </w:p>
        </w:tc>
        <w:tc>
          <w:tcPr>
            <w:tcW w:w="4848" w:type="dxa"/>
            <w:shd w:val="clear" w:color="auto" w:fill="auto"/>
          </w:tcPr>
          <w:p w14:paraId="3239684E" w14:textId="77777777" w:rsidR="003E5B0C" w:rsidRPr="00F3119B" w:rsidRDefault="003E5B0C" w:rsidP="00F3119B">
            <w:pPr>
              <w:jc w:val="left"/>
              <w:rPr>
                <w:sz w:val="20"/>
              </w:rPr>
            </w:pPr>
            <w:r w:rsidRPr="00F3119B">
              <w:rPr>
                <w:sz w:val="20"/>
              </w:rPr>
              <w:t>Cash balances are consolidated on a yearly basis.</w:t>
            </w:r>
          </w:p>
        </w:tc>
      </w:tr>
      <w:tr w:rsidR="003E5B0C" w:rsidRPr="00F3119B" w14:paraId="3A816767" w14:textId="77777777" w:rsidTr="00F3119B">
        <w:tc>
          <w:tcPr>
            <w:tcW w:w="3828" w:type="dxa"/>
            <w:shd w:val="clear" w:color="auto" w:fill="auto"/>
          </w:tcPr>
          <w:p w14:paraId="7C12EB08" w14:textId="77777777" w:rsidR="003E5B0C" w:rsidRPr="00F3119B" w:rsidRDefault="003E5B0C" w:rsidP="00F3119B">
            <w:pPr>
              <w:jc w:val="left"/>
              <w:rPr>
                <w:sz w:val="20"/>
              </w:rPr>
            </w:pPr>
            <w:r w:rsidRPr="00F3119B">
              <w:rPr>
                <w:sz w:val="20"/>
              </w:rPr>
              <w:t xml:space="preserve">21.2 Cash forecasting and monitoring </w:t>
            </w:r>
          </w:p>
        </w:tc>
        <w:tc>
          <w:tcPr>
            <w:tcW w:w="567" w:type="dxa"/>
            <w:shd w:val="clear" w:color="auto" w:fill="auto"/>
          </w:tcPr>
          <w:p w14:paraId="7CCF86A4" w14:textId="77777777" w:rsidR="003E5B0C" w:rsidRPr="00F3119B" w:rsidRDefault="003E5B0C" w:rsidP="00656226">
            <w:pPr>
              <w:jc w:val="center"/>
              <w:rPr>
                <w:sz w:val="20"/>
              </w:rPr>
            </w:pPr>
            <w:r w:rsidRPr="00F3119B">
              <w:rPr>
                <w:sz w:val="20"/>
              </w:rPr>
              <w:t>C</w:t>
            </w:r>
          </w:p>
        </w:tc>
        <w:tc>
          <w:tcPr>
            <w:tcW w:w="4848" w:type="dxa"/>
            <w:shd w:val="clear" w:color="auto" w:fill="auto"/>
          </w:tcPr>
          <w:p w14:paraId="406D41C8" w14:textId="39D3A9D8" w:rsidR="003E5B0C" w:rsidRPr="00F3119B" w:rsidRDefault="003E5B0C" w:rsidP="00F3119B">
            <w:pPr>
              <w:jc w:val="left"/>
              <w:rPr>
                <w:sz w:val="20"/>
              </w:rPr>
            </w:pPr>
            <w:bookmarkStart w:id="99" w:name="_Hlk517214896"/>
            <w:r w:rsidRPr="00F3119B">
              <w:rPr>
                <w:sz w:val="20"/>
              </w:rPr>
              <w:t xml:space="preserve">The county prepares cash flow forecast for the fiscal year, which is broken down </w:t>
            </w:r>
            <w:r w:rsidR="00656226">
              <w:rPr>
                <w:sz w:val="20"/>
              </w:rPr>
              <w:t>by</w:t>
            </w:r>
            <w:r w:rsidR="00656226" w:rsidRPr="00F3119B">
              <w:rPr>
                <w:sz w:val="20"/>
              </w:rPr>
              <w:t xml:space="preserve"> </w:t>
            </w:r>
            <w:r w:rsidRPr="00F3119B">
              <w:rPr>
                <w:sz w:val="20"/>
              </w:rPr>
              <w:t>month</w:t>
            </w:r>
            <w:r w:rsidR="00BE289E" w:rsidRPr="00F3119B">
              <w:rPr>
                <w:sz w:val="20"/>
              </w:rPr>
              <w:t xml:space="preserve"> but is not updated</w:t>
            </w:r>
            <w:r w:rsidRPr="00F3119B">
              <w:rPr>
                <w:sz w:val="20"/>
              </w:rPr>
              <w:t>.</w:t>
            </w:r>
            <w:bookmarkEnd w:id="99"/>
          </w:p>
        </w:tc>
      </w:tr>
      <w:tr w:rsidR="003E5B0C" w:rsidRPr="00F3119B" w14:paraId="43619288" w14:textId="77777777" w:rsidTr="00F3119B">
        <w:tc>
          <w:tcPr>
            <w:tcW w:w="3828" w:type="dxa"/>
            <w:shd w:val="clear" w:color="auto" w:fill="auto"/>
          </w:tcPr>
          <w:p w14:paraId="1168BAC7" w14:textId="77777777" w:rsidR="003E5B0C" w:rsidRPr="00F3119B" w:rsidRDefault="003E5B0C" w:rsidP="00F3119B">
            <w:pPr>
              <w:jc w:val="left"/>
              <w:rPr>
                <w:sz w:val="20"/>
              </w:rPr>
            </w:pPr>
            <w:r w:rsidRPr="00F3119B">
              <w:rPr>
                <w:sz w:val="20"/>
              </w:rPr>
              <w:t xml:space="preserve">21.3 Information on commitment ceilings </w:t>
            </w:r>
          </w:p>
        </w:tc>
        <w:tc>
          <w:tcPr>
            <w:tcW w:w="567" w:type="dxa"/>
            <w:shd w:val="clear" w:color="auto" w:fill="auto"/>
          </w:tcPr>
          <w:p w14:paraId="79D22E65" w14:textId="77777777" w:rsidR="003E5B0C" w:rsidRPr="00F3119B" w:rsidRDefault="003E5B0C" w:rsidP="00656226">
            <w:pPr>
              <w:jc w:val="center"/>
              <w:rPr>
                <w:sz w:val="20"/>
              </w:rPr>
            </w:pPr>
            <w:r w:rsidRPr="00F3119B">
              <w:rPr>
                <w:sz w:val="20"/>
              </w:rPr>
              <w:t>B</w:t>
            </w:r>
          </w:p>
        </w:tc>
        <w:tc>
          <w:tcPr>
            <w:tcW w:w="4848" w:type="dxa"/>
            <w:shd w:val="clear" w:color="auto" w:fill="auto"/>
          </w:tcPr>
          <w:p w14:paraId="0F4ACB2F" w14:textId="1A6F5985" w:rsidR="003E5B0C" w:rsidRPr="00F3119B" w:rsidRDefault="003E5B0C" w:rsidP="00F3119B">
            <w:pPr>
              <w:jc w:val="left"/>
              <w:rPr>
                <w:sz w:val="20"/>
              </w:rPr>
            </w:pPr>
            <w:r w:rsidRPr="00F3119B">
              <w:rPr>
                <w:sz w:val="20"/>
              </w:rPr>
              <w:t xml:space="preserve">Budgetary units are provided reliable information on commitment ceilings at least </w:t>
            </w:r>
            <w:r w:rsidR="00656226">
              <w:rPr>
                <w:sz w:val="20"/>
              </w:rPr>
              <w:t xml:space="preserve">a </w:t>
            </w:r>
            <w:r w:rsidRPr="00F3119B">
              <w:rPr>
                <w:sz w:val="20"/>
              </w:rPr>
              <w:t>quarter in advance.</w:t>
            </w:r>
          </w:p>
        </w:tc>
      </w:tr>
      <w:tr w:rsidR="003E5B0C" w:rsidRPr="00F3119B" w14:paraId="4C7B1921" w14:textId="77777777" w:rsidTr="00F3119B">
        <w:tc>
          <w:tcPr>
            <w:tcW w:w="3828" w:type="dxa"/>
            <w:shd w:val="clear" w:color="auto" w:fill="auto"/>
          </w:tcPr>
          <w:p w14:paraId="113F37B0" w14:textId="77777777" w:rsidR="003E5B0C" w:rsidRPr="00F3119B" w:rsidRDefault="003E5B0C" w:rsidP="00F3119B">
            <w:pPr>
              <w:jc w:val="left"/>
              <w:rPr>
                <w:sz w:val="20"/>
              </w:rPr>
            </w:pPr>
            <w:r w:rsidRPr="00F3119B">
              <w:rPr>
                <w:sz w:val="20"/>
              </w:rPr>
              <w:t xml:space="preserve">21.4 Significance of in-year budget adjustments </w:t>
            </w:r>
          </w:p>
        </w:tc>
        <w:tc>
          <w:tcPr>
            <w:tcW w:w="567" w:type="dxa"/>
            <w:shd w:val="clear" w:color="auto" w:fill="auto"/>
          </w:tcPr>
          <w:p w14:paraId="41480AF7" w14:textId="77777777" w:rsidR="003E5B0C" w:rsidRPr="00F3119B" w:rsidRDefault="003E5B0C" w:rsidP="00656226">
            <w:pPr>
              <w:jc w:val="center"/>
              <w:rPr>
                <w:sz w:val="20"/>
              </w:rPr>
            </w:pPr>
            <w:r w:rsidRPr="00F3119B">
              <w:rPr>
                <w:sz w:val="20"/>
              </w:rPr>
              <w:t>A</w:t>
            </w:r>
          </w:p>
        </w:tc>
        <w:tc>
          <w:tcPr>
            <w:tcW w:w="4848" w:type="dxa"/>
            <w:shd w:val="clear" w:color="auto" w:fill="auto"/>
          </w:tcPr>
          <w:p w14:paraId="03D99022" w14:textId="3CCA08B3" w:rsidR="003E5B0C" w:rsidRPr="00F3119B" w:rsidRDefault="003E5B0C" w:rsidP="00F3119B">
            <w:pPr>
              <w:jc w:val="left"/>
              <w:rPr>
                <w:sz w:val="20"/>
              </w:rPr>
            </w:pPr>
            <w:r w:rsidRPr="00F3119B">
              <w:rPr>
                <w:sz w:val="20"/>
              </w:rPr>
              <w:t>Significant in-year adjustments to budget allocations take place no more than twice a year and are done in a transparent and predictable way.</w:t>
            </w:r>
          </w:p>
        </w:tc>
      </w:tr>
    </w:tbl>
    <w:p w14:paraId="259D6DCA" w14:textId="77777777" w:rsidR="00C94D37" w:rsidRPr="00890A84" w:rsidRDefault="00867DDD" w:rsidP="00BA6B2B">
      <w:pPr>
        <w:pStyle w:val="Heading5"/>
      </w:pPr>
      <w:r w:rsidRPr="00890A84">
        <w:t>PI-</w:t>
      </w:r>
      <w:r w:rsidR="00C94D37" w:rsidRPr="00890A84">
        <w:t xml:space="preserve">21.1. Consolidation of cash balances </w:t>
      </w:r>
    </w:p>
    <w:p w14:paraId="2389B082" w14:textId="7A8B889D" w:rsidR="005744B1" w:rsidRPr="00F3119B" w:rsidRDefault="009C0DF4" w:rsidP="00F3119B">
      <w:pPr>
        <w:spacing w:after="240"/>
        <w:rPr>
          <w:sz w:val="22"/>
        </w:rPr>
      </w:pPr>
      <w:r w:rsidRPr="00F3119B">
        <w:rPr>
          <w:sz w:val="22"/>
        </w:rPr>
        <w:t>Section 109 of the PFM Act</w:t>
      </w:r>
      <w:r w:rsidR="005744B1" w:rsidRPr="00F3119B">
        <w:rPr>
          <w:sz w:val="22"/>
        </w:rPr>
        <w:t>,</w:t>
      </w:r>
      <w:r w:rsidRPr="00F3119B">
        <w:rPr>
          <w:sz w:val="22"/>
        </w:rPr>
        <w:t xml:space="preserve"> 2012</w:t>
      </w:r>
      <w:r w:rsidR="00656226">
        <w:rPr>
          <w:sz w:val="22"/>
        </w:rPr>
        <w:t>,</w:t>
      </w:r>
      <w:r w:rsidRPr="00F3119B">
        <w:rPr>
          <w:sz w:val="22"/>
        </w:rPr>
        <w:t xml:space="preserve"> </w:t>
      </w:r>
      <w:r w:rsidR="005744B1" w:rsidRPr="00F3119B">
        <w:rPr>
          <w:sz w:val="22"/>
        </w:rPr>
        <w:t>provides that each county g</w:t>
      </w:r>
      <w:r w:rsidRPr="00F3119B">
        <w:rPr>
          <w:sz w:val="22"/>
        </w:rPr>
        <w:t>overnment shall ensure that all monies raised or r</w:t>
      </w:r>
      <w:r w:rsidR="005744B1" w:rsidRPr="00F3119B">
        <w:rPr>
          <w:sz w:val="22"/>
        </w:rPr>
        <w:t>eceived by or on behalf of the c</w:t>
      </w:r>
      <w:r w:rsidRPr="00F3119B">
        <w:rPr>
          <w:sz w:val="22"/>
        </w:rPr>
        <w:t>ounty government shall be paid into the CRF</w:t>
      </w:r>
      <w:r w:rsidR="005744B1" w:rsidRPr="00F3119B">
        <w:rPr>
          <w:sz w:val="22"/>
        </w:rPr>
        <w:t xml:space="preserve"> account</w:t>
      </w:r>
      <w:r w:rsidRPr="00F3119B">
        <w:rPr>
          <w:sz w:val="22"/>
        </w:rPr>
        <w:t>.</w:t>
      </w:r>
      <w:r w:rsidR="005744B1" w:rsidRPr="00F3119B">
        <w:rPr>
          <w:sz w:val="22"/>
        </w:rPr>
        <w:t xml:space="preserve"> The county has </w:t>
      </w:r>
      <w:r w:rsidRPr="00F3119B">
        <w:rPr>
          <w:sz w:val="22"/>
        </w:rPr>
        <w:t xml:space="preserve">four </w:t>
      </w:r>
      <w:r w:rsidR="00072F36" w:rsidRPr="00F3119B">
        <w:rPr>
          <w:sz w:val="22"/>
        </w:rPr>
        <w:t xml:space="preserve">accounts </w:t>
      </w:r>
      <w:r w:rsidR="005744B1" w:rsidRPr="00F3119B">
        <w:rPr>
          <w:sz w:val="22"/>
        </w:rPr>
        <w:t>maintained at the Central B</w:t>
      </w:r>
      <w:r w:rsidRPr="00F3119B">
        <w:rPr>
          <w:sz w:val="22"/>
        </w:rPr>
        <w:t>ank</w:t>
      </w:r>
      <w:r w:rsidR="00072F36" w:rsidRPr="00F3119B">
        <w:rPr>
          <w:sz w:val="22"/>
        </w:rPr>
        <w:t>, one of which is the CRF account</w:t>
      </w:r>
      <w:r w:rsidRPr="00F3119B">
        <w:rPr>
          <w:sz w:val="22"/>
        </w:rPr>
        <w:t xml:space="preserve"> and three </w:t>
      </w:r>
      <w:r w:rsidR="00072F36" w:rsidRPr="00F3119B">
        <w:rPr>
          <w:sz w:val="22"/>
        </w:rPr>
        <w:t xml:space="preserve">more accounts </w:t>
      </w:r>
      <w:r w:rsidRPr="00F3119B">
        <w:rPr>
          <w:sz w:val="22"/>
        </w:rPr>
        <w:t xml:space="preserve">held at </w:t>
      </w:r>
      <w:r w:rsidR="005744B1" w:rsidRPr="00F3119B">
        <w:rPr>
          <w:sz w:val="22"/>
        </w:rPr>
        <w:t xml:space="preserve">the </w:t>
      </w:r>
      <w:r w:rsidR="00072F36" w:rsidRPr="00F3119B">
        <w:rPr>
          <w:sz w:val="22"/>
        </w:rPr>
        <w:t xml:space="preserve">KCB. All </w:t>
      </w:r>
      <w:r w:rsidRPr="00F3119B">
        <w:rPr>
          <w:sz w:val="22"/>
        </w:rPr>
        <w:t xml:space="preserve">bank and cash balances are consolidated </w:t>
      </w:r>
      <w:r w:rsidR="00B97A81" w:rsidRPr="00F3119B">
        <w:rPr>
          <w:sz w:val="22"/>
        </w:rPr>
        <w:t>yearly</w:t>
      </w:r>
      <w:r w:rsidR="001D7E75" w:rsidRPr="00F3119B">
        <w:rPr>
          <w:sz w:val="22"/>
        </w:rPr>
        <w:t xml:space="preserve"> </w:t>
      </w:r>
      <w:r w:rsidR="00B97A81" w:rsidRPr="00F3119B">
        <w:rPr>
          <w:sz w:val="22"/>
        </w:rPr>
        <w:t>for</w:t>
      </w:r>
      <w:r w:rsidRPr="00F3119B">
        <w:rPr>
          <w:sz w:val="22"/>
        </w:rPr>
        <w:t xml:space="preserve"> the preparation of the annual financial statements.</w:t>
      </w:r>
    </w:p>
    <w:p w14:paraId="6850D503" w14:textId="77777777" w:rsidR="008A646C" w:rsidRPr="00F3119B" w:rsidRDefault="00F5429C" w:rsidP="00F3119B">
      <w:pPr>
        <w:spacing w:after="240"/>
        <w:rPr>
          <w:sz w:val="22"/>
        </w:rPr>
      </w:pPr>
      <w:r w:rsidRPr="00F3119B">
        <w:rPr>
          <w:sz w:val="22"/>
        </w:rPr>
        <w:t>In summary, c</w:t>
      </w:r>
      <w:r w:rsidR="00BE289E" w:rsidRPr="00F3119B">
        <w:rPr>
          <w:sz w:val="22"/>
        </w:rPr>
        <w:t xml:space="preserve">ash balances are consolidated on a yearly basis. </w:t>
      </w:r>
    </w:p>
    <w:p w14:paraId="430212B4" w14:textId="5604F994" w:rsidR="008A646C" w:rsidRPr="00F3119B" w:rsidRDefault="008A646C" w:rsidP="00F3119B">
      <w:pPr>
        <w:spacing w:after="240"/>
        <w:ind w:left="360" w:hanging="360"/>
        <w:rPr>
          <w:b/>
          <w:sz w:val="22"/>
        </w:rPr>
      </w:pPr>
      <w:r w:rsidRPr="00F3119B">
        <w:rPr>
          <w:b/>
          <w:sz w:val="22"/>
        </w:rPr>
        <w:t>Dimension rating = D</w:t>
      </w:r>
    </w:p>
    <w:p w14:paraId="744521B2" w14:textId="77777777" w:rsidR="00F93520" w:rsidRPr="00890A84" w:rsidRDefault="00867DDD" w:rsidP="00BA6B2B">
      <w:pPr>
        <w:pStyle w:val="Heading5"/>
      </w:pPr>
      <w:r w:rsidRPr="00890A84">
        <w:t>PI-</w:t>
      </w:r>
      <w:r w:rsidR="00F93520" w:rsidRPr="00890A84">
        <w:t xml:space="preserve">21.2. Cash forecasting and monitoring </w:t>
      </w:r>
    </w:p>
    <w:p w14:paraId="1B2AABE4" w14:textId="17E77710" w:rsidR="00643A6B" w:rsidRPr="00F3119B" w:rsidRDefault="00F93520" w:rsidP="00F3119B">
      <w:pPr>
        <w:spacing w:after="240"/>
        <w:rPr>
          <w:sz w:val="22"/>
        </w:rPr>
      </w:pPr>
      <w:r w:rsidRPr="00F3119B">
        <w:rPr>
          <w:sz w:val="22"/>
        </w:rPr>
        <w:t xml:space="preserve">The cash flow forecast is prepared </w:t>
      </w:r>
      <w:r w:rsidR="00072F36" w:rsidRPr="00F3119B">
        <w:rPr>
          <w:sz w:val="22"/>
        </w:rPr>
        <w:t xml:space="preserve">on a monthly basis and </w:t>
      </w:r>
      <w:r w:rsidRPr="00F3119B">
        <w:rPr>
          <w:sz w:val="22"/>
        </w:rPr>
        <w:t xml:space="preserve">is informed by an assessment of the revenue </w:t>
      </w:r>
      <w:r w:rsidR="00123901" w:rsidRPr="00F3119B">
        <w:rPr>
          <w:sz w:val="22"/>
        </w:rPr>
        <w:t xml:space="preserve">streams. </w:t>
      </w:r>
      <w:r w:rsidR="00072F36" w:rsidRPr="00F3119B">
        <w:rPr>
          <w:sz w:val="22"/>
        </w:rPr>
        <w:t>R</w:t>
      </w:r>
      <w:r w:rsidRPr="00F3119B">
        <w:rPr>
          <w:sz w:val="22"/>
        </w:rPr>
        <w:t>evenue forecast</w:t>
      </w:r>
      <w:r w:rsidR="004F5FBA" w:rsidRPr="00F3119B">
        <w:rPr>
          <w:sz w:val="22"/>
        </w:rPr>
        <w:t xml:space="preserve">s </w:t>
      </w:r>
      <w:r w:rsidRPr="00F3119B">
        <w:rPr>
          <w:sz w:val="22"/>
        </w:rPr>
        <w:t xml:space="preserve">and the actual revenue </w:t>
      </w:r>
      <w:r w:rsidR="00072F36" w:rsidRPr="00F3119B">
        <w:rPr>
          <w:sz w:val="22"/>
        </w:rPr>
        <w:t>are analy</w:t>
      </w:r>
      <w:r w:rsidR="00656226">
        <w:rPr>
          <w:sz w:val="22"/>
        </w:rPr>
        <w:t>z</w:t>
      </w:r>
      <w:r w:rsidR="00072F36" w:rsidRPr="00F3119B">
        <w:rPr>
          <w:sz w:val="22"/>
        </w:rPr>
        <w:t xml:space="preserve">ed </w:t>
      </w:r>
      <w:r w:rsidR="00B97A81" w:rsidRPr="00F3119B">
        <w:rPr>
          <w:sz w:val="22"/>
        </w:rPr>
        <w:t xml:space="preserve">but not updated </w:t>
      </w:r>
      <w:r w:rsidR="0091086E" w:rsidRPr="00F3119B">
        <w:rPr>
          <w:sz w:val="22"/>
        </w:rPr>
        <w:t>monthly</w:t>
      </w:r>
      <w:r w:rsidRPr="00F3119B">
        <w:rPr>
          <w:sz w:val="22"/>
        </w:rPr>
        <w:t xml:space="preserve">. </w:t>
      </w:r>
    </w:p>
    <w:p w14:paraId="41945058" w14:textId="1FDE35AB" w:rsidR="008A646C" w:rsidRPr="00F3119B" w:rsidRDefault="00F5429C" w:rsidP="00F3119B">
      <w:pPr>
        <w:spacing w:after="240"/>
        <w:rPr>
          <w:sz w:val="22"/>
        </w:rPr>
      </w:pPr>
      <w:r w:rsidRPr="00F3119B">
        <w:rPr>
          <w:sz w:val="22"/>
        </w:rPr>
        <w:t>In summary, t</w:t>
      </w:r>
      <w:r w:rsidR="00BE289E" w:rsidRPr="00F3119B">
        <w:rPr>
          <w:sz w:val="22"/>
        </w:rPr>
        <w:t xml:space="preserve">he county prepares cash flow forecast for the fiscal year, which is broken down </w:t>
      </w:r>
      <w:r w:rsidR="00656226">
        <w:rPr>
          <w:sz w:val="22"/>
        </w:rPr>
        <w:t>by</w:t>
      </w:r>
      <w:r w:rsidR="00656226" w:rsidRPr="00F3119B">
        <w:rPr>
          <w:sz w:val="22"/>
        </w:rPr>
        <w:t xml:space="preserve"> </w:t>
      </w:r>
      <w:r w:rsidR="00BE289E" w:rsidRPr="00F3119B">
        <w:rPr>
          <w:sz w:val="22"/>
        </w:rPr>
        <w:t xml:space="preserve">month but is not updated. </w:t>
      </w:r>
    </w:p>
    <w:p w14:paraId="6B4442F3" w14:textId="2ABD93A0" w:rsidR="008A646C" w:rsidRPr="00F3119B" w:rsidRDefault="008A646C" w:rsidP="008A646C">
      <w:pPr>
        <w:ind w:left="360" w:hanging="360"/>
        <w:rPr>
          <w:b/>
          <w:sz w:val="22"/>
        </w:rPr>
      </w:pPr>
      <w:r w:rsidRPr="00F3119B">
        <w:rPr>
          <w:b/>
          <w:sz w:val="22"/>
        </w:rPr>
        <w:t>Dimension rating = C</w:t>
      </w:r>
    </w:p>
    <w:p w14:paraId="4F1117FA" w14:textId="77777777" w:rsidR="00F93520" w:rsidRPr="00890A84" w:rsidRDefault="00867DDD" w:rsidP="00BA6B2B">
      <w:pPr>
        <w:pStyle w:val="Heading5"/>
      </w:pPr>
      <w:r w:rsidRPr="00890A84">
        <w:t>PI-</w:t>
      </w:r>
      <w:r w:rsidR="00F93520" w:rsidRPr="00890A84">
        <w:t xml:space="preserve">21.3. Information on commitment ceilings </w:t>
      </w:r>
    </w:p>
    <w:p w14:paraId="5559A19F" w14:textId="71B164AE" w:rsidR="00656226" w:rsidRDefault="00F93520" w:rsidP="00F3119B">
      <w:pPr>
        <w:rPr>
          <w:sz w:val="22"/>
        </w:rPr>
      </w:pPr>
      <w:r w:rsidRPr="00F3119B">
        <w:rPr>
          <w:sz w:val="22"/>
        </w:rPr>
        <w:t xml:space="preserve">The commitment ceilings </w:t>
      </w:r>
      <w:r w:rsidR="008C39F7" w:rsidRPr="00F3119B">
        <w:rPr>
          <w:sz w:val="22"/>
        </w:rPr>
        <w:t>are</w:t>
      </w:r>
      <w:r w:rsidRPr="00F3119B">
        <w:rPr>
          <w:sz w:val="22"/>
        </w:rPr>
        <w:t xml:space="preserve"> received by the budgetary unit at least </w:t>
      </w:r>
      <w:r w:rsidR="008C39F7" w:rsidRPr="00F3119B">
        <w:rPr>
          <w:sz w:val="22"/>
        </w:rPr>
        <w:t xml:space="preserve">three months </w:t>
      </w:r>
      <w:r w:rsidRPr="00F3119B">
        <w:rPr>
          <w:sz w:val="22"/>
        </w:rPr>
        <w:t>in advance</w:t>
      </w:r>
      <w:r w:rsidR="008C39F7" w:rsidRPr="00F3119B">
        <w:rPr>
          <w:sz w:val="22"/>
        </w:rPr>
        <w:t xml:space="preserve"> and are based on the budgets</w:t>
      </w:r>
      <w:r w:rsidRPr="00F3119B">
        <w:rPr>
          <w:sz w:val="22"/>
        </w:rPr>
        <w:t xml:space="preserve">. </w:t>
      </w:r>
      <w:r w:rsidR="008C39F7" w:rsidRPr="00F3119B">
        <w:rPr>
          <w:sz w:val="22"/>
        </w:rPr>
        <w:t>Budget r</w:t>
      </w:r>
      <w:r w:rsidR="00B73C7D" w:rsidRPr="00F3119B">
        <w:rPr>
          <w:sz w:val="22"/>
        </w:rPr>
        <w:t xml:space="preserve">equisitions </w:t>
      </w:r>
      <w:r w:rsidR="008C39F7" w:rsidRPr="00F3119B">
        <w:rPr>
          <w:sz w:val="22"/>
        </w:rPr>
        <w:t xml:space="preserve">are made </w:t>
      </w:r>
      <w:r w:rsidR="00B73C7D" w:rsidRPr="00F3119B">
        <w:rPr>
          <w:sz w:val="22"/>
        </w:rPr>
        <w:t xml:space="preserve">to the COB </w:t>
      </w:r>
      <w:r w:rsidR="008C39F7" w:rsidRPr="00F3119B">
        <w:rPr>
          <w:sz w:val="22"/>
        </w:rPr>
        <w:t xml:space="preserve">on a </w:t>
      </w:r>
      <w:r w:rsidRPr="00F3119B">
        <w:rPr>
          <w:sz w:val="22"/>
        </w:rPr>
        <w:t>monthly</w:t>
      </w:r>
      <w:r w:rsidR="008C39F7" w:rsidRPr="00F3119B">
        <w:rPr>
          <w:sz w:val="22"/>
        </w:rPr>
        <w:t xml:space="preserve"> basis</w:t>
      </w:r>
      <w:r w:rsidR="009E3EF3" w:rsidRPr="00F3119B">
        <w:rPr>
          <w:sz w:val="22"/>
        </w:rPr>
        <w:t>.</w:t>
      </w:r>
    </w:p>
    <w:p w14:paraId="3D705163" w14:textId="77777777" w:rsidR="00332285" w:rsidRDefault="00332285" w:rsidP="00F3119B">
      <w:pPr>
        <w:rPr>
          <w:sz w:val="22"/>
        </w:rPr>
      </w:pPr>
    </w:p>
    <w:p w14:paraId="5DD1BCF7" w14:textId="1CF6CD6D" w:rsidR="00F93520" w:rsidRPr="00332285" w:rsidRDefault="00656226" w:rsidP="00332285">
      <w:pPr>
        <w:ind w:left="360" w:hanging="360"/>
        <w:rPr>
          <w:b/>
          <w:sz w:val="22"/>
        </w:rPr>
      </w:pPr>
      <w:r w:rsidRPr="00F3119B">
        <w:rPr>
          <w:b/>
          <w:sz w:val="22"/>
        </w:rPr>
        <w:t>Dimension rat</w:t>
      </w:r>
      <w:r>
        <w:rPr>
          <w:b/>
          <w:sz w:val="22"/>
        </w:rPr>
        <w:t>ing = B</w:t>
      </w:r>
    </w:p>
    <w:p w14:paraId="524B4631" w14:textId="77777777" w:rsidR="00F93520" w:rsidRPr="00890A84" w:rsidRDefault="00867DDD" w:rsidP="00BA6B2B">
      <w:pPr>
        <w:pStyle w:val="Heading5"/>
      </w:pPr>
      <w:r w:rsidRPr="00890A84">
        <w:t>PI-</w:t>
      </w:r>
      <w:r w:rsidR="00F93520" w:rsidRPr="00890A84">
        <w:t xml:space="preserve">21.4. Significance of in-year budget adjustments </w:t>
      </w:r>
    </w:p>
    <w:p w14:paraId="525B9267" w14:textId="77777777" w:rsidR="008A646C" w:rsidRPr="00F3119B" w:rsidRDefault="00F93520" w:rsidP="00F3119B">
      <w:pPr>
        <w:spacing w:after="240"/>
        <w:rPr>
          <w:sz w:val="22"/>
        </w:rPr>
      </w:pPr>
      <w:r w:rsidRPr="00F3119B">
        <w:rPr>
          <w:sz w:val="22"/>
        </w:rPr>
        <w:t xml:space="preserve">The </w:t>
      </w:r>
      <w:r w:rsidR="008C39F7" w:rsidRPr="00F3119B">
        <w:rPr>
          <w:sz w:val="22"/>
        </w:rPr>
        <w:t xml:space="preserve">budget </w:t>
      </w:r>
      <w:r w:rsidRPr="00F3119B">
        <w:rPr>
          <w:sz w:val="22"/>
        </w:rPr>
        <w:t xml:space="preserve">adjustments are governed by the </w:t>
      </w:r>
      <w:r w:rsidR="008C39F7" w:rsidRPr="00F3119B">
        <w:rPr>
          <w:sz w:val="22"/>
        </w:rPr>
        <w:t>PFM Act, 2012</w:t>
      </w:r>
      <w:r w:rsidRPr="00F3119B">
        <w:rPr>
          <w:sz w:val="22"/>
        </w:rPr>
        <w:t>. Through a circular, departments are communicated to submit their budget adjustments which are compiled by the budget d</w:t>
      </w:r>
      <w:r w:rsidR="008C39F7" w:rsidRPr="00F3119B">
        <w:rPr>
          <w:sz w:val="22"/>
        </w:rPr>
        <w:t>epartment and submitted to the County A</w:t>
      </w:r>
      <w:r w:rsidRPr="00F3119B">
        <w:rPr>
          <w:sz w:val="22"/>
        </w:rPr>
        <w:t>ssembly for approval</w:t>
      </w:r>
      <w:r w:rsidR="00643A6B" w:rsidRPr="00F3119B">
        <w:rPr>
          <w:sz w:val="22"/>
        </w:rPr>
        <w:t>.</w:t>
      </w:r>
      <w:r w:rsidR="001D7E75" w:rsidRPr="00F3119B">
        <w:rPr>
          <w:sz w:val="22"/>
        </w:rPr>
        <w:t xml:space="preserve"> </w:t>
      </w:r>
      <w:r w:rsidR="00643A6B" w:rsidRPr="00F3119B">
        <w:rPr>
          <w:sz w:val="22"/>
        </w:rPr>
        <w:t>In-year budget adjustments are done once</w:t>
      </w:r>
      <w:r w:rsidR="008C39F7" w:rsidRPr="00F3119B">
        <w:rPr>
          <w:sz w:val="22"/>
        </w:rPr>
        <w:t xml:space="preserve"> a</w:t>
      </w:r>
      <w:r w:rsidR="00643A6B" w:rsidRPr="00F3119B">
        <w:rPr>
          <w:sz w:val="22"/>
        </w:rPr>
        <w:t xml:space="preserve"> year.</w:t>
      </w:r>
      <w:r w:rsidR="003A34F3" w:rsidRPr="00F3119B">
        <w:rPr>
          <w:sz w:val="22"/>
        </w:rPr>
        <w:t xml:space="preserve"> </w:t>
      </w:r>
    </w:p>
    <w:p w14:paraId="0E225B26" w14:textId="433397F4" w:rsidR="008A646C" w:rsidRPr="00F3119B" w:rsidRDefault="008A646C" w:rsidP="00F3119B">
      <w:pPr>
        <w:spacing w:after="240"/>
        <w:rPr>
          <w:b/>
          <w:sz w:val="22"/>
        </w:rPr>
      </w:pPr>
      <w:r w:rsidRPr="00F3119B">
        <w:rPr>
          <w:b/>
          <w:sz w:val="22"/>
        </w:rPr>
        <w:t>Dimension rating = A</w:t>
      </w:r>
    </w:p>
    <w:p w14:paraId="5069012E" w14:textId="77777777" w:rsidR="00BB1084" w:rsidRPr="00890A84" w:rsidRDefault="00BB1084" w:rsidP="00590C8E">
      <w:pPr>
        <w:pStyle w:val="Heading4"/>
      </w:pPr>
      <w:r w:rsidRPr="00890A84">
        <w:t xml:space="preserve">PI-22. Expenditure arrears </w:t>
      </w:r>
    </w:p>
    <w:p w14:paraId="5BD13F95" w14:textId="77777777" w:rsidR="003E5B0C" w:rsidRPr="00890A84" w:rsidRDefault="003E5B0C" w:rsidP="00BA6B2B">
      <w:pPr>
        <w:pStyle w:val="Heading5"/>
      </w:pPr>
      <w:r>
        <w:t>Summary of scores and performance table</w:t>
      </w:r>
    </w:p>
    <w:tbl>
      <w:tblPr>
        <w:tblW w:w="924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20" w:firstRow="1" w:lastRow="0" w:firstColumn="0" w:lastColumn="0" w:noHBand="1" w:noVBand="1"/>
      </w:tblPr>
      <w:tblGrid>
        <w:gridCol w:w="2770"/>
        <w:gridCol w:w="491"/>
        <w:gridCol w:w="5982"/>
      </w:tblGrid>
      <w:tr w:rsidR="003E5B0C" w:rsidRPr="00F3119B" w14:paraId="31B864BE" w14:textId="77777777" w:rsidTr="00F3119B">
        <w:trPr>
          <w:tblHeader/>
        </w:trPr>
        <w:tc>
          <w:tcPr>
            <w:tcW w:w="2770" w:type="dxa"/>
            <w:shd w:val="clear" w:color="auto" w:fill="5B9BD5"/>
          </w:tcPr>
          <w:p w14:paraId="05811E62" w14:textId="2AFA3CDC" w:rsidR="003E5B0C" w:rsidRPr="00F3119B" w:rsidRDefault="003E5B0C" w:rsidP="00F3119B">
            <w:pPr>
              <w:jc w:val="center"/>
              <w:rPr>
                <w:b/>
                <w:color w:val="FFFFFF" w:themeColor="background1"/>
                <w:sz w:val="20"/>
                <w:szCs w:val="20"/>
              </w:rPr>
            </w:pPr>
            <w:r w:rsidRPr="00F3119B">
              <w:rPr>
                <w:b/>
                <w:color w:val="FFFFFF" w:themeColor="background1"/>
                <w:sz w:val="20"/>
                <w:szCs w:val="20"/>
              </w:rPr>
              <w:t>PI-22</w:t>
            </w:r>
            <w:r w:rsidR="00BD1DB9">
              <w:rPr>
                <w:b/>
                <w:color w:val="FFFFFF" w:themeColor="background1"/>
                <w:sz w:val="20"/>
                <w:szCs w:val="20"/>
              </w:rPr>
              <w:t>.</w:t>
            </w:r>
            <w:r w:rsidRPr="00F3119B">
              <w:rPr>
                <w:b/>
                <w:color w:val="FFFFFF" w:themeColor="background1"/>
                <w:sz w:val="20"/>
                <w:szCs w:val="20"/>
              </w:rPr>
              <w:t xml:space="preserve"> Expenditure arrears</w:t>
            </w:r>
          </w:p>
        </w:tc>
        <w:tc>
          <w:tcPr>
            <w:tcW w:w="491" w:type="dxa"/>
            <w:shd w:val="clear" w:color="auto" w:fill="5B9BD5"/>
          </w:tcPr>
          <w:p w14:paraId="4577549E" w14:textId="77777777" w:rsidR="003E5B0C" w:rsidRPr="00F3119B" w:rsidRDefault="003E5B0C" w:rsidP="00F3119B">
            <w:pPr>
              <w:jc w:val="center"/>
              <w:rPr>
                <w:b/>
                <w:color w:val="FFFFFF" w:themeColor="background1"/>
                <w:sz w:val="20"/>
                <w:szCs w:val="20"/>
              </w:rPr>
            </w:pPr>
            <w:r w:rsidRPr="00F3119B">
              <w:rPr>
                <w:b/>
                <w:color w:val="FFFFFF" w:themeColor="background1"/>
                <w:sz w:val="20"/>
                <w:szCs w:val="20"/>
              </w:rPr>
              <w:t>D</w:t>
            </w:r>
          </w:p>
        </w:tc>
        <w:tc>
          <w:tcPr>
            <w:tcW w:w="5982" w:type="dxa"/>
            <w:shd w:val="clear" w:color="auto" w:fill="5B9BD5"/>
          </w:tcPr>
          <w:p w14:paraId="0DF60206" w14:textId="77777777" w:rsidR="003E5B0C" w:rsidRPr="00F3119B" w:rsidRDefault="003E5B0C" w:rsidP="00F3119B">
            <w:pPr>
              <w:jc w:val="center"/>
              <w:rPr>
                <w:b/>
                <w:color w:val="FFFFFF" w:themeColor="background1"/>
                <w:sz w:val="20"/>
                <w:szCs w:val="20"/>
              </w:rPr>
            </w:pPr>
            <w:r w:rsidRPr="00F3119B">
              <w:rPr>
                <w:b/>
                <w:color w:val="FFFFFF" w:themeColor="background1"/>
                <w:sz w:val="20"/>
                <w:szCs w:val="20"/>
              </w:rPr>
              <w:t>Brief justification for score</w:t>
            </w:r>
          </w:p>
        </w:tc>
      </w:tr>
      <w:tr w:rsidR="003E5B0C" w:rsidRPr="00F3119B" w14:paraId="51B902FC" w14:textId="77777777" w:rsidTr="00F3119B">
        <w:tc>
          <w:tcPr>
            <w:tcW w:w="2770" w:type="dxa"/>
            <w:shd w:val="clear" w:color="auto" w:fill="auto"/>
          </w:tcPr>
          <w:p w14:paraId="09FD8838" w14:textId="77777777" w:rsidR="003E5B0C" w:rsidRPr="00F3119B" w:rsidRDefault="003E5B0C" w:rsidP="00F3119B">
            <w:pPr>
              <w:jc w:val="left"/>
              <w:rPr>
                <w:sz w:val="20"/>
                <w:szCs w:val="20"/>
              </w:rPr>
            </w:pPr>
            <w:r w:rsidRPr="00F3119B">
              <w:rPr>
                <w:sz w:val="20"/>
                <w:szCs w:val="20"/>
              </w:rPr>
              <w:t xml:space="preserve">22.1 Stock of expenditure arrears </w:t>
            </w:r>
          </w:p>
        </w:tc>
        <w:tc>
          <w:tcPr>
            <w:tcW w:w="491" w:type="dxa"/>
            <w:shd w:val="clear" w:color="auto" w:fill="auto"/>
          </w:tcPr>
          <w:p w14:paraId="5E5F92DA" w14:textId="77777777" w:rsidR="003E5B0C" w:rsidRPr="00F3119B" w:rsidRDefault="003E5B0C" w:rsidP="00F3119B">
            <w:pPr>
              <w:jc w:val="center"/>
              <w:rPr>
                <w:sz w:val="20"/>
                <w:szCs w:val="20"/>
              </w:rPr>
            </w:pPr>
            <w:r w:rsidRPr="00F3119B">
              <w:rPr>
                <w:sz w:val="20"/>
                <w:szCs w:val="20"/>
              </w:rPr>
              <w:t>D*</w:t>
            </w:r>
          </w:p>
        </w:tc>
        <w:tc>
          <w:tcPr>
            <w:tcW w:w="5982" w:type="dxa"/>
            <w:shd w:val="clear" w:color="auto" w:fill="auto"/>
          </w:tcPr>
          <w:p w14:paraId="13918C1D" w14:textId="6572E67F" w:rsidR="003E5B0C" w:rsidRPr="00F3119B" w:rsidRDefault="003E5B0C" w:rsidP="00F3119B">
            <w:pPr>
              <w:jc w:val="left"/>
              <w:rPr>
                <w:sz w:val="20"/>
                <w:szCs w:val="20"/>
              </w:rPr>
            </w:pPr>
            <w:r w:rsidRPr="00F3119B">
              <w:rPr>
                <w:sz w:val="20"/>
                <w:szCs w:val="20"/>
              </w:rPr>
              <w:t xml:space="preserve">Yearly pending bills are mentioned in </w:t>
            </w:r>
            <w:r w:rsidR="00656226">
              <w:rPr>
                <w:sz w:val="20"/>
                <w:szCs w:val="20"/>
              </w:rPr>
              <w:t xml:space="preserve">the </w:t>
            </w:r>
            <w:r w:rsidRPr="00F3119B">
              <w:rPr>
                <w:sz w:val="20"/>
                <w:szCs w:val="20"/>
              </w:rPr>
              <w:t>AFS, but the stock of arrears is not established.</w:t>
            </w:r>
          </w:p>
        </w:tc>
      </w:tr>
      <w:tr w:rsidR="003E5B0C" w:rsidRPr="00F3119B" w14:paraId="59B1CAFC" w14:textId="77777777" w:rsidTr="00F3119B">
        <w:tc>
          <w:tcPr>
            <w:tcW w:w="2770" w:type="dxa"/>
            <w:shd w:val="clear" w:color="auto" w:fill="auto"/>
          </w:tcPr>
          <w:p w14:paraId="41B45E34" w14:textId="77777777" w:rsidR="003E5B0C" w:rsidRPr="00F3119B" w:rsidRDefault="003E5B0C" w:rsidP="00F3119B">
            <w:pPr>
              <w:jc w:val="left"/>
              <w:rPr>
                <w:sz w:val="20"/>
                <w:szCs w:val="20"/>
              </w:rPr>
            </w:pPr>
            <w:r w:rsidRPr="00F3119B">
              <w:rPr>
                <w:sz w:val="20"/>
                <w:szCs w:val="20"/>
              </w:rPr>
              <w:t xml:space="preserve">22.2 Expenditure arrears monitoring </w:t>
            </w:r>
          </w:p>
        </w:tc>
        <w:tc>
          <w:tcPr>
            <w:tcW w:w="491" w:type="dxa"/>
            <w:shd w:val="clear" w:color="auto" w:fill="auto"/>
          </w:tcPr>
          <w:p w14:paraId="3F8ED6DE" w14:textId="77777777" w:rsidR="003E5B0C" w:rsidRPr="00F3119B" w:rsidRDefault="003E5B0C" w:rsidP="00F3119B">
            <w:pPr>
              <w:jc w:val="center"/>
              <w:rPr>
                <w:sz w:val="20"/>
                <w:szCs w:val="20"/>
              </w:rPr>
            </w:pPr>
            <w:r w:rsidRPr="00F3119B">
              <w:rPr>
                <w:sz w:val="20"/>
                <w:szCs w:val="20"/>
              </w:rPr>
              <w:t>D*</w:t>
            </w:r>
          </w:p>
        </w:tc>
        <w:tc>
          <w:tcPr>
            <w:tcW w:w="5982" w:type="dxa"/>
            <w:shd w:val="clear" w:color="auto" w:fill="auto"/>
          </w:tcPr>
          <w:p w14:paraId="65D5E4A7" w14:textId="5A0CCCF4" w:rsidR="003E5B0C" w:rsidRPr="00F3119B" w:rsidRDefault="003E5B0C" w:rsidP="00F3119B">
            <w:pPr>
              <w:jc w:val="left"/>
              <w:rPr>
                <w:sz w:val="20"/>
                <w:szCs w:val="20"/>
              </w:rPr>
            </w:pPr>
            <w:r w:rsidRPr="00F3119B">
              <w:rPr>
                <w:sz w:val="20"/>
                <w:szCs w:val="20"/>
              </w:rPr>
              <w:t xml:space="preserve">The </w:t>
            </w:r>
            <w:r w:rsidR="00656226">
              <w:rPr>
                <w:sz w:val="20"/>
                <w:szCs w:val="20"/>
              </w:rPr>
              <w:t>c</w:t>
            </w:r>
            <w:r w:rsidRPr="00F3119B">
              <w:rPr>
                <w:sz w:val="20"/>
                <w:szCs w:val="20"/>
              </w:rPr>
              <w:t xml:space="preserve">ounty </w:t>
            </w:r>
            <w:r w:rsidR="00656226">
              <w:rPr>
                <w:sz w:val="20"/>
                <w:szCs w:val="20"/>
              </w:rPr>
              <w:t>g</w:t>
            </w:r>
            <w:r w:rsidRPr="00F3119B">
              <w:rPr>
                <w:sz w:val="20"/>
                <w:szCs w:val="20"/>
              </w:rPr>
              <w:t xml:space="preserve">overnment does not maintain a register of individual creditors or ledgers. In addition, the </w:t>
            </w:r>
            <w:r w:rsidR="00656226">
              <w:rPr>
                <w:sz w:val="20"/>
                <w:szCs w:val="20"/>
              </w:rPr>
              <w:t>c</w:t>
            </w:r>
            <w:r w:rsidRPr="00F3119B">
              <w:rPr>
                <w:sz w:val="20"/>
                <w:szCs w:val="20"/>
              </w:rPr>
              <w:t xml:space="preserve">ounty </w:t>
            </w:r>
            <w:r w:rsidR="00656226">
              <w:rPr>
                <w:sz w:val="20"/>
                <w:szCs w:val="20"/>
              </w:rPr>
              <w:t>g</w:t>
            </w:r>
            <w:r w:rsidRPr="00F3119B">
              <w:rPr>
                <w:sz w:val="20"/>
                <w:szCs w:val="20"/>
              </w:rPr>
              <w:t>overnment did not have an analysis of the pending bills or any other records indicating the existence of the pending bills.</w:t>
            </w:r>
          </w:p>
        </w:tc>
      </w:tr>
    </w:tbl>
    <w:p w14:paraId="45C50C80" w14:textId="77777777" w:rsidR="005A0954" w:rsidRPr="00890A84" w:rsidRDefault="00867DDD" w:rsidP="00BA6B2B">
      <w:pPr>
        <w:pStyle w:val="Heading5"/>
      </w:pPr>
      <w:r w:rsidRPr="00890A84">
        <w:t>PI-</w:t>
      </w:r>
      <w:r w:rsidR="005A0954" w:rsidRPr="00890A84">
        <w:t xml:space="preserve">22.1. Stock of expenditure arrears </w:t>
      </w:r>
    </w:p>
    <w:p w14:paraId="337D5C8C" w14:textId="74AEF382" w:rsidR="00D231AB" w:rsidRPr="00F3119B" w:rsidRDefault="00EB30A1" w:rsidP="00F3119B">
      <w:pPr>
        <w:spacing w:after="240"/>
        <w:rPr>
          <w:sz w:val="22"/>
        </w:rPr>
      </w:pPr>
      <w:r w:rsidRPr="00F3119B">
        <w:rPr>
          <w:rStyle w:val="ListParagraphChar"/>
          <w:sz w:val="22"/>
        </w:rPr>
        <w:t xml:space="preserve">The CBROP 2016 indicates that the county should establish the </w:t>
      </w:r>
      <w:r w:rsidR="00AE2E94">
        <w:rPr>
          <w:rStyle w:val="ListParagraphChar"/>
          <w:sz w:val="22"/>
        </w:rPr>
        <w:t xml:space="preserve">number </w:t>
      </w:r>
      <w:r w:rsidRPr="00F3119B">
        <w:rPr>
          <w:rStyle w:val="ListParagraphChar"/>
          <w:sz w:val="22"/>
        </w:rPr>
        <w:t xml:space="preserve">of pending bills. </w:t>
      </w:r>
      <w:r w:rsidR="00E93E2F" w:rsidRPr="00F3119B">
        <w:rPr>
          <w:rStyle w:val="ListParagraphChar"/>
          <w:sz w:val="22"/>
        </w:rPr>
        <w:t>Although t</w:t>
      </w:r>
      <w:r w:rsidR="0070237D" w:rsidRPr="00F3119B">
        <w:rPr>
          <w:rStyle w:val="ListParagraphChar"/>
          <w:sz w:val="22"/>
        </w:rPr>
        <w:t xml:space="preserve">he county </w:t>
      </w:r>
      <w:r w:rsidR="00E93E2F" w:rsidRPr="00F3119B">
        <w:rPr>
          <w:rStyle w:val="ListParagraphChar"/>
          <w:sz w:val="22"/>
        </w:rPr>
        <w:t>acknowledged the existence of expenditure arrears, no evidence was</w:t>
      </w:r>
      <w:r w:rsidR="0070237D" w:rsidRPr="00F3119B">
        <w:rPr>
          <w:rStyle w:val="ListParagraphChar"/>
          <w:sz w:val="22"/>
        </w:rPr>
        <w:t xml:space="preserve"> provide</w:t>
      </w:r>
      <w:r w:rsidR="00E93E2F" w:rsidRPr="00F3119B">
        <w:rPr>
          <w:rStyle w:val="ListParagraphChar"/>
          <w:sz w:val="22"/>
        </w:rPr>
        <w:t xml:space="preserve">d on the </w:t>
      </w:r>
      <w:r w:rsidR="00D71D03" w:rsidRPr="00F3119B">
        <w:rPr>
          <w:rStyle w:val="ListParagraphChar"/>
          <w:sz w:val="22"/>
        </w:rPr>
        <w:t>amount of stock</w:t>
      </w:r>
      <w:r w:rsidR="00B73C7D" w:rsidRPr="00F3119B">
        <w:rPr>
          <w:rStyle w:val="ListParagraphChar"/>
          <w:sz w:val="22"/>
        </w:rPr>
        <w:t xml:space="preserve">. </w:t>
      </w:r>
      <w:r w:rsidR="00E93E2F" w:rsidRPr="00F3119B">
        <w:rPr>
          <w:rStyle w:val="ListParagraphChar"/>
          <w:sz w:val="22"/>
        </w:rPr>
        <w:t xml:space="preserve">There were discrepancies in the stock of pending bills. For instance, </w:t>
      </w:r>
      <w:r w:rsidR="00B73C7D" w:rsidRPr="00F3119B">
        <w:rPr>
          <w:rStyle w:val="ListParagraphChar"/>
          <w:sz w:val="22"/>
        </w:rPr>
        <w:t>Annex</w:t>
      </w:r>
      <w:r w:rsidR="00E93E2F" w:rsidRPr="00F3119B">
        <w:rPr>
          <w:rStyle w:val="ListParagraphChar"/>
          <w:sz w:val="22"/>
        </w:rPr>
        <w:t xml:space="preserve"> 1</w:t>
      </w:r>
      <w:r w:rsidR="00D71D03" w:rsidRPr="00F3119B">
        <w:rPr>
          <w:rStyle w:val="ListParagraphChar"/>
          <w:sz w:val="22"/>
        </w:rPr>
        <w:t xml:space="preserve"> to the financial statement 2014/15 reflects pending bills amounting to </w:t>
      </w:r>
      <w:r w:rsidR="00E73ED7">
        <w:rPr>
          <w:rStyle w:val="ListParagraphChar"/>
          <w:sz w:val="22"/>
        </w:rPr>
        <w:t>Ksh</w:t>
      </w:r>
      <w:r w:rsidR="00D71D03" w:rsidRPr="00F3119B">
        <w:rPr>
          <w:rStyle w:val="ListParagraphChar"/>
          <w:sz w:val="22"/>
        </w:rPr>
        <w:t>1</w:t>
      </w:r>
      <w:r w:rsidR="00BD1DB9">
        <w:rPr>
          <w:rStyle w:val="ListParagraphChar"/>
          <w:sz w:val="22"/>
        </w:rPr>
        <w:t xml:space="preserve"> </w:t>
      </w:r>
      <w:r w:rsidR="00F97161" w:rsidRPr="00F3119B">
        <w:rPr>
          <w:rStyle w:val="ListParagraphChar"/>
          <w:sz w:val="22"/>
        </w:rPr>
        <w:t>1</w:t>
      </w:r>
      <w:r w:rsidR="00D71D03" w:rsidRPr="00F3119B">
        <w:rPr>
          <w:rStyle w:val="ListParagraphChar"/>
          <w:sz w:val="22"/>
        </w:rPr>
        <w:t xml:space="preserve"> million</w:t>
      </w:r>
      <w:r w:rsidR="00E93E2F" w:rsidRPr="00F3119B">
        <w:rPr>
          <w:rStyle w:val="ListParagraphChar"/>
          <w:sz w:val="22"/>
        </w:rPr>
        <w:t xml:space="preserve"> at the end of</w:t>
      </w:r>
      <w:r w:rsidR="00E93E2F" w:rsidRPr="00F3119B">
        <w:rPr>
          <w:sz w:val="22"/>
        </w:rPr>
        <w:t xml:space="preserve"> June 2015 and </w:t>
      </w:r>
      <w:r w:rsidR="00E73ED7">
        <w:rPr>
          <w:sz w:val="22"/>
        </w:rPr>
        <w:t>Ksh</w:t>
      </w:r>
      <w:r w:rsidR="00BD1DB9">
        <w:rPr>
          <w:sz w:val="22"/>
        </w:rPr>
        <w:t xml:space="preserve"> </w:t>
      </w:r>
      <w:r w:rsidR="00F42E4F" w:rsidRPr="00F3119B">
        <w:rPr>
          <w:sz w:val="22"/>
        </w:rPr>
        <w:t>352 million</w:t>
      </w:r>
      <w:r w:rsidR="001D7E75" w:rsidRPr="00F3119B">
        <w:rPr>
          <w:sz w:val="22"/>
        </w:rPr>
        <w:t xml:space="preserve"> </w:t>
      </w:r>
      <w:r w:rsidR="00BD1DB9">
        <w:rPr>
          <w:sz w:val="22"/>
        </w:rPr>
        <w:t xml:space="preserve">at the </w:t>
      </w:r>
      <w:r w:rsidR="00E93E2F" w:rsidRPr="00F3119B">
        <w:rPr>
          <w:sz w:val="22"/>
        </w:rPr>
        <w:t>end of</w:t>
      </w:r>
      <w:r w:rsidR="00D71D03" w:rsidRPr="00F3119B">
        <w:rPr>
          <w:sz w:val="22"/>
        </w:rPr>
        <w:t xml:space="preserve"> June 2014. However, </w:t>
      </w:r>
      <w:r w:rsidR="00E93E2F" w:rsidRPr="00F3119B">
        <w:rPr>
          <w:sz w:val="22"/>
        </w:rPr>
        <w:t xml:space="preserve">records </w:t>
      </w:r>
      <w:r w:rsidR="00F97161" w:rsidRPr="00F3119B">
        <w:rPr>
          <w:sz w:val="22"/>
        </w:rPr>
        <w:t xml:space="preserve">provided </w:t>
      </w:r>
      <w:r w:rsidR="00D71D03" w:rsidRPr="00F3119B">
        <w:rPr>
          <w:sz w:val="22"/>
        </w:rPr>
        <w:t>indicate</w:t>
      </w:r>
      <w:r w:rsidR="00E93E2F" w:rsidRPr="00F3119B">
        <w:rPr>
          <w:sz w:val="22"/>
        </w:rPr>
        <w:t>d</w:t>
      </w:r>
      <w:r w:rsidR="001D7E75" w:rsidRPr="00F3119B">
        <w:rPr>
          <w:sz w:val="22"/>
        </w:rPr>
        <w:t xml:space="preserve"> </w:t>
      </w:r>
      <w:r w:rsidR="00D71D03" w:rsidRPr="00F3119B">
        <w:rPr>
          <w:sz w:val="22"/>
        </w:rPr>
        <w:t xml:space="preserve">that pending bills as </w:t>
      </w:r>
      <w:r w:rsidR="00BD1DB9">
        <w:rPr>
          <w:sz w:val="22"/>
        </w:rPr>
        <w:t>of</w:t>
      </w:r>
      <w:r w:rsidR="00BD1DB9" w:rsidRPr="00F3119B">
        <w:rPr>
          <w:sz w:val="22"/>
        </w:rPr>
        <w:t xml:space="preserve"> </w:t>
      </w:r>
      <w:r w:rsidR="00E93E2F" w:rsidRPr="00F3119B">
        <w:rPr>
          <w:sz w:val="22"/>
        </w:rPr>
        <w:t>end</w:t>
      </w:r>
      <w:r w:rsidR="00BD1DB9">
        <w:rPr>
          <w:sz w:val="22"/>
        </w:rPr>
        <w:t>-</w:t>
      </w:r>
      <w:r w:rsidR="00D71D03" w:rsidRPr="00F3119B">
        <w:rPr>
          <w:sz w:val="22"/>
        </w:rPr>
        <w:t xml:space="preserve">June 2014 amounted to </w:t>
      </w:r>
      <w:r w:rsidR="00E73ED7">
        <w:rPr>
          <w:sz w:val="22"/>
        </w:rPr>
        <w:t>Ksh</w:t>
      </w:r>
      <w:r w:rsidR="00BD1DB9">
        <w:rPr>
          <w:sz w:val="22"/>
        </w:rPr>
        <w:t xml:space="preserve"> </w:t>
      </w:r>
      <w:r w:rsidR="00D71D03" w:rsidRPr="00F3119B">
        <w:rPr>
          <w:sz w:val="22"/>
        </w:rPr>
        <w:t>600</w:t>
      </w:r>
      <w:r w:rsidR="00E93E2F" w:rsidRPr="00F3119B">
        <w:rPr>
          <w:sz w:val="22"/>
        </w:rPr>
        <w:t xml:space="preserve"> million</w:t>
      </w:r>
      <w:r w:rsidR="00D71D03" w:rsidRPr="00F3119B">
        <w:rPr>
          <w:sz w:val="22"/>
        </w:rPr>
        <w:t>.</w:t>
      </w:r>
      <w:r w:rsidR="00E93E2F" w:rsidRPr="00F3119B">
        <w:rPr>
          <w:sz w:val="22"/>
        </w:rPr>
        <w:t xml:space="preserve"> Thus, the accuracy and c</w:t>
      </w:r>
      <w:r w:rsidR="00D71D03" w:rsidRPr="00F3119B">
        <w:rPr>
          <w:sz w:val="22"/>
        </w:rPr>
        <w:t>ompleteness</w:t>
      </w:r>
      <w:r w:rsidRPr="00F3119B">
        <w:rPr>
          <w:sz w:val="22"/>
        </w:rPr>
        <w:t xml:space="preserve"> of pending bills disclosed </w:t>
      </w:r>
      <w:r w:rsidR="00511F47" w:rsidRPr="00F3119B">
        <w:rPr>
          <w:sz w:val="22"/>
        </w:rPr>
        <w:t>c</w:t>
      </w:r>
      <w:r w:rsidR="00D71D03" w:rsidRPr="00F3119B">
        <w:rPr>
          <w:sz w:val="22"/>
        </w:rPr>
        <w:t xml:space="preserve">ould not be </w:t>
      </w:r>
      <w:r w:rsidR="00F97161" w:rsidRPr="00F3119B">
        <w:rPr>
          <w:sz w:val="22"/>
        </w:rPr>
        <w:t>confirmed</w:t>
      </w:r>
      <w:r w:rsidR="00D71D03" w:rsidRPr="00F3119B">
        <w:rPr>
          <w:sz w:val="22"/>
        </w:rPr>
        <w:t>.</w:t>
      </w:r>
    </w:p>
    <w:p w14:paraId="057BC912" w14:textId="6C3E83B4" w:rsidR="004E3221" w:rsidRPr="00F3119B" w:rsidRDefault="00F5429C" w:rsidP="00F3119B">
      <w:pPr>
        <w:spacing w:after="240"/>
        <w:rPr>
          <w:sz w:val="22"/>
        </w:rPr>
      </w:pPr>
      <w:r w:rsidRPr="00F3119B">
        <w:rPr>
          <w:sz w:val="22"/>
        </w:rPr>
        <w:t>In summary, y</w:t>
      </w:r>
      <w:r w:rsidR="00BE289E" w:rsidRPr="00F3119B">
        <w:rPr>
          <w:sz w:val="22"/>
        </w:rPr>
        <w:t xml:space="preserve">early pending bills are mentioned in </w:t>
      </w:r>
      <w:r w:rsidR="00BD1DB9">
        <w:rPr>
          <w:sz w:val="22"/>
        </w:rPr>
        <w:t xml:space="preserve">the </w:t>
      </w:r>
      <w:r w:rsidR="00BE289E" w:rsidRPr="00F3119B">
        <w:rPr>
          <w:sz w:val="22"/>
        </w:rPr>
        <w:t xml:space="preserve">AFS, but the stock of arrears is not established. </w:t>
      </w:r>
    </w:p>
    <w:p w14:paraId="3F8F2578" w14:textId="76C0B756" w:rsidR="004E3221" w:rsidRPr="00F3119B" w:rsidRDefault="004E3221" w:rsidP="00F3119B">
      <w:pPr>
        <w:spacing w:after="240"/>
        <w:ind w:left="360" w:hanging="360"/>
        <w:rPr>
          <w:b/>
          <w:sz w:val="22"/>
        </w:rPr>
      </w:pPr>
      <w:r w:rsidRPr="00F3119B">
        <w:rPr>
          <w:b/>
          <w:sz w:val="22"/>
        </w:rPr>
        <w:t>Dimension rating = D*</w:t>
      </w:r>
    </w:p>
    <w:p w14:paraId="6B543CBA" w14:textId="77777777" w:rsidR="005A0954" w:rsidRPr="00890A84" w:rsidRDefault="00867DDD" w:rsidP="00BA6B2B">
      <w:pPr>
        <w:pStyle w:val="Heading5"/>
      </w:pPr>
      <w:r w:rsidRPr="00890A84">
        <w:t>PI-</w:t>
      </w:r>
      <w:r w:rsidR="005A0954" w:rsidRPr="00890A84">
        <w:t xml:space="preserve">22.2. Expenditure arrears monitoring </w:t>
      </w:r>
    </w:p>
    <w:p w14:paraId="0193EBAC" w14:textId="2EABE380" w:rsidR="00BE289E" w:rsidRPr="00F3119B" w:rsidRDefault="00EB30A1" w:rsidP="00F3119B">
      <w:pPr>
        <w:spacing w:after="240"/>
        <w:rPr>
          <w:sz w:val="22"/>
        </w:rPr>
      </w:pPr>
      <w:r w:rsidRPr="00F3119B">
        <w:rPr>
          <w:sz w:val="22"/>
        </w:rPr>
        <w:t>D</w:t>
      </w:r>
      <w:r w:rsidR="0070237D" w:rsidRPr="00F3119B">
        <w:rPr>
          <w:sz w:val="22"/>
        </w:rPr>
        <w:t>ata on expenditure arrears is generated annually</w:t>
      </w:r>
      <w:r w:rsidRPr="00F3119B">
        <w:rPr>
          <w:sz w:val="22"/>
        </w:rPr>
        <w:t>,</w:t>
      </w:r>
      <w:r w:rsidR="0070237D" w:rsidRPr="00F3119B">
        <w:rPr>
          <w:sz w:val="22"/>
        </w:rPr>
        <w:t xml:space="preserve"> three months after the end of the financial year. Expenditure arrears on projects are </w:t>
      </w:r>
      <w:r w:rsidR="00556C13" w:rsidRPr="00F3119B">
        <w:rPr>
          <w:sz w:val="22"/>
        </w:rPr>
        <w:t xml:space="preserve">generally </w:t>
      </w:r>
      <w:r w:rsidR="0070237D" w:rsidRPr="00F3119B">
        <w:rPr>
          <w:sz w:val="22"/>
        </w:rPr>
        <w:t xml:space="preserve">processed and generated after the completion certificate has been awarded. </w:t>
      </w:r>
      <w:r w:rsidRPr="00F3119B">
        <w:rPr>
          <w:sz w:val="22"/>
        </w:rPr>
        <w:t>The county g</w:t>
      </w:r>
      <w:r w:rsidR="00D71D03" w:rsidRPr="00F3119B">
        <w:rPr>
          <w:sz w:val="22"/>
        </w:rPr>
        <w:t xml:space="preserve">overnment does not maintain </w:t>
      </w:r>
      <w:r w:rsidRPr="00F3119B">
        <w:rPr>
          <w:sz w:val="22"/>
        </w:rPr>
        <w:t xml:space="preserve">records such </w:t>
      </w:r>
      <w:r w:rsidR="00D71D03" w:rsidRPr="00F3119B">
        <w:rPr>
          <w:sz w:val="22"/>
        </w:rPr>
        <w:t>a</w:t>
      </w:r>
      <w:r w:rsidRPr="00F3119B">
        <w:rPr>
          <w:sz w:val="22"/>
        </w:rPr>
        <w:t>s</w:t>
      </w:r>
      <w:r w:rsidR="00D71D03" w:rsidRPr="00F3119B">
        <w:rPr>
          <w:sz w:val="22"/>
        </w:rPr>
        <w:t xml:space="preserve"> register of individual creditor</w:t>
      </w:r>
      <w:r w:rsidRPr="00F3119B">
        <w:rPr>
          <w:sz w:val="22"/>
        </w:rPr>
        <w:t>s or ledgers. In addition, the c</w:t>
      </w:r>
      <w:r w:rsidR="00D71D03" w:rsidRPr="00F3119B">
        <w:rPr>
          <w:sz w:val="22"/>
        </w:rPr>
        <w:t xml:space="preserve">ounty </w:t>
      </w:r>
      <w:r w:rsidRPr="00F3119B">
        <w:rPr>
          <w:sz w:val="22"/>
        </w:rPr>
        <w:t>does</w:t>
      </w:r>
      <w:r w:rsidR="00D71D03" w:rsidRPr="00F3119B">
        <w:rPr>
          <w:sz w:val="22"/>
        </w:rPr>
        <w:t xml:space="preserve"> not </w:t>
      </w:r>
      <w:r w:rsidRPr="00F3119B">
        <w:rPr>
          <w:sz w:val="22"/>
        </w:rPr>
        <w:t xml:space="preserve">undertake </w:t>
      </w:r>
      <w:r w:rsidR="00D71D03" w:rsidRPr="00F3119B">
        <w:rPr>
          <w:sz w:val="22"/>
        </w:rPr>
        <w:t>analysis of the pending bills</w:t>
      </w:r>
      <w:r w:rsidR="00B31161" w:rsidRPr="00F3119B">
        <w:rPr>
          <w:sz w:val="22"/>
        </w:rPr>
        <w:t>.</w:t>
      </w:r>
      <w:r w:rsidR="00BE289E" w:rsidRPr="00F3119B">
        <w:rPr>
          <w:sz w:val="22"/>
        </w:rPr>
        <w:t xml:space="preserve"> However, arrears may be significant because delay in disbursement of funds from the National Treasury for FY2014/15 increased the number of unpaid bills</w:t>
      </w:r>
      <w:r w:rsidR="00BD1DB9">
        <w:rPr>
          <w:sz w:val="22"/>
        </w:rPr>
        <w:t>,</w:t>
      </w:r>
      <w:r w:rsidR="00BE289E" w:rsidRPr="00F3119B">
        <w:rPr>
          <w:sz w:val="22"/>
        </w:rPr>
        <w:t xml:space="preserve"> leading some contractors and suppliers to stop collaborating with the </w:t>
      </w:r>
      <w:r w:rsidR="00BD1DB9">
        <w:rPr>
          <w:sz w:val="22"/>
        </w:rPr>
        <w:t>c</w:t>
      </w:r>
      <w:r w:rsidR="00BE289E" w:rsidRPr="00F3119B">
        <w:rPr>
          <w:sz w:val="22"/>
        </w:rPr>
        <w:t>ounty government.</w:t>
      </w:r>
    </w:p>
    <w:p w14:paraId="3A087D78" w14:textId="472B1CDF" w:rsidR="004E3221" w:rsidRPr="00F3119B" w:rsidRDefault="00F5429C" w:rsidP="00F3119B">
      <w:pPr>
        <w:spacing w:after="240"/>
        <w:rPr>
          <w:sz w:val="22"/>
        </w:rPr>
      </w:pPr>
      <w:r w:rsidRPr="00F3119B">
        <w:rPr>
          <w:sz w:val="22"/>
        </w:rPr>
        <w:t>In summary, t</w:t>
      </w:r>
      <w:r w:rsidR="00BE289E" w:rsidRPr="00F3119B">
        <w:rPr>
          <w:sz w:val="22"/>
        </w:rPr>
        <w:t xml:space="preserve">he </w:t>
      </w:r>
      <w:r w:rsidR="00BD1DB9">
        <w:rPr>
          <w:sz w:val="22"/>
        </w:rPr>
        <w:t>c</w:t>
      </w:r>
      <w:r w:rsidR="00BE289E" w:rsidRPr="00F3119B">
        <w:rPr>
          <w:sz w:val="22"/>
        </w:rPr>
        <w:t xml:space="preserve">ounty </w:t>
      </w:r>
      <w:r w:rsidR="00BD1DB9">
        <w:rPr>
          <w:sz w:val="22"/>
        </w:rPr>
        <w:t>g</w:t>
      </w:r>
      <w:r w:rsidR="00BE289E" w:rsidRPr="00F3119B">
        <w:rPr>
          <w:sz w:val="22"/>
        </w:rPr>
        <w:t xml:space="preserve">overnment does not maintain a register of individual creditors or ledgers. In addition, the </w:t>
      </w:r>
      <w:r w:rsidR="00BD1DB9">
        <w:rPr>
          <w:sz w:val="22"/>
        </w:rPr>
        <w:t>c</w:t>
      </w:r>
      <w:r w:rsidR="00BE289E" w:rsidRPr="00F3119B">
        <w:rPr>
          <w:sz w:val="22"/>
        </w:rPr>
        <w:t xml:space="preserve">ounty </w:t>
      </w:r>
      <w:r w:rsidR="00BD1DB9">
        <w:rPr>
          <w:sz w:val="22"/>
        </w:rPr>
        <w:t>g</w:t>
      </w:r>
      <w:r w:rsidR="00BE289E" w:rsidRPr="00F3119B">
        <w:rPr>
          <w:sz w:val="22"/>
        </w:rPr>
        <w:t xml:space="preserve">overnment did not have an analysis of the pending bills or any other records indicating the existence of the pending bills. </w:t>
      </w:r>
    </w:p>
    <w:p w14:paraId="6CB5541F" w14:textId="5BFF6E9A" w:rsidR="004E3221" w:rsidRPr="00F3119B" w:rsidRDefault="004E3221" w:rsidP="00F3119B">
      <w:pPr>
        <w:spacing w:after="240"/>
        <w:ind w:left="360" w:hanging="360"/>
        <w:rPr>
          <w:b/>
          <w:sz w:val="22"/>
        </w:rPr>
      </w:pPr>
      <w:r w:rsidRPr="00F3119B">
        <w:rPr>
          <w:b/>
          <w:sz w:val="22"/>
        </w:rPr>
        <w:t>Dimension rating = D*</w:t>
      </w:r>
    </w:p>
    <w:p w14:paraId="07D773FA" w14:textId="77777777" w:rsidR="00BB1084" w:rsidRPr="00890A84" w:rsidRDefault="00BB1084" w:rsidP="00590C8E">
      <w:pPr>
        <w:pStyle w:val="Heading4"/>
      </w:pPr>
      <w:r w:rsidRPr="00890A84">
        <w:t xml:space="preserve">PI-23. Payroll controls </w:t>
      </w:r>
    </w:p>
    <w:p w14:paraId="543FCBA2" w14:textId="77777777" w:rsidR="003E5B0C" w:rsidRPr="00890A84" w:rsidRDefault="003E5B0C" w:rsidP="00BA6B2B">
      <w:pPr>
        <w:pStyle w:val="Heading5"/>
      </w:pPr>
      <w:r>
        <w:t>Summary of scores and performance table</w:t>
      </w:r>
    </w:p>
    <w:tbl>
      <w:tblPr>
        <w:tblW w:w="967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718"/>
        <w:gridCol w:w="509"/>
        <w:gridCol w:w="6447"/>
      </w:tblGrid>
      <w:tr w:rsidR="003E5B0C" w:rsidRPr="00F3119B" w14:paraId="289C34C0" w14:textId="77777777" w:rsidTr="00F3119B">
        <w:trPr>
          <w:tblHeader/>
        </w:trPr>
        <w:tc>
          <w:tcPr>
            <w:tcW w:w="2718" w:type="dxa"/>
            <w:shd w:val="clear" w:color="auto" w:fill="5B9BD5"/>
          </w:tcPr>
          <w:p w14:paraId="2E73F26D" w14:textId="070A2356" w:rsidR="003E5B0C" w:rsidRPr="00F3119B" w:rsidRDefault="003E5B0C" w:rsidP="00F3119B">
            <w:pPr>
              <w:jc w:val="left"/>
              <w:rPr>
                <w:b/>
                <w:color w:val="FFFFFF" w:themeColor="background1"/>
                <w:sz w:val="20"/>
              </w:rPr>
            </w:pPr>
            <w:r w:rsidRPr="00F3119B">
              <w:rPr>
                <w:b/>
                <w:color w:val="FFFFFF" w:themeColor="background1"/>
                <w:sz w:val="20"/>
              </w:rPr>
              <w:t>PI-23</w:t>
            </w:r>
            <w:r w:rsidR="00BD1DB9">
              <w:rPr>
                <w:b/>
                <w:color w:val="FFFFFF" w:themeColor="background1"/>
                <w:sz w:val="20"/>
              </w:rPr>
              <w:t>.</w:t>
            </w:r>
            <w:r w:rsidRPr="00F3119B">
              <w:rPr>
                <w:b/>
                <w:color w:val="FFFFFF" w:themeColor="background1"/>
                <w:sz w:val="20"/>
              </w:rPr>
              <w:t xml:space="preserve"> Payroll controls (M1)</w:t>
            </w:r>
          </w:p>
        </w:tc>
        <w:tc>
          <w:tcPr>
            <w:tcW w:w="509" w:type="dxa"/>
            <w:shd w:val="clear" w:color="auto" w:fill="5B9BD5"/>
          </w:tcPr>
          <w:p w14:paraId="3127FAA4" w14:textId="77777777" w:rsidR="003E5B0C" w:rsidRPr="00F3119B" w:rsidRDefault="003E5B0C" w:rsidP="00F3119B">
            <w:pPr>
              <w:jc w:val="center"/>
              <w:rPr>
                <w:b/>
                <w:color w:val="FFFFFF" w:themeColor="background1"/>
                <w:sz w:val="20"/>
              </w:rPr>
            </w:pPr>
            <w:r w:rsidRPr="00F3119B">
              <w:rPr>
                <w:b/>
                <w:color w:val="FFFFFF" w:themeColor="background1"/>
                <w:sz w:val="20"/>
              </w:rPr>
              <w:t>D+</w:t>
            </w:r>
          </w:p>
        </w:tc>
        <w:tc>
          <w:tcPr>
            <w:tcW w:w="6447" w:type="dxa"/>
            <w:shd w:val="clear" w:color="auto" w:fill="5B9BD5"/>
          </w:tcPr>
          <w:p w14:paraId="65C74483" w14:textId="77777777" w:rsidR="003E5B0C" w:rsidRPr="00F3119B" w:rsidRDefault="003E5B0C" w:rsidP="00F3119B">
            <w:pPr>
              <w:jc w:val="left"/>
              <w:rPr>
                <w:b/>
                <w:color w:val="FFFFFF" w:themeColor="background1"/>
                <w:sz w:val="20"/>
              </w:rPr>
            </w:pPr>
            <w:r w:rsidRPr="00F3119B">
              <w:rPr>
                <w:b/>
                <w:color w:val="FFFFFF" w:themeColor="background1"/>
                <w:sz w:val="20"/>
              </w:rPr>
              <w:t>Brief justification for score</w:t>
            </w:r>
          </w:p>
        </w:tc>
      </w:tr>
      <w:tr w:rsidR="003E5B0C" w:rsidRPr="00F3119B" w14:paraId="67E93432" w14:textId="77777777" w:rsidTr="00F3119B">
        <w:tc>
          <w:tcPr>
            <w:tcW w:w="2718" w:type="dxa"/>
            <w:shd w:val="clear" w:color="auto" w:fill="auto"/>
          </w:tcPr>
          <w:p w14:paraId="0BA07774" w14:textId="77777777" w:rsidR="003E5B0C" w:rsidRPr="00F3119B" w:rsidRDefault="003E5B0C" w:rsidP="00F3119B">
            <w:pPr>
              <w:jc w:val="left"/>
              <w:rPr>
                <w:sz w:val="20"/>
              </w:rPr>
            </w:pPr>
            <w:r w:rsidRPr="00F3119B">
              <w:rPr>
                <w:sz w:val="20"/>
              </w:rPr>
              <w:t xml:space="preserve">23.1 Integration of payroll and personnel records </w:t>
            </w:r>
          </w:p>
          <w:p w14:paraId="26135E7B" w14:textId="77777777" w:rsidR="003E5B0C" w:rsidRPr="00F3119B" w:rsidRDefault="003E5B0C" w:rsidP="00F3119B">
            <w:pPr>
              <w:jc w:val="left"/>
              <w:rPr>
                <w:sz w:val="20"/>
              </w:rPr>
            </w:pPr>
          </w:p>
        </w:tc>
        <w:tc>
          <w:tcPr>
            <w:tcW w:w="509" w:type="dxa"/>
            <w:shd w:val="clear" w:color="auto" w:fill="auto"/>
          </w:tcPr>
          <w:p w14:paraId="501C5725" w14:textId="77777777" w:rsidR="003E5B0C" w:rsidRPr="00F3119B" w:rsidRDefault="003E5B0C" w:rsidP="00F3119B">
            <w:pPr>
              <w:jc w:val="center"/>
              <w:rPr>
                <w:sz w:val="20"/>
              </w:rPr>
            </w:pPr>
            <w:r w:rsidRPr="00F3119B">
              <w:rPr>
                <w:sz w:val="20"/>
              </w:rPr>
              <w:t>D</w:t>
            </w:r>
          </w:p>
        </w:tc>
        <w:tc>
          <w:tcPr>
            <w:tcW w:w="6447" w:type="dxa"/>
            <w:shd w:val="clear" w:color="auto" w:fill="auto"/>
          </w:tcPr>
          <w:p w14:paraId="6A4804B3" w14:textId="7142F0BF" w:rsidR="003E5B0C" w:rsidRPr="00F3119B" w:rsidRDefault="003E5B0C" w:rsidP="00F3119B">
            <w:pPr>
              <w:jc w:val="left"/>
              <w:rPr>
                <w:sz w:val="20"/>
              </w:rPr>
            </w:pPr>
            <w:r w:rsidRPr="00F3119B">
              <w:rPr>
                <w:sz w:val="20"/>
              </w:rPr>
              <w:t xml:space="preserve">Reconciliation of the payroll with personnel records takes place only annually. Staff hiring and promotion is checked against the approved budget </w:t>
            </w:r>
            <w:r w:rsidR="00BD1DB9">
              <w:rPr>
                <w:sz w:val="20"/>
              </w:rPr>
              <w:t>before</w:t>
            </w:r>
            <w:r w:rsidRPr="00F3119B">
              <w:rPr>
                <w:sz w:val="20"/>
              </w:rPr>
              <w:t xml:space="preserve"> authorization.</w:t>
            </w:r>
          </w:p>
        </w:tc>
      </w:tr>
      <w:tr w:rsidR="003E5B0C" w:rsidRPr="00F3119B" w14:paraId="5E8C4247" w14:textId="77777777" w:rsidTr="00F3119B">
        <w:tc>
          <w:tcPr>
            <w:tcW w:w="2718" w:type="dxa"/>
            <w:shd w:val="clear" w:color="auto" w:fill="auto"/>
          </w:tcPr>
          <w:p w14:paraId="788454F3" w14:textId="77777777" w:rsidR="003E5B0C" w:rsidRPr="00F3119B" w:rsidRDefault="003E5B0C" w:rsidP="00F3119B">
            <w:pPr>
              <w:jc w:val="left"/>
              <w:rPr>
                <w:sz w:val="20"/>
              </w:rPr>
            </w:pPr>
            <w:r w:rsidRPr="00F3119B">
              <w:rPr>
                <w:sz w:val="20"/>
              </w:rPr>
              <w:t xml:space="preserve">23.2 Management of payroll changes </w:t>
            </w:r>
          </w:p>
          <w:p w14:paraId="07BBF8F9" w14:textId="77777777" w:rsidR="003E5B0C" w:rsidRPr="00F3119B" w:rsidRDefault="003E5B0C" w:rsidP="00F3119B">
            <w:pPr>
              <w:jc w:val="left"/>
              <w:rPr>
                <w:sz w:val="20"/>
              </w:rPr>
            </w:pPr>
          </w:p>
        </w:tc>
        <w:tc>
          <w:tcPr>
            <w:tcW w:w="509" w:type="dxa"/>
            <w:shd w:val="clear" w:color="auto" w:fill="auto"/>
          </w:tcPr>
          <w:p w14:paraId="514B2453" w14:textId="77777777" w:rsidR="003E5B0C" w:rsidRPr="00F3119B" w:rsidRDefault="003E5B0C" w:rsidP="00F3119B">
            <w:pPr>
              <w:jc w:val="center"/>
              <w:rPr>
                <w:sz w:val="20"/>
              </w:rPr>
            </w:pPr>
            <w:r w:rsidRPr="00F3119B">
              <w:rPr>
                <w:sz w:val="20"/>
              </w:rPr>
              <w:t>B</w:t>
            </w:r>
          </w:p>
        </w:tc>
        <w:tc>
          <w:tcPr>
            <w:tcW w:w="6447" w:type="dxa"/>
            <w:shd w:val="clear" w:color="auto" w:fill="auto"/>
          </w:tcPr>
          <w:p w14:paraId="4ABD6303" w14:textId="301AB152" w:rsidR="003E5B0C" w:rsidRPr="00F3119B" w:rsidRDefault="003E5B0C" w:rsidP="00F3119B">
            <w:pPr>
              <w:jc w:val="left"/>
              <w:rPr>
                <w:sz w:val="20"/>
              </w:rPr>
            </w:pPr>
            <w:r w:rsidRPr="00F3119B">
              <w:rPr>
                <w:sz w:val="20"/>
              </w:rPr>
              <w:t xml:space="preserve">Required changes to the personnel records and payroll are updated at least monthly, generally in time for the following month’s payments. Retroactive adjustments are rare. Data shows corrections of </w:t>
            </w:r>
            <w:r w:rsidR="00BD1DB9">
              <w:rPr>
                <w:sz w:val="20"/>
              </w:rPr>
              <w:t>slightly</w:t>
            </w:r>
            <w:r w:rsidR="00795816" w:rsidRPr="00F3119B">
              <w:rPr>
                <w:sz w:val="20"/>
              </w:rPr>
              <w:t xml:space="preserve"> more than </w:t>
            </w:r>
            <w:r w:rsidRPr="00F3119B">
              <w:rPr>
                <w:sz w:val="20"/>
              </w:rPr>
              <w:t>3% of salary payments.</w:t>
            </w:r>
          </w:p>
        </w:tc>
      </w:tr>
      <w:tr w:rsidR="003E5B0C" w:rsidRPr="00F3119B" w14:paraId="4819A024" w14:textId="77777777" w:rsidTr="00F3119B">
        <w:tc>
          <w:tcPr>
            <w:tcW w:w="2718" w:type="dxa"/>
            <w:shd w:val="clear" w:color="auto" w:fill="auto"/>
          </w:tcPr>
          <w:p w14:paraId="45D795FA" w14:textId="77777777" w:rsidR="003E5B0C" w:rsidRPr="00F3119B" w:rsidRDefault="003E5B0C" w:rsidP="00F3119B">
            <w:pPr>
              <w:jc w:val="left"/>
              <w:rPr>
                <w:sz w:val="20"/>
              </w:rPr>
            </w:pPr>
            <w:r w:rsidRPr="00F3119B">
              <w:rPr>
                <w:sz w:val="20"/>
              </w:rPr>
              <w:t xml:space="preserve">23.3 Internal control of payroll </w:t>
            </w:r>
          </w:p>
          <w:p w14:paraId="7AA17F25" w14:textId="77777777" w:rsidR="003E5B0C" w:rsidRPr="00F3119B" w:rsidRDefault="003E5B0C" w:rsidP="00F3119B">
            <w:pPr>
              <w:jc w:val="left"/>
              <w:rPr>
                <w:sz w:val="20"/>
              </w:rPr>
            </w:pPr>
          </w:p>
        </w:tc>
        <w:tc>
          <w:tcPr>
            <w:tcW w:w="509" w:type="dxa"/>
            <w:shd w:val="clear" w:color="auto" w:fill="auto"/>
          </w:tcPr>
          <w:p w14:paraId="20979ACA" w14:textId="77777777" w:rsidR="003E5B0C" w:rsidRPr="00F3119B" w:rsidRDefault="003E5B0C" w:rsidP="00F3119B">
            <w:pPr>
              <w:jc w:val="center"/>
              <w:rPr>
                <w:sz w:val="20"/>
              </w:rPr>
            </w:pPr>
            <w:r w:rsidRPr="00F3119B">
              <w:rPr>
                <w:sz w:val="20"/>
              </w:rPr>
              <w:t>D</w:t>
            </w:r>
          </w:p>
        </w:tc>
        <w:tc>
          <w:tcPr>
            <w:tcW w:w="6447" w:type="dxa"/>
            <w:shd w:val="clear" w:color="auto" w:fill="auto"/>
          </w:tcPr>
          <w:p w14:paraId="731A0408" w14:textId="0B1159DA" w:rsidR="003E5B0C" w:rsidRPr="00F3119B" w:rsidRDefault="003E5B0C" w:rsidP="00F3119B">
            <w:pPr>
              <w:jc w:val="left"/>
              <w:rPr>
                <w:sz w:val="20"/>
              </w:rPr>
            </w:pPr>
            <w:r w:rsidRPr="00F3119B">
              <w:rPr>
                <w:sz w:val="20"/>
              </w:rPr>
              <w:t xml:space="preserve">Sufficient controls exist to ensure integrity of 75% of payroll. However, 25% staff </w:t>
            </w:r>
            <w:r w:rsidR="00BD1DB9">
              <w:rPr>
                <w:sz w:val="20"/>
              </w:rPr>
              <w:t>are</w:t>
            </w:r>
            <w:r w:rsidRPr="00F3119B">
              <w:rPr>
                <w:sz w:val="20"/>
              </w:rPr>
              <w:t xml:space="preserve"> paid through </w:t>
            </w:r>
            <w:r w:rsidR="00BD1DB9">
              <w:rPr>
                <w:sz w:val="20"/>
              </w:rPr>
              <w:t xml:space="preserve">the </w:t>
            </w:r>
            <w:r w:rsidRPr="00F3119B">
              <w:rPr>
                <w:sz w:val="20"/>
              </w:rPr>
              <w:t>manual system</w:t>
            </w:r>
            <w:r w:rsidR="00BD1DB9">
              <w:rPr>
                <w:sz w:val="20"/>
              </w:rPr>
              <w:t>;</w:t>
            </w:r>
            <w:r w:rsidRPr="00F3119B">
              <w:rPr>
                <w:sz w:val="20"/>
              </w:rPr>
              <w:t xml:space="preserve"> hence</w:t>
            </w:r>
            <w:r w:rsidR="00BD1DB9">
              <w:rPr>
                <w:sz w:val="20"/>
              </w:rPr>
              <w:t>,</w:t>
            </w:r>
            <w:r w:rsidRPr="00F3119B">
              <w:rPr>
                <w:sz w:val="20"/>
              </w:rPr>
              <w:t xml:space="preserve"> </w:t>
            </w:r>
            <w:r w:rsidR="00BD1DB9">
              <w:rPr>
                <w:sz w:val="20"/>
              </w:rPr>
              <w:t xml:space="preserve">authority to </w:t>
            </w:r>
            <w:r w:rsidRPr="00F3119B">
              <w:rPr>
                <w:sz w:val="20"/>
              </w:rPr>
              <w:t>change records and payroll is not restricted.</w:t>
            </w:r>
          </w:p>
        </w:tc>
      </w:tr>
      <w:tr w:rsidR="003E5B0C" w:rsidRPr="00F3119B" w14:paraId="7F2C63A5" w14:textId="77777777" w:rsidTr="00F3119B">
        <w:tc>
          <w:tcPr>
            <w:tcW w:w="2718" w:type="dxa"/>
            <w:shd w:val="clear" w:color="auto" w:fill="auto"/>
          </w:tcPr>
          <w:p w14:paraId="1A215B06" w14:textId="77777777" w:rsidR="003E5B0C" w:rsidRPr="00F3119B" w:rsidRDefault="003E5B0C" w:rsidP="00F3119B">
            <w:pPr>
              <w:jc w:val="left"/>
              <w:rPr>
                <w:sz w:val="20"/>
              </w:rPr>
            </w:pPr>
            <w:r w:rsidRPr="00F3119B">
              <w:rPr>
                <w:sz w:val="20"/>
              </w:rPr>
              <w:t xml:space="preserve">23.4 Payroll audit </w:t>
            </w:r>
          </w:p>
        </w:tc>
        <w:tc>
          <w:tcPr>
            <w:tcW w:w="509" w:type="dxa"/>
            <w:shd w:val="clear" w:color="auto" w:fill="auto"/>
          </w:tcPr>
          <w:p w14:paraId="0CADB5C5" w14:textId="77777777" w:rsidR="003E5B0C" w:rsidRPr="00F3119B" w:rsidRDefault="003E5B0C" w:rsidP="00F3119B">
            <w:pPr>
              <w:jc w:val="center"/>
              <w:rPr>
                <w:sz w:val="20"/>
              </w:rPr>
            </w:pPr>
            <w:r w:rsidRPr="00F3119B">
              <w:rPr>
                <w:sz w:val="20"/>
              </w:rPr>
              <w:t>D*</w:t>
            </w:r>
          </w:p>
        </w:tc>
        <w:tc>
          <w:tcPr>
            <w:tcW w:w="6447" w:type="dxa"/>
            <w:shd w:val="clear" w:color="auto" w:fill="auto"/>
          </w:tcPr>
          <w:p w14:paraId="7F231011" w14:textId="33B0C97A" w:rsidR="003E5B0C" w:rsidRPr="00F3119B" w:rsidRDefault="003E5B0C" w:rsidP="00F3119B">
            <w:pPr>
              <w:jc w:val="left"/>
              <w:rPr>
                <w:sz w:val="20"/>
              </w:rPr>
            </w:pPr>
            <w:r w:rsidRPr="00F3119B">
              <w:rPr>
                <w:sz w:val="20"/>
              </w:rPr>
              <w:t xml:space="preserve">A payroll audit covering all county government entities has been conducted at least once in the last three completed </w:t>
            </w:r>
            <w:r w:rsidR="00BD1DB9">
              <w:rPr>
                <w:sz w:val="20"/>
              </w:rPr>
              <w:t>FY</w:t>
            </w:r>
            <w:r w:rsidRPr="00F3119B">
              <w:rPr>
                <w:sz w:val="20"/>
              </w:rPr>
              <w:t xml:space="preserve">s, but no evidence was provided. </w:t>
            </w:r>
          </w:p>
        </w:tc>
      </w:tr>
    </w:tbl>
    <w:p w14:paraId="73478628" w14:textId="77777777" w:rsidR="00C168C9" w:rsidRPr="00890A84" w:rsidRDefault="00612DBE" w:rsidP="00BA6B2B">
      <w:pPr>
        <w:pStyle w:val="Heading5"/>
      </w:pPr>
      <w:r w:rsidRPr="00890A84">
        <w:t>PI-</w:t>
      </w:r>
      <w:r w:rsidR="00C168C9" w:rsidRPr="00890A84">
        <w:t xml:space="preserve">23.1. Integration of payroll and personnel records </w:t>
      </w:r>
    </w:p>
    <w:p w14:paraId="31710A0D" w14:textId="2395F91B" w:rsidR="002277B6" w:rsidRPr="00F3119B" w:rsidRDefault="00B31161" w:rsidP="00F3119B">
      <w:pPr>
        <w:spacing w:after="240"/>
        <w:rPr>
          <w:sz w:val="22"/>
        </w:rPr>
      </w:pPr>
      <w:bookmarkStart w:id="100" w:name="_Hlk526599013"/>
      <w:r w:rsidRPr="00F3119B">
        <w:rPr>
          <w:sz w:val="22"/>
        </w:rPr>
        <w:t>The county g</w:t>
      </w:r>
      <w:r w:rsidR="00887057" w:rsidRPr="00F3119B">
        <w:rPr>
          <w:sz w:val="22"/>
        </w:rPr>
        <w:t>overnment use</w:t>
      </w:r>
      <w:r w:rsidRPr="00F3119B">
        <w:rPr>
          <w:sz w:val="22"/>
        </w:rPr>
        <w:t>s</w:t>
      </w:r>
      <w:r w:rsidR="006E70B4" w:rsidRPr="00F3119B">
        <w:rPr>
          <w:sz w:val="22"/>
        </w:rPr>
        <w:t xml:space="preserve"> </w:t>
      </w:r>
      <w:r w:rsidRPr="00F3119B">
        <w:rPr>
          <w:sz w:val="22"/>
        </w:rPr>
        <w:t>the</w:t>
      </w:r>
      <w:r w:rsidR="006E70B4" w:rsidRPr="00F3119B">
        <w:rPr>
          <w:sz w:val="22"/>
        </w:rPr>
        <w:t xml:space="preserve"> </w:t>
      </w:r>
      <w:r w:rsidR="00887057" w:rsidRPr="00F3119B">
        <w:rPr>
          <w:sz w:val="22"/>
        </w:rPr>
        <w:t>IPPD</w:t>
      </w:r>
      <w:r w:rsidRPr="00F3119B">
        <w:rPr>
          <w:sz w:val="22"/>
        </w:rPr>
        <w:t xml:space="preserve"> management system to generate</w:t>
      </w:r>
      <w:r w:rsidR="00887057" w:rsidRPr="00F3119B">
        <w:rPr>
          <w:sz w:val="22"/>
        </w:rPr>
        <w:t xml:space="preserve"> month</w:t>
      </w:r>
      <w:r w:rsidRPr="00F3119B">
        <w:rPr>
          <w:sz w:val="22"/>
        </w:rPr>
        <w:t>ly payroll and staff payslip. The system is used for human resource m</w:t>
      </w:r>
      <w:r w:rsidR="00887057" w:rsidRPr="00F3119B">
        <w:rPr>
          <w:sz w:val="22"/>
        </w:rPr>
        <w:t>anagement</w:t>
      </w:r>
      <w:r w:rsidR="00BD1DB9">
        <w:rPr>
          <w:sz w:val="22"/>
        </w:rPr>
        <w:t>,</w:t>
      </w:r>
      <w:r w:rsidR="00887057" w:rsidRPr="00F3119B">
        <w:rPr>
          <w:sz w:val="22"/>
        </w:rPr>
        <w:t xml:space="preserve"> </w:t>
      </w:r>
      <w:r w:rsidRPr="00F3119B">
        <w:rPr>
          <w:sz w:val="22"/>
        </w:rPr>
        <w:t xml:space="preserve">including </w:t>
      </w:r>
      <w:r w:rsidR="00887057" w:rsidRPr="00F3119B">
        <w:rPr>
          <w:sz w:val="22"/>
        </w:rPr>
        <w:t xml:space="preserve">appointments/recruitment, </w:t>
      </w:r>
      <w:r w:rsidRPr="00F3119B">
        <w:rPr>
          <w:sz w:val="22"/>
        </w:rPr>
        <w:t>p</w:t>
      </w:r>
      <w:r w:rsidR="00887057" w:rsidRPr="00F3119B">
        <w:rPr>
          <w:sz w:val="22"/>
        </w:rPr>
        <w:t>ersonnel records management</w:t>
      </w:r>
      <w:r w:rsidRPr="00F3119B">
        <w:rPr>
          <w:sz w:val="22"/>
        </w:rPr>
        <w:t>, career development</w:t>
      </w:r>
      <w:r w:rsidR="00BD1DB9">
        <w:rPr>
          <w:sz w:val="22"/>
        </w:rPr>
        <w:t>,</w:t>
      </w:r>
      <w:r w:rsidRPr="00F3119B">
        <w:rPr>
          <w:sz w:val="22"/>
        </w:rPr>
        <w:t xml:space="preserve"> and </w:t>
      </w:r>
      <w:r w:rsidR="00887057" w:rsidRPr="00F3119B">
        <w:rPr>
          <w:sz w:val="22"/>
        </w:rPr>
        <w:t>pension</w:t>
      </w:r>
      <w:r w:rsidR="00761BC5" w:rsidRPr="00F3119B">
        <w:rPr>
          <w:sz w:val="22"/>
        </w:rPr>
        <w:t xml:space="preserve">. </w:t>
      </w:r>
      <w:r w:rsidR="00887057" w:rsidRPr="00F3119B">
        <w:rPr>
          <w:sz w:val="22"/>
        </w:rPr>
        <w:t>In addition, it administers the records of benefits enjoyed by the officers such as loans, medical benefit, claims and personal advances, and allowances.</w:t>
      </w:r>
      <w:r w:rsidR="001D7E75" w:rsidRPr="00F3119B">
        <w:rPr>
          <w:sz w:val="22"/>
        </w:rPr>
        <w:t xml:space="preserve"> </w:t>
      </w:r>
    </w:p>
    <w:p w14:paraId="738B3602" w14:textId="47A70A5C" w:rsidR="004E3221" w:rsidRPr="00F3119B" w:rsidRDefault="002277B6" w:rsidP="00F3119B">
      <w:pPr>
        <w:spacing w:after="240"/>
        <w:rPr>
          <w:rFonts w:eastAsia="Calibri"/>
          <w:sz w:val="22"/>
        </w:rPr>
      </w:pPr>
      <w:r w:rsidRPr="00F3119B">
        <w:rPr>
          <w:sz w:val="22"/>
        </w:rPr>
        <w:t xml:space="preserve">The county pays </w:t>
      </w:r>
      <w:r w:rsidR="003267BA" w:rsidRPr="00F3119B">
        <w:rPr>
          <w:sz w:val="22"/>
        </w:rPr>
        <w:t xml:space="preserve">wages </w:t>
      </w:r>
      <w:r w:rsidRPr="00F3119B">
        <w:rPr>
          <w:sz w:val="22"/>
        </w:rPr>
        <w:t>through</w:t>
      </w:r>
      <w:r w:rsidR="00BD1DB9">
        <w:rPr>
          <w:sz w:val="22"/>
        </w:rPr>
        <w:t xml:space="preserve"> the</w:t>
      </w:r>
      <w:r w:rsidRPr="00F3119B">
        <w:rPr>
          <w:sz w:val="22"/>
        </w:rPr>
        <w:t xml:space="preserve"> IFMIS</w:t>
      </w:r>
      <w:bookmarkEnd w:id="100"/>
      <w:r w:rsidRPr="00F3119B">
        <w:rPr>
          <w:sz w:val="22"/>
        </w:rPr>
        <w:t>. The other modules have not been implemented</w:t>
      </w:r>
      <w:r w:rsidR="003267BA" w:rsidRPr="00F3119B">
        <w:rPr>
          <w:sz w:val="22"/>
        </w:rPr>
        <w:t>.</w:t>
      </w:r>
      <w:r w:rsidRPr="00F3119B">
        <w:rPr>
          <w:sz w:val="22"/>
        </w:rPr>
        <w:t xml:space="preserve"> </w:t>
      </w:r>
      <w:r w:rsidR="00BD1DB9">
        <w:rPr>
          <w:sz w:val="22"/>
        </w:rPr>
        <w:t xml:space="preserve">The </w:t>
      </w:r>
      <w:r w:rsidRPr="00F3119B">
        <w:rPr>
          <w:sz w:val="22"/>
        </w:rPr>
        <w:t>IFMIS</w:t>
      </w:r>
      <w:r w:rsidR="003267BA" w:rsidRPr="00F3119B">
        <w:rPr>
          <w:sz w:val="22"/>
        </w:rPr>
        <w:t xml:space="preserve"> </w:t>
      </w:r>
      <w:r w:rsidRPr="00F3119B">
        <w:rPr>
          <w:sz w:val="22"/>
        </w:rPr>
        <w:t>terminates at county headquarters and has been moved to some departments such as education</w:t>
      </w:r>
      <w:r w:rsidR="003267BA" w:rsidRPr="00F3119B">
        <w:rPr>
          <w:sz w:val="22"/>
        </w:rPr>
        <w:t xml:space="preserve">. </w:t>
      </w:r>
      <w:r w:rsidR="00887057" w:rsidRPr="00F3119B">
        <w:rPr>
          <w:sz w:val="22"/>
        </w:rPr>
        <w:t xml:space="preserve">The payslip data base is uploaded to </w:t>
      </w:r>
      <w:r w:rsidR="00BD1DB9">
        <w:rPr>
          <w:sz w:val="22"/>
        </w:rPr>
        <w:t xml:space="preserve">the </w:t>
      </w:r>
      <w:r w:rsidR="00887057" w:rsidRPr="00F3119B">
        <w:rPr>
          <w:sz w:val="22"/>
        </w:rPr>
        <w:t xml:space="preserve">Government Human Resource Information system (GHRIS), which is </w:t>
      </w:r>
      <w:r w:rsidR="00B31161" w:rsidRPr="00F3119B">
        <w:rPr>
          <w:sz w:val="22"/>
        </w:rPr>
        <w:t xml:space="preserve">an </w:t>
      </w:r>
      <w:r w:rsidR="00761BC5" w:rsidRPr="00F3119B">
        <w:rPr>
          <w:sz w:val="22"/>
        </w:rPr>
        <w:t xml:space="preserve">online platform </w:t>
      </w:r>
      <w:r w:rsidR="00B31161" w:rsidRPr="00F3119B">
        <w:rPr>
          <w:sz w:val="22"/>
        </w:rPr>
        <w:t>that enables</w:t>
      </w:r>
      <w:r w:rsidR="00761BC5" w:rsidRPr="00F3119B">
        <w:rPr>
          <w:sz w:val="22"/>
        </w:rPr>
        <w:t xml:space="preserve"> staff</w:t>
      </w:r>
      <w:r w:rsidR="00887057" w:rsidRPr="00F3119B">
        <w:rPr>
          <w:sz w:val="22"/>
        </w:rPr>
        <w:t xml:space="preserve"> to access their pay information</w:t>
      </w:r>
      <w:r w:rsidR="00761BC5" w:rsidRPr="00F3119B">
        <w:rPr>
          <w:sz w:val="22"/>
        </w:rPr>
        <w:t xml:space="preserve">. </w:t>
      </w:r>
      <w:r w:rsidR="006B05E9" w:rsidRPr="00F3119B">
        <w:rPr>
          <w:sz w:val="22"/>
        </w:rPr>
        <w:t>The county does not have an</w:t>
      </w:r>
      <w:r w:rsidR="00887057" w:rsidRPr="00F3119B">
        <w:rPr>
          <w:sz w:val="22"/>
        </w:rPr>
        <w:t xml:space="preserve"> approved staff establishment</w:t>
      </w:r>
      <w:r w:rsidR="006B05E9" w:rsidRPr="00F3119B">
        <w:rPr>
          <w:sz w:val="22"/>
        </w:rPr>
        <w:t xml:space="preserve"> but </w:t>
      </w:r>
      <w:r w:rsidR="00887057" w:rsidRPr="00F3119B">
        <w:rPr>
          <w:sz w:val="22"/>
        </w:rPr>
        <w:t>uses existing staff</w:t>
      </w:r>
      <w:r w:rsidR="00887057" w:rsidRPr="00F3119B">
        <w:rPr>
          <w:rFonts w:eastAsia="Calibri"/>
          <w:sz w:val="22"/>
        </w:rPr>
        <w:t xml:space="preserve"> </w:t>
      </w:r>
      <w:r w:rsidR="00BD1DB9">
        <w:rPr>
          <w:rFonts w:eastAsia="Calibri"/>
          <w:sz w:val="22"/>
        </w:rPr>
        <w:t xml:space="preserve">numbers </w:t>
      </w:r>
      <w:r w:rsidR="00887057" w:rsidRPr="00F3119B">
        <w:rPr>
          <w:rFonts w:eastAsia="Calibri"/>
          <w:sz w:val="22"/>
        </w:rPr>
        <w:t xml:space="preserve">and projected hires as a basis for the annual budget. </w:t>
      </w:r>
      <w:r w:rsidR="006B05E9" w:rsidRPr="00F3119B">
        <w:rPr>
          <w:rFonts w:eastAsia="Calibri"/>
          <w:sz w:val="22"/>
        </w:rPr>
        <w:t xml:space="preserve">In addition, staff hiring is done on </w:t>
      </w:r>
      <w:r w:rsidR="00BD1DB9">
        <w:rPr>
          <w:rFonts w:eastAsia="Calibri"/>
          <w:sz w:val="22"/>
        </w:rPr>
        <w:t xml:space="preserve">a </w:t>
      </w:r>
      <w:r w:rsidR="006B05E9" w:rsidRPr="00F3119B">
        <w:rPr>
          <w:rFonts w:eastAsia="Calibri"/>
          <w:sz w:val="22"/>
        </w:rPr>
        <w:t>need basis. R</w:t>
      </w:r>
      <w:r w:rsidR="00643A6B" w:rsidRPr="00F3119B">
        <w:rPr>
          <w:rFonts w:eastAsia="Calibri"/>
          <w:sz w:val="22"/>
        </w:rPr>
        <w:t xml:space="preserve">econciliation of the payroll with personnel records takes place on an annual basis through payroll audit. </w:t>
      </w:r>
    </w:p>
    <w:p w14:paraId="4911F434" w14:textId="6E455930" w:rsidR="004E3221" w:rsidRPr="00F3119B" w:rsidRDefault="004E3221" w:rsidP="00F3119B">
      <w:pPr>
        <w:spacing w:after="240"/>
        <w:ind w:left="360" w:hanging="360"/>
        <w:rPr>
          <w:b/>
          <w:sz w:val="22"/>
        </w:rPr>
      </w:pPr>
      <w:r w:rsidRPr="00F3119B">
        <w:rPr>
          <w:b/>
          <w:sz w:val="22"/>
        </w:rPr>
        <w:t>Dimension rating = D</w:t>
      </w:r>
    </w:p>
    <w:tbl>
      <w:tblPr>
        <w:tblStyle w:val="TableGrid0"/>
        <w:tblW w:w="0" w:type="auto"/>
        <w:tblLook w:val="04A0" w:firstRow="1" w:lastRow="0" w:firstColumn="1" w:lastColumn="0" w:noHBand="0" w:noVBand="1"/>
      </w:tblPr>
      <w:tblGrid>
        <w:gridCol w:w="9350"/>
      </w:tblGrid>
      <w:tr w:rsidR="00BD1DB9" w14:paraId="6AFC3048" w14:textId="77777777" w:rsidTr="00BD1DB9">
        <w:tc>
          <w:tcPr>
            <w:tcW w:w="9350" w:type="dxa"/>
          </w:tcPr>
          <w:p w14:paraId="2E03C239" w14:textId="757B8A9C" w:rsidR="00BD1DB9" w:rsidRDefault="00BD1DB9" w:rsidP="00F3119B">
            <w:pPr>
              <w:pStyle w:val="TableStyle"/>
            </w:pPr>
            <w:r>
              <w:t xml:space="preserve">Box </w:t>
            </w:r>
            <w:r>
              <w:rPr>
                <w:noProof/>
              </w:rPr>
              <w:fldChar w:fldCharType="begin"/>
            </w:r>
            <w:r>
              <w:rPr>
                <w:noProof/>
              </w:rPr>
              <w:instrText xml:space="preserve"> STYLEREF 1 \s </w:instrText>
            </w:r>
            <w:r>
              <w:rPr>
                <w:noProof/>
              </w:rPr>
              <w:fldChar w:fldCharType="separate"/>
            </w:r>
            <w:r>
              <w:rPr>
                <w:noProof/>
              </w:rPr>
              <w:t>3</w:t>
            </w:r>
            <w:r>
              <w:rPr>
                <w:noProof/>
              </w:rPr>
              <w:fldChar w:fldCharType="end"/>
            </w:r>
            <w:r>
              <w:rPr>
                <w:noProof/>
              </w:rPr>
              <w:t>.</w:t>
            </w:r>
            <w:r>
              <w:rPr>
                <w:noProof/>
              </w:rPr>
              <w:fldChar w:fldCharType="begin"/>
            </w:r>
            <w:r>
              <w:rPr>
                <w:noProof/>
              </w:rPr>
              <w:instrText xml:space="preserve"> SEQ Box:_ \* ARABIC \s 1 </w:instrText>
            </w:r>
            <w:r>
              <w:rPr>
                <w:noProof/>
              </w:rPr>
              <w:fldChar w:fldCharType="separate"/>
            </w:r>
            <w:r>
              <w:rPr>
                <w:noProof/>
              </w:rPr>
              <w:t>2</w:t>
            </w:r>
            <w:r>
              <w:rPr>
                <w:noProof/>
              </w:rPr>
              <w:fldChar w:fldCharType="end"/>
            </w:r>
            <w:r>
              <w:t xml:space="preserve">: Extract from the </w:t>
            </w:r>
            <w:r w:rsidRPr="00795816">
              <w:t>special audit report of the county government of Kajiado and the defunct local authorities</w:t>
            </w:r>
          </w:p>
          <w:p w14:paraId="0138615F" w14:textId="3233477C" w:rsidR="00BD1DB9" w:rsidRDefault="00BD1DB9" w:rsidP="00BD1DB9">
            <w:pPr>
              <w:pStyle w:val="italic0"/>
              <w:rPr>
                <w:rFonts w:eastAsia="Calibri"/>
              </w:rPr>
            </w:pPr>
            <w:r w:rsidRPr="001412E3">
              <w:rPr>
                <w:b/>
                <w:i w:val="0"/>
                <w:sz w:val="20"/>
              </w:rPr>
              <w:t>IPPD Payroll.</w:t>
            </w:r>
            <w:r>
              <w:rPr>
                <w:i w:val="0"/>
                <w:sz w:val="20"/>
              </w:rPr>
              <w:t xml:space="preserve"> T</w:t>
            </w:r>
            <w:r w:rsidRPr="00F3119B">
              <w:rPr>
                <w:i w:val="0"/>
                <w:sz w:val="20"/>
              </w:rPr>
              <w:t xml:space="preserve">he </w:t>
            </w:r>
            <w:r>
              <w:rPr>
                <w:i w:val="0"/>
                <w:sz w:val="20"/>
              </w:rPr>
              <w:t>c</w:t>
            </w:r>
            <w:r w:rsidRPr="00F3119B">
              <w:rPr>
                <w:i w:val="0"/>
                <w:sz w:val="20"/>
              </w:rPr>
              <w:t xml:space="preserve">ounty IPPD payroll was implemented from April 2013 and incorporated all staff of the two defunct </w:t>
            </w:r>
            <w:r>
              <w:rPr>
                <w:i w:val="0"/>
                <w:sz w:val="20"/>
              </w:rPr>
              <w:t>c</w:t>
            </w:r>
            <w:r w:rsidRPr="00F3119B">
              <w:rPr>
                <w:i w:val="0"/>
                <w:sz w:val="20"/>
              </w:rPr>
              <w:t>ouncils. No new appointments were noted; however</w:t>
            </w:r>
            <w:r>
              <w:rPr>
                <w:i w:val="0"/>
                <w:sz w:val="20"/>
              </w:rPr>
              <w:t>,</w:t>
            </w:r>
            <w:r w:rsidRPr="00F3119B">
              <w:rPr>
                <w:i w:val="0"/>
                <w:sz w:val="20"/>
              </w:rPr>
              <w:t xml:space="preserve"> records indicated changes in staff emoluments arising from implementation of a </w:t>
            </w:r>
            <w:r w:rsidR="001E7F1A">
              <w:rPr>
                <w:i w:val="0"/>
                <w:sz w:val="20"/>
              </w:rPr>
              <w:t>c</w:t>
            </w:r>
            <w:r w:rsidRPr="00F3119B">
              <w:rPr>
                <w:i w:val="0"/>
                <w:sz w:val="20"/>
              </w:rPr>
              <w:t xml:space="preserve">ollective </w:t>
            </w:r>
            <w:r w:rsidR="001E7F1A">
              <w:rPr>
                <w:i w:val="0"/>
                <w:sz w:val="20"/>
              </w:rPr>
              <w:t>b</w:t>
            </w:r>
            <w:r w:rsidRPr="00F3119B">
              <w:rPr>
                <w:i w:val="0"/>
                <w:sz w:val="20"/>
              </w:rPr>
              <w:t xml:space="preserve">argaining </w:t>
            </w:r>
            <w:r w:rsidR="001E7F1A">
              <w:rPr>
                <w:i w:val="0"/>
                <w:sz w:val="20"/>
              </w:rPr>
              <w:t>a</w:t>
            </w:r>
            <w:r w:rsidRPr="00F3119B">
              <w:rPr>
                <w:i w:val="0"/>
                <w:sz w:val="20"/>
              </w:rPr>
              <w:t xml:space="preserve">greement. The data migrated into </w:t>
            </w:r>
            <w:r w:rsidR="001E7F1A">
              <w:rPr>
                <w:i w:val="0"/>
                <w:sz w:val="20"/>
              </w:rPr>
              <w:t xml:space="preserve">the </w:t>
            </w:r>
            <w:r w:rsidRPr="00F3119B">
              <w:rPr>
                <w:i w:val="0"/>
                <w:sz w:val="20"/>
              </w:rPr>
              <w:t xml:space="preserve">IPPD from LAIFOMS had a few integrity issues such as incorrect personal numbers, incorrect dates of birth, </w:t>
            </w:r>
            <w:r w:rsidR="001E7F1A">
              <w:rPr>
                <w:i w:val="0"/>
                <w:sz w:val="20"/>
              </w:rPr>
              <w:t xml:space="preserve">and </w:t>
            </w:r>
            <w:r w:rsidRPr="00F3119B">
              <w:rPr>
                <w:i w:val="0"/>
                <w:sz w:val="20"/>
              </w:rPr>
              <w:t>PINs</w:t>
            </w:r>
            <w:r w:rsidR="001E7F1A">
              <w:rPr>
                <w:i w:val="0"/>
                <w:sz w:val="20"/>
              </w:rPr>
              <w:t>,</w:t>
            </w:r>
            <w:r w:rsidRPr="00F3119B">
              <w:rPr>
                <w:i w:val="0"/>
                <w:sz w:val="20"/>
              </w:rPr>
              <w:t xml:space="preserve"> among others. Properly authenticated data on all the personnel of the </w:t>
            </w:r>
            <w:r w:rsidR="001E7F1A">
              <w:rPr>
                <w:i w:val="0"/>
                <w:sz w:val="20"/>
              </w:rPr>
              <w:t>c</w:t>
            </w:r>
            <w:r w:rsidRPr="00F3119B">
              <w:rPr>
                <w:i w:val="0"/>
                <w:sz w:val="20"/>
              </w:rPr>
              <w:t>ounty</w:t>
            </w:r>
            <w:r w:rsidR="001E7F1A" w:rsidRPr="00F3119B">
              <w:rPr>
                <w:i w:val="0"/>
                <w:sz w:val="20"/>
              </w:rPr>
              <w:t xml:space="preserve"> should be captured</w:t>
            </w:r>
            <w:r w:rsidRPr="00F3119B">
              <w:rPr>
                <w:i w:val="0"/>
                <w:sz w:val="20"/>
              </w:rPr>
              <w:t xml:space="preserve">. The </w:t>
            </w:r>
            <w:r w:rsidR="001E7F1A">
              <w:rPr>
                <w:i w:val="0"/>
                <w:sz w:val="20"/>
              </w:rPr>
              <w:t>c</w:t>
            </w:r>
            <w:r w:rsidRPr="00F3119B">
              <w:rPr>
                <w:i w:val="0"/>
                <w:sz w:val="20"/>
              </w:rPr>
              <w:t xml:space="preserve">ounty had installed </w:t>
            </w:r>
            <w:r w:rsidR="001E7F1A">
              <w:rPr>
                <w:i w:val="0"/>
                <w:sz w:val="20"/>
              </w:rPr>
              <w:t xml:space="preserve">the </w:t>
            </w:r>
            <w:r w:rsidRPr="00F3119B">
              <w:rPr>
                <w:i w:val="0"/>
                <w:sz w:val="20"/>
              </w:rPr>
              <w:t>IFMIS and G-pay</w:t>
            </w:r>
            <w:r w:rsidR="001E7F1A">
              <w:rPr>
                <w:i w:val="0"/>
                <w:sz w:val="20"/>
              </w:rPr>
              <w:t>,</w:t>
            </w:r>
            <w:r w:rsidRPr="00F3119B">
              <w:rPr>
                <w:i w:val="0"/>
                <w:sz w:val="20"/>
              </w:rPr>
              <w:t xml:space="preserve"> which is operational and able to produce reports. However, revenue was still processed in LAIFOMS</w:t>
            </w:r>
            <w:r w:rsidR="001E7F1A">
              <w:rPr>
                <w:i w:val="0"/>
                <w:sz w:val="20"/>
              </w:rPr>
              <w:t>, which was</w:t>
            </w:r>
            <w:r w:rsidRPr="00F3119B">
              <w:rPr>
                <w:i w:val="0"/>
                <w:sz w:val="20"/>
              </w:rPr>
              <w:t xml:space="preserve"> previously used by defunct </w:t>
            </w:r>
            <w:r w:rsidR="001E7F1A">
              <w:rPr>
                <w:i w:val="0"/>
                <w:sz w:val="20"/>
              </w:rPr>
              <w:t>c</w:t>
            </w:r>
            <w:r w:rsidRPr="00F3119B">
              <w:rPr>
                <w:i w:val="0"/>
                <w:sz w:val="20"/>
              </w:rPr>
              <w:t xml:space="preserve">ouncils. The </w:t>
            </w:r>
            <w:r w:rsidR="001E7F1A">
              <w:rPr>
                <w:i w:val="0"/>
                <w:sz w:val="20"/>
              </w:rPr>
              <w:t>c</w:t>
            </w:r>
            <w:r w:rsidRPr="00F3119B">
              <w:rPr>
                <w:i w:val="0"/>
                <w:sz w:val="20"/>
              </w:rPr>
              <w:t>ounty should continue using the IFMIS and G-pay to enhance accountability.</w:t>
            </w:r>
          </w:p>
        </w:tc>
      </w:tr>
    </w:tbl>
    <w:p w14:paraId="332A701B" w14:textId="596FF2AF" w:rsidR="00AF5A81" w:rsidRPr="00F3119B" w:rsidRDefault="00BE289E" w:rsidP="00BE289E">
      <w:pPr>
        <w:pStyle w:val="italic0"/>
        <w:rPr>
          <w:sz w:val="20"/>
          <w:szCs w:val="20"/>
        </w:rPr>
      </w:pPr>
      <w:r w:rsidRPr="00F3119B">
        <w:rPr>
          <w:sz w:val="20"/>
          <w:szCs w:val="20"/>
        </w:rPr>
        <w:t xml:space="preserve">Source: </w:t>
      </w:r>
      <w:r w:rsidR="00BD1DB9">
        <w:rPr>
          <w:i w:val="0"/>
          <w:sz w:val="20"/>
          <w:szCs w:val="20"/>
        </w:rPr>
        <w:t>S</w:t>
      </w:r>
      <w:r w:rsidRPr="00F3119B">
        <w:rPr>
          <w:i w:val="0"/>
          <w:sz w:val="20"/>
          <w:szCs w:val="20"/>
        </w:rPr>
        <w:t xml:space="preserve">pecial audit report of the county government of Kajiado and the defunct two local authorities during the </w:t>
      </w:r>
      <w:r w:rsidR="001E7F1A">
        <w:rPr>
          <w:i w:val="0"/>
          <w:sz w:val="20"/>
          <w:szCs w:val="20"/>
        </w:rPr>
        <w:t>t</w:t>
      </w:r>
      <w:r w:rsidRPr="00F3119B">
        <w:rPr>
          <w:i w:val="0"/>
          <w:sz w:val="20"/>
          <w:szCs w:val="20"/>
        </w:rPr>
        <w:t xml:space="preserve">ransition period from January </w:t>
      </w:r>
      <w:r w:rsidR="001E7F1A">
        <w:rPr>
          <w:i w:val="0"/>
          <w:sz w:val="20"/>
          <w:szCs w:val="20"/>
        </w:rPr>
        <w:t xml:space="preserve">1 </w:t>
      </w:r>
      <w:r w:rsidRPr="00F3119B">
        <w:rPr>
          <w:i w:val="0"/>
          <w:sz w:val="20"/>
          <w:szCs w:val="20"/>
        </w:rPr>
        <w:t xml:space="preserve">to June </w:t>
      </w:r>
      <w:r w:rsidR="001E7F1A">
        <w:rPr>
          <w:i w:val="0"/>
          <w:sz w:val="20"/>
          <w:szCs w:val="20"/>
        </w:rPr>
        <w:t xml:space="preserve">30, </w:t>
      </w:r>
      <w:r w:rsidRPr="00F3119B">
        <w:rPr>
          <w:i w:val="0"/>
          <w:sz w:val="20"/>
          <w:szCs w:val="20"/>
        </w:rPr>
        <w:t>2013</w:t>
      </w:r>
      <w:r w:rsidR="00F3119B">
        <w:rPr>
          <w:i w:val="0"/>
          <w:sz w:val="20"/>
          <w:szCs w:val="20"/>
        </w:rPr>
        <w:t>.</w:t>
      </w:r>
    </w:p>
    <w:p w14:paraId="0F0FEC14" w14:textId="40FFB81F" w:rsidR="00887057" w:rsidRPr="00890A84" w:rsidRDefault="00612DBE" w:rsidP="00BA6B2B">
      <w:pPr>
        <w:pStyle w:val="Heading5"/>
      </w:pPr>
      <w:r w:rsidRPr="00890A84">
        <w:t>PI-</w:t>
      </w:r>
      <w:r w:rsidR="00887057" w:rsidRPr="00890A84">
        <w:t xml:space="preserve">23.2. Management of payroll changes </w:t>
      </w:r>
    </w:p>
    <w:p w14:paraId="70E0848B" w14:textId="2D671766" w:rsidR="00F97161" w:rsidRPr="00F3119B" w:rsidRDefault="00887057" w:rsidP="00F3119B">
      <w:pPr>
        <w:spacing w:after="240"/>
        <w:rPr>
          <w:rFonts w:eastAsia="Calibri"/>
          <w:sz w:val="22"/>
        </w:rPr>
      </w:pPr>
      <w:r w:rsidRPr="00F3119B">
        <w:rPr>
          <w:sz w:val="22"/>
        </w:rPr>
        <w:t xml:space="preserve">Any amendment to the personnel database on </w:t>
      </w:r>
      <w:r w:rsidR="001E7F1A">
        <w:rPr>
          <w:sz w:val="22"/>
        </w:rPr>
        <w:t xml:space="preserve">the </w:t>
      </w:r>
      <w:r w:rsidRPr="00F3119B">
        <w:rPr>
          <w:sz w:val="22"/>
        </w:rPr>
        <w:t xml:space="preserve">IPPD </w:t>
      </w:r>
      <w:r w:rsidR="006B05E9" w:rsidRPr="00F3119B">
        <w:rPr>
          <w:sz w:val="22"/>
        </w:rPr>
        <w:t>is</w:t>
      </w:r>
      <w:r w:rsidRPr="00F3119B">
        <w:rPr>
          <w:sz w:val="22"/>
        </w:rPr>
        <w:t xml:space="preserve"> processed </w:t>
      </w:r>
      <w:r w:rsidR="006B05E9" w:rsidRPr="00F3119B">
        <w:rPr>
          <w:sz w:val="22"/>
        </w:rPr>
        <w:t>t</w:t>
      </w:r>
      <w:r w:rsidRPr="00F3119B">
        <w:rPr>
          <w:sz w:val="22"/>
        </w:rPr>
        <w:t xml:space="preserve">hrough </w:t>
      </w:r>
      <w:r w:rsidR="006B05E9" w:rsidRPr="00F3119B">
        <w:rPr>
          <w:sz w:val="22"/>
        </w:rPr>
        <w:t>the</w:t>
      </w:r>
      <w:r w:rsidR="001D7E75" w:rsidRPr="00F3119B">
        <w:rPr>
          <w:sz w:val="22"/>
        </w:rPr>
        <w:t xml:space="preserve"> </w:t>
      </w:r>
      <w:r w:rsidRPr="001E7F1A">
        <w:rPr>
          <w:sz w:val="22"/>
        </w:rPr>
        <w:t>Authori</w:t>
      </w:r>
      <w:r w:rsidR="009D21FC" w:rsidRPr="001E7F1A">
        <w:rPr>
          <w:sz w:val="22"/>
        </w:rPr>
        <w:t>z</w:t>
      </w:r>
      <w:r w:rsidRPr="001E7F1A">
        <w:rPr>
          <w:sz w:val="22"/>
        </w:rPr>
        <w:t>ed Data Sheet</w:t>
      </w:r>
      <w:r w:rsidRPr="00F3119B">
        <w:rPr>
          <w:sz w:val="22"/>
        </w:rPr>
        <w:t xml:space="preserve"> (ADS). </w:t>
      </w:r>
      <w:r w:rsidR="006B05E9" w:rsidRPr="00F3119B">
        <w:rPr>
          <w:sz w:val="22"/>
        </w:rPr>
        <w:t>Such</w:t>
      </w:r>
      <w:r w:rsidRPr="00F3119B">
        <w:rPr>
          <w:sz w:val="22"/>
        </w:rPr>
        <w:t xml:space="preserve"> changes are </w:t>
      </w:r>
      <w:r w:rsidR="00C3128D" w:rsidRPr="00F3119B">
        <w:rPr>
          <w:sz w:val="22"/>
        </w:rPr>
        <w:t xml:space="preserve">performed </w:t>
      </w:r>
      <w:r w:rsidRPr="00F3119B">
        <w:rPr>
          <w:sz w:val="22"/>
        </w:rPr>
        <w:t xml:space="preserve">in time to allow adjustments in the following month’s </w:t>
      </w:r>
      <w:r w:rsidR="00761BC5" w:rsidRPr="00F3119B">
        <w:rPr>
          <w:sz w:val="22"/>
        </w:rPr>
        <w:t xml:space="preserve">pay. </w:t>
      </w:r>
      <w:r w:rsidR="002915F8" w:rsidRPr="00F3119B">
        <w:rPr>
          <w:sz w:val="22"/>
        </w:rPr>
        <w:t>Only authori</w:t>
      </w:r>
      <w:r w:rsidR="001E7F1A">
        <w:rPr>
          <w:sz w:val="22"/>
        </w:rPr>
        <w:t>z</w:t>
      </w:r>
      <w:r w:rsidR="002915F8" w:rsidRPr="00F3119B">
        <w:rPr>
          <w:sz w:val="22"/>
        </w:rPr>
        <w:t>ed officers are allowed to e</w:t>
      </w:r>
      <w:r w:rsidR="00761BC5" w:rsidRPr="00F3119B">
        <w:rPr>
          <w:sz w:val="22"/>
        </w:rPr>
        <w:t>ff</w:t>
      </w:r>
      <w:r w:rsidR="002915F8" w:rsidRPr="00F3119B">
        <w:rPr>
          <w:sz w:val="22"/>
        </w:rPr>
        <w:t xml:space="preserve">ect </w:t>
      </w:r>
      <w:r w:rsidR="006B05E9" w:rsidRPr="00F3119B">
        <w:rPr>
          <w:sz w:val="22"/>
        </w:rPr>
        <w:t>changes</w:t>
      </w:r>
      <w:r w:rsidR="002915F8" w:rsidRPr="00F3119B">
        <w:rPr>
          <w:sz w:val="22"/>
        </w:rPr>
        <w:t>.</w:t>
      </w:r>
      <w:r w:rsidR="001D7E75" w:rsidRPr="00F3119B">
        <w:rPr>
          <w:sz w:val="22"/>
        </w:rPr>
        <w:t xml:space="preserve"> </w:t>
      </w:r>
      <w:r w:rsidR="002915F8" w:rsidRPr="00F3119B">
        <w:rPr>
          <w:rFonts w:eastAsia="Calibri"/>
          <w:sz w:val="22"/>
        </w:rPr>
        <w:t xml:space="preserve">The review of the </w:t>
      </w:r>
      <w:r w:rsidR="00A90224" w:rsidRPr="00F3119B">
        <w:rPr>
          <w:rFonts w:eastAsia="Calibri"/>
          <w:sz w:val="22"/>
        </w:rPr>
        <w:t xml:space="preserve">ADS against payroll </w:t>
      </w:r>
      <w:r w:rsidR="002915F8" w:rsidRPr="00F3119B">
        <w:rPr>
          <w:rFonts w:eastAsia="Calibri"/>
          <w:sz w:val="22"/>
        </w:rPr>
        <w:t>established that t</w:t>
      </w:r>
      <w:r w:rsidR="002915F8" w:rsidRPr="00F3119B">
        <w:rPr>
          <w:sz w:val="22"/>
        </w:rPr>
        <w:t>he retroactive adjustments amounted to 3</w:t>
      </w:r>
      <w:r w:rsidR="009D21FC">
        <w:rPr>
          <w:sz w:val="22"/>
        </w:rPr>
        <w:t xml:space="preserve"> percent</w:t>
      </w:r>
      <w:r w:rsidR="002915F8" w:rsidRPr="00F3119B">
        <w:rPr>
          <w:sz w:val="22"/>
        </w:rPr>
        <w:t xml:space="preserve">. </w:t>
      </w:r>
    </w:p>
    <w:p w14:paraId="07924304" w14:textId="77777777" w:rsidR="000578F8" w:rsidRPr="00F3119B" w:rsidRDefault="00F5429C" w:rsidP="00F3119B">
      <w:pPr>
        <w:spacing w:after="240"/>
        <w:rPr>
          <w:rFonts w:eastAsia="Calibri"/>
          <w:sz w:val="22"/>
        </w:rPr>
      </w:pPr>
      <w:r w:rsidRPr="00F3119B">
        <w:rPr>
          <w:sz w:val="22"/>
        </w:rPr>
        <w:t>In summary, r</w:t>
      </w:r>
      <w:r w:rsidR="00795816" w:rsidRPr="00F3119B">
        <w:rPr>
          <w:rFonts w:eastAsia="Calibri"/>
          <w:sz w:val="22"/>
        </w:rPr>
        <w:t xml:space="preserve">equired changes to the personnel records and payroll are updated at least monthly, generally in time for the following month’s payments. Retroactive adjustments are rare. </w:t>
      </w:r>
    </w:p>
    <w:p w14:paraId="66A31DFD" w14:textId="66F96A69" w:rsidR="000578F8" w:rsidRPr="00F3119B" w:rsidRDefault="000578F8" w:rsidP="00F3119B">
      <w:pPr>
        <w:spacing w:after="240"/>
        <w:ind w:left="360" w:hanging="360"/>
        <w:rPr>
          <w:b/>
          <w:sz w:val="22"/>
        </w:rPr>
      </w:pPr>
      <w:r w:rsidRPr="00F3119B">
        <w:rPr>
          <w:b/>
          <w:sz w:val="22"/>
        </w:rPr>
        <w:t>Dimension rating = B</w:t>
      </w:r>
    </w:p>
    <w:p w14:paraId="7049BB0F" w14:textId="77777777" w:rsidR="00887057" w:rsidRPr="00890A84" w:rsidRDefault="00612DBE" w:rsidP="00BA6B2B">
      <w:pPr>
        <w:pStyle w:val="Heading5"/>
      </w:pPr>
      <w:r w:rsidRPr="00890A84">
        <w:t>PI-</w:t>
      </w:r>
      <w:r w:rsidR="00887057" w:rsidRPr="00890A84">
        <w:t xml:space="preserve">23.3. Internal control of payroll </w:t>
      </w:r>
    </w:p>
    <w:p w14:paraId="579A244F" w14:textId="09742D7E" w:rsidR="00643A6B" w:rsidRPr="00F3119B" w:rsidRDefault="00887057" w:rsidP="00F3119B">
      <w:pPr>
        <w:spacing w:after="240"/>
        <w:rPr>
          <w:rFonts w:eastAsia="Calibri"/>
          <w:sz w:val="22"/>
        </w:rPr>
      </w:pPr>
      <w:r w:rsidRPr="00F3119B">
        <w:rPr>
          <w:sz w:val="22"/>
        </w:rPr>
        <w:t>The Head of H</w:t>
      </w:r>
      <w:r w:rsidR="002915F8" w:rsidRPr="00F3119B">
        <w:rPr>
          <w:sz w:val="22"/>
        </w:rPr>
        <w:t xml:space="preserve">uman </w:t>
      </w:r>
      <w:r w:rsidRPr="00F3119B">
        <w:rPr>
          <w:sz w:val="22"/>
        </w:rPr>
        <w:t>R</w:t>
      </w:r>
      <w:r w:rsidR="002915F8" w:rsidRPr="00F3119B">
        <w:rPr>
          <w:sz w:val="22"/>
        </w:rPr>
        <w:t xml:space="preserve">esource </w:t>
      </w:r>
      <w:r w:rsidRPr="00F3119B">
        <w:rPr>
          <w:sz w:val="22"/>
        </w:rPr>
        <w:t>M</w:t>
      </w:r>
      <w:r w:rsidR="002915F8" w:rsidRPr="00F3119B">
        <w:rPr>
          <w:sz w:val="22"/>
        </w:rPr>
        <w:t>anagement</w:t>
      </w:r>
      <w:r w:rsidRPr="00F3119B">
        <w:rPr>
          <w:sz w:val="22"/>
        </w:rPr>
        <w:t xml:space="preserve"> allocates IPPD </w:t>
      </w:r>
      <w:r w:rsidR="002915F8" w:rsidRPr="00F3119B">
        <w:rPr>
          <w:sz w:val="22"/>
        </w:rPr>
        <w:t>access rights to</w:t>
      </w:r>
      <w:r w:rsidR="001D7E75" w:rsidRPr="00F3119B">
        <w:rPr>
          <w:sz w:val="22"/>
        </w:rPr>
        <w:t xml:space="preserve"> </w:t>
      </w:r>
      <w:r w:rsidR="002915F8" w:rsidRPr="00F3119B">
        <w:rPr>
          <w:sz w:val="22"/>
        </w:rPr>
        <w:t>ensure</w:t>
      </w:r>
      <w:r w:rsidRPr="00F3119B">
        <w:rPr>
          <w:sz w:val="22"/>
        </w:rPr>
        <w:t xml:space="preserve"> efficiency, effectiveness</w:t>
      </w:r>
      <w:r w:rsidR="00C6674B">
        <w:rPr>
          <w:sz w:val="22"/>
        </w:rPr>
        <w:t>,</w:t>
      </w:r>
      <w:r w:rsidRPr="00F3119B">
        <w:rPr>
          <w:sz w:val="22"/>
        </w:rPr>
        <w:t xml:space="preserve"> and accountability. </w:t>
      </w:r>
      <w:r w:rsidR="00DE5A6F" w:rsidRPr="00F3119B">
        <w:rPr>
          <w:sz w:val="22"/>
        </w:rPr>
        <w:t xml:space="preserve">The access control policy </w:t>
      </w:r>
      <w:r w:rsidRPr="00F3119B">
        <w:rPr>
          <w:sz w:val="22"/>
        </w:rPr>
        <w:t xml:space="preserve">addresses </w:t>
      </w:r>
      <w:r w:rsidR="00DE5A6F" w:rsidRPr="00F3119B">
        <w:rPr>
          <w:sz w:val="22"/>
        </w:rPr>
        <w:t xml:space="preserve">the </w:t>
      </w:r>
      <w:r w:rsidRPr="00F3119B">
        <w:rPr>
          <w:sz w:val="22"/>
        </w:rPr>
        <w:t xml:space="preserve">purpose, scope, roles, and responsibilities of </w:t>
      </w:r>
      <w:r w:rsidR="00C6674B">
        <w:rPr>
          <w:sz w:val="22"/>
        </w:rPr>
        <w:t xml:space="preserve">the </w:t>
      </w:r>
      <w:r w:rsidRPr="00F3119B">
        <w:rPr>
          <w:sz w:val="22"/>
        </w:rPr>
        <w:t>IPPD system users</w:t>
      </w:r>
      <w:r w:rsidR="00DE5A6F" w:rsidRPr="00F3119B">
        <w:rPr>
          <w:sz w:val="22"/>
        </w:rPr>
        <w:t xml:space="preserve"> i</w:t>
      </w:r>
      <w:r w:rsidRPr="00F3119B">
        <w:rPr>
          <w:sz w:val="22"/>
        </w:rPr>
        <w:t>n execution</w:t>
      </w:r>
      <w:r w:rsidR="00DE5A6F" w:rsidRPr="00F3119B">
        <w:rPr>
          <w:sz w:val="22"/>
        </w:rPr>
        <w:t xml:space="preserve"> of the</w:t>
      </w:r>
      <w:r w:rsidR="00C6674B">
        <w:rPr>
          <w:sz w:val="22"/>
        </w:rPr>
        <w:t>ir</w:t>
      </w:r>
      <w:r w:rsidR="00DE5A6F" w:rsidRPr="00F3119B">
        <w:rPr>
          <w:sz w:val="22"/>
        </w:rPr>
        <w:t xml:space="preserve"> official duties</w:t>
      </w:r>
      <w:r w:rsidRPr="00F3119B">
        <w:rPr>
          <w:sz w:val="22"/>
        </w:rPr>
        <w:t>.</w:t>
      </w:r>
      <w:r w:rsidR="001D7E75" w:rsidRPr="00F3119B">
        <w:rPr>
          <w:sz w:val="22"/>
        </w:rPr>
        <w:t xml:space="preserve"> </w:t>
      </w:r>
      <w:r w:rsidRPr="00F3119B">
        <w:rPr>
          <w:sz w:val="22"/>
        </w:rPr>
        <w:t xml:space="preserve">Every change of records in the IPPD system must be supported </w:t>
      </w:r>
      <w:r w:rsidR="00DE5A6F" w:rsidRPr="00F3119B">
        <w:rPr>
          <w:sz w:val="22"/>
        </w:rPr>
        <w:t xml:space="preserve">by </w:t>
      </w:r>
      <w:r w:rsidR="00C6674B">
        <w:rPr>
          <w:sz w:val="22"/>
        </w:rPr>
        <w:t xml:space="preserve">a </w:t>
      </w:r>
      <w:r w:rsidR="00DE5A6F" w:rsidRPr="00F3119B">
        <w:rPr>
          <w:sz w:val="22"/>
        </w:rPr>
        <w:t>duly filled and signed ADS</w:t>
      </w:r>
      <w:r w:rsidRPr="00F3119B">
        <w:rPr>
          <w:sz w:val="22"/>
        </w:rPr>
        <w:t xml:space="preserve">. </w:t>
      </w:r>
      <w:r w:rsidR="00643A6B" w:rsidRPr="00F3119B">
        <w:rPr>
          <w:rFonts w:eastAsia="Calibri"/>
          <w:sz w:val="22"/>
        </w:rPr>
        <w:t>In summary, authority to change records and payroll for employees in the IPPD is restricted, results in an audit trail, and is adequate to ensure full integrity of data. However</w:t>
      </w:r>
      <w:r w:rsidR="00DE5A6F" w:rsidRPr="00F3119B">
        <w:rPr>
          <w:rFonts w:eastAsia="Calibri"/>
          <w:sz w:val="22"/>
        </w:rPr>
        <w:t>,</w:t>
      </w:r>
      <w:r w:rsidR="00643A6B" w:rsidRPr="00F3119B">
        <w:rPr>
          <w:rFonts w:eastAsia="Calibri"/>
          <w:sz w:val="22"/>
        </w:rPr>
        <w:t xml:space="preserve"> 25</w:t>
      </w:r>
      <w:r w:rsidR="00C6674B">
        <w:rPr>
          <w:rFonts w:eastAsia="Calibri"/>
          <w:sz w:val="22"/>
        </w:rPr>
        <w:t xml:space="preserve"> percent</w:t>
      </w:r>
      <w:r w:rsidR="00643A6B" w:rsidRPr="00F3119B">
        <w:rPr>
          <w:rFonts w:eastAsia="Calibri"/>
          <w:sz w:val="22"/>
        </w:rPr>
        <w:t xml:space="preserve"> </w:t>
      </w:r>
      <w:r w:rsidR="00DE5A6F" w:rsidRPr="00F3119B">
        <w:rPr>
          <w:rFonts w:eastAsia="Calibri"/>
          <w:sz w:val="22"/>
        </w:rPr>
        <w:t xml:space="preserve">of </w:t>
      </w:r>
      <w:r w:rsidR="00643A6B" w:rsidRPr="00F3119B">
        <w:rPr>
          <w:rFonts w:eastAsia="Calibri"/>
          <w:sz w:val="22"/>
        </w:rPr>
        <w:t xml:space="preserve">staff </w:t>
      </w:r>
      <w:r w:rsidR="00DE5A6F" w:rsidRPr="00F3119B">
        <w:rPr>
          <w:rFonts w:eastAsia="Calibri"/>
          <w:sz w:val="22"/>
        </w:rPr>
        <w:t>are</w:t>
      </w:r>
      <w:r w:rsidR="00643A6B" w:rsidRPr="00F3119B">
        <w:rPr>
          <w:rFonts w:eastAsia="Calibri"/>
          <w:sz w:val="22"/>
        </w:rPr>
        <w:t xml:space="preserve"> paid through </w:t>
      </w:r>
      <w:r w:rsidR="00C6674B">
        <w:rPr>
          <w:rFonts w:eastAsia="Calibri"/>
          <w:sz w:val="22"/>
        </w:rPr>
        <w:t xml:space="preserve">the </w:t>
      </w:r>
      <w:r w:rsidR="00643A6B" w:rsidRPr="00F3119B">
        <w:rPr>
          <w:rFonts w:eastAsia="Calibri"/>
          <w:sz w:val="22"/>
        </w:rPr>
        <w:t xml:space="preserve">manual system </w:t>
      </w:r>
      <w:r w:rsidR="00DE5A6F" w:rsidRPr="00F3119B">
        <w:rPr>
          <w:rFonts w:eastAsia="Calibri"/>
          <w:sz w:val="22"/>
        </w:rPr>
        <w:t>where there are no restrictions in making</w:t>
      </w:r>
      <w:r w:rsidR="00643A6B" w:rsidRPr="00F3119B">
        <w:rPr>
          <w:rFonts w:eastAsia="Calibri"/>
          <w:sz w:val="22"/>
        </w:rPr>
        <w:t xml:space="preserve"> payroll </w:t>
      </w:r>
      <w:r w:rsidR="00DE5A6F" w:rsidRPr="00F3119B">
        <w:rPr>
          <w:rFonts w:eastAsia="Calibri"/>
          <w:sz w:val="22"/>
        </w:rPr>
        <w:t>changes</w:t>
      </w:r>
      <w:r w:rsidR="00643A6B" w:rsidRPr="00F3119B">
        <w:rPr>
          <w:rFonts w:eastAsia="Calibri"/>
          <w:sz w:val="22"/>
        </w:rPr>
        <w:t>.</w:t>
      </w:r>
    </w:p>
    <w:p w14:paraId="347AF4D5" w14:textId="7F707DB6" w:rsidR="000578F8" w:rsidRPr="00F3119B" w:rsidRDefault="003267BA" w:rsidP="00F3119B">
      <w:pPr>
        <w:spacing w:after="240"/>
        <w:rPr>
          <w:rFonts w:eastAsia="Calibri"/>
          <w:sz w:val="22"/>
        </w:rPr>
      </w:pPr>
      <w:r w:rsidRPr="00F3119B">
        <w:rPr>
          <w:rFonts w:eastAsia="Calibri"/>
          <w:sz w:val="22"/>
        </w:rPr>
        <w:t>In summary, s</w:t>
      </w:r>
      <w:r w:rsidR="00795816" w:rsidRPr="00F3119B">
        <w:rPr>
          <w:rFonts w:eastAsia="Calibri"/>
          <w:sz w:val="22"/>
        </w:rPr>
        <w:t>ufficient controls exist to ensure integrity of 75</w:t>
      </w:r>
      <w:r w:rsidR="00C6674B">
        <w:rPr>
          <w:rFonts w:eastAsia="Calibri"/>
          <w:sz w:val="22"/>
        </w:rPr>
        <w:t xml:space="preserve"> percent</w:t>
      </w:r>
      <w:r w:rsidR="00795816" w:rsidRPr="00F3119B">
        <w:rPr>
          <w:rFonts w:eastAsia="Calibri"/>
          <w:sz w:val="22"/>
        </w:rPr>
        <w:t xml:space="preserve"> of payroll. However, 25</w:t>
      </w:r>
      <w:r w:rsidR="00C6674B">
        <w:rPr>
          <w:rFonts w:eastAsia="Calibri"/>
          <w:sz w:val="22"/>
        </w:rPr>
        <w:t xml:space="preserve"> percent of</w:t>
      </w:r>
      <w:r w:rsidR="00795816" w:rsidRPr="00F3119B">
        <w:rPr>
          <w:rFonts w:eastAsia="Calibri"/>
          <w:sz w:val="22"/>
        </w:rPr>
        <w:t xml:space="preserve"> staff </w:t>
      </w:r>
      <w:r w:rsidR="00C6674B">
        <w:rPr>
          <w:rFonts w:eastAsia="Calibri"/>
          <w:sz w:val="22"/>
        </w:rPr>
        <w:t>are</w:t>
      </w:r>
      <w:r w:rsidR="00C6674B" w:rsidRPr="00F3119B">
        <w:rPr>
          <w:rFonts w:eastAsia="Calibri"/>
          <w:sz w:val="22"/>
        </w:rPr>
        <w:t xml:space="preserve"> </w:t>
      </w:r>
      <w:r w:rsidR="00795816" w:rsidRPr="00F3119B">
        <w:rPr>
          <w:rFonts w:eastAsia="Calibri"/>
          <w:sz w:val="22"/>
        </w:rPr>
        <w:t xml:space="preserve">paid through </w:t>
      </w:r>
      <w:r w:rsidR="00C6674B">
        <w:rPr>
          <w:rFonts w:eastAsia="Calibri"/>
          <w:sz w:val="22"/>
        </w:rPr>
        <w:t xml:space="preserve">the </w:t>
      </w:r>
      <w:r w:rsidR="00795816" w:rsidRPr="00F3119B">
        <w:rPr>
          <w:rFonts w:eastAsia="Calibri"/>
          <w:sz w:val="22"/>
        </w:rPr>
        <w:t>manual system</w:t>
      </w:r>
      <w:r w:rsidR="00C6674B">
        <w:rPr>
          <w:rFonts w:eastAsia="Calibri"/>
          <w:sz w:val="22"/>
        </w:rPr>
        <w:t>;</w:t>
      </w:r>
      <w:r w:rsidR="00795816" w:rsidRPr="00F3119B">
        <w:rPr>
          <w:rFonts w:eastAsia="Calibri"/>
          <w:sz w:val="22"/>
        </w:rPr>
        <w:t xml:space="preserve"> hence</w:t>
      </w:r>
      <w:r w:rsidR="00C6674B">
        <w:rPr>
          <w:rFonts w:eastAsia="Calibri"/>
          <w:sz w:val="22"/>
        </w:rPr>
        <w:t>, authority to</w:t>
      </w:r>
      <w:r w:rsidR="00795816" w:rsidRPr="00F3119B">
        <w:rPr>
          <w:rFonts w:eastAsia="Calibri"/>
          <w:sz w:val="22"/>
        </w:rPr>
        <w:t xml:space="preserve"> change records and payroll is not restricted. </w:t>
      </w:r>
    </w:p>
    <w:p w14:paraId="54D696CF" w14:textId="1993BA56" w:rsidR="000578F8" w:rsidRPr="00F3119B" w:rsidRDefault="000578F8" w:rsidP="00F3119B">
      <w:pPr>
        <w:spacing w:after="240"/>
        <w:ind w:left="360" w:hanging="360"/>
        <w:rPr>
          <w:b/>
          <w:sz w:val="22"/>
        </w:rPr>
      </w:pPr>
      <w:r w:rsidRPr="00F3119B">
        <w:rPr>
          <w:b/>
          <w:sz w:val="22"/>
        </w:rPr>
        <w:t>Dimension rating = D</w:t>
      </w:r>
    </w:p>
    <w:p w14:paraId="4F6FE043" w14:textId="77777777" w:rsidR="00887057" w:rsidRPr="00890A84" w:rsidRDefault="00612DBE" w:rsidP="00BA6B2B">
      <w:pPr>
        <w:pStyle w:val="Heading5"/>
      </w:pPr>
      <w:r w:rsidRPr="00890A84">
        <w:t>PI-</w:t>
      </w:r>
      <w:r w:rsidR="00887057" w:rsidRPr="00890A84">
        <w:t>23.4. Payroll audit</w:t>
      </w:r>
    </w:p>
    <w:p w14:paraId="1E8C6D9B" w14:textId="381770DD" w:rsidR="00DF68B1" w:rsidRPr="00F3119B" w:rsidRDefault="00361C4E" w:rsidP="00F3119B">
      <w:pPr>
        <w:spacing w:after="240"/>
        <w:rPr>
          <w:sz w:val="22"/>
        </w:rPr>
      </w:pPr>
      <w:r w:rsidRPr="00F3119B">
        <w:rPr>
          <w:sz w:val="22"/>
        </w:rPr>
        <w:t xml:space="preserve">During </w:t>
      </w:r>
      <w:r w:rsidR="006F4446" w:rsidRPr="00F3119B">
        <w:rPr>
          <w:sz w:val="22"/>
        </w:rPr>
        <w:t>the last</w:t>
      </w:r>
      <w:r w:rsidR="001D7E75" w:rsidRPr="00F3119B">
        <w:rPr>
          <w:sz w:val="22"/>
        </w:rPr>
        <w:t xml:space="preserve"> </w:t>
      </w:r>
      <w:r w:rsidRPr="00F3119B">
        <w:rPr>
          <w:sz w:val="22"/>
        </w:rPr>
        <w:t>three years, the payroll section carried out a human resource audit comparing the</w:t>
      </w:r>
      <w:r w:rsidR="00887057" w:rsidRPr="00F3119B">
        <w:rPr>
          <w:sz w:val="22"/>
        </w:rPr>
        <w:t xml:space="preserve"> head count</w:t>
      </w:r>
      <w:r w:rsidRPr="00F3119B">
        <w:rPr>
          <w:sz w:val="22"/>
        </w:rPr>
        <w:t>s</w:t>
      </w:r>
      <w:r w:rsidR="00887057" w:rsidRPr="00F3119B">
        <w:rPr>
          <w:sz w:val="22"/>
        </w:rPr>
        <w:t xml:space="preserve"> by the </w:t>
      </w:r>
      <w:r w:rsidRPr="00F3119B">
        <w:rPr>
          <w:sz w:val="22"/>
        </w:rPr>
        <w:t>County Public Service Board with the</w:t>
      </w:r>
      <w:r w:rsidR="00887057" w:rsidRPr="00F3119B">
        <w:rPr>
          <w:sz w:val="22"/>
        </w:rPr>
        <w:t xml:space="preserve"> list of employees </w:t>
      </w:r>
      <w:r w:rsidRPr="00F3119B">
        <w:rPr>
          <w:sz w:val="22"/>
        </w:rPr>
        <w:t>furnished by all departmental heads.</w:t>
      </w:r>
      <w:r w:rsidR="001D7E75" w:rsidRPr="00F3119B">
        <w:rPr>
          <w:sz w:val="22"/>
        </w:rPr>
        <w:t xml:space="preserve"> </w:t>
      </w:r>
      <w:r w:rsidRPr="00F3119B">
        <w:rPr>
          <w:sz w:val="22"/>
        </w:rPr>
        <w:t>Established</w:t>
      </w:r>
      <w:r w:rsidR="001D7E75" w:rsidRPr="00F3119B">
        <w:rPr>
          <w:sz w:val="22"/>
        </w:rPr>
        <w:t xml:space="preserve"> </w:t>
      </w:r>
      <w:r w:rsidR="00887057" w:rsidRPr="00F3119B">
        <w:rPr>
          <w:sz w:val="22"/>
        </w:rPr>
        <w:t>anomalies were corrected. Since then</w:t>
      </w:r>
      <w:r w:rsidRPr="00F3119B">
        <w:rPr>
          <w:sz w:val="22"/>
        </w:rPr>
        <w:t>,</w:t>
      </w:r>
      <w:r w:rsidR="00887057" w:rsidRPr="00F3119B">
        <w:rPr>
          <w:sz w:val="22"/>
        </w:rPr>
        <w:t xml:space="preserve"> the section has been undertaking re</w:t>
      </w:r>
      <w:r w:rsidRPr="00F3119B">
        <w:rPr>
          <w:sz w:val="22"/>
        </w:rPr>
        <w:t>gular periodical payroll audits</w:t>
      </w:r>
      <w:r w:rsidR="00795816" w:rsidRPr="00F3119B">
        <w:rPr>
          <w:sz w:val="22"/>
        </w:rPr>
        <w:t>.</w:t>
      </w:r>
    </w:p>
    <w:p w14:paraId="47645911" w14:textId="77777777" w:rsidR="000578F8" w:rsidRPr="00F3119B" w:rsidRDefault="00F5429C" w:rsidP="00F3119B">
      <w:pPr>
        <w:spacing w:after="240"/>
        <w:rPr>
          <w:rFonts w:eastAsia="Calibri"/>
          <w:sz w:val="22"/>
        </w:rPr>
      </w:pPr>
      <w:r w:rsidRPr="00F3119B">
        <w:rPr>
          <w:sz w:val="22"/>
        </w:rPr>
        <w:t>In summary, t</w:t>
      </w:r>
      <w:r w:rsidR="00795816" w:rsidRPr="00F3119B">
        <w:rPr>
          <w:rFonts w:eastAsia="Calibri"/>
          <w:sz w:val="22"/>
        </w:rPr>
        <w:t xml:space="preserve">he payroll section has been undertaking regular periodical payroll audits, but there was no evidence provided to support this statement. </w:t>
      </w:r>
    </w:p>
    <w:p w14:paraId="1C44420D" w14:textId="53603B99" w:rsidR="000578F8" w:rsidRPr="00F3119B" w:rsidRDefault="000578F8" w:rsidP="00F3119B">
      <w:pPr>
        <w:spacing w:after="240"/>
        <w:ind w:left="360" w:hanging="360"/>
        <w:rPr>
          <w:b/>
          <w:sz w:val="22"/>
        </w:rPr>
      </w:pPr>
      <w:r w:rsidRPr="00F3119B">
        <w:rPr>
          <w:b/>
          <w:sz w:val="22"/>
        </w:rPr>
        <w:t>Dimension rating = D*</w:t>
      </w:r>
    </w:p>
    <w:p w14:paraId="4A9BA463" w14:textId="77777777" w:rsidR="00BB1084" w:rsidRPr="00890A84" w:rsidRDefault="00BB1084" w:rsidP="00590C8E">
      <w:pPr>
        <w:pStyle w:val="Heading4"/>
      </w:pPr>
      <w:r w:rsidRPr="00890A84">
        <w:t>PI-24. Procurement</w:t>
      </w:r>
    </w:p>
    <w:p w14:paraId="741DE660" w14:textId="77777777" w:rsidR="003E5B0C" w:rsidRPr="00890A84" w:rsidRDefault="003E5B0C" w:rsidP="00BA6B2B">
      <w:pPr>
        <w:pStyle w:val="Heading5"/>
      </w:pPr>
      <w:r>
        <w:t>Summary of scores and performance table</w:t>
      </w:r>
    </w:p>
    <w:tbl>
      <w:tblPr>
        <w:tblW w:w="9356"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20" w:firstRow="1" w:lastRow="0" w:firstColumn="0" w:lastColumn="0" w:noHBand="1" w:noVBand="1"/>
      </w:tblPr>
      <w:tblGrid>
        <w:gridCol w:w="2282"/>
        <w:gridCol w:w="484"/>
        <w:gridCol w:w="6590"/>
      </w:tblGrid>
      <w:tr w:rsidR="003E5B0C" w:rsidRPr="00F3119B" w14:paraId="5C521B40" w14:textId="77777777" w:rsidTr="00C6674B">
        <w:trPr>
          <w:tblHeader/>
        </w:trPr>
        <w:tc>
          <w:tcPr>
            <w:tcW w:w="2282" w:type="dxa"/>
            <w:shd w:val="clear" w:color="auto" w:fill="5B9BD5"/>
          </w:tcPr>
          <w:p w14:paraId="3A1BE564" w14:textId="79680B9F" w:rsidR="003E5B0C" w:rsidRPr="00F3119B" w:rsidRDefault="003E5B0C" w:rsidP="00F3119B">
            <w:pPr>
              <w:jc w:val="center"/>
              <w:rPr>
                <w:b/>
                <w:color w:val="FFFFFF" w:themeColor="background1"/>
                <w:sz w:val="20"/>
              </w:rPr>
            </w:pPr>
            <w:r w:rsidRPr="00F3119B">
              <w:rPr>
                <w:b/>
                <w:color w:val="FFFFFF" w:themeColor="background1"/>
                <w:sz w:val="20"/>
              </w:rPr>
              <w:t>PI-24</w:t>
            </w:r>
            <w:r w:rsidR="00C6674B">
              <w:rPr>
                <w:b/>
                <w:color w:val="FFFFFF" w:themeColor="background1"/>
                <w:sz w:val="20"/>
              </w:rPr>
              <w:t>.</w:t>
            </w:r>
            <w:r w:rsidRPr="00F3119B">
              <w:rPr>
                <w:b/>
                <w:color w:val="FFFFFF" w:themeColor="background1"/>
                <w:sz w:val="20"/>
              </w:rPr>
              <w:t xml:space="preserve"> Procurement (M2)</w:t>
            </w:r>
          </w:p>
        </w:tc>
        <w:tc>
          <w:tcPr>
            <w:tcW w:w="484" w:type="dxa"/>
            <w:shd w:val="clear" w:color="auto" w:fill="5B9BD5"/>
          </w:tcPr>
          <w:p w14:paraId="5B3BF230" w14:textId="77777777" w:rsidR="003E5B0C" w:rsidRPr="00F3119B" w:rsidRDefault="003E5B0C" w:rsidP="00AD5B8E">
            <w:pPr>
              <w:jc w:val="center"/>
              <w:rPr>
                <w:b/>
                <w:color w:val="FFFFFF" w:themeColor="background1"/>
                <w:sz w:val="20"/>
              </w:rPr>
            </w:pPr>
            <w:r w:rsidRPr="00F3119B">
              <w:rPr>
                <w:b/>
                <w:color w:val="FFFFFF" w:themeColor="background1"/>
                <w:sz w:val="20"/>
              </w:rPr>
              <w:t>C</w:t>
            </w:r>
          </w:p>
        </w:tc>
        <w:tc>
          <w:tcPr>
            <w:tcW w:w="6590" w:type="dxa"/>
            <w:shd w:val="clear" w:color="auto" w:fill="5B9BD5"/>
          </w:tcPr>
          <w:p w14:paraId="25C6F282" w14:textId="77777777" w:rsidR="003E5B0C" w:rsidRPr="00F3119B" w:rsidRDefault="003E5B0C" w:rsidP="00F3119B">
            <w:pPr>
              <w:jc w:val="center"/>
              <w:rPr>
                <w:b/>
                <w:color w:val="FFFFFF" w:themeColor="background1"/>
                <w:sz w:val="20"/>
              </w:rPr>
            </w:pPr>
            <w:r w:rsidRPr="00F3119B">
              <w:rPr>
                <w:b/>
                <w:color w:val="FFFFFF" w:themeColor="background1"/>
                <w:sz w:val="20"/>
              </w:rPr>
              <w:t>Brief justification for score</w:t>
            </w:r>
          </w:p>
        </w:tc>
      </w:tr>
      <w:tr w:rsidR="003E5B0C" w:rsidRPr="00F3119B" w14:paraId="39278033" w14:textId="77777777" w:rsidTr="00C6674B">
        <w:tc>
          <w:tcPr>
            <w:tcW w:w="2282" w:type="dxa"/>
            <w:shd w:val="clear" w:color="auto" w:fill="auto"/>
          </w:tcPr>
          <w:p w14:paraId="54EC3EAA" w14:textId="77777777" w:rsidR="003E5B0C" w:rsidRPr="00F3119B" w:rsidRDefault="003E5B0C" w:rsidP="00F3119B">
            <w:pPr>
              <w:jc w:val="left"/>
              <w:rPr>
                <w:sz w:val="20"/>
              </w:rPr>
            </w:pPr>
            <w:r w:rsidRPr="00F3119B">
              <w:rPr>
                <w:sz w:val="20"/>
              </w:rPr>
              <w:t xml:space="preserve">24.1 Procurement monitoring </w:t>
            </w:r>
          </w:p>
        </w:tc>
        <w:tc>
          <w:tcPr>
            <w:tcW w:w="484" w:type="dxa"/>
            <w:shd w:val="clear" w:color="auto" w:fill="auto"/>
          </w:tcPr>
          <w:p w14:paraId="062CE67D" w14:textId="40E0E821" w:rsidR="003E5B0C" w:rsidRPr="00F3119B" w:rsidRDefault="003E5B0C" w:rsidP="00AD5B8E">
            <w:pPr>
              <w:jc w:val="center"/>
              <w:rPr>
                <w:sz w:val="20"/>
              </w:rPr>
            </w:pPr>
            <w:r w:rsidRPr="00F3119B">
              <w:rPr>
                <w:sz w:val="20"/>
              </w:rPr>
              <w:t>D*</w:t>
            </w:r>
          </w:p>
        </w:tc>
        <w:tc>
          <w:tcPr>
            <w:tcW w:w="6590" w:type="dxa"/>
            <w:shd w:val="clear" w:color="auto" w:fill="auto"/>
          </w:tcPr>
          <w:p w14:paraId="0392FE04" w14:textId="2DDB4BED" w:rsidR="003E5B0C" w:rsidRPr="00F3119B" w:rsidRDefault="003E5B0C" w:rsidP="00F3119B">
            <w:pPr>
              <w:jc w:val="left"/>
              <w:rPr>
                <w:sz w:val="20"/>
              </w:rPr>
            </w:pPr>
            <w:r w:rsidRPr="00F3119B">
              <w:rPr>
                <w:sz w:val="20"/>
              </w:rPr>
              <w:t>Database or records are maintained for contracts</w:t>
            </w:r>
            <w:r w:rsidR="00C6674B">
              <w:rPr>
                <w:sz w:val="20"/>
              </w:rPr>
              <w:t>,</w:t>
            </w:r>
            <w:r w:rsidRPr="00F3119B">
              <w:rPr>
                <w:sz w:val="20"/>
              </w:rPr>
              <w:t xml:space="preserve"> including data on what has been procured, value of procurement</w:t>
            </w:r>
            <w:r w:rsidR="00C6674B">
              <w:rPr>
                <w:sz w:val="20"/>
              </w:rPr>
              <w:t>,</w:t>
            </w:r>
            <w:r w:rsidRPr="00F3119B">
              <w:rPr>
                <w:sz w:val="20"/>
              </w:rPr>
              <w:t xml:space="preserve"> and who has been awarded contracts</w:t>
            </w:r>
            <w:r w:rsidR="00EF6C7A" w:rsidRPr="00F3119B">
              <w:rPr>
                <w:sz w:val="20"/>
              </w:rPr>
              <w:t xml:space="preserve">, but </w:t>
            </w:r>
            <w:r w:rsidRPr="00F3119B">
              <w:rPr>
                <w:sz w:val="20"/>
              </w:rPr>
              <w:t xml:space="preserve">the database is not connected to </w:t>
            </w:r>
            <w:r w:rsidR="00C6674B">
              <w:rPr>
                <w:sz w:val="20"/>
              </w:rPr>
              <w:t xml:space="preserve">the </w:t>
            </w:r>
            <w:r w:rsidRPr="00F3119B">
              <w:rPr>
                <w:sz w:val="20"/>
              </w:rPr>
              <w:t>IFMIS</w:t>
            </w:r>
            <w:r w:rsidR="00EF6C7A" w:rsidRPr="00F3119B">
              <w:rPr>
                <w:sz w:val="20"/>
              </w:rPr>
              <w:t>. T</w:t>
            </w:r>
            <w:r w:rsidRPr="00F3119B">
              <w:rPr>
                <w:sz w:val="20"/>
              </w:rPr>
              <w:t xml:space="preserve">he accuracy </w:t>
            </w:r>
            <w:r w:rsidR="0084326F">
              <w:rPr>
                <w:sz w:val="20"/>
              </w:rPr>
              <w:t>of</w:t>
            </w:r>
            <w:r w:rsidR="0084326F" w:rsidRPr="00F3119B">
              <w:rPr>
                <w:sz w:val="20"/>
              </w:rPr>
              <w:t xml:space="preserve"> </w:t>
            </w:r>
            <w:r w:rsidRPr="00F3119B">
              <w:rPr>
                <w:sz w:val="20"/>
              </w:rPr>
              <w:t>procurement methods for goods, services</w:t>
            </w:r>
            <w:r w:rsidR="00C6674B">
              <w:rPr>
                <w:sz w:val="20"/>
              </w:rPr>
              <w:t>,</w:t>
            </w:r>
            <w:r w:rsidRPr="00F3119B">
              <w:rPr>
                <w:sz w:val="20"/>
              </w:rPr>
              <w:t xml:space="preserve"> and works could not be verified.</w:t>
            </w:r>
          </w:p>
        </w:tc>
      </w:tr>
      <w:tr w:rsidR="003E5B0C" w:rsidRPr="00F3119B" w14:paraId="616EB2C1" w14:textId="77777777" w:rsidTr="00C6674B">
        <w:tc>
          <w:tcPr>
            <w:tcW w:w="2282" w:type="dxa"/>
            <w:shd w:val="clear" w:color="auto" w:fill="auto"/>
          </w:tcPr>
          <w:p w14:paraId="3B6DE677" w14:textId="77777777" w:rsidR="003E5B0C" w:rsidRPr="00F3119B" w:rsidRDefault="003E5B0C" w:rsidP="00F3119B">
            <w:pPr>
              <w:jc w:val="left"/>
              <w:rPr>
                <w:sz w:val="20"/>
              </w:rPr>
            </w:pPr>
            <w:r w:rsidRPr="00F3119B">
              <w:rPr>
                <w:sz w:val="20"/>
              </w:rPr>
              <w:t xml:space="preserve">24.2 Procurement methods </w:t>
            </w:r>
          </w:p>
        </w:tc>
        <w:tc>
          <w:tcPr>
            <w:tcW w:w="484" w:type="dxa"/>
            <w:shd w:val="clear" w:color="auto" w:fill="auto"/>
          </w:tcPr>
          <w:p w14:paraId="022F3714" w14:textId="0F361D59" w:rsidR="003E5B0C" w:rsidRPr="00F3119B" w:rsidRDefault="003E5B0C" w:rsidP="00AD5B8E">
            <w:pPr>
              <w:jc w:val="center"/>
              <w:rPr>
                <w:sz w:val="20"/>
              </w:rPr>
            </w:pPr>
            <w:r w:rsidRPr="00F3119B">
              <w:rPr>
                <w:sz w:val="20"/>
              </w:rPr>
              <w:t>D</w:t>
            </w:r>
          </w:p>
        </w:tc>
        <w:tc>
          <w:tcPr>
            <w:tcW w:w="6590" w:type="dxa"/>
            <w:shd w:val="clear" w:color="auto" w:fill="auto"/>
          </w:tcPr>
          <w:p w14:paraId="6860B78E" w14:textId="50FC99CA" w:rsidR="003E5B0C" w:rsidRPr="00F3119B" w:rsidRDefault="003E5B0C" w:rsidP="00F3119B">
            <w:pPr>
              <w:jc w:val="left"/>
              <w:rPr>
                <w:sz w:val="20"/>
              </w:rPr>
            </w:pPr>
            <w:r w:rsidRPr="00F3119B">
              <w:rPr>
                <w:sz w:val="20"/>
              </w:rPr>
              <w:t xml:space="preserve">The total value of contracts awarded through competitive methods in the last completed </w:t>
            </w:r>
            <w:r w:rsidR="00C6674B">
              <w:rPr>
                <w:sz w:val="20"/>
              </w:rPr>
              <w:t>FY</w:t>
            </w:r>
            <w:r w:rsidRPr="00F3119B">
              <w:rPr>
                <w:sz w:val="20"/>
              </w:rPr>
              <w:t xml:space="preserve"> represents less than 60% of </w:t>
            </w:r>
            <w:r w:rsidR="00C6674B">
              <w:rPr>
                <w:sz w:val="20"/>
              </w:rPr>
              <w:t xml:space="preserve">the </w:t>
            </w:r>
            <w:r w:rsidRPr="00F3119B">
              <w:rPr>
                <w:sz w:val="20"/>
              </w:rPr>
              <w:t>total value of contracts.</w:t>
            </w:r>
          </w:p>
        </w:tc>
      </w:tr>
      <w:tr w:rsidR="003E5B0C" w:rsidRPr="00F3119B" w14:paraId="547680A3" w14:textId="77777777" w:rsidTr="00C6674B">
        <w:tc>
          <w:tcPr>
            <w:tcW w:w="2282" w:type="dxa"/>
            <w:shd w:val="clear" w:color="auto" w:fill="auto"/>
          </w:tcPr>
          <w:p w14:paraId="6ECC83BB" w14:textId="77777777" w:rsidR="003E5B0C" w:rsidRPr="00F3119B" w:rsidRDefault="003E5B0C" w:rsidP="00F3119B">
            <w:pPr>
              <w:jc w:val="left"/>
              <w:rPr>
                <w:sz w:val="20"/>
              </w:rPr>
            </w:pPr>
            <w:r w:rsidRPr="00F3119B">
              <w:rPr>
                <w:sz w:val="20"/>
              </w:rPr>
              <w:t xml:space="preserve">24.3 Public access to procurement information </w:t>
            </w:r>
          </w:p>
        </w:tc>
        <w:tc>
          <w:tcPr>
            <w:tcW w:w="484" w:type="dxa"/>
            <w:shd w:val="clear" w:color="auto" w:fill="auto"/>
          </w:tcPr>
          <w:p w14:paraId="36E6932C" w14:textId="77777777" w:rsidR="003E5B0C" w:rsidRPr="00F3119B" w:rsidRDefault="003E5B0C" w:rsidP="00AD5B8E">
            <w:pPr>
              <w:jc w:val="center"/>
              <w:rPr>
                <w:sz w:val="20"/>
              </w:rPr>
            </w:pPr>
            <w:r w:rsidRPr="00F3119B">
              <w:rPr>
                <w:sz w:val="20"/>
              </w:rPr>
              <w:t>C</w:t>
            </w:r>
          </w:p>
        </w:tc>
        <w:tc>
          <w:tcPr>
            <w:tcW w:w="6590" w:type="dxa"/>
            <w:shd w:val="clear" w:color="auto" w:fill="auto"/>
          </w:tcPr>
          <w:p w14:paraId="46A8CABD" w14:textId="77777777" w:rsidR="003E5B0C" w:rsidRPr="00F3119B" w:rsidRDefault="003E5B0C" w:rsidP="00F3119B">
            <w:pPr>
              <w:jc w:val="left"/>
              <w:rPr>
                <w:sz w:val="20"/>
              </w:rPr>
            </w:pPr>
            <w:r w:rsidRPr="00F3119B">
              <w:rPr>
                <w:sz w:val="20"/>
              </w:rPr>
              <w:t>At least three of the key procurement information elements are complete and are made available to the public.</w:t>
            </w:r>
          </w:p>
        </w:tc>
      </w:tr>
      <w:tr w:rsidR="003E5B0C" w:rsidRPr="00F3119B" w14:paraId="0E3881F0" w14:textId="77777777" w:rsidTr="00C6674B">
        <w:tc>
          <w:tcPr>
            <w:tcW w:w="2282" w:type="dxa"/>
            <w:shd w:val="clear" w:color="auto" w:fill="auto"/>
          </w:tcPr>
          <w:p w14:paraId="6131CE18" w14:textId="77777777" w:rsidR="003E5B0C" w:rsidRPr="00F3119B" w:rsidRDefault="003E5B0C" w:rsidP="00F3119B">
            <w:pPr>
              <w:jc w:val="left"/>
              <w:rPr>
                <w:sz w:val="20"/>
              </w:rPr>
            </w:pPr>
            <w:r w:rsidRPr="00F3119B">
              <w:rPr>
                <w:sz w:val="20"/>
              </w:rPr>
              <w:t xml:space="preserve">24.4 Procurement complaints management </w:t>
            </w:r>
          </w:p>
        </w:tc>
        <w:tc>
          <w:tcPr>
            <w:tcW w:w="484" w:type="dxa"/>
            <w:shd w:val="clear" w:color="auto" w:fill="auto"/>
          </w:tcPr>
          <w:p w14:paraId="4EBC699A" w14:textId="77777777" w:rsidR="003E5B0C" w:rsidRPr="00F3119B" w:rsidRDefault="003E5B0C" w:rsidP="00AD5B8E">
            <w:pPr>
              <w:jc w:val="center"/>
              <w:rPr>
                <w:sz w:val="20"/>
              </w:rPr>
            </w:pPr>
            <w:r w:rsidRPr="00F3119B">
              <w:rPr>
                <w:sz w:val="20"/>
              </w:rPr>
              <w:t>A</w:t>
            </w:r>
          </w:p>
        </w:tc>
        <w:tc>
          <w:tcPr>
            <w:tcW w:w="6590" w:type="dxa"/>
            <w:shd w:val="clear" w:color="auto" w:fill="auto"/>
          </w:tcPr>
          <w:p w14:paraId="2D2C0E97" w14:textId="1B8B95E8" w:rsidR="003E5B0C" w:rsidRPr="00F3119B" w:rsidRDefault="003E5B0C" w:rsidP="00F3119B">
            <w:pPr>
              <w:jc w:val="left"/>
              <w:rPr>
                <w:sz w:val="20"/>
              </w:rPr>
            </w:pPr>
            <w:r w:rsidRPr="00F3119B">
              <w:rPr>
                <w:sz w:val="20"/>
              </w:rPr>
              <w:t>The procurement complaint system meets all the criteria.</w:t>
            </w:r>
          </w:p>
        </w:tc>
      </w:tr>
    </w:tbl>
    <w:p w14:paraId="6BA6A309" w14:textId="77777777" w:rsidR="00C168C9" w:rsidRPr="00890A84" w:rsidRDefault="00612DBE" w:rsidP="00BA6B2B">
      <w:pPr>
        <w:pStyle w:val="Heading5"/>
      </w:pPr>
      <w:r w:rsidRPr="00890A84">
        <w:t>PI-</w:t>
      </w:r>
      <w:r w:rsidR="00C168C9" w:rsidRPr="00890A84">
        <w:t xml:space="preserve">24.1. Procurement monitoring </w:t>
      </w:r>
    </w:p>
    <w:p w14:paraId="13089AA8" w14:textId="14D28520" w:rsidR="001D3FC2" w:rsidRPr="00F3119B" w:rsidRDefault="00361C4E" w:rsidP="00F3119B">
      <w:pPr>
        <w:spacing w:after="240"/>
        <w:rPr>
          <w:sz w:val="22"/>
        </w:rPr>
      </w:pPr>
      <w:r w:rsidRPr="00F3119B">
        <w:rPr>
          <w:sz w:val="22"/>
        </w:rPr>
        <w:t>The P</w:t>
      </w:r>
      <w:r w:rsidR="00133A75" w:rsidRPr="00F3119B">
        <w:rPr>
          <w:sz w:val="22"/>
        </w:rPr>
        <w:t xml:space="preserve">rocurement Directorate </w:t>
      </w:r>
      <w:r w:rsidR="0091086E" w:rsidRPr="00F3119B">
        <w:rPr>
          <w:sz w:val="22"/>
        </w:rPr>
        <w:t>oversees</w:t>
      </w:r>
      <w:r w:rsidR="00133A75" w:rsidRPr="00F3119B">
        <w:rPr>
          <w:sz w:val="22"/>
        </w:rPr>
        <w:t xml:space="preserve"> the entire supply chain management</w:t>
      </w:r>
      <w:r w:rsidRPr="00F3119B">
        <w:rPr>
          <w:sz w:val="22"/>
        </w:rPr>
        <w:t xml:space="preserve"> and </w:t>
      </w:r>
      <w:r w:rsidR="00133A75" w:rsidRPr="00F3119B">
        <w:rPr>
          <w:sz w:val="22"/>
        </w:rPr>
        <w:t xml:space="preserve">uses an integrated </w:t>
      </w:r>
      <w:r w:rsidR="00C6674B">
        <w:rPr>
          <w:sz w:val="22"/>
        </w:rPr>
        <w:t>I</w:t>
      </w:r>
      <w:r w:rsidR="008876BE" w:rsidRPr="00F3119B">
        <w:rPr>
          <w:sz w:val="22"/>
        </w:rPr>
        <w:t>nternet-based</w:t>
      </w:r>
      <w:r w:rsidR="00133A75" w:rsidRPr="00F3119B">
        <w:rPr>
          <w:sz w:val="22"/>
        </w:rPr>
        <w:t xml:space="preserve"> </w:t>
      </w:r>
      <w:r w:rsidRPr="00F3119B">
        <w:rPr>
          <w:sz w:val="22"/>
        </w:rPr>
        <w:t>system (e-procurement)</w:t>
      </w:r>
      <w:r w:rsidR="00133A75" w:rsidRPr="00F3119B">
        <w:rPr>
          <w:sz w:val="22"/>
        </w:rPr>
        <w:t xml:space="preserve"> to monitor the procurement </w:t>
      </w:r>
      <w:r w:rsidR="000B54FC" w:rsidRPr="00F3119B">
        <w:rPr>
          <w:sz w:val="22"/>
        </w:rPr>
        <w:t>process. Information</w:t>
      </w:r>
      <w:r w:rsidR="00133A75" w:rsidRPr="00F3119B">
        <w:rPr>
          <w:sz w:val="22"/>
        </w:rPr>
        <w:t xml:space="preserve"> on contracts awarded </w:t>
      </w:r>
      <w:r w:rsidRPr="00F3119B">
        <w:rPr>
          <w:sz w:val="22"/>
        </w:rPr>
        <w:t xml:space="preserve">and project files </w:t>
      </w:r>
      <w:r w:rsidR="00133A75" w:rsidRPr="00F3119B">
        <w:rPr>
          <w:sz w:val="22"/>
        </w:rPr>
        <w:t>can be accessed through the system.</w:t>
      </w:r>
      <w:r w:rsidR="00350561" w:rsidRPr="00F3119B">
        <w:rPr>
          <w:sz w:val="22"/>
        </w:rPr>
        <w:t xml:space="preserve"> </w:t>
      </w:r>
      <w:r w:rsidR="00EB15D6" w:rsidRPr="00F3119B">
        <w:rPr>
          <w:sz w:val="22"/>
        </w:rPr>
        <w:t>However, t</w:t>
      </w:r>
      <w:r w:rsidR="001D3FC2" w:rsidRPr="00F3119B">
        <w:rPr>
          <w:sz w:val="22"/>
        </w:rPr>
        <w:t xml:space="preserve">he database is not connected to </w:t>
      </w:r>
      <w:r w:rsidR="00C6674B">
        <w:rPr>
          <w:sz w:val="22"/>
        </w:rPr>
        <w:t xml:space="preserve">the </w:t>
      </w:r>
      <w:r w:rsidR="001D3FC2" w:rsidRPr="00F3119B">
        <w:rPr>
          <w:sz w:val="22"/>
        </w:rPr>
        <w:t xml:space="preserve">IFMIS, </w:t>
      </w:r>
      <w:r w:rsidR="00EF6C7A" w:rsidRPr="00F3119B">
        <w:rPr>
          <w:sz w:val="22"/>
        </w:rPr>
        <w:t>as the P to P</w:t>
      </w:r>
      <w:r w:rsidR="00C6674B" w:rsidRPr="00C6674B">
        <w:rPr>
          <w:sz w:val="22"/>
        </w:rPr>
        <w:t xml:space="preserve"> </w:t>
      </w:r>
      <w:r w:rsidR="00C6674B" w:rsidRPr="00F3119B">
        <w:rPr>
          <w:sz w:val="22"/>
        </w:rPr>
        <w:t>module</w:t>
      </w:r>
      <w:r w:rsidR="00EF6C7A" w:rsidRPr="00F3119B">
        <w:rPr>
          <w:sz w:val="22"/>
        </w:rPr>
        <w:t xml:space="preserve"> developed at the national level </w:t>
      </w:r>
      <w:r w:rsidR="00C6674B">
        <w:rPr>
          <w:sz w:val="22"/>
        </w:rPr>
        <w:t>h</w:t>
      </w:r>
      <w:r w:rsidR="00EF6C7A" w:rsidRPr="00F3119B">
        <w:rPr>
          <w:sz w:val="22"/>
        </w:rPr>
        <w:t>as not been implemented</w:t>
      </w:r>
      <w:r w:rsidR="001D3FC2" w:rsidRPr="00F3119B">
        <w:rPr>
          <w:sz w:val="22"/>
        </w:rPr>
        <w:t>.</w:t>
      </w:r>
    </w:p>
    <w:p w14:paraId="20E085C2" w14:textId="1CED1F57" w:rsidR="00BA04BD" w:rsidRPr="00F3119B" w:rsidRDefault="00643A6B" w:rsidP="00F3119B">
      <w:pPr>
        <w:spacing w:after="240"/>
        <w:rPr>
          <w:sz w:val="22"/>
        </w:rPr>
      </w:pPr>
      <w:r w:rsidRPr="00F3119B">
        <w:rPr>
          <w:sz w:val="22"/>
        </w:rPr>
        <w:t xml:space="preserve">The data </w:t>
      </w:r>
      <w:r w:rsidR="00FC5CF5" w:rsidRPr="00F3119B">
        <w:rPr>
          <w:sz w:val="22"/>
        </w:rPr>
        <w:t xml:space="preserve">provided </w:t>
      </w:r>
      <w:r w:rsidRPr="00F3119B">
        <w:rPr>
          <w:sz w:val="22"/>
        </w:rPr>
        <w:t>was accurate and complete for procurement methods for goods, services</w:t>
      </w:r>
      <w:r w:rsidR="00C6674B">
        <w:rPr>
          <w:sz w:val="22"/>
        </w:rPr>
        <w:t>,</w:t>
      </w:r>
      <w:r w:rsidRPr="00F3119B">
        <w:rPr>
          <w:sz w:val="22"/>
        </w:rPr>
        <w:t xml:space="preserve"> and works and the </w:t>
      </w:r>
      <w:r w:rsidR="0091086E" w:rsidRPr="00F3119B">
        <w:rPr>
          <w:sz w:val="22"/>
        </w:rPr>
        <w:t>status</w:t>
      </w:r>
      <w:r w:rsidRPr="00F3119B">
        <w:rPr>
          <w:sz w:val="22"/>
        </w:rPr>
        <w:t>.</w:t>
      </w:r>
      <w:r w:rsidR="003D11A0" w:rsidRPr="00F3119B">
        <w:rPr>
          <w:sz w:val="22"/>
        </w:rPr>
        <w:t xml:space="preserve"> </w:t>
      </w:r>
      <w:r w:rsidR="0091086E" w:rsidRPr="00F3119B">
        <w:rPr>
          <w:sz w:val="22"/>
        </w:rPr>
        <w:t>However,</w:t>
      </w:r>
      <w:r w:rsidR="00A41965" w:rsidRPr="00F3119B">
        <w:rPr>
          <w:sz w:val="22"/>
        </w:rPr>
        <w:t xml:space="preserve"> procurement monitoring for public establishments was not avail</w:t>
      </w:r>
      <w:r w:rsidR="005B0A9A">
        <w:rPr>
          <w:sz w:val="22"/>
        </w:rPr>
        <w:t>able</w:t>
      </w:r>
      <w:r w:rsidR="00A41965" w:rsidRPr="00F3119B">
        <w:rPr>
          <w:sz w:val="22"/>
        </w:rPr>
        <w:t>.</w:t>
      </w:r>
      <w:r w:rsidR="00EB15D6" w:rsidRPr="00F3119B">
        <w:rPr>
          <w:sz w:val="22"/>
        </w:rPr>
        <w:t xml:space="preserve"> </w:t>
      </w:r>
      <w:r w:rsidR="00BA04BD" w:rsidRPr="00F3119B">
        <w:rPr>
          <w:sz w:val="22"/>
        </w:rPr>
        <w:t>With all MDAs required to regularly submit procurement information</w:t>
      </w:r>
      <w:r w:rsidR="00C6674B" w:rsidRPr="00C6674B">
        <w:rPr>
          <w:sz w:val="22"/>
        </w:rPr>
        <w:t xml:space="preserve"> </w:t>
      </w:r>
      <w:r w:rsidR="00C6674B" w:rsidRPr="00F3119B">
        <w:rPr>
          <w:sz w:val="22"/>
        </w:rPr>
        <w:t>since 2015</w:t>
      </w:r>
      <w:r w:rsidR="00BA04BD" w:rsidRPr="00F3119B">
        <w:rPr>
          <w:sz w:val="22"/>
        </w:rPr>
        <w:t xml:space="preserve">, </w:t>
      </w:r>
      <w:r w:rsidR="00FB6314">
        <w:rPr>
          <w:sz w:val="22"/>
        </w:rPr>
        <w:t xml:space="preserve">the </w:t>
      </w:r>
      <w:r w:rsidR="00FB6314" w:rsidRPr="009D494D">
        <w:rPr>
          <w:sz w:val="22"/>
        </w:rPr>
        <w:t>Public Procurement and Regulatory Authority</w:t>
      </w:r>
      <w:r w:rsidR="00FB6314" w:rsidRPr="00F3119B">
        <w:rPr>
          <w:sz w:val="22"/>
        </w:rPr>
        <w:t xml:space="preserve"> </w:t>
      </w:r>
      <w:r w:rsidR="00FB6314">
        <w:rPr>
          <w:sz w:val="22"/>
        </w:rPr>
        <w:t>(</w:t>
      </w:r>
      <w:r w:rsidR="00BA04BD" w:rsidRPr="00F3119B">
        <w:rPr>
          <w:sz w:val="22"/>
        </w:rPr>
        <w:t>PPRA</w:t>
      </w:r>
      <w:r w:rsidR="00FB6314">
        <w:rPr>
          <w:sz w:val="22"/>
        </w:rPr>
        <w:t>)</w:t>
      </w:r>
      <w:r w:rsidR="00BA04BD" w:rsidRPr="00F3119B">
        <w:rPr>
          <w:sz w:val="22"/>
        </w:rPr>
        <w:t xml:space="preserve"> developed a large Excel-based comprehensive procurement database. A copy was provided to the team</w:t>
      </w:r>
      <w:r w:rsidR="0084326F">
        <w:rPr>
          <w:sz w:val="22"/>
        </w:rPr>
        <w:t>,</w:t>
      </w:r>
      <w:r w:rsidR="00BD006A" w:rsidRPr="00F3119B">
        <w:rPr>
          <w:sz w:val="22"/>
        </w:rPr>
        <w:t xml:space="preserve"> </w:t>
      </w:r>
      <w:r w:rsidR="0084326F">
        <w:rPr>
          <w:sz w:val="22"/>
        </w:rPr>
        <w:t>indicating</w:t>
      </w:r>
      <w:r w:rsidR="00BD006A" w:rsidRPr="00F3119B">
        <w:rPr>
          <w:sz w:val="22"/>
        </w:rPr>
        <w:t xml:space="preserve"> that i</w:t>
      </w:r>
      <w:r w:rsidR="00BA04BD" w:rsidRPr="00F3119B">
        <w:rPr>
          <w:sz w:val="22"/>
        </w:rPr>
        <w:t>t covers more than 90</w:t>
      </w:r>
      <w:r w:rsidR="009D21FC">
        <w:rPr>
          <w:sz w:val="22"/>
        </w:rPr>
        <w:t xml:space="preserve"> percent</w:t>
      </w:r>
      <w:r w:rsidR="00BA04BD" w:rsidRPr="00F3119B">
        <w:rPr>
          <w:sz w:val="22"/>
        </w:rPr>
        <w:t xml:space="preserve"> of procurement, including </w:t>
      </w:r>
      <w:r w:rsidR="008F1990">
        <w:rPr>
          <w:sz w:val="22"/>
        </w:rPr>
        <w:t>semi-autonomous government agencies</w:t>
      </w:r>
      <w:r w:rsidR="008F1990" w:rsidRPr="00F3119B">
        <w:rPr>
          <w:sz w:val="22"/>
        </w:rPr>
        <w:t xml:space="preserve"> </w:t>
      </w:r>
      <w:r w:rsidR="008F1990">
        <w:rPr>
          <w:sz w:val="22"/>
        </w:rPr>
        <w:t>(</w:t>
      </w:r>
      <w:r w:rsidR="00BA04BD" w:rsidRPr="00F3119B">
        <w:rPr>
          <w:sz w:val="22"/>
        </w:rPr>
        <w:t>SAGAs</w:t>
      </w:r>
      <w:r w:rsidR="008F1990">
        <w:rPr>
          <w:sz w:val="22"/>
        </w:rPr>
        <w:t>)</w:t>
      </w:r>
      <w:r w:rsidR="00BA04BD" w:rsidRPr="00F3119B">
        <w:rPr>
          <w:sz w:val="22"/>
        </w:rPr>
        <w:t xml:space="preserve">, </w:t>
      </w:r>
      <w:r w:rsidR="00C6674B">
        <w:rPr>
          <w:sz w:val="22"/>
        </w:rPr>
        <w:t>s</w:t>
      </w:r>
      <w:r w:rsidR="00BA04BD" w:rsidRPr="00F3119B">
        <w:rPr>
          <w:sz w:val="22"/>
        </w:rPr>
        <w:t xml:space="preserve">tate </w:t>
      </w:r>
      <w:r w:rsidR="00C6674B">
        <w:rPr>
          <w:sz w:val="22"/>
        </w:rPr>
        <w:t>c</w:t>
      </w:r>
      <w:r w:rsidR="00BA04BD" w:rsidRPr="00F3119B">
        <w:rPr>
          <w:sz w:val="22"/>
        </w:rPr>
        <w:t>orporations</w:t>
      </w:r>
      <w:r w:rsidR="00C6674B">
        <w:rPr>
          <w:sz w:val="22"/>
        </w:rPr>
        <w:t>,</w:t>
      </w:r>
      <w:r w:rsidR="00BA04BD" w:rsidRPr="00F3119B">
        <w:rPr>
          <w:sz w:val="22"/>
        </w:rPr>
        <w:t xml:space="preserve"> and </w:t>
      </w:r>
      <w:r w:rsidR="00C6674B">
        <w:rPr>
          <w:sz w:val="22"/>
        </w:rPr>
        <w:t>c</w:t>
      </w:r>
      <w:r w:rsidR="00BA04BD" w:rsidRPr="00F3119B">
        <w:rPr>
          <w:sz w:val="22"/>
        </w:rPr>
        <w:t xml:space="preserve">ounties. Data </w:t>
      </w:r>
      <w:r w:rsidR="00C6674B">
        <w:rPr>
          <w:sz w:val="22"/>
        </w:rPr>
        <w:t>is</w:t>
      </w:r>
      <w:r w:rsidR="00C6674B" w:rsidRPr="00F3119B">
        <w:rPr>
          <w:sz w:val="22"/>
        </w:rPr>
        <w:t xml:space="preserve"> </w:t>
      </w:r>
      <w:r w:rsidR="00BA04BD" w:rsidRPr="00F3119B">
        <w:rPr>
          <w:sz w:val="22"/>
        </w:rPr>
        <w:t>shown for the different types of procurement (</w:t>
      </w:r>
      <w:r w:rsidR="009D21FC">
        <w:rPr>
          <w:sz w:val="22"/>
        </w:rPr>
        <w:t>for example,</w:t>
      </w:r>
      <w:r w:rsidR="00BA04BD" w:rsidRPr="00F3119B">
        <w:rPr>
          <w:sz w:val="22"/>
        </w:rPr>
        <w:t xml:space="preserve"> open tendering, restricted tendering, request for quotations) undertaken by each type of body. Numbers and values of each type of procurement are shown</w:t>
      </w:r>
      <w:r w:rsidR="00EB15D6" w:rsidRPr="00F3119B">
        <w:rPr>
          <w:sz w:val="22"/>
        </w:rPr>
        <w:t>.</w:t>
      </w:r>
    </w:p>
    <w:p w14:paraId="17B649CA" w14:textId="3FC0F1AE" w:rsidR="000578F8" w:rsidRPr="00F3119B" w:rsidRDefault="00F5429C" w:rsidP="00F3119B">
      <w:pPr>
        <w:spacing w:after="240"/>
        <w:rPr>
          <w:sz w:val="22"/>
        </w:rPr>
      </w:pPr>
      <w:r w:rsidRPr="00F3119B">
        <w:rPr>
          <w:sz w:val="22"/>
        </w:rPr>
        <w:t>In summary, d</w:t>
      </w:r>
      <w:r w:rsidR="00795816" w:rsidRPr="00F3119B">
        <w:rPr>
          <w:sz w:val="22"/>
        </w:rPr>
        <w:t>atabases or records are maintained for contracts</w:t>
      </w:r>
      <w:r w:rsidR="00C6674B">
        <w:rPr>
          <w:sz w:val="22"/>
        </w:rPr>
        <w:t>,</w:t>
      </w:r>
      <w:r w:rsidR="00795816" w:rsidRPr="00F3119B">
        <w:rPr>
          <w:sz w:val="22"/>
        </w:rPr>
        <w:t xml:space="preserve"> including data on what has been procured, value of procurement</w:t>
      </w:r>
      <w:r w:rsidR="00C6674B">
        <w:rPr>
          <w:sz w:val="22"/>
        </w:rPr>
        <w:t>,</w:t>
      </w:r>
      <w:r w:rsidR="00795816" w:rsidRPr="00F3119B">
        <w:rPr>
          <w:sz w:val="22"/>
        </w:rPr>
        <w:t xml:space="preserve"> and who has been awarded contracts. However, m</w:t>
      </w:r>
      <w:r w:rsidR="001D3FC2" w:rsidRPr="00F3119B">
        <w:rPr>
          <w:sz w:val="22"/>
        </w:rPr>
        <w:t xml:space="preserve">ateriality </w:t>
      </w:r>
      <w:r w:rsidR="00BD006A" w:rsidRPr="00F3119B">
        <w:rPr>
          <w:sz w:val="22"/>
        </w:rPr>
        <w:t xml:space="preserve">related to the </w:t>
      </w:r>
      <w:r w:rsidR="000578F8" w:rsidRPr="00F3119B">
        <w:rPr>
          <w:sz w:val="22"/>
        </w:rPr>
        <w:t xml:space="preserve">completeness could </w:t>
      </w:r>
      <w:r w:rsidR="001D3FC2" w:rsidRPr="00F3119B">
        <w:rPr>
          <w:sz w:val="22"/>
        </w:rPr>
        <w:t>not be verified</w:t>
      </w:r>
      <w:r w:rsidR="00BD006A" w:rsidRPr="00F3119B">
        <w:rPr>
          <w:sz w:val="22"/>
        </w:rPr>
        <w:t xml:space="preserve"> as the procurement module is not connected to </w:t>
      </w:r>
      <w:r w:rsidR="00C6674B">
        <w:rPr>
          <w:sz w:val="22"/>
        </w:rPr>
        <w:t xml:space="preserve">the </w:t>
      </w:r>
      <w:r w:rsidR="00BD006A" w:rsidRPr="00F3119B">
        <w:rPr>
          <w:sz w:val="22"/>
        </w:rPr>
        <w:t>IFMIS</w:t>
      </w:r>
      <w:r w:rsidR="001D3FC2" w:rsidRPr="00F3119B">
        <w:rPr>
          <w:sz w:val="22"/>
        </w:rPr>
        <w:t xml:space="preserve">. </w:t>
      </w:r>
    </w:p>
    <w:p w14:paraId="21C90A33" w14:textId="4FD80B8B" w:rsidR="000578F8" w:rsidRPr="00F3119B" w:rsidRDefault="000578F8" w:rsidP="00F3119B">
      <w:pPr>
        <w:spacing w:after="240"/>
        <w:ind w:left="360" w:hanging="360"/>
        <w:rPr>
          <w:b/>
          <w:sz w:val="22"/>
        </w:rPr>
      </w:pPr>
      <w:r w:rsidRPr="00F3119B">
        <w:rPr>
          <w:b/>
          <w:sz w:val="22"/>
        </w:rPr>
        <w:t>Dimension rating = D*</w:t>
      </w:r>
    </w:p>
    <w:p w14:paraId="37F7D7E1" w14:textId="77777777" w:rsidR="00C168C9" w:rsidRPr="00890A84" w:rsidRDefault="00612DBE" w:rsidP="00BA6B2B">
      <w:pPr>
        <w:pStyle w:val="Heading5"/>
      </w:pPr>
      <w:r w:rsidRPr="00890A84">
        <w:t>PI-</w:t>
      </w:r>
      <w:r w:rsidR="00C168C9" w:rsidRPr="00890A84">
        <w:t xml:space="preserve">24.2. Procurement methods </w:t>
      </w:r>
    </w:p>
    <w:p w14:paraId="3A21A9E1" w14:textId="528D035D" w:rsidR="004A48F7" w:rsidRPr="00F3119B" w:rsidRDefault="00F2686E" w:rsidP="00F3119B">
      <w:pPr>
        <w:spacing w:after="240"/>
        <w:rPr>
          <w:sz w:val="22"/>
        </w:rPr>
      </w:pPr>
      <w:r w:rsidRPr="00F3119B">
        <w:rPr>
          <w:sz w:val="22"/>
        </w:rPr>
        <w:t>The</w:t>
      </w:r>
      <w:r w:rsidR="001D7E75" w:rsidRPr="00F3119B">
        <w:rPr>
          <w:sz w:val="22"/>
        </w:rPr>
        <w:t xml:space="preserve"> </w:t>
      </w:r>
      <w:r w:rsidRPr="00F3119B">
        <w:rPr>
          <w:sz w:val="22"/>
        </w:rPr>
        <w:t>Public Procurement and Asset Disposal Act, 2015</w:t>
      </w:r>
      <w:r w:rsidR="00C6674B">
        <w:rPr>
          <w:sz w:val="22"/>
        </w:rPr>
        <w:t>,</w:t>
      </w:r>
      <w:r w:rsidR="00612DBE" w:rsidRPr="00F3119B">
        <w:rPr>
          <w:sz w:val="22"/>
        </w:rPr>
        <w:t xml:space="preserve"> </w:t>
      </w:r>
      <w:r w:rsidRPr="00F3119B">
        <w:rPr>
          <w:sz w:val="22"/>
        </w:rPr>
        <w:t>provides for different procurement methods.</w:t>
      </w:r>
      <w:r w:rsidR="00133A75" w:rsidRPr="00F3119B">
        <w:rPr>
          <w:sz w:val="22"/>
        </w:rPr>
        <w:t xml:space="preserve"> The county relied on restricted tendering and request for </w:t>
      </w:r>
      <w:r w:rsidRPr="00F3119B">
        <w:rPr>
          <w:sz w:val="22"/>
        </w:rPr>
        <w:t>quotations</w:t>
      </w:r>
      <w:r w:rsidR="00133A75" w:rsidRPr="00F3119B">
        <w:rPr>
          <w:sz w:val="22"/>
        </w:rPr>
        <w:t xml:space="preserve"> at 48.4</w:t>
      </w:r>
      <w:r w:rsidR="00C6674B">
        <w:rPr>
          <w:sz w:val="22"/>
        </w:rPr>
        <w:t xml:space="preserve"> percent</w:t>
      </w:r>
      <w:r w:rsidR="00133A75" w:rsidRPr="00F3119B">
        <w:rPr>
          <w:sz w:val="22"/>
        </w:rPr>
        <w:t xml:space="preserve"> and 34.4</w:t>
      </w:r>
      <w:r w:rsidR="00C6674B">
        <w:rPr>
          <w:sz w:val="22"/>
        </w:rPr>
        <w:t xml:space="preserve"> percent</w:t>
      </w:r>
      <w:r w:rsidRPr="00F3119B">
        <w:rPr>
          <w:sz w:val="22"/>
        </w:rPr>
        <w:t>,</w:t>
      </w:r>
      <w:r w:rsidR="00133A75" w:rsidRPr="00F3119B">
        <w:rPr>
          <w:sz w:val="22"/>
        </w:rPr>
        <w:t xml:space="preserve"> respectively. </w:t>
      </w:r>
      <w:r w:rsidRPr="00F3119B">
        <w:rPr>
          <w:sz w:val="22"/>
        </w:rPr>
        <w:t>In addition, t</w:t>
      </w:r>
      <w:r w:rsidR="00133A75" w:rsidRPr="00F3119B">
        <w:rPr>
          <w:sz w:val="22"/>
        </w:rPr>
        <w:t>he county u</w:t>
      </w:r>
      <w:r w:rsidR="00332285">
        <w:rPr>
          <w:sz w:val="22"/>
        </w:rPr>
        <w:t>s</w:t>
      </w:r>
      <w:r w:rsidR="00133A75" w:rsidRPr="00F3119B">
        <w:rPr>
          <w:sz w:val="22"/>
        </w:rPr>
        <w:t xml:space="preserve">ed </w:t>
      </w:r>
      <w:r w:rsidRPr="00F3119B">
        <w:rPr>
          <w:sz w:val="22"/>
        </w:rPr>
        <w:t xml:space="preserve">open tendering and request for proposal at </w:t>
      </w:r>
      <w:r w:rsidR="00133A75" w:rsidRPr="00F3119B">
        <w:rPr>
          <w:sz w:val="22"/>
        </w:rPr>
        <w:t>16.5</w:t>
      </w:r>
      <w:r w:rsidR="00332285">
        <w:rPr>
          <w:sz w:val="22"/>
        </w:rPr>
        <w:t xml:space="preserve"> percent</w:t>
      </w:r>
      <w:r w:rsidR="00133A75" w:rsidRPr="00F3119B">
        <w:rPr>
          <w:sz w:val="22"/>
        </w:rPr>
        <w:t xml:space="preserve"> and 0.7</w:t>
      </w:r>
      <w:r w:rsidR="00332285">
        <w:rPr>
          <w:sz w:val="22"/>
        </w:rPr>
        <w:t xml:space="preserve"> percent</w:t>
      </w:r>
      <w:r w:rsidRPr="00F3119B">
        <w:rPr>
          <w:sz w:val="22"/>
        </w:rPr>
        <w:t>,</w:t>
      </w:r>
      <w:r w:rsidR="00133A75" w:rsidRPr="00F3119B">
        <w:rPr>
          <w:sz w:val="22"/>
        </w:rPr>
        <w:t xml:space="preserve"> respectively</w:t>
      </w:r>
      <w:r w:rsidRPr="00F3119B">
        <w:rPr>
          <w:sz w:val="22"/>
        </w:rPr>
        <w:t xml:space="preserve"> (Table 3.</w:t>
      </w:r>
      <w:r w:rsidR="00332285">
        <w:rPr>
          <w:sz w:val="22"/>
        </w:rPr>
        <w:t>1</w:t>
      </w:r>
      <w:r w:rsidR="00F677C9">
        <w:rPr>
          <w:sz w:val="22"/>
        </w:rPr>
        <w:t>6</w:t>
      </w:r>
      <w:r w:rsidRPr="00F3119B">
        <w:rPr>
          <w:sz w:val="22"/>
        </w:rPr>
        <w:t>)</w:t>
      </w:r>
      <w:r w:rsidR="00133A75" w:rsidRPr="00F3119B">
        <w:rPr>
          <w:sz w:val="22"/>
        </w:rPr>
        <w:t xml:space="preserve">. </w:t>
      </w:r>
      <w:r w:rsidRPr="00F3119B">
        <w:rPr>
          <w:sz w:val="22"/>
        </w:rPr>
        <w:t>From T</w:t>
      </w:r>
      <w:r w:rsidR="00643A6B" w:rsidRPr="00F3119B">
        <w:rPr>
          <w:sz w:val="22"/>
        </w:rPr>
        <w:t xml:space="preserve">able </w:t>
      </w:r>
      <w:r w:rsidRPr="00F3119B">
        <w:rPr>
          <w:sz w:val="22"/>
        </w:rPr>
        <w:t>3.</w:t>
      </w:r>
      <w:r w:rsidR="00332285">
        <w:rPr>
          <w:sz w:val="22"/>
        </w:rPr>
        <w:t>1</w:t>
      </w:r>
      <w:r w:rsidR="00F677C9">
        <w:rPr>
          <w:sz w:val="22"/>
        </w:rPr>
        <w:t>6</w:t>
      </w:r>
      <w:r w:rsidR="00133A75" w:rsidRPr="00F3119B">
        <w:rPr>
          <w:sz w:val="22"/>
        </w:rPr>
        <w:t xml:space="preserve">, the county </w:t>
      </w:r>
      <w:r w:rsidR="008B0081" w:rsidRPr="00F3119B">
        <w:rPr>
          <w:sz w:val="22"/>
        </w:rPr>
        <w:t>leaned heavily on restricted tendering and request for quotations</w:t>
      </w:r>
      <w:r w:rsidR="00AD5B8E">
        <w:rPr>
          <w:sz w:val="22"/>
        </w:rPr>
        <w:t>,</w:t>
      </w:r>
      <w:r w:rsidR="008B0081" w:rsidRPr="00F3119B">
        <w:rPr>
          <w:sz w:val="22"/>
        </w:rPr>
        <w:t xml:space="preserve"> which are not highly</w:t>
      </w:r>
      <w:r w:rsidR="00133A75" w:rsidRPr="00F3119B">
        <w:rPr>
          <w:sz w:val="22"/>
        </w:rPr>
        <w:t xml:space="preserve"> competitive procurement methods</w:t>
      </w:r>
      <w:r w:rsidR="008B0081" w:rsidRPr="00F3119B">
        <w:rPr>
          <w:sz w:val="22"/>
        </w:rPr>
        <w:t>.</w:t>
      </w:r>
    </w:p>
    <w:p w14:paraId="7B336D03" w14:textId="7EB8EEED" w:rsidR="00FE07C0" w:rsidRDefault="004B6441" w:rsidP="00590C8E">
      <w:pPr>
        <w:pStyle w:val="TableStyle"/>
      </w:pPr>
      <w:bookmarkStart w:id="101" w:name="_Toc530420892"/>
      <w:bookmarkStart w:id="102" w:name="_Toc532426103"/>
      <w:r>
        <w:t>Table</w:t>
      </w:r>
      <w:r w:rsidR="00AD5B8E">
        <w:t xml:space="preserv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16</w:t>
      </w:r>
      <w:r w:rsidR="008B59A7">
        <w:rPr>
          <w:noProof/>
        </w:rPr>
        <w:fldChar w:fldCharType="end"/>
      </w:r>
      <w:r w:rsidR="00FE07C0" w:rsidRPr="00890A84">
        <w:t xml:space="preserve">: </w:t>
      </w:r>
      <w:r w:rsidR="004A48F7" w:rsidRPr="00874316">
        <w:t>Ty</w:t>
      </w:r>
      <w:r w:rsidR="004A48F7">
        <w:t>pe of procurement methods, 2015/16</w:t>
      </w:r>
      <w:bookmarkEnd w:id="101"/>
      <w:bookmarkEnd w:id="102"/>
    </w:p>
    <w:tbl>
      <w:tblPr>
        <w:tblW w:w="6204"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33"/>
        <w:gridCol w:w="1970"/>
        <w:gridCol w:w="1701"/>
      </w:tblGrid>
      <w:tr w:rsidR="0091086E" w:rsidRPr="00F3119B" w14:paraId="6109FA13" w14:textId="77777777" w:rsidTr="00F3119B">
        <w:trPr>
          <w:trHeight w:val="260"/>
          <w:tblHeader/>
        </w:trPr>
        <w:tc>
          <w:tcPr>
            <w:tcW w:w="2533" w:type="dxa"/>
            <w:shd w:val="clear" w:color="auto" w:fill="5B9BD5"/>
            <w:vAlign w:val="center"/>
            <w:hideMark/>
          </w:tcPr>
          <w:p w14:paraId="7023763D" w14:textId="77777777" w:rsidR="00331248" w:rsidRPr="00F3119B" w:rsidRDefault="00331248" w:rsidP="00332285">
            <w:pPr>
              <w:jc w:val="center"/>
              <w:rPr>
                <w:b/>
                <w:color w:val="FFFFFF" w:themeColor="background1"/>
                <w:sz w:val="20"/>
                <w:szCs w:val="20"/>
              </w:rPr>
            </w:pPr>
            <w:r w:rsidRPr="00F3119B">
              <w:rPr>
                <w:b/>
                <w:color w:val="FFFFFF" w:themeColor="background1"/>
                <w:sz w:val="20"/>
                <w:szCs w:val="20"/>
              </w:rPr>
              <w:t>Procurement method</w:t>
            </w:r>
          </w:p>
        </w:tc>
        <w:tc>
          <w:tcPr>
            <w:tcW w:w="1970" w:type="dxa"/>
            <w:shd w:val="clear" w:color="auto" w:fill="5B9BD5"/>
            <w:vAlign w:val="center"/>
            <w:hideMark/>
          </w:tcPr>
          <w:p w14:paraId="1B7C0177" w14:textId="60FC77EB" w:rsidR="00331248" w:rsidRPr="00F3119B" w:rsidRDefault="008B0081" w:rsidP="00332285">
            <w:pPr>
              <w:jc w:val="center"/>
              <w:rPr>
                <w:b/>
                <w:color w:val="FFFFFF" w:themeColor="background1"/>
                <w:sz w:val="20"/>
                <w:szCs w:val="20"/>
              </w:rPr>
            </w:pPr>
            <w:r w:rsidRPr="00F3119B">
              <w:rPr>
                <w:b/>
                <w:color w:val="FFFFFF" w:themeColor="background1"/>
                <w:sz w:val="20"/>
                <w:szCs w:val="20"/>
              </w:rPr>
              <w:t xml:space="preserve">Value </w:t>
            </w:r>
            <w:r w:rsidR="007416BB" w:rsidRPr="00F3119B">
              <w:rPr>
                <w:b/>
                <w:color w:val="FFFFFF" w:themeColor="background1"/>
                <w:sz w:val="20"/>
                <w:szCs w:val="20"/>
              </w:rPr>
              <w:t>(</w:t>
            </w:r>
            <w:r w:rsidR="00E73ED7">
              <w:rPr>
                <w:b/>
                <w:color w:val="FFFFFF" w:themeColor="background1"/>
                <w:sz w:val="20"/>
                <w:szCs w:val="20"/>
              </w:rPr>
              <w:t>Ksh</w:t>
            </w:r>
            <w:r w:rsidR="00332285">
              <w:rPr>
                <w:b/>
                <w:color w:val="FFFFFF" w:themeColor="background1"/>
                <w:sz w:val="20"/>
                <w:szCs w:val="20"/>
              </w:rPr>
              <w:t>,</w:t>
            </w:r>
            <w:r w:rsidR="007416BB" w:rsidRPr="00F3119B">
              <w:rPr>
                <w:b/>
                <w:color w:val="FFFFFF" w:themeColor="background1"/>
                <w:sz w:val="20"/>
                <w:szCs w:val="20"/>
              </w:rPr>
              <w:t xml:space="preserve"> million</w:t>
            </w:r>
            <w:r w:rsidR="00332285">
              <w:rPr>
                <w:b/>
                <w:color w:val="FFFFFF" w:themeColor="background1"/>
                <w:sz w:val="20"/>
                <w:szCs w:val="20"/>
              </w:rPr>
              <w:t>s</w:t>
            </w:r>
            <w:r w:rsidR="007416BB" w:rsidRPr="00F3119B">
              <w:rPr>
                <w:b/>
                <w:color w:val="FFFFFF" w:themeColor="background1"/>
                <w:sz w:val="20"/>
                <w:szCs w:val="20"/>
              </w:rPr>
              <w:t>)</w:t>
            </w:r>
          </w:p>
        </w:tc>
        <w:tc>
          <w:tcPr>
            <w:tcW w:w="1701" w:type="dxa"/>
            <w:shd w:val="clear" w:color="auto" w:fill="5B9BD5"/>
            <w:vAlign w:val="center"/>
            <w:hideMark/>
          </w:tcPr>
          <w:p w14:paraId="7F50FD15" w14:textId="77777777" w:rsidR="00331248" w:rsidRPr="00F3119B" w:rsidRDefault="007416BB" w:rsidP="00332285">
            <w:pPr>
              <w:jc w:val="center"/>
              <w:rPr>
                <w:b/>
                <w:color w:val="FFFFFF" w:themeColor="background1"/>
                <w:sz w:val="20"/>
                <w:szCs w:val="20"/>
              </w:rPr>
            </w:pPr>
            <w:r w:rsidRPr="00F3119B">
              <w:rPr>
                <w:b/>
                <w:color w:val="FFFFFF" w:themeColor="background1"/>
                <w:sz w:val="20"/>
                <w:szCs w:val="20"/>
              </w:rPr>
              <w:t>%</w:t>
            </w:r>
          </w:p>
        </w:tc>
      </w:tr>
      <w:tr w:rsidR="00331248" w:rsidRPr="00F3119B" w14:paraId="7D31B4C8" w14:textId="77777777" w:rsidTr="00F3119B">
        <w:trPr>
          <w:trHeight w:val="154"/>
        </w:trPr>
        <w:tc>
          <w:tcPr>
            <w:tcW w:w="2533" w:type="dxa"/>
            <w:shd w:val="clear" w:color="auto" w:fill="auto"/>
            <w:vAlign w:val="center"/>
            <w:hideMark/>
          </w:tcPr>
          <w:p w14:paraId="56CB9706" w14:textId="00212570" w:rsidR="00331248" w:rsidRPr="00F3119B" w:rsidRDefault="00331248" w:rsidP="00D52523">
            <w:pPr>
              <w:rPr>
                <w:sz w:val="20"/>
                <w:szCs w:val="20"/>
              </w:rPr>
            </w:pPr>
            <w:r w:rsidRPr="00F3119B">
              <w:rPr>
                <w:sz w:val="20"/>
                <w:szCs w:val="20"/>
              </w:rPr>
              <w:t xml:space="preserve">Open </w:t>
            </w:r>
            <w:r w:rsidR="00DC5DC7">
              <w:rPr>
                <w:sz w:val="20"/>
                <w:szCs w:val="20"/>
              </w:rPr>
              <w:t>t</w:t>
            </w:r>
            <w:r w:rsidRPr="00F3119B">
              <w:rPr>
                <w:sz w:val="20"/>
                <w:szCs w:val="20"/>
              </w:rPr>
              <w:t>ender</w:t>
            </w:r>
          </w:p>
        </w:tc>
        <w:tc>
          <w:tcPr>
            <w:tcW w:w="1970" w:type="dxa"/>
            <w:shd w:val="clear" w:color="auto" w:fill="auto"/>
            <w:vAlign w:val="center"/>
            <w:hideMark/>
          </w:tcPr>
          <w:p w14:paraId="5B6D9F23" w14:textId="77777777" w:rsidR="00331248" w:rsidRPr="00F3119B" w:rsidRDefault="00331248" w:rsidP="00AD5B8E">
            <w:pPr>
              <w:tabs>
                <w:tab w:val="decimal" w:pos="957"/>
              </w:tabs>
              <w:jc w:val="left"/>
              <w:rPr>
                <w:sz w:val="20"/>
                <w:szCs w:val="20"/>
              </w:rPr>
            </w:pPr>
            <w:r w:rsidRPr="00F3119B">
              <w:rPr>
                <w:sz w:val="20"/>
                <w:szCs w:val="20"/>
              </w:rPr>
              <w:t>244.25</w:t>
            </w:r>
          </w:p>
        </w:tc>
        <w:tc>
          <w:tcPr>
            <w:tcW w:w="1701" w:type="dxa"/>
            <w:shd w:val="clear" w:color="auto" w:fill="auto"/>
            <w:vAlign w:val="center"/>
            <w:hideMark/>
          </w:tcPr>
          <w:p w14:paraId="177EF961" w14:textId="12A5E4ED" w:rsidR="00331248" w:rsidRPr="00F3119B" w:rsidRDefault="00331248" w:rsidP="00AD5B8E">
            <w:pPr>
              <w:tabs>
                <w:tab w:val="decimal" w:pos="702"/>
              </w:tabs>
              <w:jc w:val="left"/>
              <w:rPr>
                <w:sz w:val="20"/>
                <w:szCs w:val="20"/>
              </w:rPr>
            </w:pPr>
            <w:r w:rsidRPr="00F3119B">
              <w:rPr>
                <w:sz w:val="20"/>
                <w:szCs w:val="20"/>
              </w:rPr>
              <w:t>16.50</w:t>
            </w:r>
          </w:p>
        </w:tc>
      </w:tr>
      <w:tr w:rsidR="00331248" w:rsidRPr="00F3119B" w14:paraId="0CD2CDFE" w14:textId="77777777" w:rsidTr="00F3119B">
        <w:trPr>
          <w:trHeight w:val="116"/>
        </w:trPr>
        <w:tc>
          <w:tcPr>
            <w:tcW w:w="2533" w:type="dxa"/>
            <w:shd w:val="clear" w:color="auto" w:fill="auto"/>
            <w:vAlign w:val="center"/>
            <w:hideMark/>
          </w:tcPr>
          <w:p w14:paraId="76F165D9" w14:textId="014C0429" w:rsidR="00331248" w:rsidRPr="00F3119B" w:rsidRDefault="00331248" w:rsidP="00D52523">
            <w:pPr>
              <w:rPr>
                <w:sz w:val="20"/>
                <w:szCs w:val="20"/>
              </w:rPr>
            </w:pPr>
            <w:r w:rsidRPr="00F3119B">
              <w:rPr>
                <w:sz w:val="20"/>
                <w:szCs w:val="20"/>
              </w:rPr>
              <w:t xml:space="preserve">Restricted </w:t>
            </w:r>
            <w:r w:rsidR="00DC5DC7">
              <w:rPr>
                <w:sz w:val="20"/>
                <w:szCs w:val="20"/>
              </w:rPr>
              <w:t>t</w:t>
            </w:r>
            <w:r w:rsidRPr="00F3119B">
              <w:rPr>
                <w:sz w:val="20"/>
                <w:szCs w:val="20"/>
              </w:rPr>
              <w:t>ender</w:t>
            </w:r>
          </w:p>
        </w:tc>
        <w:tc>
          <w:tcPr>
            <w:tcW w:w="1970" w:type="dxa"/>
            <w:shd w:val="clear" w:color="auto" w:fill="auto"/>
            <w:vAlign w:val="center"/>
            <w:hideMark/>
          </w:tcPr>
          <w:p w14:paraId="25DD2627" w14:textId="77777777" w:rsidR="00331248" w:rsidRPr="00F3119B" w:rsidRDefault="00331248" w:rsidP="00AD5B8E">
            <w:pPr>
              <w:tabs>
                <w:tab w:val="decimal" w:pos="957"/>
              </w:tabs>
              <w:jc w:val="left"/>
              <w:rPr>
                <w:sz w:val="20"/>
                <w:szCs w:val="20"/>
              </w:rPr>
            </w:pPr>
            <w:r w:rsidRPr="00F3119B">
              <w:rPr>
                <w:sz w:val="20"/>
                <w:szCs w:val="20"/>
              </w:rPr>
              <w:t>715.28</w:t>
            </w:r>
          </w:p>
        </w:tc>
        <w:tc>
          <w:tcPr>
            <w:tcW w:w="1701" w:type="dxa"/>
            <w:shd w:val="clear" w:color="auto" w:fill="auto"/>
            <w:vAlign w:val="center"/>
            <w:hideMark/>
          </w:tcPr>
          <w:p w14:paraId="300D646F" w14:textId="5C48533E" w:rsidR="00331248" w:rsidRPr="00F3119B" w:rsidRDefault="00331248" w:rsidP="00AD5B8E">
            <w:pPr>
              <w:tabs>
                <w:tab w:val="decimal" w:pos="702"/>
              </w:tabs>
              <w:jc w:val="left"/>
              <w:rPr>
                <w:sz w:val="20"/>
                <w:szCs w:val="20"/>
              </w:rPr>
            </w:pPr>
            <w:r w:rsidRPr="00F3119B">
              <w:rPr>
                <w:sz w:val="20"/>
                <w:szCs w:val="20"/>
              </w:rPr>
              <w:t>48.40</w:t>
            </w:r>
          </w:p>
        </w:tc>
      </w:tr>
      <w:tr w:rsidR="00331248" w:rsidRPr="00F3119B" w14:paraId="3438C149" w14:textId="77777777" w:rsidTr="00F3119B">
        <w:trPr>
          <w:trHeight w:val="220"/>
        </w:trPr>
        <w:tc>
          <w:tcPr>
            <w:tcW w:w="2533" w:type="dxa"/>
            <w:shd w:val="clear" w:color="auto" w:fill="auto"/>
            <w:vAlign w:val="center"/>
            <w:hideMark/>
          </w:tcPr>
          <w:p w14:paraId="0E3550AF" w14:textId="5DAE6651" w:rsidR="00331248" w:rsidRPr="00F3119B" w:rsidRDefault="00331248" w:rsidP="00D52523">
            <w:pPr>
              <w:rPr>
                <w:sz w:val="20"/>
                <w:szCs w:val="20"/>
              </w:rPr>
            </w:pPr>
            <w:r w:rsidRPr="00F3119B">
              <w:rPr>
                <w:sz w:val="20"/>
                <w:szCs w:val="20"/>
              </w:rPr>
              <w:t xml:space="preserve">Request for </w:t>
            </w:r>
            <w:r w:rsidR="00DC5DC7">
              <w:rPr>
                <w:sz w:val="20"/>
                <w:szCs w:val="20"/>
              </w:rPr>
              <w:t>q</w:t>
            </w:r>
            <w:r w:rsidRPr="00F3119B">
              <w:rPr>
                <w:sz w:val="20"/>
                <w:szCs w:val="20"/>
              </w:rPr>
              <w:t>uotation</w:t>
            </w:r>
          </w:p>
        </w:tc>
        <w:tc>
          <w:tcPr>
            <w:tcW w:w="1970" w:type="dxa"/>
            <w:shd w:val="clear" w:color="auto" w:fill="auto"/>
            <w:vAlign w:val="center"/>
            <w:hideMark/>
          </w:tcPr>
          <w:p w14:paraId="2E650106" w14:textId="77777777" w:rsidR="00331248" w:rsidRPr="00F3119B" w:rsidRDefault="00331248" w:rsidP="00AD5B8E">
            <w:pPr>
              <w:tabs>
                <w:tab w:val="decimal" w:pos="957"/>
              </w:tabs>
              <w:jc w:val="left"/>
              <w:rPr>
                <w:sz w:val="20"/>
                <w:szCs w:val="20"/>
              </w:rPr>
            </w:pPr>
            <w:r w:rsidRPr="00F3119B">
              <w:rPr>
                <w:sz w:val="20"/>
                <w:szCs w:val="20"/>
              </w:rPr>
              <w:t>509.07</w:t>
            </w:r>
          </w:p>
        </w:tc>
        <w:tc>
          <w:tcPr>
            <w:tcW w:w="1701" w:type="dxa"/>
            <w:shd w:val="clear" w:color="auto" w:fill="auto"/>
            <w:vAlign w:val="center"/>
            <w:hideMark/>
          </w:tcPr>
          <w:p w14:paraId="73E5068A" w14:textId="0698256B" w:rsidR="00331248" w:rsidRPr="00F3119B" w:rsidRDefault="00331248" w:rsidP="00AD5B8E">
            <w:pPr>
              <w:tabs>
                <w:tab w:val="decimal" w:pos="702"/>
              </w:tabs>
              <w:jc w:val="left"/>
              <w:rPr>
                <w:sz w:val="20"/>
                <w:szCs w:val="20"/>
              </w:rPr>
            </w:pPr>
            <w:r w:rsidRPr="00F3119B">
              <w:rPr>
                <w:sz w:val="20"/>
                <w:szCs w:val="20"/>
              </w:rPr>
              <w:t>34.40</w:t>
            </w:r>
          </w:p>
        </w:tc>
      </w:tr>
      <w:tr w:rsidR="00331248" w:rsidRPr="00F3119B" w14:paraId="16EFC57F" w14:textId="77777777" w:rsidTr="00F3119B">
        <w:trPr>
          <w:trHeight w:val="111"/>
        </w:trPr>
        <w:tc>
          <w:tcPr>
            <w:tcW w:w="2533" w:type="dxa"/>
            <w:shd w:val="clear" w:color="auto" w:fill="auto"/>
            <w:vAlign w:val="center"/>
            <w:hideMark/>
          </w:tcPr>
          <w:p w14:paraId="005BEFC1" w14:textId="15E0343E" w:rsidR="00331248" w:rsidRPr="00F3119B" w:rsidRDefault="00331248" w:rsidP="00D52523">
            <w:pPr>
              <w:rPr>
                <w:sz w:val="20"/>
                <w:szCs w:val="20"/>
              </w:rPr>
            </w:pPr>
            <w:r w:rsidRPr="00F3119B">
              <w:rPr>
                <w:sz w:val="20"/>
                <w:szCs w:val="20"/>
              </w:rPr>
              <w:t xml:space="preserve">Request for </w:t>
            </w:r>
            <w:r w:rsidR="00DC5DC7">
              <w:rPr>
                <w:sz w:val="20"/>
                <w:szCs w:val="20"/>
              </w:rPr>
              <w:t>p</w:t>
            </w:r>
            <w:r w:rsidRPr="00F3119B">
              <w:rPr>
                <w:sz w:val="20"/>
                <w:szCs w:val="20"/>
              </w:rPr>
              <w:t>roposal</w:t>
            </w:r>
          </w:p>
        </w:tc>
        <w:tc>
          <w:tcPr>
            <w:tcW w:w="1970" w:type="dxa"/>
            <w:shd w:val="clear" w:color="auto" w:fill="auto"/>
            <w:vAlign w:val="center"/>
            <w:hideMark/>
          </w:tcPr>
          <w:p w14:paraId="6209779C" w14:textId="77777777" w:rsidR="00331248" w:rsidRPr="00F3119B" w:rsidRDefault="00331248" w:rsidP="00AD5B8E">
            <w:pPr>
              <w:tabs>
                <w:tab w:val="decimal" w:pos="957"/>
              </w:tabs>
              <w:jc w:val="left"/>
              <w:rPr>
                <w:sz w:val="20"/>
                <w:szCs w:val="20"/>
              </w:rPr>
            </w:pPr>
            <w:r w:rsidRPr="00F3119B">
              <w:rPr>
                <w:sz w:val="20"/>
                <w:szCs w:val="20"/>
              </w:rPr>
              <w:t>9.87</w:t>
            </w:r>
          </w:p>
        </w:tc>
        <w:tc>
          <w:tcPr>
            <w:tcW w:w="1701" w:type="dxa"/>
            <w:shd w:val="clear" w:color="auto" w:fill="auto"/>
            <w:vAlign w:val="center"/>
            <w:hideMark/>
          </w:tcPr>
          <w:p w14:paraId="203E73DE" w14:textId="5540F51B" w:rsidR="00331248" w:rsidRPr="00F3119B" w:rsidRDefault="00331248" w:rsidP="00AD5B8E">
            <w:pPr>
              <w:tabs>
                <w:tab w:val="decimal" w:pos="702"/>
              </w:tabs>
              <w:jc w:val="left"/>
              <w:rPr>
                <w:sz w:val="20"/>
                <w:szCs w:val="20"/>
              </w:rPr>
            </w:pPr>
            <w:r w:rsidRPr="00F3119B">
              <w:rPr>
                <w:sz w:val="20"/>
                <w:szCs w:val="20"/>
              </w:rPr>
              <w:t>0.70</w:t>
            </w:r>
          </w:p>
        </w:tc>
      </w:tr>
      <w:tr w:rsidR="00331248" w:rsidRPr="00F3119B" w14:paraId="775CBA2F" w14:textId="77777777" w:rsidTr="00F3119B">
        <w:trPr>
          <w:trHeight w:val="169"/>
        </w:trPr>
        <w:tc>
          <w:tcPr>
            <w:tcW w:w="2533" w:type="dxa"/>
            <w:shd w:val="clear" w:color="auto" w:fill="auto"/>
            <w:vAlign w:val="center"/>
            <w:hideMark/>
          </w:tcPr>
          <w:p w14:paraId="0778554F" w14:textId="77777777" w:rsidR="00331248" w:rsidRPr="00F3119B" w:rsidRDefault="00331248" w:rsidP="00D52523">
            <w:pPr>
              <w:rPr>
                <w:b/>
                <w:sz w:val="20"/>
                <w:szCs w:val="20"/>
              </w:rPr>
            </w:pPr>
            <w:r w:rsidRPr="00F3119B">
              <w:rPr>
                <w:b/>
                <w:sz w:val="20"/>
                <w:szCs w:val="20"/>
              </w:rPr>
              <w:t>Total</w:t>
            </w:r>
          </w:p>
        </w:tc>
        <w:tc>
          <w:tcPr>
            <w:tcW w:w="1970" w:type="dxa"/>
            <w:shd w:val="clear" w:color="auto" w:fill="auto"/>
            <w:vAlign w:val="center"/>
            <w:hideMark/>
          </w:tcPr>
          <w:p w14:paraId="2E6D65B5" w14:textId="77777777" w:rsidR="00331248" w:rsidRPr="00F3119B" w:rsidRDefault="00331248" w:rsidP="00AD5B8E">
            <w:pPr>
              <w:tabs>
                <w:tab w:val="decimal" w:pos="957"/>
              </w:tabs>
              <w:jc w:val="left"/>
              <w:rPr>
                <w:b/>
                <w:sz w:val="20"/>
                <w:szCs w:val="20"/>
              </w:rPr>
            </w:pPr>
            <w:r w:rsidRPr="00F3119B">
              <w:rPr>
                <w:b/>
                <w:sz w:val="20"/>
                <w:szCs w:val="20"/>
              </w:rPr>
              <w:t>1,478.48</w:t>
            </w:r>
          </w:p>
        </w:tc>
        <w:tc>
          <w:tcPr>
            <w:tcW w:w="1701" w:type="dxa"/>
            <w:shd w:val="clear" w:color="auto" w:fill="auto"/>
            <w:vAlign w:val="center"/>
            <w:hideMark/>
          </w:tcPr>
          <w:p w14:paraId="35E39876" w14:textId="3807EAB2" w:rsidR="00331248" w:rsidRPr="00F3119B" w:rsidRDefault="00331248" w:rsidP="00AD5B8E">
            <w:pPr>
              <w:tabs>
                <w:tab w:val="decimal" w:pos="702"/>
              </w:tabs>
              <w:jc w:val="left"/>
              <w:rPr>
                <w:b/>
                <w:sz w:val="20"/>
                <w:szCs w:val="20"/>
              </w:rPr>
            </w:pPr>
            <w:r w:rsidRPr="00F3119B">
              <w:rPr>
                <w:b/>
                <w:sz w:val="20"/>
                <w:szCs w:val="20"/>
              </w:rPr>
              <w:t>100</w:t>
            </w:r>
            <w:r w:rsidR="00AD5B8E">
              <w:rPr>
                <w:b/>
                <w:sz w:val="20"/>
                <w:szCs w:val="20"/>
              </w:rPr>
              <w:t>.00</w:t>
            </w:r>
          </w:p>
        </w:tc>
      </w:tr>
    </w:tbl>
    <w:p w14:paraId="3B5F9CAD" w14:textId="048C52E2" w:rsidR="009C0DF4" w:rsidRPr="00DC5DC7" w:rsidRDefault="009C0DF4" w:rsidP="00F3119B">
      <w:pPr>
        <w:spacing w:after="240"/>
        <w:rPr>
          <w:rStyle w:val="SubtleEmphasis"/>
          <w:i w:val="0"/>
          <w:color w:val="auto"/>
          <w:sz w:val="20"/>
        </w:rPr>
      </w:pPr>
      <w:r w:rsidRPr="00DC5DC7">
        <w:rPr>
          <w:rStyle w:val="SubtleEmphasis"/>
          <w:color w:val="auto"/>
          <w:sz w:val="20"/>
        </w:rPr>
        <w:t xml:space="preserve">Source: </w:t>
      </w:r>
      <w:r w:rsidR="004A48F7" w:rsidRPr="00DC5DC7">
        <w:rPr>
          <w:rStyle w:val="SubtleEmphasis"/>
          <w:i w:val="0"/>
          <w:color w:val="auto"/>
          <w:sz w:val="20"/>
        </w:rPr>
        <w:t>County E</w:t>
      </w:r>
      <w:r w:rsidR="00AE7221" w:rsidRPr="00DC5DC7">
        <w:rPr>
          <w:rStyle w:val="SubtleEmphasis"/>
          <w:i w:val="0"/>
          <w:color w:val="auto"/>
          <w:sz w:val="20"/>
        </w:rPr>
        <w:t>xecutive procurement departments</w:t>
      </w:r>
      <w:r w:rsidR="00F3119B" w:rsidRPr="00DC5DC7">
        <w:rPr>
          <w:rStyle w:val="SubtleEmphasis"/>
          <w:i w:val="0"/>
          <w:color w:val="auto"/>
          <w:sz w:val="20"/>
        </w:rPr>
        <w:t>.</w:t>
      </w:r>
    </w:p>
    <w:p w14:paraId="3899149A" w14:textId="4005894E" w:rsidR="000578F8" w:rsidRPr="00F3119B" w:rsidRDefault="00F5429C" w:rsidP="00F3119B">
      <w:pPr>
        <w:spacing w:after="240"/>
        <w:rPr>
          <w:sz w:val="22"/>
        </w:rPr>
      </w:pPr>
      <w:r w:rsidRPr="00F3119B">
        <w:rPr>
          <w:sz w:val="22"/>
        </w:rPr>
        <w:t>In summary, t</w:t>
      </w:r>
      <w:r w:rsidR="00795816" w:rsidRPr="00F3119B">
        <w:rPr>
          <w:sz w:val="22"/>
        </w:rPr>
        <w:t xml:space="preserve">he total value of contracts awarded through competitive methods in the last completed </w:t>
      </w:r>
      <w:r w:rsidR="00AD5B8E">
        <w:rPr>
          <w:sz w:val="22"/>
        </w:rPr>
        <w:t>FY</w:t>
      </w:r>
      <w:r w:rsidR="00795816" w:rsidRPr="00F3119B">
        <w:rPr>
          <w:sz w:val="22"/>
        </w:rPr>
        <w:t xml:space="preserve"> represents less than 60</w:t>
      </w:r>
      <w:r w:rsidR="00AD5B8E">
        <w:rPr>
          <w:sz w:val="22"/>
        </w:rPr>
        <w:t xml:space="preserve"> percent</w:t>
      </w:r>
      <w:r w:rsidR="00795816" w:rsidRPr="00F3119B">
        <w:rPr>
          <w:sz w:val="22"/>
        </w:rPr>
        <w:t xml:space="preserve"> of </w:t>
      </w:r>
      <w:r w:rsidR="00AD5B8E">
        <w:rPr>
          <w:sz w:val="22"/>
        </w:rPr>
        <w:t xml:space="preserve">the </w:t>
      </w:r>
      <w:r w:rsidR="00795816" w:rsidRPr="00F3119B">
        <w:rPr>
          <w:sz w:val="22"/>
        </w:rPr>
        <w:t xml:space="preserve">total value of contracts. </w:t>
      </w:r>
    </w:p>
    <w:p w14:paraId="22211D9B" w14:textId="2F7157CB" w:rsidR="000578F8" w:rsidRPr="00F3119B" w:rsidRDefault="000578F8" w:rsidP="00F3119B">
      <w:pPr>
        <w:spacing w:after="240"/>
        <w:rPr>
          <w:b/>
          <w:sz w:val="22"/>
        </w:rPr>
      </w:pPr>
      <w:r w:rsidRPr="00F3119B">
        <w:rPr>
          <w:b/>
          <w:sz w:val="22"/>
        </w:rPr>
        <w:t>Dimension rating = D</w:t>
      </w:r>
    </w:p>
    <w:p w14:paraId="53CD055D" w14:textId="77777777" w:rsidR="00C168C9" w:rsidRPr="001E3161" w:rsidRDefault="00612DBE" w:rsidP="00BA6B2B">
      <w:pPr>
        <w:pStyle w:val="Heading5"/>
      </w:pPr>
      <w:r w:rsidRPr="001E3161">
        <w:t>PI-</w:t>
      </w:r>
      <w:r w:rsidR="00C168C9" w:rsidRPr="001E3161">
        <w:t xml:space="preserve">24.3. Public access to procurement information </w:t>
      </w:r>
    </w:p>
    <w:p w14:paraId="3CABCE9E" w14:textId="4A7BC27A" w:rsidR="000578F8" w:rsidRPr="00F3119B" w:rsidRDefault="00133A75" w:rsidP="00F3119B">
      <w:pPr>
        <w:spacing w:after="240"/>
        <w:rPr>
          <w:sz w:val="22"/>
        </w:rPr>
      </w:pPr>
      <w:r w:rsidRPr="00F3119B">
        <w:rPr>
          <w:sz w:val="22"/>
        </w:rPr>
        <w:t xml:space="preserve">The public can access </w:t>
      </w:r>
      <w:r w:rsidR="008B0081" w:rsidRPr="00F3119B">
        <w:rPr>
          <w:sz w:val="22"/>
        </w:rPr>
        <w:t xml:space="preserve">the </w:t>
      </w:r>
      <w:r w:rsidRPr="00F3119B">
        <w:rPr>
          <w:sz w:val="22"/>
        </w:rPr>
        <w:t xml:space="preserve">legal and regulatory framework </w:t>
      </w:r>
      <w:r w:rsidR="008B0081" w:rsidRPr="00F3119B">
        <w:rPr>
          <w:sz w:val="22"/>
        </w:rPr>
        <w:t xml:space="preserve">(Public Procurement and Assets </w:t>
      </w:r>
      <w:r w:rsidR="0091086E" w:rsidRPr="00F3119B">
        <w:rPr>
          <w:sz w:val="22"/>
        </w:rPr>
        <w:t>Disposal</w:t>
      </w:r>
      <w:r w:rsidR="008B0081" w:rsidRPr="00F3119B">
        <w:rPr>
          <w:sz w:val="22"/>
        </w:rPr>
        <w:t xml:space="preserve"> Act, 2015) </w:t>
      </w:r>
      <w:r w:rsidRPr="00F3119B">
        <w:rPr>
          <w:sz w:val="22"/>
        </w:rPr>
        <w:t>for procurement freely</w:t>
      </w:r>
      <w:r w:rsidR="008B0081" w:rsidRPr="00F3119B">
        <w:rPr>
          <w:sz w:val="22"/>
        </w:rPr>
        <w:t xml:space="preserve"> from </w:t>
      </w:r>
      <w:r w:rsidRPr="00F3119B">
        <w:rPr>
          <w:sz w:val="22"/>
        </w:rPr>
        <w:t>the PP</w:t>
      </w:r>
      <w:r w:rsidR="008B0081" w:rsidRPr="00F3119B">
        <w:rPr>
          <w:sz w:val="22"/>
        </w:rPr>
        <w:t>R</w:t>
      </w:r>
      <w:r w:rsidRPr="00F3119B">
        <w:rPr>
          <w:sz w:val="22"/>
        </w:rPr>
        <w:t>A website</w:t>
      </w:r>
      <w:r w:rsidR="008B0081" w:rsidRPr="00F3119B">
        <w:rPr>
          <w:sz w:val="22"/>
        </w:rPr>
        <w:t xml:space="preserve">. </w:t>
      </w:r>
      <w:r w:rsidRPr="00F3119B">
        <w:rPr>
          <w:sz w:val="22"/>
        </w:rPr>
        <w:t>Data on resolution of procurement complaints is available online as published by the Public Procurement and Administrative Review Board</w:t>
      </w:r>
      <w:r w:rsidR="00643A6B" w:rsidRPr="00F3119B">
        <w:rPr>
          <w:sz w:val="22"/>
        </w:rPr>
        <w:t xml:space="preserve"> (PPARB)</w:t>
      </w:r>
      <w:r w:rsidR="00AD5B8E">
        <w:rPr>
          <w:sz w:val="22"/>
        </w:rPr>
        <w:t>.</w:t>
      </w:r>
      <w:r w:rsidR="00A860CB" w:rsidRPr="00F3119B">
        <w:rPr>
          <w:rStyle w:val="FootnoteReference"/>
          <w:sz w:val="20"/>
        </w:rPr>
        <w:footnoteReference w:id="4"/>
      </w:r>
      <w:r w:rsidRPr="00F3119B">
        <w:rPr>
          <w:sz w:val="22"/>
        </w:rPr>
        <w:t xml:space="preserve"> The </w:t>
      </w:r>
      <w:r w:rsidR="008B0081" w:rsidRPr="00F3119B">
        <w:rPr>
          <w:sz w:val="22"/>
        </w:rPr>
        <w:t>tendering</w:t>
      </w:r>
      <w:r w:rsidRPr="00F3119B">
        <w:rPr>
          <w:sz w:val="22"/>
        </w:rPr>
        <w:t xml:space="preserve"> opportunities are</w:t>
      </w:r>
      <w:r w:rsidR="008B0081" w:rsidRPr="00F3119B">
        <w:rPr>
          <w:sz w:val="22"/>
        </w:rPr>
        <w:t xml:space="preserve"> available</w:t>
      </w:r>
      <w:r w:rsidRPr="00F3119B">
        <w:rPr>
          <w:sz w:val="22"/>
        </w:rPr>
        <w:t xml:space="preserve"> on </w:t>
      </w:r>
      <w:r w:rsidR="004F5FBA" w:rsidRPr="00F3119B">
        <w:rPr>
          <w:sz w:val="22"/>
        </w:rPr>
        <w:t>the c</w:t>
      </w:r>
      <w:r w:rsidRPr="00F3119B">
        <w:rPr>
          <w:sz w:val="22"/>
        </w:rPr>
        <w:t xml:space="preserve">ounty website. However, information on the </w:t>
      </w:r>
      <w:r w:rsidR="00AD5B8E">
        <w:rPr>
          <w:sz w:val="22"/>
        </w:rPr>
        <w:t>c</w:t>
      </w:r>
      <w:r w:rsidRPr="00F3119B">
        <w:rPr>
          <w:sz w:val="22"/>
        </w:rPr>
        <w:t>ounty procurement plans, annual procurement statistics</w:t>
      </w:r>
      <w:r w:rsidR="00AD5B8E">
        <w:rPr>
          <w:sz w:val="22"/>
        </w:rPr>
        <w:t>,</w:t>
      </w:r>
      <w:r w:rsidRPr="00F3119B">
        <w:rPr>
          <w:sz w:val="22"/>
        </w:rPr>
        <w:t xml:space="preserve"> and details of contracts awarded </w:t>
      </w:r>
      <w:r w:rsidR="008B0081" w:rsidRPr="00F3119B">
        <w:rPr>
          <w:sz w:val="22"/>
        </w:rPr>
        <w:t>are</w:t>
      </w:r>
      <w:r w:rsidRPr="00F3119B">
        <w:rPr>
          <w:sz w:val="22"/>
        </w:rPr>
        <w:t xml:space="preserve"> not posted on the website. </w:t>
      </w:r>
      <w:r w:rsidR="002969B1" w:rsidRPr="00F3119B">
        <w:rPr>
          <w:sz w:val="22"/>
        </w:rPr>
        <w:t>T</w:t>
      </w:r>
      <w:r w:rsidR="00B14D0E" w:rsidRPr="00F3119B">
        <w:rPr>
          <w:sz w:val="22"/>
        </w:rPr>
        <w:t xml:space="preserve">he compliance with </w:t>
      </w:r>
      <w:r w:rsidR="008B0081" w:rsidRPr="00F3119B">
        <w:rPr>
          <w:sz w:val="22"/>
        </w:rPr>
        <w:t>k</w:t>
      </w:r>
      <w:r w:rsidR="00643A6B" w:rsidRPr="00F3119B">
        <w:rPr>
          <w:sz w:val="22"/>
        </w:rPr>
        <w:t xml:space="preserve">ey procurement information </w:t>
      </w:r>
      <w:r w:rsidR="00B14D0E" w:rsidRPr="00F3119B">
        <w:rPr>
          <w:sz w:val="22"/>
        </w:rPr>
        <w:t xml:space="preserve">that should </w:t>
      </w:r>
      <w:r w:rsidR="00643A6B" w:rsidRPr="00F3119B">
        <w:rPr>
          <w:sz w:val="22"/>
        </w:rPr>
        <w:t>be made available to the public</w:t>
      </w:r>
      <w:r w:rsidR="002969B1" w:rsidRPr="00F3119B">
        <w:rPr>
          <w:sz w:val="22"/>
        </w:rPr>
        <w:t xml:space="preserve"> is summarized in </w:t>
      </w:r>
      <w:r w:rsidR="00AD5B8E">
        <w:rPr>
          <w:sz w:val="22"/>
        </w:rPr>
        <w:t>T</w:t>
      </w:r>
      <w:r w:rsidR="002969B1" w:rsidRPr="00F3119B">
        <w:rPr>
          <w:sz w:val="22"/>
        </w:rPr>
        <w:t xml:space="preserve">able </w:t>
      </w:r>
      <w:r w:rsidR="00AD5B8E">
        <w:rPr>
          <w:sz w:val="22"/>
        </w:rPr>
        <w:t>3.</w:t>
      </w:r>
      <w:r w:rsidR="000B4EB8">
        <w:rPr>
          <w:sz w:val="22"/>
        </w:rPr>
        <w:t>17</w:t>
      </w:r>
      <w:r w:rsidR="008B0081" w:rsidRPr="00F3119B">
        <w:rPr>
          <w:sz w:val="22"/>
        </w:rPr>
        <w:t>.</w:t>
      </w:r>
    </w:p>
    <w:p w14:paraId="38C75790" w14:textId="1FF45CBE" w:rsidR="0091086E" w:rsidRPr="00B45562" w:rsidRDefault="00795816" w:rsidP="00F3119B">
      <w:pPr>
        <w:pStyle w:val="TableStyle"/>
      </w:pPr>
      <w:bookmarkStart w:id="103" w:name="_Toc532426104"/>
      <w:r>
        <w:t xml:space="preserve">Table </w:t>
      </w:r>
      <w:r w:rsidR="008B59A7">
        <w:rPr>
          <w:noProof/>
        </w:rPr>
        <w:fldChar w:fldCharType="begin"/>
      </w:r>
      <w:r w:rsidR="008B59A7">
        <w:rPr>
          <w:noProof/>
        </w:rPr>
        <w:instrText xml:space="preserve"> STYLEREF 1 \s</w:instrText>
      </w:r>
      <w:r w:rsidR="008B59A7">
        <w:rPr>
          <w:noProof/>
        </w:rPr>
        <w:instrText xml:space="preserve">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17</w:t>
      </w:r>
      <w:r w:rsidR="008B59A7">
        <w:rPr>
          <w:noProof/>
        </w:rPr>
        <w:fldChar w:fldCharType="end"/>
      </w:r>
      <w:r>
        <w:t xml:space="preserve">: </w:t>
      </w:r>
      <w:r w:rsidR="00FE07C0" w:rsidRPr="0091086E">
        <w:t>Public access to procurement information</w:t>
      </w:r>
      <w:bookmarkEnd w:id="103"/>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2571"/>
        <w:gridCol w:w="1563"/>
        <w:gridCol w:w="90"/>
        <w:gridCol w:w="5126"/>
      </w:tblGrid>
      <w:tr w:rsidR="00B93752" w:rsidRPr="00F3119B" w14:paraId="70FBCA56" w14:textId="17C64C64" w:rsidTr="00B5380E">
        <w:trPr>
          <w:tblHeader/>
        </w:trPr>
        <w:tc>
          <w:tcPr>
            <w:tcW w:w="1375" w:type="pct"/>
            <w:shd w:val="clear" w:color="auto" w:fill="5B9BD5"/>
          </w:tcPr>
          <w:p w14:paraId="5F685600" w14:textId="08E09053" w:rsidR="00B93752" w:rsidRPr="00F3119B" w:rsidRDefault="00B93752" w:rsidP="00B5380E">
            <w:pPr>
              <w:jc w:val="center"/>
              <w:rPr>
                <w:b/>
                <w:color w:val="FFFFFF" w:themeColor="background1"/>
                <w:sz w:val="20"/>
              </w:rPr>
            </w:pPr>
            <w:r w:rsidRPr="00F3119B">
              <w:rPr>
                <w:b/>
                <w:color w:val="FFFFFF" w:themeColor="background1"/>
                <w:sz w:val="20"/>
              </w:rPr>
              <w:t>Key procurement information to be made available to the public</w:t>
            </w:r>
          </w:p>
        </w:tc>
        <w:tc>
          <w:tcPr>
            <w:tcW w:w="884" w:type="pct"/>
            <w:gridSpan w:val="2"/>
            <w:shd w:val="clear" w:color="auto" w:fill="5B9BD5"/>
            <w:hideMark/>
          </w:tcPr>
          <w:p w14:paraId="40B8149E" w14:textId="0840A882" w:rsidR="00B93752" w:rsidRPr="00F3119B" w:rsidRDefault="00B93752" w:rsidP="00B5380E">
            <w:pPr>
              <w:jc w:val="center"/>
              <w:rPr>
                <w:b/>
                <w:color w:val="FFFFFF" w:themeColor="background1"/>
                <w:sz w:val="20"/>
              </w:rPr>
            </w:pPr>
            <w:r w:rsidRPr="00F3119B">
              <w:rPr>
                <w:b/>
                <w:color w:val="FFFFFF" w:themeColor="background1"/>
                <w:sz w:val="20"/>
              </w:rPr>
              <w:t>Compliance (Y</w:t>
            </w:r>
            <w:r w:rsidR="00AD5B8E">
              <w:rPr>
                <w:b/>
                <w:color w:val="FFFFFF" w:themeColor="background1"/>
                <w:sz w:val="20"/>
              </w:rPr>
              <w:t>es</w:t>
            </w:r>
            <w:r w:rsidRPr="00F3119B">
              <w:rPr>
                <w:b/>
                <w:color w:val="FFFFFF" w:themeColor="background1"/>
                <w:sz w:val="20"/>
              </w:rPr>
              <w:t>/N</w:t>
            </w:r>
            <w:r w:rsidR="00AD5B8E">
              <w:rPr>
                <w:b/>
                <w:color w:val="FFFFFF" w:themeColor="background1"/>
                <w:sz w:val="20"/>
              </w:rPr>
              <w:t>o</w:t>
            </w:r>
            <w:r w:rsidRPr="00F3119B">
              <w:rPr>
                <w:b/>
                <w:color w:val="FFFFFF" w:themeColor="background1"/>
                <w:sz w:val="20"/>
              </w:rPr>
              <w:t>)</w:t>
            </w:r>
          </w:p>
        </w:tc>
        <w:tc>
          <w:tcPr>
            <w:tcW w:w="2741" w:type="pct"/>
            <w:shd w:val="clear" w:color="auto" w:fill="5B9BD5"/>
          </w:tcPr>
          <w:p w14:paraId="2D6D4942" w14:textId="3C2532F0" w:rsidR="00B93752" w:rsidRPr="00F3119B" w:rsidRDefault="00795816" w:rsidP="00B5380E">
            <w:pPr>
              <w:jc w:val="center"/>
              <w:rPr>
                <w:b/>
                <w:color w:val="FFFFFF" w:themeColor="background1"/>
                <w:sz w:val="20"/>
              </w:rPr>
            </w:pPr>
            <w:r w:rsidRPr="00F3119B">
              <w:rPr>
                <w:b/>
                <w:color w:val="FFFFFF" w:themeColor="background1"/>
                <w:sz w:val="20"/>
              </w:rPr>
              <w:t>Comments</w:t>
            </w:r>
          </w:p>
        </w:tc>
      </w:tr>
      <w:tr w:rsidR="00B93752" w:rsidRPr="00F3119B" w14:paraId="7998D919" w14:textId="54A033E7" w:rsidTr="00B5380E">
        <w:tc>
          <w:tcPr>
            <w:tcW w:w="1375" w:type="pct"/>
            <w:shd w:val="clear" w:color="auto" w:fill="auto"/>
            <w:hideMark/>
          </w:tcPr>
          <w:p w14:paraId="068E3663" w14:textId="2A0D7700" w:rsidR="00B93752" w:rsidRPr="00F3119B" w:rsidRDefault="00AD5B8E" w:rsidP="00332285">
            <w:pPr>
              <w:pStyle w:val="ListParagraph"/>
              <w:numPr>
                <w:ilvl w:val="0"/>
                <w:numId w:val="7"/>
              </w:numPr>
              <w:jc w:val="left"/>
              <w:rPr>
                <w:sz w:val="20"/>
              </w:rPr>
            </w:pPr>
            <w:r>
              <w:rPr>
                <w:sz w:val="20"/>
              </w:rPr>
              <w:t>L</w:t>
            </w:r>
            <w:r w:rsidR="00B93752" w:rsidRPr="00F3119B">
              <w:rPr>
                <w:sz w:val="20"/>
              </w:rPr>
              <w:t xml:space="preserve">egal and regulatory framework for procurement </w:t>
            </w:r>
          </w:p>
        </w:tc>
        <w:tc>
          <w:tcPr>
            <w:tcW w:w="836" w:type="pct"/>
            <w:shd w:val="clear" w:color="auto" w:fill="auto"/>
            <w:noWrap/>
            <w:hideMark/>
          </w:tcPr>
          <w:p w14:paraId="18C9323C" w14:textId="77777777" w:rsidR="00B93752" w:rsidRPr="00F3119B" w:rsidRDefault="00B93752" w:rsidP="00B5380E">
            <w:pPr>
              <w:jc w:val="left"/>
              <w:rPr>
                <w:sz w:val="20"/>
              </w:rPr>
            </w:pPr>
            <w:r w:rsidRPr="00F3119B">
              <w:rPr>
                <w:sz w:val="20"/>
              </w:rPr>
              <w:t>Yes</w:t>
            </w:r>
          </w:p>
        </w:tc>
        <w:tc>
          <w:tcPr>
            <w:tcW w:w="2789" w:type="pct"/>
            <w:gridSpan w:val="2"/>
          </w:tcPr>
          <w:p w14:paraId="20F41756" w14:textId="1541D05E" w:rsidR="00B93752" w:rsidRPr="00F3119B" w:rsidRDefault="00B93752" w:rsidP="00B5380E">
            <w:pPr>
              <w:jc w:val="left"/>
              <w:rPr>
                <w:sz w:val="20"/>
              </w:rPr>
            </w:pPr>
            <w:r w:rsidRPr="00F3119B">
              <w:rPr>
                <w:sz w:val="20"/>
              </w:rPr>
              <w:t xml:space="preserve">The legal and regulatory framework for procurement is available for download on the </w:t>
            </w:r>
            <w:r w:rsidR="00AD5B8E">
              <w:rPr>
                <w:sz w:val="20"/>
              </w:rPr>
              <w:t xml:space="preserve">following </w:t>
            </w:r>
            <w:r w:rsidRPr="00F3119B">
              <w:rPr>
                <w:sz w:val="20"/>
              </w:rPr>
              <w:t>website</w:t>
            </w:r>
            <w:r w:rsidR="00AD5B8E">
              <w:rPr>
                <w:sz w:val="20"/>
              </w:rPr>
              <w:t xml:space="preserve">: </w:t>
            </w:r>
            <w:r w:rsidRPr="00F3119B">
              <w:rPr>
                <w:sz w:val="20"/>
              </w:rPr>
              <w:t>http://www.kenyalaw.org/lex//actview.xql?actid=No.%2033%20of%202015</w:t>
            </w:r>
          </w:p>
        </w:tc>
      </w:tr>
      <w:tr w:rsidR="00B93752" w:rsidRPr="00F3119B" w14:paraId="4487FE08" w14:textId="4F2FFFBB" w:rsidTr="00B5380E">
        <w:tc>
          <w:tcPr>
            <w:tcW w:w="1375" w:type="pct"/>
            <w:shd w:val="clear" w:color="auto" w:fill="auto"/>
            <w:hideMark/>
          </w:tcPr>
          <w:p w14:paraId="77CD81D9" w14:textId="18E35EDF" w:rsidR="00B93752" w:rsidRPr="00F3119B" w:rsidRDefault="00AD5B8E" w:rsidP="00332285">
            <w:pPr>
              <w:pStyle w:val="ListParagraph"/>
              <w:numPr>
                <w:ilvl w:val="0"/>
                <w:numId w:val="7"/>
              </w:numPr>
              <w:jc w:val="left"/>
              <w:rPr>
                <w:sz w:val="20"/>
              </w:rPr>
            </w:pPr>
            <w:r>
              <w:rPr>
                <w:sz w:val="20"/>
              </w:rPr>
              <w:t>G</w:t>
            </w:r>
            <w:r w:rsidR="00B93752" w:rsidRPr="00F3119B">
              <w:rPr>
                <w:sz w:val="20"/>
              </w:rPr>
              <w:t xml:space="preserve">overnment procurement plans </w:t>
            </w:r>
          </w:p>
        </w:tc>
        <w:tc>
          <w:tcPr>
            <w:tcW w:w="836" w:type="pct"/>
            <w:shd w:val="clear" w:color="auto" w:fill="auto"/>
            <w:noWrap/>
            <w:hideMark/>
          </w:tcPr>
          <w:p w14:paraId="21FB6615" w14:textId="77777777" w:rsidR="00B93752" w:rsidRPr="00F3119B" w:rsidRDefault="00B93752" w:rsidP="00B5380E">
            <w:pPr>
              <w:jc w:val="left"/>
              <w:rPr>
                <w:sz w:val="20"/>
              </w:rPr>
            </w:pPr>
            <w:r w:rsidRPr="00F3119B">
              <w:rPr>
                <w:sz w:val="20"/>
              </w:rPr>
              <w:t>No</w:t>
            </w:r>
          </w:p>
        </w:tc>
        <w:tc>
          <w:tcPr>
            <w:tcW w:w="2789" w:type="pct"/>
            <w:gridSpan w:val="2"/>
          </w:tcPr>
          <w:p w14:paraId="7F727954" w14:textId="14CBA89D" w:rsidR="00B93752" w:rsidRPr="00F3119B" w:rsidRDefault="00B93752" w:rsidP="00B5380E">
            <w:pPr>
              <w:jc w:val="left"/>
              <w:rPr>
                <w:sz w:val="20"/>
              </w:rPr>
            </w:pPr>
            <w:r w:rsidRPr="00F3119B">
              <w:rPr>
                <w:sz w:val="20"/>
              </w:rPr>
              <w:t xml:space="preserve">Not all government procurement plans are published on the Internet. </w:t>
            </w:r>
          </w:p>
        </w:tc>
      </w:tr>
      <w:tr w:rsidR="00B93752" w:rsidRPr="00F3119B" w14:paraId="09DAB52D" w14:textId="65A587E5" w:rsidTr="00B5380E">
        <w:tc>
          <w:tcPr>
            <w:tcW w:w="1375" w:type="pct"/>
            <w:shd w:val="clear" w:color="auto" w:fill="auto"/>
            <w:hideMark/>
          </w:tcPr>
          <w:p w14:paraId="302960E8" w14:textId="65BB57BE" w:rsidR="00B93752" w:rsidRPr="00F3119B" w:rsidRDefault="00AD5B8E" w:rsidP="00332285">
            <w:pPr>
              <w:pStyle w:val="ListParagraph"/>
              <w:numPr>
                <w:ilvl w:val="0"/>
                <w:numId w:val="7"/>
              </w:numPr>
              <w:jc w:val="left"/>
              <w:rPr>
                <w:sz w:val="20"/>
              </w:rPr>
            </w:pPr>
            <w:r>
              <w:rPr>
                <w:sz w:val="20"/>
              </w:rPr>
              <w:t>B</w:t>
            </w:r>
            <w:r w:rsidR="00B93752" w:rsidRPr="00F3119B">
              <w:rPr>
                <w:sz w:val="20"/>
              </w:rPr>
              <w:t xml:space="preserve">idding opportunities </w:t>
            </w:r>
          </w:p>
        </w:tc>
        <w:tc>
          <w:tcPr>
            <w:tcW w:w="836" w:type="pct"/>
            <w:shd w:val="clear" w:color="auto" w:fill="auto"/>
            <w:noWrap/>
            <w:hideMark/>
          </w:tcPr>
          <w:p w14:paraId="3E77829E" w14:textId="77777777" w:rsidR="00B93752" w:rsidRPr="00F3119B" w:rsidRDefault="00B93752" w:rsidP="00B5380E">
            <w:pPr>
              <w:jc w:val="left"/>
              <w:rPr>
                <w:sz w:val="20"/>
              </w:rPr>
            </w:pPr>
            <w:r w:rsidRPr="00F3119B">
              <w:rPr>
                <w:sz w:val="20"/>
              </w:rPr>
              <w:t>Yes</w:t>
            </w:r>
          </w:p>
        </w:tc>
        <w:tc>
          <w:tcPr>
            <w:tcW w:w="2789" w:type="pct"/>
            <w:gridSpan w:val="2"/>
          </w:tcPr>
          <w:p w14:paraId="1A5B4A1D" w14:textId="5F21FFD8" w:rsidR="00B93752" w:rsidRPr="00F3119B" w:rsidRDefault="00B93752" w:rsidP="00B5380E">
            <w:pPr>
              <w:jc w:val="left"/>
              <w:rPr>
                <w:sz w:val="20"/>
              </w:rPr>
            </w:pPr>
            <w:r w:rsidRPr="00F3119B">
              <w:rPr>
                <w:sz w:val="20"/>
              </w:rPr>
              <w:t xml:space="preserve">All bidding opportunities above the threshold value are advertised in the national newspaper or on notice boards (for schools). Many are posted on the </w:t>
            </w:r>
            <w:r w:rsidR="00AD5B8E">
              <w:rPr>
                <w:sz w:val="20"/>
              </w:rPr>
              <w:t>I</w:t>
            </w:r>
            <w:r w:rsidRPr="00F3119B">
              <w:rPr>
                <w:sz w:val="20"/>
              </w:rPr>
              <w:t xml:space="preserve">nternet but not all of them. </w:t>
            </w:r>
          </w:p>
        </w:tc>
      </w:tr>
      <w:tr w:rsidR="00B93752" w:rsidRPr="00F3119B" w14:paraId="7CB33925" w14:textId="3B36FFEB" w:rsidTr="00B5380E">
        <w:tc>
          <w:tcPr>
            <w:tcW w:w="1375" w:type="pct"/>
            <w:shd w:val="clear" w:color="auto" w:fill="auto"/>
            <w:hideMark/>
          </w:tcPr>
          <w:p w14:paraId="266547A8" w14:textId="3660E9EB" w:rsidR="00B93752" w:rsidRPr="00F3119B" w:rsidRDefault="00AD5B8E" w:rsidP="00332285">
            <w:pPr>
              <w:pStyle w:val="ListParagraph"/>
              <w:numPr>
                <w:ilvl w:val="0"/>
                <w:numId w:val="7"/>
              </w:numPr>
              <w:jc w:val="left"/>
              <w:rPr>
                <w:sz w:val="20"/>
              </w:rPr>
            </w:pPr>
            <w:r>
              <w:rPr>
                <w:sz w:val="20"/>
              </w:rPr>
              <w:t>C</w:t>
            </w:r>
            <w:r w:rsidR="00B93752" w:rsidRPr="00F3119B">
              <w:rPr>
                <w:sz w:val="20"/>
              </w:rPr>
              <w:t>ontract awards (purpose, contractor</w:t>
            </w:r>
            <w:r>
              <w:rPr>
                <w:sz w:val="20"/>
              </w:rPr>
              <w:t>,</w:t>
            </w:r>
            <w:r w:rsidR="00B93752" w:rsidRPr="00F3119B">
              <w:rPr>
                <w:sz w:val="20"/>
              </w:rPr>
              <w:t xml:space="preserve"> and value) </w:t>
            </w:r>
          </w:p>
        </w:tc>
        <w:tc>
          <w:tcPr>
            <w:tcW w:w="836" w:type="pct"/>
            <w:shd w:val="clear" w:color="auto" w:fill="auto"/>
            <w:noWrap/>
            <w:hideMark/>
          </w:tcPr>
          <w:p w14:paraId="167AB660" w14:textId="77777777" w:rsidR="00B93752" w:rsidRPr="00F3119B" w:rsidRDefault="00B93752" w:rsidP="00B5380E">
            <w:pPr>
              <w:jc w:val="left"/>
              <w:rPr>
                <w:sz w:val="20"/>
              </w:rPr>
            </w:pPr>
            <w:r w:rsidRPr="00F3119B">
              <w:rPr>
                <w:sz w:val="20"/>
              </w:rPr>
              <w:t>No</w:t>
            </w:r>
          </w:p>
        </w:tc>
        <w:tc>
          <w:tcPr>
            <w:tcW w:w="2789" w:type="pct"/>
            <w:gridSpan w:val="2"/>
          </w:tcPr>
          <w:p w14:paraId="4804BBDA" w14:textId="66A93880" w:rsidR="00B93752" w:rsidRPr="00F3119B" w:rsidRDefault="00B93752" w:rsidP="00B5380E">
            <w:pPr>
              <w:jc w:val="left"/>
              <w:rPr>
                <w:sz w:val="20"/>
              </w:rPr>
            </w:pPr>
            <w:r w:rsidRPr="00F3119B">
              <w:rPr>
                <w:sz w:val="20"/>
              </w:rPr>
              <w:t>Contracts awards are published on the PPRA website. This publishes contract awards</w:t>
            </w:r>
            <w:r w:rsidR="00AD5B8E">
              <w:rPr>
                <w:sz w:val="20"/>
              </w:rPr>
              <w:t>,</w:t>
            </w:r>
            <w:r w:rsidRPr="00F3119B">
              <w:rPr>
                <w:sz w:val="20"/>
              </w:rPr>
              <w:t xml:space="preserve"> including project description, contractor</w:t>
            </w:r>
            <w:r w:rsidR="0084326F">
              <w:rPr>
                <w:sz w:val="20"/>
              </w:rPr>
              <w:t>,</w:t>
            </w:r>
            <w:r w:rsidRPr="00F3119B">
              <w:rPr>
                <w:sz w:val="20"/>
              </w:rPr>
              <w:t xml:space="preserve"> and the contract value. However, the website is not completely exhaustive.</w:t>
            </w:r>
          </w:p>
        </w:tc>
      </w:tr>
      <w:tr w:rsidR="00B93752" w:rsidRPr="00F3119B" w14:paraId="77DB5E13" w14:textId="78A78018" w:rsidTr="00B5380E">
        <w:tc>
          <w:tcPr>
            <w:tcW w:w="1375" w:type="pct"/>
            <w:shd w:val="clear" w:color="auto" w:fill="auto"/>
            <w:hideMark/>
          </w:tcPr>
          <w:p w14:paraId="02A42A18" w14:textId="3EFABE27" w:rsidR="00B93752" w:rsidRPr="00F3119B" w:rsidRDefault="00AD5B8E" w:rsidP="00332285">
            <w:pPr>
              <w:pStyle w:val="ListParagraph"/>
              <w:numPr>
                <w:ilvl w:val="0"/>
                <w:numId w:val="7"/>
              </w:numPr>
              <w:jc w:val="left"/>
              <w:rPr>
                <w:sz w:val="20"/>
              </w:rPr>
            </w:pPr>
            <w:r>
              <w:rPr>
                <w:sz w:val="20"/>
              </w:rPr>
              <w:t>D</w:t>
            </w:r>
            <w:r w:rsidR="00B93752" w:rsidRPr="00F3119B">
              <w:rPr>
                <w:sz w:val="20"/>
              </w:rPr>
              <w:t xml:space="preserve">ata on resolution of procurement complaints </w:t>
            </w:r>
          </w:p>
        </w:tc>
        <w:tc>
          <w:tcPr>
            <w:tcW w:w="836" w:type="pct"/>
            <w:shd w:val="clear" w:color="auto" w:fill="auto"/>
            <w:noWrap/>
            <w:hideMark/>
          </w:tcPr>
          <w:p w14:paraId="6EEF92B0" w14:textId="77777777" w:rsidR="00B93752" w:rsidRPr="00F3119B" w:rsidRDefault="00B93752" w:rsidP="00B5380E">
            <w:pPr>
              <w:jc w:val="left"/>
              <w:rPr>
                <w:sz w:val="20"/>
              </w:rPr>
            </w:pPr>
            <w:r w:rsidRPr="00F3119B">
              <w:rPr>
                <w:sz w:val="20"/>
              </w:rPr>
              <w:t>Yes</w:t>
            </w:r>
          </w:p>
        </w:tc>
        <w:tc>
          <w:tcPr>
            <w:tcW w:w="2789" w:type="pct"/>
            <w:gridSpan w:val="2"/>
          </w:tcPr>
          <w:p w14:paraId="4CEA1A1F" w14:textId="7AF63815" w:rsidR="00B93752" w:rsidRPr="00F3119B" w:rsidRDefault="00B93752" w:rsidP="00B5380E">
            <w:pPr>
              <w:jc w:val="left"/>
              <w:rPr>
                <w:sz w:val="20"/>
              </w:rPr>
            </w:pPr>
            <w:r w:rsidRPr="00F3119B">
              <w:rPr>
                <w:sz w:val="20"/>
              </w:rPr>
              <w:t>Most of the information on resolution of procurement complaints is published.</w:t>
            </w:r>
          </w:p>
        </w:tc>
      </w:tr>
      <w:tr w:rsidR="00B93752" w:rsidRPr="00F3119B" w14:paraId="5DCA43DA" w14:textId="4BF8E569" w:rsidTr="00B5380E">
        <w:tc>
          <w:tcPr>
            <w:tcW w:w="1375" w:type="pct"/>
            <w:shd w:val="clear" w:color="auto" w:fill="auto"/>
            <w:hideMark/>
          </w:tcPr>
          <w:p w14:paraId="35B504A6" w14:textId="345DB995" w:rsidR="00B93752" w:rsidRPr="00F3119B" w:rsidRDefault="00AD5B8E" w:rsidP="00332285">
            <w:pPr>
              <w:pStyle w:val="ListParagraph"/>
              <w:numPr>
                <w:ilvl w:val="0"/>
                <w:numId w:val="7"/>
              </w:numPr>
              <w:jc w:val="left"/>
              <w:rPr>
                <w:sz w:val="20"/>
              </w:rPr>
            </w:pPr>
            <w:r>
              <w:rPr>
                <w:sz w:val="20"/>
              </w:rPr>
              <w:t>A</w:t>
            </w:r>
            <w:r w:rsidR="00B93752" w:rsidRPr="00F3119B">
              <w:rPr>
                <w:sz w:val="20"/>
              </w:rPr>
              <w:t xml:space="preserve">nnual procurement statistics </w:t>
            </w:r>
          </w:p>
        </w:tc>
        <w:tc>
          <w:tcPr>
            <w:tcW w:w="836" w:type="pct"/>
            <w:shd w:val="clear" w:color="auto" w:fill="auto"/>
            <w:noWrap/>
            <w:hideMark/>
          </w:tcPr>
          <w:p w14:paraId="7C8036FB" w14:textId="77777777" w:rsidR="00B93752" w:rsidRPr="00F3119B" w:rsidRDefault="00B93752" w:rsidP="00B5380E">
            <w:pPr>
              <w:jc w:val="left"/>
              <w:rPr>
                <w:sz w:val="20"/>
              </w:rPr>
            </w:pPr>
            <w:r w:rsidRPr="00F3119B">
              <w:rPr>
                <w:sz w:val="20"/>
              </w:rPr>
              <w:t>No</w:t>
            </w:r>
          </w:p>
        </w:tc>
        <w:tc>
          <w:tcPr>
            <w:tcW w:w="2789" w:type="pct"/>
            <w:gridSpan w:val="2"/>
          </w:tcPr>
          <w:p w14:paraId="2685D84B" w14:textId="1AABF7E6" w:rsidR="00B93752" w:rsidRPr="00F3119B" w:rsidRDefault="00B93752" w:rsidP="00B5380E">
            <w:pPr>
              <w:jc w:val="left"/>
              <w:rPr>
                <w:sz w:val="20"/>
              </w:rPr>
            </w:pPr>
            <w:r w:rsidRPr="00F3119B">
              <w:rPr>
                <w:sz w:val="20"/>
              </w:rPr>
              <w:t>The P</w:t>
            </w:r>
            <w:r w:rsidR="00E53D18">
              <w:rPr>
                <w:sz w:val="20"/>
              </w:rPr>
              <w:t>P</w:t>
            </w:r>
            <w:r w:rsidRPr="00F3119B">
              <w:rPr>
                <w:sz w:val="20"/>
              </w:rPr>
              <w:t xml:space="preserve">DA requires that MDAs keep records of their procurement activities. PPRA Annual Reports are available on </w:t>
            </w:r>
            <w:r w:rsidR="00AD5B8E">
              <w:rPr>
                <w:sz w:val="20"/>
              </w:rPr>
              <w:t xml:space="preserve">the </w:t>
            </w:r>
            <w:r w:rsidRPr="00F3119B">
              <w:rPr>
                <w:sz w:val="20"/>
              </w:rPr>
              <w:t>PPRA’s website in the form of comprehensive summary statistics on annual procurements (</w:t>
            </w:r>
            <w:r w:rsidR="009D21FC">
              <w:rPr>
                <w:sz w:val="20"/>
              </w:rPr>
              <w:t>for example,</w:t>
            </w:r>
            <w:r w:rsidRPr="00F3119B">
              <w:rPr>
                <w:sz w:val="20"/>
              </w:rPr>
              <w:t xml:space="preserve"> contract awards, 30% public procurement reservations</w:t>
            </w:r>
            <w:r w:rsidR="00AD5B8E">
              <w:rPr>
                <w:sz w:val="20"/>
              </w:rPr>
              <w:t>,</w:t>
            </w:r>
            <w:r w:rsidRPr="00F3119B">
              <w:rPr>
                <w:sz w:val="20"/>
              </w:rPr>
              <w:t xml:space="preserve"> and preferences for youth</w:t>
            </w:r>
            <w:r w:rsidR="00AD5B8E">
              <w:rPr>
                <w:sz w:val="20"/>
              </w:rPr>
              <w:t xml:space="preserve"> and</w:t>
            </w:r>
            <w:r w:rsidRPr="00F3119B">
              <w:rPr>
                <w:sz w:val="20"/>
              </w:rPr>
              <w:t xml:space="preserve"> women).</w:t>
            </w:r>
          </w:p>
        </w:tc>
      </w:tr>
    </w:tbl>
    <w:p w14:paraId="4F755536" w14:textId="77777777" w:rsidR="000578F8" w:rsidRPr="00B5380E" w:rsidRDefault="00F5429C" w:rsidP="00332285">
      <w:pPr>
        <w:spacing w:before="240" w:after="240"/>
        <w:rPr>
          <w:sz w:val="22"/>
        </w:rPr>
      </w:pPr>
      <w:r w:rsidRPr="00B5380E">
        <w:rPr>
          <w:sz w:val="22"/>
        </w:rPr>
        <w:t>In summary, a</w:t>
      </w:r>
      <w:r w:rsidR="00795816" w:rsidRPr="00B5380E">
        <w:rPr>
          <w:sz w:val="22"/>
        </w:rPr>
        <w:t xml:space="preserve">t least three of the key procurement information elements are complete and are made available to the public. </w:t>
      </w:r>
    </w:p>
    <w:p w14:paraId="788ECFC9" w14:textId="52520114" w:rsidR="000578F8" w:rsidRPr="00B5380E" w:rsidRDefault="000578F8" w:rsidP="00B5380E">
      <w:pPr>
        <w:spacing w:after="240"/>
        <w:ind w:left="360" w:hanging="360"/>
        <w:rPr>
          <w:b/>
          <w:sz w:val="22"/>
        </w:rPr>
      </w:pPr>
      <w:r w:rsidRPr="00B5380E">
        <w:rPr>
          <w:b/>
          <w:sz w:val="22"/>
        </w:rPr>
        <w:t>Dimension rating = C</w:t>
      </w:r>
    </w:p>
    <w:p w14:paraId="3399E806" w14:textId="5E748983" w:rsidR="00C168C9" w:rsidRPr="00890A84" w:rsidRDefault="00612DBE" w:rsidP="00BA6B2B">
      <w:pPr>
        <w:pStyle w:val="Heading5"/>
      </w:pPr>
      <w:r w:rsidRPr="00890A84">
        <w:t>PI-</w:t>
      </w:r>
      <w:r w:rsidR="00C168C9" w:rsidRPr="00890A84">
        <w:t xml:space="preserve">24.4. Procurement complaints management </w:t>
      </w:r>
    </w:p>
    <w:p w14:paraId="32670240" w14:textId="383963AF" w:rsidR="008876BE" w:rsidRPr="00B5380E" w:rsidRDefault="00B14D0E" w:rsidP="00B5380E">
      <w:pPr>
        <w:spacing w:after="240"/>
        <w:rPr>
          <w:sz w:val="22"/>
        </w:rPr>
      </w:pPr>
      <w:r w:rsidRPr="00B5380E">
        <w:rPr>
          <w:sz w:val="22"/>
        </w:rPr>
        <w:t>P</w:t>
      </w:r>
      <w:r w:rsidR="00133A75" w:rsidRPr="00B5380E">
        <w:rPr>
          <w:sz w:val="22"/>
        </w:rPr>
        <w:t xml:space="preserve">rocurement complaints are addressed </w:t>
      </w:r>
      <w:r w:rsidRPr="00B5380E">
        <w:rPr>
          <w:sz w:val="22"/>
        </w:rPr>
        <w:t>by</w:t>
      </w:r>
      <w:r w:rsidR="00133A75" w:rsidRPr="00B5380E">
        <w:rPr>
          <w:sz w:val="22"/>
        </w:rPr>
        <w:t xml:space="preserve"> the </w:t>
      </w:r>
      <w:r w:rsidRPr="00B5380E">
        <w:rPr>
          <w:sz w:val="22"/>
        </w:rPr>
        <w:t>PPARB</w:t>
      </w:r>
      <w:r w:rsidR="000C73E4" w:rsidRPr="00B5380E">
        <w:rPr>
          <w:sz w:val="22"/>
        </w:rPr>
        <w:t xml:space="preserve"> </w:t>
      </w:r>
      <w:r w:rsidRPr="00B5380E">
        <w:rPr>
          <w:sz w:val="22"/>
        </w:rPr>
        <w:t>under the PPRA</w:t>
      </w:r>
      <w:r w:rsidR="00133A75" w:rsidRPr="00B5380E">
        <w:rPr>
          <w:sz w:val="22"/>
        </w:rPr>
        <w:t xml:space="preserve">. This is an external higher authority which is not involved in the procurement process. There are clear guidelines on the process followed </w:t>
      </w:r>
      <w:r w:rsidRPr="00B5380E">
        <w:rPr>
          <w:sz w:val="22"/>
        </w:rPr>
        <w:t>in case of complaints</w:t>
      </w:r>
      <w:r w:rsidR="00133A75" w:rsidRPr="00B5380E">
        <w:rPr>
          <w:sz w:val="22"/>
        </w:rPr>
        <w:t xml:space="preserve">. The decisions of the </w:t>
      </w:r>
      <w:r w:rsidRPr="00B5380E">
        <w:rPr>
          <w:sz w:val="22"/>
        </w:rPr>
        <w:t>PPARB</w:t>
      </w:r>
      <w:r w:rsidR="00133A75" w:rsidRPr="00B5380E">
        <w:rPr>
          <w:sz w:val="22"/>
        </w:rPr>
        <w:t xml:space="preserve"> are binding to all parties involved. There is a fee payable by the party filing complaints. </w:t>
      </w:r>
      <w:r w:rsidR="00643A6B" w:rsidRPr="00B5380E">
        <w:rPr>
          <w:sz w:val="22"/>
        </w:rPr>
        <w:t>Compliance of complaints reviewed by a</w:t>
      </w:r>
      <w:r w:rsidRPr="00B5380E">
        <w:rPr>
          <w:sz w:val="22"/>
        </w:rPr>
        <w:t>n independent</w:t>
      </w:r>
      <w:r w:rsidR="00643A6B" w:rsidRPr="00B5380E">
        <w:rPr>
          <w:sz w:val="22"/>
        </w:rPr>
        <w:t xml:space="preserve"> body in accordance with the PEFA criteria is summarized in </w:t>
      </w:r>
      <w:r w:rsidR="00AD5B8E">
        <w:rPr>
          <w:sz w:val="22"/>
        </w:rPr>
        <w:t>T</w:t>
      </w:r>
      <w:r w:rsidR="00643A6B" w:rsidRPr="00B5380E">
        <w:rPr>
          <w:sz w:val="22"/>
        </w:rPr>
        <w:t xml:space="preserve">able </w:t>
      </w:r>
      <w:r w:rsidR="00AD5B8E">
        <w:rPr>
          <w:sz w:val="22"/>
        </w:rPr>
        <w:t>3.1</w:t>
      </w:r>
      <w:r w:rsidR="000B4EB8">
        <w:rPr>
          <w:sz w:val="22"/>
        </w:rPr>
        <w:t>8</w:t>
      </w:r>
      <w:r w:rsidRPr="00B5380E">
        <w:rPr>
          <w:sz w:val="22"/>
        </w:rPr>
        <w:t>.</w:t>
      </w:r>
    </w:p>
    <w:p w14:paraId="0D24E625" w14:textId="48666D99" w:rsidR="0091086E" w:rsidRPr="002969B1" w:rsidRDefault="00795816" w:rsidP="00B5380E">
      <w:pPr>
        <w:pStyle w:val="TableStyle"/>
      </w:pPr>
      <w:bookmarkStart w:id="104" w:name="_Toc532426105"/>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w:instrText>
      </w:r>
      <w:r w:rsidR="008B59A7">
        <w:rPr>
          <w:noProof/>
        </w:rPr>
        <w:instrText xml:space="preserve">ABIC \s 1 </w:instrText>
      </w:r>
      <w:r w:rsidR="008B59A7">
        <w:rPr>
          <w:noProof/>
        </w:rPr>
        <w:fldChar w:fldCharType="separate"/>
      </w:r>
      <w:r w:rsidR="00F677C9">
        <w:rPr>
          <w:noProof/>
        </w:rPr>
        <w:t>18</w:t>
      </w:r>
      <w:r w:rsidR="008B59A7">
        <w:rPr>
          <w:noProof/>
        </w:rPr>
        <w:fldChar w:fldCharType="end"/>
      </w:r>
      <w:r>
        <w:t xml:space="preserve">: </w:t>
      </w:r>
      <w:r w:rsidR="00FE07C0" w:rsidRPr="002969B1">
        <w:t>Procurement complaints management</w:t>
      </w:r>
      <w:bookmarkEnd w:id="104"/>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2893"/>
        <w:gridCol w:w="1380"/>
        <w:gridCol w:w="5077"/>
      </w:tblGrid>
      <w:tr w:rsidR="00D42CD0" w:rsidRPr="00B5380E" w14:paraId="2245EDD7" w14:textId="77777777" w:rsidTr="00AD5B8E">
        <w:trPr>
          <w:trHeight w:val="314"/>
          <w:tblHeader/>
        </w:trPr>
        <w:tc>
          <w:tcPr>
            <w:tcW w:w="1547" w:type="pct"/>
            <w:shd w:val="clear" w:color="auto" w:fill="5B9BD5"/>
            <w:hideMark/>
          </w:tcPr>
          <w:p w14:paraId="2A9F2C16" w14:textId="0CB212F5" w:rsidR="00D42CD0" w:rsidRPr="00B5380E" w:rsidRDefault="00D42CD0" w:rsidP="00B5380E">
            <w:pPr>
              <w:jc w:val="center"/>
              <w:rPr>
                <w:b/>
                <w:color w:val="FFFFFF" w:themeColor="background1"/>
                <w:sz w:val="20"/>
                <w:szCs w:val="20"/>
              </w:rPr>
            </w:pPr>
            <w:r w:rsidRPr="00B5380E">
              <w:rPr>
                <w:b/>
                <w:color w:val="FFFFFF" w:themeColor="background1"/>
                <w:sz w:val="20"/>
                <w:szCs w:val="20"/>
              </w:rPr>
              <w:t>Complaints are reviewed by a body which</w:t>
            </w:r>
          </w:p>
        </w:tc>
        <w:tc>
          <w:tcPr>
            <w:tcW w:w="738" w:type="pct"/>
            <w:shd w:val="clear" w:color="auto" w:fill="5B9BD5"/>
          </w:tcPr>
          <w:p w14:paraId="2C4492E0" w14:textId="47395025" w:rsidR="00D42CD0" w:rsidRPr="00B5380E" w:rsidRDefault="00D42CD0" w:rsidP="00B5380E">
            <w:pPr>
              <w:jc w:val="center"/>
              <w:rPr>
                <w:b/>
                <w:color w:val="FFFFFF" w:themeColor="background1"/>
                <w:sz w:val="20"/>
                <w:szCs w:val="20"/>
              </w:rPr>
            </w:pPr>
            <w:r w:rsidRPr="00B5380E">
              <w:rPr>
                <w:b/>
                <w:color w:val="FFFFFF" w:themeColor="background1"/>
                <w:sz w:val="20"/>
                <w:szCs w:val="20"/>
              </w:rPr>
              <w:t>Compliance (Y</w:t>
            </w:r>
            <w:r w:rsidR="00AD5B8E">
              <w:rPr>
                <w:b/>
                <w:color w:val="FFFFFF" w:themeColor="background1"/>
                <w:sz w:val="20"/>
                <w:szCs w:val="20"/>
              </w:rPr>
              <w:t>es</w:t>
            </w:r>
            <w:r w:rsidRPr="00B5380E">
              <w:rPr>
                <w:b/>
                <w:color w:val="FFFFFF" w:themeColor="background1"/>
                <w:sz w:val="20"/>
                <w:szCs w:val="20"/>
              </w:rPr>
              <w:t>/N</w:t>
            </w:r>
            <w:r w:rsidR="00AD5B8E">
              <w:rPr>
                <w:b/>
                <w:color w:val="FFFFFF" w:themeColor="background1"/>
                <w:sz w:val="20"/>
                <w:szCs w:val="20"/>
              </w:rPr>
              <w:t>o</w:t>
            </w:r>
            <w:r w:rsidRPr="00B5380E">
              <w:rPr>
                <w:b/>
                <w:color w:val="FFFFFF" w:themeColor="background1"/>
                <w:sz w:val="20"/>
                <w:szCs w:val="20"/>
              </w:rPr>
              <w:t>)</w:t>
            </w:r>
          </w:p>
        </w:tc>
        <w:tc>
          <w:tcPr>
            <w:tcW w:w="2715" w:type="pct"/>
            <w:shd w:val="clear" w:color="auto" w:fill="5B9BD5"/>
            <w:hideMark/>
          </w:tcPr>
          <w:p w14:paraId="376B165E" w14:textId="6C52E4B5" w:rsidR="00D42CD0" w:rsidRPr="00B5380E" w:rsidRDefault="00D42CD0" w:rsidP="00B5380E">
            <w:pPr>
              <w:jc w:val="center"/>
              <w:rPr>
                <w:b/>
                <w:sz w:val="20"/>
                <w:szCs w:val="20"/>
              </w:rPr>
            </w:pPr>
            <w:r w:rsidRPr="00B5380E">
              <w:rPr>
                <w:b/>
                <w:color w:val="FFFFFF" w:themeColor="background1"/>
                <w:sz w:val="20"/>
                <w:szCs w:val="20"/>
              </w:rPr>
              <w:t>Comments</w:t>
            </w:r>
          </w:p>
        </w:tc>
      </w:tr>
      <w:tr w:rsidR="00D42CD0" w:rsidRPr="00B5380E" w14:paraId="2066E937" w14:textId="77777777" w:rsidTr="00AD5B8E">
        <w:trPr>
          <w:trHeight w:val="300"/>
        </w:trPr>
        <w:tc>
          <w:tcPr>
            <w:tcW w:w="1547" w:type="pct"/>
            <w:shd w:val="clear" w:color="auto" w:fill="auto"/>
            <w:hideMark/>
          </w:tcPr>
          <w:p w14:paraId="6FC214D7" w14:textId="268E0770" w:rsidR="00D42CD0" w:rsidRPr="00B5380E" w:rsidRDefault="00D42CD0" w:rsidP="00B5380E">
            <w:pPr>
              <w:jc w:val="left"/>
              <w:rPr>
                <w:sz w:val="20"/>
                <w:szCs w:val="20"/>
              </w:rPr>
            </w:pPr>
            <w:r w:rsidRPr="00B5380E">
              <w:rPr>
                <w:sz w:val="20"/>
                <w:szCs w:val="20"/>
              </w:rPr>
              <w:t xml:space="preserve">(1) </w:t>
            </w:r>
            <w:r w:rsidR="00AD5B8E">
              <w:rPr>
                <w:sz w:val="20"/>
                <w:szCs w:val="20"/>
              </w:rPr>
              <w:t>I</w:t>
            </w:r>
            <w:r w:rsidRPr="00B5380E">
              <w:rPr>
                <w:sz w:val="20"/>
                <w:szCs w:val="20"/>
              </w:rPr>
              <w:t>s not involved in any capacity in procurement transactions or in the process leading to contract award decisions</w:t>
            </w:r>
            <w:r w:rsidR="00AD5B8E">
              <w:rPr>
                <w:sz w:val="20"/>
                <w:szCs w:val="20"/>
              </w:rPr>
              <w:t>;</w:t>
            </w:r>
            <w:r w:rsidRPr="00B5380E">
              <w:rPr>
                <w:sz w:val="20"/>
                <w:szCs w:val="20"/>
              </w:rPr>
              <w:t xml:space="preserve"> </w:t>
            </w:r>
          </w:p>
        </w:tc>
        <w:tc>
          <w:tcPr>
            <w:tcW w:w="738" w:type="pct"/>
          </w:tcPr>
          <w:p w14:paraId="2A4FE060" w14:textId="1FB1E331" w:rsidR="00D42CD0" w:rsidRPr="00B5380E" w:rsidRDefault="00D42CD0" w:rsidP="00B5380E">
            <w:pPr>
              <w:jc w:val="left"/>
              <w:rPr>
                <w:sz w:val="20"/>
                <w:szCs w:val="20"/>
              </w:rPr>
            </w:pPr>
            <w:r w:rsidRPr="00B5380E">
              <w:rPr>
                <w:sz w:val="20"/>
                <w:szCs w:val="20"/>
              </w:rPr>
              <w:t>Yes</w:t>
            </w:r>
          </w:p>
        </w:tc>
        <w:tc>
          <w:tcPr>
            <w:tcW w:w="2715" w:type="pct"/>
            <w:shd w:val="clear" w:color="auto" w:fill="auto"/>
            <w:noWrap/>
            <w:hideMark/>
          </w:tcPr>
          <w:p w14:paraId="03A65DBE" w14:textId="3F6D9CF9" w:rsidR="00D42CD0" w:rsidRPr="00B5380E" w:rsidRDefault="00D42CD0" w:rsidP="00B5380E">
            <w:pPr>
              <w:jc w:val="left"/>
              <w:rPr>
                <w:sz w:val="20"/>
                <w:szCs w:val="20"/>
              </w:rPr>
            </w:pPr>
            <w:r w:rsidRPr="00B5380E">
              <w:rPr>
                <w:sz w:val="20"/>
                <w:szCs w:val="20"/>
              </w:rPr>
              <w:t xml:space="preserve">Section 27 of </w:t>
            </w:r>
            <w:r w:rsidR="00AD5B8E">
              <w:rPr>
                <w:sz w:val="20"/>
                <w:szCs w:val="20"/>
              </w:rPr>
              <w:t xml:space="preserve">the </w:t>
            </w:r>
            <w:r w:rsidRPr="00B5380E">
              <w:rPr>
                <w:sz w:val="20"/>
                <w:szCs w:val="20"/>
              </w:rPr>
              <w:t>PPADA establishes an independent Public Administrative Review Board (PPARB) to ensure the proper and effective performance of the functions of the PPRA. This was in fact in place under the previous public procurement legislation, as noted in the 2012 PEFA assessment</w:t>
            </w:r>
            <w:r w:rsidR="00367E92" w:rsidRPr="00B5380E">
              <w:rPr>
                <w:sz w:val="20"/>
                <w:szCs w:val="20"/>
              </w:rPr>
              <w:t>.</w:t>
            </w:r>
          </w:p>
        </w:tc>
      </w:tr>
      <w:tr w:rsidR="00D42CD0" w:rsidRPr="00B5380E" w14:paraId="2398A5D9" w14:textId="77777777" w:rsidTr="00AD5B8E">
        <w:trPr>
          <w:trHeight w:val="300"/>
        </w:trPr>
        <w:tc>
          <w:tcPr>
            <w:tcW w:w="1547" w:type="pct"/>
            <w:shd w:val="clear" w:color="auto" w:fill="auto"/>
            <w:hideMark/>
          </w:tcPr>
          <w:p w14:paraId="270D9662" w14:textId="31C023A3" w:rsidR="00D42CD0" w:rsidRPr="00B5380E" w:rsidRDefault="00D42CD0" w:rsidP="00B5380E">
            <w:pPr>
              <w:jc w:val="left"/>
              <w:rPr>
                <w:sz w:val="20"/>
                <w:szCs w:val="20"/>
              </w:rPr>
            </w:pPr>
            <w:r w:rsidRPr="00B5380E">
              <w:rPr>
                <w:sz w:val="20"/>
                <w:szCs w:val="20"/>
              </w:rPr>
              <w:t xml:space="preserve">(2) </w:t>
            </w:r>
            <w:r w:rsidR="00AD5B8E">
              <w:rPr>
                <w:sz w:val="20"/>
                <w:szCs w:val="20"/>
              </w:rPr>
              <w:t>D</w:t>
            </w:r>
            <w:r w:rsidRPr="00B5380E">
              <w:rPr>
                <w:sz w:val="20"/>
                <w:szCs w:val="20"/>
              </w:rPr>
              <w:t>oes not charge fees that prohibit access by concerned parties</w:t>
            </w:r>
            <w:r w:rsidR="00AD5B8E">
              <w:rPr>
                <w:sz w:val="20"/>
                <w:szCs w:val="20"/>
              </w:rPr>
              <w:t>;</w:t>
            </w:r>
            <w:r w:rsidRPr="00B5380E">
              <w:rPr>
                <w:sz w:val="20"/>
                <w:szCs w:val="20"/>
              </w:rPr>
              <w:t xml:space="preserve"> </w:t>
            </w:r>
          </w:p>
        </w:tc>
        <w:tc>
          <w:tcPr>
            <w:tcW w:w="738" w:type="pct"/>
          </w:tcPr>
          <w:p w14:paraId="4DE6E2DA" w14:textId="06658B6C" w:rsidR="00D42CD0" w:rsidRPr="00B5380E" w:rsidRDefault="00D42CD0" w:rsidP="00B5380E">
            <w:pPr>
              <w:jc w:val="left"/>
              <w:rPr>
                <w:sz w:val="20"/>
                <w:szCs w:val="20"/>
              </w:rPr>
            </w:pPr>
            <w:r w:rsidRPr="00B5380E">
              <w:rPr>
                <w:sz w:val="20"/>
                <w:szCs w:val="20"/>
              </w:rPr>
              <w:t>No</w:t>
            </w:r>
          </w:p>
        </w:tc>
        <w:tc>
          <w:tcPr>
            <w:tcW w:w="2715" w:type="pct"/>
            <w:shd w:val="clear" w:color="auto" w:fill="auto"/>
            <w:noWrap/>
            <w:hideMark/>
          </w:tcPr>
          <w:p w14:paraId="4F4EF84E" w14:textId="3AD28351" w:rsidR="00D42CD0" w:rsidRPr="00B5380E" w:rsidRDefault="00367E92" w:rsidP="00B5380E">
            <w:pPr>
              <w:jc w:val="left"/>
              <w:rPr>
                <w:sz w:val="20"/>
                <w:szCs w:val="20"/>
              </w:rPr>
            </w:pPr>
            <w:r w:rsidRPr="00B5380E">
              <w:rPr>
                <w:sz w:val="20"/>
                <w:szCs w:val="20"/>
              </w:rPr>
              <w:t xml:space="preserve">There is a fee payable by the party filing complaints. </w:t>
            </w:r>
            <w:r w:rsidR="000060C1" w:rsidRPr="00B5380E">
              <w:rPr>
                <w:sz w:val="20"/>
                <w:szCs w:val="20"/>
              </w:rPr>
              <w:t>The schedule of fees can be extracted from the Public Procurement and Disposal Regulations, 2013.</w:t>
            </w:r>
            <w:r w:rsidR="00E56226" w:rsidRPr="00B5380E">
              <w:rPr>
                <w:sz w:val="20"/>
                <w:szCs w:val="20"/>
              </w:rPr>
              <w:t xml:space="preserve"> </w:t>
            </w:r>
          </w:p>
        </w:tc>
      </w:tr>
      <w:tr w:rsidR="000060C1" w:rsidRPr="00B5380E" w14:paraId="2F8DE86A" w14:textId="77777777" w:rsidTr="00AD5B8E">
        <w:trPr>
          <w:trHeight w:val="300"/>
        </w:trPr>
        <w:tc>
          <w:tcPr>
            <w:tcW w:w="1547" w:type="pct"/>
            <w:shd w:val="clear" w:color="auto" w:fill="auto"/>
            <w:hideMark/>
          </w:tcPr>
          <w:p w14:paraId="321F43AF" w14:textId="3323F6C9" w:rsidR="000060C1" w:rsidRPr="00B5380E" w:rsidRDefault="000060C1" w:rsidP="00B5380E">
            <w:pPr>
              <w:jc w:val="left"/>
              <w:rPr>
                <w:sz w:val="20"/>
                <w:szCs w:val="20"/>
              </w:rPr>
            </w:pPr>
            <w:r w:rsidRPr="00B5380E">
              <w:rPr>
                <w:sz w:val="20"/>
                <w:szCs w:val="20"/>
              </w:rPr>
              <w:t xml:space="preserve">(3) </w:t>
            </w:r>
            <w:r w:rsidR="00AD5B8E">
              <w:rPr>
                <w:sz w:val="20"/>
                <w:szCs w:val="20"/>
              </w:rPr>
              <w:t>F</w:t>
            </w:r>
            <w:r w:rsidRPr="00B5380E">
              <w:rPr>
                <w:sz w:val="20"/>
                <w:szCs w:val="20"/>
              </w:rPr>
              <w:t>ollows processes for submission and resolution of complaints that are clearly defined and publicly available</w:t>
            </w:r>
            <w:r w:rsidR="00AD5B8E">
              <w:rPr>
                <w:sz w:val="20"/>
                <w:szCs w:val="20"/>
              </w:rPr>
              <w:t>;</w:t>
            </w:r>
            <w:r w:rsidRPr="00B5380E">
              <w:rPr>
                <w:sz w:val="20"/>
                <w:szCs w:val="20"/>
              </w:rPr>
              <w:t xml:space="preserve"> </w:t>
            </w:r>
          </w:p>
        </w:tc>
        <w:tc>
          <w:tcPr>
            <w:tcW w:w="738" w:type="pct"/>
          </w:tcPr>
          <w:p w14:paraId="7C5F6C71" w14:textId="00A25FB1" w:rsidR="000060C1" w:rsidRPr="00B5380E" w:rsidRDefault="000060C1" w:rsidP="00B5380E">
            <w:pPr>
              <w:jc w:val="left"/>
              <w:rPr>
                <w:sz w:val="20"/>
                <w:szCs w:val="20"/>
              </w:rPr>
            </w:pPr>
            <w:r w:rsidRPr="00B5380E">
              <w:rPr>
                <w:sz w:val="20"/>
                <w:szCs w:val="20"/>
              </w:rPr>
              <w:t>Yes</w:t>
            </w:r>
          </w:p>
        </w:tc>
        <w:tc>
          <w:tcPr>
            <w:tcW w:w="2715" w:type="pct"/>
            <w:shd w:val="clear" w:color="auto" w:fill="auto"/>
            <w:noWrap/>
            <w:hideMark/>
          </w:tcPr>
          <w:p w14:paraId="74745FD8" w14:textId="6770ECD8" w:rsidR="000060C1" w:rsidRPr="00B5380E" w:rsidRDefault="000060C1" w:rsidP="00B5380E">
            <w:pPr>
              <w:jc w:val="left"/>
              <w:rPr>
                <w:sz w:val="20"/>
                <w:szCs w:val="20"/>
              </w:rPr>
            </w:pPr>
            <w:r w:rsidRPr="00B5380E">
              <w:rPr>
                <w:sz w:val="20"/>
                <w:szCs w:val="20"/>
              </w:rPr>
              <w:t xml:space="preserve">The process for submission and resolution of complaints is clearly provided for in the PPADA (Section 27) which is publicly available. </w:t>
            </w:r>
          </w:p>
        </w:tc>
      </w:tr>
      <w:tr w:rsidR="000060C1" w:rsidRPr="00B5380E" w14:paraId="441FA019" w14:textId="77777777" w:rsidTr="00AD5B8E">
        <w:trPr>
          <w:trHeight w:val="300"/>
        </w:trPr>
        <w:tc>
          <w:tcPr>
            <w:tcW w:w="1547" w:type="pct"/>
            <w:shd w:val="clear" w:color="auto" w:fill="auto"/>
            <w:hideMark/>
          </w:tcPr>
          <w:p w14:paraId="721A0997" w14:textId="05BF5D4E" w:rsidR="000060C1" w:rsidRPr="00B5380E" w:rsidRDefault="000060C1" w:rsidP="00B5380E">
            <w:pPr>
              <w:jc w:val="left"/>
              <w:rPr>
                <w:sz w:val="20"/>
                <w:szCs w:val="20"/>
              </w:rPr>
            </w:pPr>
            <w:r w:rsidRPr="00B5380E">
              <w:rPr>
                <w:sz w:val="20"/>
                <w:szCs w:val="20"/>
              </w:rPr>
              <w:t xml:space="preserve">(4) </w:t>
            </w:r>
            <w:r w:rsidR="00AD5B8E">
              <w:rPr>
                <w:sz w:val="20"/>
                <w:szCs w:val="20"/>
              </w:rPr>
              <w:t>E</w:t>
            </w:r>
            <w:r w:rsidRPr="00B5380E">
              <w:rPr>
                <w:sz w:val="20"/>
                <w:szCs w:val="20"/>
              </w:rPr>
              <w:t>xercises the authority to suspend the procurement process</w:t>
            </w:r>
            <w:r w:rsidR="00AD5B8E">
              <w:rPr>
                <w:sz w:val="20"/>
                <w:szCs w:val="20"/>
              </w:rPr>
              <w:t>;</w:t>
            </w:r>
            <w:r w:rsidRPr="00B5380E">
              <w:rPr>
                <w:sz w:val="20"/>
                <w:szCs w:val="20"/>
              </w:rPr>
              <w:t xml:space="preserve"> </w:t>
            </w:r>
          </w:p>
        </w:tc>
        <w:tc>
          <w:tcPr>
            <w:tcW w:w="738" w:type="pct"/>
          </w:tcPr>
          <w:p w14:paraId="150C834C" w14:textId="703DB847" w:rsidR="000060C1" w:rsidRPr="00B5380E" w:rsidRDefault="000060C1" w:rsidP="00B5380E">
            <w:pPr>
              <w:jc w:val="left"/>
              <w:rPr>
                <w:sz w:val="20"/>
                <w:szCs w:val="20"/>
              </w:rPr>
            </w:pPr>
            <w:r w:rsidRPr="00B5380E">
              <w:rPr>
                <w:sz w:val="20"/>
                <w:szCs w:val="20"/>
              </w:rPr>
              <w:t>Yes</w:t>
            </w:r>
          </w:p>
        </w:tc>
        <w:tc>
          <w:tcPr>
            <w:tcW w:w="2715" w:type="pct"/>
            <w:shd w:val="clear" w:color="auto" w:fill="auto"/>
            <w:noWrap/>
            <w:hideMark/>
          </w:tcPr>
          <w:p w14:paraId="6BEED2F3" w14:textId="5C4DBA44" w:rsidR="000060C1" w:rsidRPr="00B5380E" w:rsidRDefault="000060C1" w:rsidP="00B5380E">
            <w:pPr>
              <w:jc w:val="left"/>
              <w:rPr>
                <w:sz w:val="20"/>
                <w:szCs w:val="20"/>
              </w:rPr>
            </w:pPr>
            <w:r w:rsidRPr="00B5380E">
              <w:rPr>
                <w:sz w:val="20"/>
                <w:szCs w:val="20"/>
              </w:rPr>
              <w:t>The PPADA provides grounds for debarment of a person from participating in procurement or asset disposal proceedings.</w:t>
            </w:r>
          </w:p>
        </w:tc>
      </w:tr>
      <w:tr w:rsidR="000060C1" w:rsidRPr="00B5380E" w14:paraId="625E0CBD" w14:textId="77777777" w:rsidTr="00AD5B8E">
        <w:trPr>
          <w:trHeight w:val="300"/>
        </w:trPr>
        <w:tc>
          <w:tcPr>
            <w:tcW w:w="1547" w:type="pct"/>
            <w:shd w:val="clear" w:color="auto" w:fill="auto"/>
            <w:hideMark/>
          </w:tcPr>
          <w:p w14:paraId="0C4DC79C" w14:textId="41FBBE35" w:rsidR="000060C1" w:rsidRPr="00B5380E" w:rsidRDefault="000060C1" w:rsidP="00B5380E">
            <w:pPr>
              <w:jc w:val="left"/>
              <w:rPr>
                <w:sz w:val="20"/>
                <w:szCs w:val="20"/>
              </w:rPr>
            </w:pPr>
            <w:r w:rsidRPr="00B5380E">
              <w:rPr>
                <w:sz w:val="20"/>
                <w:szCs w:val="20"/>
              </w:rPr>
              <w:t xml:space="preserve">(5) </w:t>
            </w:r>
            <w:r w:rsidR="00AD5B8E">
              <w:rPr>
                <w:sz w:val="20"/>
                <w:szCs w:val="20"/>
              </w:rPr>
              <w:t>I</w:t>
            </w:r>
            <w:r w:rsidRPr="00B5380E">
              <w:rPr>
                <w:sz w:val="20"/>
                <w:szCs w:val="20"/>
              </w:rPr>
              <w:t>ssues decisions within the time</w:t>
            </w:r>
            <w:r w:rsidR="00AD5B8E">
              <w:rPr>
                <w:sz w:val="20"/>
                <w:szCs w:val="20"/>
              </w:rPr>
              <w:t xml:space="preserve"> </w:t>
            </w:r>
            <w:r w:rsidRPr="00B5380E">
              <w:rPr>
                <w:sz w:val="20"/>
                <w:szCs w:val="20"/>
              </w:rPr>
              <w:t>frame specified in the rules/regulations</w:t>
            </w:r>
            <w:r w:rsidR="00AD5B8E">
              <w:rPr>
                <w:sz w:val="20"/>
                <w:szCs w:val="20"/>
              </w:rPr>
              <w:t>;</w:t>
            </w:r>
            <w:r w:rsidRPr="00B5380E">
              <w:rPr>
                <w:sz w:val="20"/>
                <w:szCs w:val="20"/>
              </w:rPr>
              <w:t xml:space="preserve"> and </w:t>
            </w:r>
          </w:p>
        </w:tc>
        <w:tc>
          <w:tcPr>
            <w:tcW w:w="738" w:type="pct"/>
          </w:tcPr>
          <w:p w14:paraId="05F55CFB" w14:textId="0AD377BB" w:rsidR="000060C1" w:rsidRPr="00B5380E" w:rsidRDefault="000060C1" w:rsidP="00B5380E">
            <w:pPr>
              <w:jc w:val="left"/>
              <w:rPr>
                <w:sz w:val="20"/>
                <w:szCs w:val="20"/>
              </w:rPr>
            </w:pPr>
            <w:r w:rsidRPr="00B5380E">
              <w:rPr>
                <w:sz w:val="20"/>
                <w:szCs w:val="20"/>
              </w:rPr>
              <w:t>Yes</w:t>
            </w:r>
          </w:p>
        </w:tc>
        <w:tc>
          <w:tcPr>
            <w:tcW w:w="2715" w:type="pct"/>
            <w:shd w:val="clear" w:color="auto" w:fill="auto"/>
            <w:noWrap/>
            <w:hideMark/>
          </w:tcPr>
          <w:p w14:paraId="1EEF6E10" w14:textId="71BCBF55" w:rsidR="000060C1" w:rsidRPr="00B5380E" w:rsidRDefault="000060C1" w:rsidP="00B5380E">
            <w:pPr>
              <w:jc w:val="left"/>
              <w:rPr>
                <w:sz w:val="20"/>
                <w:szCs w:val="20"/>
              </w:rPr>
            </w:pPr>
            <w:r w:rsidRPr="00B5380E">
              <w:rPr>
                <w:sz w:val="20"/>
                <w:szCs w:val="20"/>
              </w:rPr>
              <w:t xml:space="preserve">The PPADA requires the PPARB to make a decision within </w:t>
            </w:r>
            <w:r w:rsidR="00AD5B8E">
              <w:rPr>
                <w:sz w:val="20"/>
                <w:szCs w:val="20"/>
              </w:rPr>
              <w:t>30</w:t>
            </w:r>
            <w:r w:rsidR="00AD5B8E" w:rsidRPr="00B5380E">
              <w:rPr>
                <w:sz w:val="20"/>
                <w:szCs w:val="20"/>
              </w:rPr>
              <w:t xml:space="preserve"> </w:t>
            </w:r>
            <w:r w:rsidRPr="00B5380E">
              <w:rPr>
                <w:sz w:val="20"/>
                <w:szCs w:val="20"/>
              </w:rPr>
              <w:t>days of the date of submission of an application for review. The PPARB report for 2015/16 states that all cases lodged were heard and determined within an average of 22.5 days.</w:t>
            </w:r>
          </w:p>
        </w:tc>
      </w:tr>
      <w:tr w:rsidR="000060C1" w:rsidRPr="00B5380E" w14:paraId="5FD0B126" w14:textId="77777777" w:rsidTr="00AD5B8E">
        <w:trPr>
          <w:trHeight w:val="615"/>
        </w:trPr>
        <w:tc>
          <w:tcPr>
            <w:tcW w:w="1547" w:type="pct"/>
            <w:shd w:val="clear" w:color="auto" w:fill="auto"/>
            <w:hideMark/>
          </w:tcPr>
          <w:p w14:paraId="4D1B9FF4" w14:textId="7105160A" w:rsidR="000060C1" w:rsidRPr="00B5380E" w:rsidRDefault="000060C1" w:rsidP="00B5380E">
            <w:pPr>
              <w:jc w:val="left"/>
              <w:rPr>
                <w:sz w:val="20"/>
                <w:szCs w:val="20"/>
              </w:rPr>
            </w:pPr>
            <w:r w:rsidRPr="00B5380E">
              <w:rPr>
                <w:sz w:val="20"/>
                <w:szCs w:val="20"/>
              </w:rPr>
              <w:t xml:space="preserve">(6) </w:t>
            </w:r>
            <w:r w:rsidR="00AD5B8E">
              <w:rPr>
                <w:sz w:val="20"/>
                <w:szCs w:val="20"/>
              </w:rPr>
              <w:t>I</w:t>
            </w:r>
            <w:r w:rsidRPr="00B5380E">
              <w:rPr>
                <w:sz w:val="20"/>
                <w:szCs w:val="20"/>
              </w:rPr>
              <w:t>ssues decisions that are binding on every party (without precluding subsequent access to an external higher authority)</w:t>
            </w:r>
            <w:r w:rsidR="00AD5B8E">
              <w:rPr>
                <w:sz w:val="20"/>
                <w:szCs w:val="20"/>
              </w:rPr>
              <w:t>.</w:t>
            </w:r>
            <w:r w:rsidRPr="00B5380E">
              <w:rPr>
                <w:sz w:val="20"/>
                <w:szCs w:val="20"/>
              </w:rPr>
              <w:t xml:space="preserve"> </w:t>
            </w:r>
          </w:p>
        </w:tc>
        <w:tc>
          <w:tcPr>
            <w:tcW w:w="738" w:type="pct"/>
          </w:tcPr>
          <w:p w14:paraId="6946436E" w14:textId="6DA4EA37" w:rsidR="000060C1" w:rsidRPr="00B5380E" w:rsidRDefault="000060C1" w:rsidP="00B5380E">
            <w:pPr>
              <w:jc w:val="left"/>
              <w:rPr>
                <w:sz w:val="20"/>
                <w:szCs w:val="20"/>
              </w:rPr>
            </w:pPr>
            <w:r w:rsidRPr="00B5380E">
              <w:rPr>
                <w:sz w:val="20"/>
                <w:szCs w:val="20"/>
              </w:rPr>
              <w:t>Yes</w:t>
            </w:r>
          </w:p>
        </w:tc>
        <w:tc>
          <w:tcPr>
            <w:tcW w:w="2715" w:type="pct"/>
            <w:shd w:val="clear" w:color="auto" w:fill="auto"/>
            <w:noWrap/>
            <w:hideMark/>
          </w:tcPr>
          <w:p w14:paraId="37D41FB2" w14:textId="6B2B68B4" w:rsidR="000060C1" w:rsidRPr="00B5380E" w:rsidRDefault="000060C1" w:rsidP="00B5380E">
            <w:pPr>
              <w:jc w:val="left"/>
              <w:rPr>
                <w:sz w:val="20"/>
                <w:szCs w:val="20"/>
              </w:rPr>
            </w:pPr>
            <w:r w:rsidRPr="00B5380E">
              <w:rPr>
                <w:sz w:val="20"/>
                <w:szCs w:val="20"/>
              </w:rPr>
              <w:t>The Procurement Regulations state that “a decision by the Review Board is binding on all parties concerned subject to judicial review where the parties so appeal</w:t>
            </w:r>
            <w:r w:rsidR="00AD5B8E">
              <w:rPr>
                <w:sz w:val="20"/>
                <w:szCs w:val="20"/>
              </w:rPr>
              <w:t>.</w:t>
            </w:r>
            <w:r w:rsidRPr="00B5380E">
              <w:rPr>
                <w:sz w:val="20"/>
                <w:szCs w:val="20"/>
              </w:rPr>
              <w:t>”</w:t>
            </w:r>
          </w:p>
        </w:tc>
      </w:tr>
    </w:tbl>
    <w:p w14:paraId="6428F590" w14:textId="17C6C347" w:rsidR="00B14D0E" w:rsidRDefault="00B14D0E" w:rsidP="00D52523"/>
    <w:p w14:paraId="6B585D9E" w14:textId="2DFD92AD" w:rsidR="000578F8" w:rsidRPr="00B5380E" w:rsidRDefault="00F5429C" w:rsidP="00B5380E">
      <w:pPr>
        <w:spacing w:after="240"/>
        <w:rPr>
          <w:sz w:val="22"/>
        </w:rPr>
      </w:pPr>
      <w:r w:rsidRPr="00B5380E">
        <w:rPr>
          <w:sz w:val="22"/>
        </w:rPr>
        <w:t>In summary, t</w:t>
      </w:r>
      <w:r w:rsidR="00795816" w:rsidRPr="00B5380E">
        <w:rPr>
          <w:sz w:val="22"/>
        </w:rPr>
        <w:t xml:space="preserve">he procurement complaint system meets all the criteria. </w:t>
      </w:r>
    </w:p>
    <w:p w14:paraId="2EEB46F4" w14:textId="73F0D16F" w:rsidR="006F0846" w:rsidRPr="00B5380E" w:rsidRDefault="006F0846" w:rsidP="00B5380E">
      <w:pPr>
        <w:spacing w:after="240"/>
        <w:ind w:left="360" w:hanging="360"/>
        <w:rPr>
          <w:b/>
          <w:sz w:val="22"/>
        </w:rPr>
      </w:pPr>
      <w:r w:rsidRPr="00B5380E">
        <w:rPr>
          <w:b/>
          <w:sz w:val="22"/>
        </w:rPr>
        <w:t>Dimension rating = A</w:t>
      </w:r>
    </w:p>
    <w:p w14:paraId="4DF3E153" w14:textId="77777777" w:rsidR="00BB1084" w:rsidRPr="00890A84" w:rsidRDefault="00BB1084" w:rsidP="00590C8E">
      <w:pPr>
        <w:pStyle w:val="Heading4"/>
      </w:pPr>
      <w:r w:rsidRPr="00890A84">
        <w:t xml:space="preserve">PI-25. Internal controls on </w:t>
      </w:r>
      <w:r w:rsidR="00643A6B" w:rsidRPr="00890A84">
        <w:t>non-salary</w:t>
      </w:r>
      <w:r w:rsidRPr="00890A84">
        <w:t xml:space="preserve"> expenditure</w:t>
      </w:r>
    </w:p>
    <w:p w14:paraId="772B11B9" w14:textId="77777777" w:rsidR="003E5B0C" w:rsidRPr="00890A84" w:rsidRDefault="003E5B0C" w:rsidP="00BA6B2B">
      <w:pPr>
        <w:pStyle w:val="Heading5"/>
      </w:pPr>
      <w:r>
        <w:t>Summary of scores and performance table</w:t>
      </w:r>
    </w:p>
    <w:tbl>
      <w:tblPr>
        <w:tblW w:w="934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974"/>
        <w:gridCol w:w="446"/>
        <w:gridCol w:w="5920"/>
      </w:tblGrid>
      <w:tr w:rsidR="003E5B0C" w:rsidRPr="00B5380E" w14:paraId="050584FE" w14:textId="77777777" w:rsidTr="00B5380E">
        <w:trPr>
          <w:tblHeader/>
        </w:trPr>
        <w:tc>
          <w:tcPr>
            <w:tcW w:w="2974" w:type="dxa"/>
            <w:shd w:val="clear" w:color="auto" w:fill="5B9BD5"/>
          </w:tcPr>
          <w:p w14:paraId="4A53D76C" w14:textId="7CAC0AD5" w:rsidR="003E5B0C" w:rsidRPr="00B5380E" w:rsidRDefault="003E5B0C" w:rsidP="00B5380E">
            <w:pPr>
              <w:jc w:val="center"/>
              <w:rPr>
                <w:b/>
                <w:color w:val="FFFFFF" w:themeColor="background1"/>
                <w:sz w:val="20"/>
              </w:rPr>
            </w:pPr>
            <w:r w:rsidRPr="00B5380E">
              <w:rPr>
                <w:b/>
                <w:color w:val="FFFFFF" w:themeColor="background1"/>
                <w:sz w:val="20"/>
              </w:rPr>
              <w:t>PI-25</w:t>
            </w:r>
            <w:r w:rsidR="00EA489B">
              <w:rPr>
                <w:b/>
                <w:color w:val="FFFFFF" w:themeColor="background1"/>
                <w:sz w:val="20"/>
              </w:rPr>
              <w:t>.</w:t>
            </w:r>
            <w:r w:rsidRPr="00B5380E">
              <w:rPr>
                <w:b/>
                <w:color w:val="FFFFFF" w:themeColor="background1"/>
                <w:sz w:val="20"/>
              </w:rPr>
              <w:t xml:space="preserve"> Internal controls on non-salary expenditure (M2)</w:t>
            </w:r>
          </w:p>
        </w:tc>
        <w:tc>
          <w:tcPr>
            <w:tcW w:w="446" w:type="dxa"/>
            <w:shd w:val="clear" w:color="auto" w:fill="5B9BD5"/>
          </w:tcPr>
          <w:p w14:paraId="0D7C35C3" w14:textId="77777777" w:rsidR="003E5B0C" w:rsidRPr="00B5380E" w:rsidRDefault="003E5B0C" w:rsidP="00B5380E">
            <w:pPr>
              <w:jc w:val="center"/>
              <w:rPr>
                <w:b/>
                <w:color w:val="FFFFFF" w:themeColor="background1"/>
                <w:sz w:val="20"/>
              </w:rPr>
            </w:pPr>
            <w:r w:rsidRPr="00B5380E">
              <w:rPr>
                <w:b/>
                <w:color w:val="FFFFFF" w:themeColor="background1"/>
                <w:sz w:val="20"/>
              </w:rPr>
              <w:t>C</w:t>
            </w:r>
          </w:p>
        </w:tc>
        <w:tc>
          <w:tcPr>
            <w:tcW w:w="5920" w:type="dxa"/>
            <w:shd w:val="clear" w:color="auto" w:fill="5B9BD5"/>
          </w:tcPr>
          <w:p w14:paraId="7127200D" w14:textId="77777777" w:rsidR="003E5B0C" w:rsidRPr="00B5380E" w:rsidRDefault="003E5B0C" w:rsidP="00B5380E">
            <w:pPr>
              <w:jc w:val="center"/>
              <w:rPr>
                <w:b/>
                <w:color w:val="FFFFFF" w:themeColor="background1"/>
                <w:sz w:val="20"/>
              </w:rPr>
            </w:pPr>
            <w:r w:rsidRPr="00B5380E">
              <w:rPr>
                <w:b/>
                <w:color w:val="FFFFFF" w:themeColor="background1"/>
                <w:sz w:val="20"/>
              </w:rPr>
              <w:t>Brief justification for score</w:t>
            </w:r>
          </w:p>
        </w:tc>
      </w:tr>
      <w:tr w:rsidR="003E5B0C" w:rsidRPr="00B5380E" w14:paraId="368E72C2" w14:textId="77777777" w:rsidTr="00B5380E">
        <w:tc>
          <w:tcPr>
            <w:tcW w:w="2974" w:type="dxa"/>
            <w:shd w:val="clear" w:color="auto" w:fill="auto"/>
          </w:tcPr>
          <w:p w14:paraId="3FCBB7E6" w14:textId="77777777" w:rsidR="003E5B0C" w:rsidRPr="00B5380E" w:rsidRDefault="003E5B0C" w:rsidP="00B5380E">
            <w:pPr>
              <w:jc w:val="left"/>
              <w:rPr>
                <w:sz w:val="20"/>
              </w:rPr>
            </w:pPr>
            <w:r w:rsidRPr="00B5380E">
              <w:rPr>
                <w:sz w:val="20"/>
              </w:rPr>
              <w:t xml:space="preserve">25.1 Segregation of duties </w:t>
            </w:r>
          </w:p>
        </w:tc>
        <w:tc>
          <w:tcPr>
            <w:tcW w:w="446" w:type="dxa"/>
            <w:shd w:val="clear" w:color="auto" w:fill="auto"/>
          </w:tcPr>
          <w:p w14:paraId="055AD22B" w14:textId="77777777" w:rsidR="003E5B0C" w:rsidRPr="00B5380E" w:rsidRDefault="003E5B0C" w:rsidP="00B5380E">
            <w:pPr>
              <w:jc w:val="center"/>
              <w:rPr>
                <w:sz w:val="20"/>
              </w:rPr>
            </w:pPr>
            <w:r w:rsidRPr="00B5380E">
              <w:rPr>
                <w:sz w:val="20"/>
              </w:rPr>
              <w:t>B</w:t>
            </w:r>
          </w:p>
        </w:tc>
        <w:tc>
          <w:tcPr>
            <w:tcW w:w="5920" w:type="dxa"/>
            <w:shd w:val="clear" w:color="auto" w:fill="auto"/>
          </w:tcPr>
          <w:p w14:paraId="083D6669" w14:textId="77777777" w:rsidR="003E5B0C" w:rsidRPr="00B5380E" w:rsidRDefault="003E5B0C" w:rsidP="00B5380E">
            <w:pPr>
              <w:jc w:val="left"/>
              <w:rPr>
                <w:sz w:val="20"/>
              </w:rPr>
            </w:pPr>
            <w:r w:rsidRPr="00B5380E">
              <w:rPr>
                <w:sz w:val="20"/>
              </w:rPr>
              <w:t xml:space="preserve">Segregation of duties is prescribed throughout the expenditure process. Responsibilities are clearly laid down for </w:t>
            </w:r>
            <w:r w:rsidRPr="00B5380E">
              <w:rPr>
                <w:b/>
                <w:i/>
                <w:sz w:val="20"/>
              </w:rPr>
              <w:t>most</w:t>
            </w:r>
            <w:r w:rsidRPr="00B5380E">
              <w:rPr>
                <w:sz w:val="20"/>
              </w:rPr>
              <w:t xml:space="preserve"> key steps while further details may be needed in a few areas.</w:t>
            </w:r>
          </w:p>
        </w:tc>
      </w:tr>
      <w:tr w:rsidR="003E5B0C" w:rsidRPr="00B5380E" w14:paraId="2979DA01" w14:textId="77777777" w:rsidTr="00B5380E">
        <w:tc>
          <w:tcPr>
            <w:tcW w:w="2974" w:type="dxa"/>
            <w:shd w:val="clear" w:color="auto" w:fill="auto"/>
          </w:tcPr>
          <w:p w14:paraId="11D54130" w14:textId="77777777" w:rsidR="003E5B0C" w:rsidRPr="00B5380E" w:rsidRDefault="003E5B0C" w:rsidP="00B5380E">
            <w:pPr>
              <w:jc w:val="left"/>
              <w:rPr>
                <w:sz w:val="20"/>
              </w:rPr>
            </w:pPr>
            <w:r w:rsidRPr="00B5380E">
              <w:rPr>
                <w:sz w:val="20"/>
              </w:rPr>
              <w:t xml:space="preserve">25.2 Effectiveness of expenditure commitment controls </w:t>
            </w:r>
          </w:p>
        </w:tc>
        <w:tc>
          <w:tcPr>
            <w:tcW w:w="446" w:type="dxa"/>
            <w:shd w:val="clear" w:color="auto" w:fill="auto"/>
          </w:tcPr>
          <w:p w14:paraId="3D329791" w14:textId="77777777" w:rsidR="003E5B0C" w:rsidRPr="00B5380E" w:rsidRDefault="003E5B0C" w:rsidP="00B5380E">
            <w:pPr>
              <w:jc w:val="center"/>
              <w:rPr>
                <w:sz w:val="20"/>
              </w:rPr>
            </w:pPr>
            <w:r w:rsidRPr="00B5380E">
              <w:rPr>
                <w:sz w:val="20"/>
              </w:rPr>
              <w:t>C</w:t>
            </w:r>
          </w:p>
        </w:tc>
        <w:tc>
          <w:tcPr>
            <w:tcW w:w="5920" w:type="dxa"/>
            <w:shd w:val="clear" w:color="auto" w:fill="auto"/>
          </w:tcPr>
          <w:p w14:paraId="58ED7A4E" w14:textId="1AB4C2BC" w:rsidR="003E5B0C" w:rsidRPr="00B5380E" w:rsidRDefault="003E5B0C" w:rsidP="00B5380E">
            <w:pPr>
              <w:jc w:val="left"/>
              <w:rPr>
                <w:sz w:val="20"/>
              </w:rPr>
            </w:pPr>
            <w:r w:rsidRPr="00B5380E">
              <w:rPr>
                <w:sz w:val="20"/>
              </w:rPr>
              <w:t>Expenditure commitment control procedures exist</w:t>
            </w:r>
            <w:r w:rsidR="00EA489B">
              <w:rPr>
                <w:sz w:val="20"/>
              </w:rPr>
              <w:t>,</w:t>
            </w:r>
            <w:r w:rsidRPr="00B5380E">
              <w:rPr>
                <w:sz w:val="20"/>
              </w:rPr>
              <w:t xml:space="preserve"> which provide partial coverage and are partially effective. </w:t>
            </w:r>
          </w:p>
        </w:tc>
      </w:tr>
      <w:tr w:rsidR="003E5B0C" w:rsidRPr="00B5380E" w14:paraId="184EC4BD" w14:textId="77777777" w:rsidTr="00B5380E">
        <w:tc>
          <w:tcPr>
            <w:tcW w:w="2974" w:type="dxa"/>
            <w:shd w:val="clear" w:color="auto" w:fill="auto"/>
          </w:tcPr>
          <w:p w14:paraId="42AD1FC5" w14:textId="77777777" w:rsidR="003E5B0C" w:rsidRPr="00B5380E" w:rsidRDefault="003E5B0C" w:rsidP="00B5380E">
            <w:pPr>
              <w:jc w:val="left"/>
              <w:rPr>
                <w:sz w:val="20"/>
              </w:rPr>
            </w:pPr>
            <w:r w:rsidRPr="00B5380E">
              <w:rPr>
                <w:sz w:val="20"/>
              </w:rPr>
              <w:t xml:space="preserve">25.3 Compliance with payment rules and procedures </w:t>
            </w:r>
          </w:p>
        </w:tc>
        <w:tc>
          <w:tcPr>
            <w:tcW w:w="446" w:type="dxa"/>
            <w:shd w:val="clear" w:color="auto" w:fill="auto"/>
          </w:tcPr>
          <w:p w14:paraId="06A8A661" w14:textId="77777777" w:rsidR="003E5B0C" w:rsidRPr="00B5380E" w:rsidRDefault="003E5B0C" w:rsidP="00B5380E">
            <w:pPr>
              <w:jc w:val="center"/>
              <w:rPr>
                <w:sz w:val="20"/>
              </w:rPr>
            </w:pPr>
            <w:r w:rsidRPr="00B5380E">
              <w:rPr>
                <w:sz w:val="20"/>
              </w:rPr>
              <w:t>D*</w:t>
            </w:r>
          </w:p>
        </w:tc>
        <w:tc>
          <w:tcPr>
            <w:tcW w:w="5920" w:type="dxa"/>
            <w:shd w:val="clear" w:color="auto" w:fill="auto"/>
          </w:tcPr>
          <w:p w14:paraId="0F039A9A" w14:textId="1A0A79F8" w:rsidR="003E5B0C" w:rsidRPr="00B5380E" w:rsidRDefault="003E5B0C" w:rsidP="00B5380E">
            <w:pPr>
              <w:jc w:val="left"/>
              <w:rPr>
                <w:sz w:val="20"/>
              </w:rPr>
            </w:pPr>
            <w:r w:rsidRPr="00B5380E">
              <w:rPr>
                <w:sz w:val="20"/>
              </w:rPr>
              <w:t xml:space="preserve">All payments should be made according </w:t>
            </w:r>
            <w:r w:rsidR="00EA489B">
              <w:rPr>
                <w:sz w:val="20"/>
              </w:rPr>
              <w:t xml:space="preserve">to </w:t>
            </w:r>
            <w:r w:rsidRPr="00B5380E">
              <w:rPr>
                <w:sz w:val="20"/>
              </w:rPr>
              <w:t xml:space="preserve">regular procedures through </w:t>
            </w:r>
            <w:r w:rsidR="00EA489B">
              <w:rPr>
                <w:sz w:val="20"/>
              </w:rPr>
              <w:t xml:space="preserve">the </w:t>
            </w:r>
            <w:r w:rsidRPr="00B5380E">
              <w:rPr>
                <w:sz w:val="20"/>
              </w:rPr>
              <w:t>IFMIS, but the data enabling scor</w:t>
            </w:r>
            <w:r w:rsidR="00EA489B">
              <w:rPr>
                <w:sz w:val="20"/>
              </w:rPr>
              <w:t>ing</w:t>
            </w:r>
            <w:r w:rsidRPr="00B5380E">
              <w:rPr>
                <w:sz w:val="20"/>
              </w:rPr>
              <w:t xml:space="preserve"> </w:t>
            </w:r>
            <w:r w:rsidR="00EA489B">
              <w:rPr>
                <w:sz w:val="20"/>
              </w:rPr>
              <w:t xml:space="preserve">of </w:t>
            </w:r>
            <w:r w:rsidRPr="00B5380E">
              <w:rPr>
                <w:sz w:val="20"/>
              </w:rPr>
              <w:t xml:space="preserve">the component was not provided. </w:t>
            </w:r>
          </w:p>
        </w:tc>
      </w:tr>
    </w:tbl>
    <w:p w14:paraId="2AAF70E9" w14:textId="77777777" w:rsidR="00A40E55" w:rsidRPr="00890A84" w:rsidRDefault="00612DBE" w:rsidP="00BA6B2B">
      <w:pPr>
        <w:pStyle w:val="Heading5"/>
      </w:pPr>
      <w:r w:rsidRPr="00890A84">
        <w:t>PI-</w:t>
      </w:r>
      <w:r w:rsidR="00A40E55" w:rsidRPr="00890A84">
        <w:t xml:space="preserve">25.1. Segregation of duties </w:t>
      </w:r>
    </w:p>
    <w:p w14:paraId="278B6AE5" w14:textId="52EADB73" w:rsidR="000335AC" w:rsidRPr="00B5380E" w:rsidRDefault="000335AC" w:rsidP="00B5380E">
      <w:pPr>
        <w:spacing w:after="240"/>
        <w:rPr>
          <w:sz w:val="22"/>
        </w:rPr>
      </w:pPr>
      <w:r w:rsidRPr="00B5380E">
        <w:rPr>
          <w:sz w:val="22"/>
        </w:rPr>
        <w:t>The legislations about segregation of duties are (</w:t>
      </w:r>
      <w:r w:rsidR="00EA489B">
        <w:rPr>
          <w:sz w:val="22"/>
        </w:rPr>
        <w:t>a</w:t>
      </w:r>
      <w:r w:rsidRPr="00B5380E">
        <w:rPr>
          <w:sz w:val="22"/>
        </w:rPr>
        <w:t>) the Constitution of Kenya of 2010</w:t>
      </w:r>
      <w:r w:rsidR="00EA489B">
        <w:rPr>
          <w:sz w:val="22"/>
        </w:rPr>
        <w:t>;</w:t>
      </w:r>
      <w:r w:rsidRPr="00B5380E">
        <w:rPr>
          <w:sz w:val="22"/>
        </w:rPr>
        <w:t xml:space="preserve"> (</w:t>
      </w:r>
      <w:r w:rsidR="00EA489B">
        <w:rPr>
          <w:sz w:val="22"/>
        </w:rPr>
        <w:t>b</w:t>
      </w:r>
      <w:r w:rsidRPr="00B5380E">
        <w:rPr>
          <w:sz w:val="22"/>
        </w:rPr>
        <w:t>) the Public Finance Management Act</w:t>
      </w:r>
      <w:r w:rsidR="00EA489B">
        <w:rPr>
          <w:sz w:val="22"/>
        </w:rPr>
        <w:t>,</w:t>
      </w:r>
      <w:r w:rsidRPr="00B5380E">
        <w:rPr>
          <w:sz w:val="22"/>
        </w:rPr>
        <w:t xml:space="preserve"> 2012</w:t>
      </w:r>
      <w:r w:rsidR="00EA489B">
        <w:rPr>
          <w:sz w:val="22"/>
        </w:rPr>
        <w:t>;</w:t>
      </w:r>
      <w:r w:rsidRPr="00B5380E">
        <w:rPr>
          <w:sz w:val="22"/>
        </w:rPr>
        <w:t xml:space="preserve"> (</w:t>
      </w:r>
      <w:r w:rsidR="00EA489B">
        <w:rPr>
          <w:sz w:val="22"/>
        </w:rPr>
        <w:t>c</w:t>
      </w:r>
      <w:r w:rsidRPr="00B5380E">
        <w:rPr>
          <w:sz w:val="22"/>
        </w:rPr>
        <w:t>) Circulars from National Treasury</w:t>
      </w:r>
      <w:r w:rsidR="00EA489B">
        <w:rPr>
          <w:sz w:val="22"/>
        </w:rPr>
        <w:t>;</w:t>
      </w:r>
      <w:r w:rsidRPr="00B5380E">
        <w:rPr>
          <w:sz w:val="22"/>
        </w:rPr>
        <w:t xml:space="preserve"> and (</w:t>
      </w:r>
      <w:r w:rsidR="00EA489B">
        <w:rPr>
          <w:sz w:val="22"/>
        </w:rPr>
        <w:t>d</w:t>
      </w:r>
      <w:r w:rsidRPr="00B5380E">
        <w:rPr>
          <w:sz w:val="22"/>
        </w:rPr>
        <w:t xml:space="preserve">) Public Procurement and Asset Disposal Act, 2015. The different responsibilities </w:t>
      </w:r>
      <w:r w:rsidR="00EA489B">
        <w:rPr>
          <w:sz w:val="22"/>
        </w:rPr>
        <w:t>on</w:t>
      </w:r>
      <w:r w:rsidR="00EA489B" w:rsidRPr="00B5380E">
        <w:rPr>
          <w:sz w:val="22"/>
        </w:rPr>
        <w:t xml:space="preserve"> </w:t>
      </w:r>
      <w:r w:rsidRPr="00B5380E">
        <w:rPr>
          <w:sz w:val="22"/>
        </w:rPr>
        <w:t>internal controls are (</w:t>
      </w:r>
      <w:r w:rsidR="00EA489B">
        <w:rPr>
          <w:sz w:val="22"/>
        </w:rPr>
        <w:t>a</w:t>
      </w:r>
      <w:r w:rsidRPr="00B5380E">
        <w:rPr>
          <w:sz w:val="22"/>
        </w:rPr>
        <w:t xml:space="preserve">) </w:t>
      </w:r>
      <w:r w:rsidR="00EA489B">
        <w:rPr>
          <w:sz w:val="22"/>
        </w:rPr>
        <w:t>p</w:t>
      </w:r>
      <w:r w:rsidRPr="00B5380E">
        <w:rPr>
          <w:sz w:val="22"/>
        </w:rPr>
        <w:t>lanning, (</w:t>
      </w:r>
      <w:r w:rsidR="00DC7524">
        <w:rPr>
          <w:sz w:val="22"/>
        </w:rPr>
        <w:t>b</w:t>
      </w:r>
      <w:r w:rsidRPr="00B5380E">
        <w:rPr>
          <w:sz w:val="22"/>
        </w:rPr>
        <w:t xml:space="preserve">) </w:t>
      </w:r>
      <w:r w:rsidR="00DC7524">
        <w:rPr>
          <w:sz w:val="22"/>
        </w:rPr>
        <w:t>b</w:t>
      </w:r>
      <w:r w:rsidRPr="00B5380E">
        <w:rPr>
          <w:sz w:val="22"/>
        </w:rPr>
        <w:t>udgeting, (</w:t>
      </w:r>
      <w:r w:rsidR="00DC7524">
        <w:rPr>
          <w:sz w:val="22"/>
        </w:rPr>
        <w:t>c</w:t>
      </w:r>
      <w:r w:rsidRPr="00B5380E">
        <w:rPr>
          <w:sz w:val="22"/>
        </w:rPr>
        <w:t xml:space="preserve">) </w:t>
      </w:r>
      <w:r w:rsidR="00DC7524">
        <w:rPr>
          <w:sz w:val="22"/>
        </w:rPr>
        <w:t>p</w:t>
      </w:r>
      <w:r w:rsidRPr="00B5380E">
        <w:rPr>
          <w:sz w:val="22"/>
        </w:rPr>
        <w:t>rocurement, (</w:t>
      </w:r>
      <w:r w:rsidR="00DC7524">
        <w:rPr>
          <w:sz w:val="22"/>
        </w:rPr>
        <w:t>d</w:t>
      </w:r>
      <w:r w:rsidRPr="00B5380E">
        <w:rPr>
          <w:sz w:val="22"/>
        </w:rPr>
        <w:t xml:space="preserve">) </w:t>
      </w:r>
      <w:r w:rsidR="00DC7524">
        <w:rPr>
          <w:sz w:val="22"/>
        </w:rPr>
        <w:t>a</w:t>
      </w:r>
      <w:r w:rsidRPr="00B5380E">
        <w:rPr>
          <w:sz w:val="22"/>
        </w:rPr>
        <w:t>ccounting, (</w:t>
      </w:r>
      <w:r w:rsidR="00DC7524">
        <w:rPr>
          <w:sz w:val="22"/>
        </w:rPr>
        <w:t>e</w:t>
      </w:r>
      <w:r w:rsidRPr="00B5380E">
        <w:rPr>
          <w:sz w:val="22"/>
        </w:rPr>
        <w:t xml:space="preserve">) </w:t>
      </w:r>
      <w:r w:rsidR="00DC7524">
        <w:rPr>
          <w:sz w:val="22"/>
        </w:rPr>
        <w:t>m</w:t>
      </w:r>
      <w:r w:rsidRPr="00B5380E">
        <w:rPr>
          <w:sz w:val="22"/>
        </w:rPr>
        <w:t xml:space="preserve">onitoring and </w:t>
      </w:r>
      <w:r w:rsidR="00DC7524">
        <w:rPr>
          <w:sz w:val="22"/>
        </w:rPr>
        <w:t>e</w:t>
      </w:r>
      <w:r w:rsidRPr="00B5380E">
        <w:rPr>
          <w:sz w:val="22"/>
        </w:rPr>
        <w:t>valuation</w:t>
      </w:r>
      <w:r w:rsidR="00DC7524">
        <w:rPr>
          <w:sz w:val="22"/>
        </w:rPr>
        <w:t>,</w:t>
      </w:r>
      <w:r w:rsidRPr="00B5380E">
        <w:rPr>
          <w:sz w:val="22"/>
        </w:rPr>
        <w:t xml:space="preserve"> and (</w:t>
      </w:r>
      <w:r w:rsidR="00DC7524">
        <w:rPr>
          <w:sz w:val="22"/>
        </w:rPr>
        <w:t>f</w:t>
      </w:r>
      <w:r w:rsidRPr="00B5380E">
        <w:rPr>
          <w:sz w:val="22"/>
        </w:rPr>
        <w:t xml:space="preserve">) </w:t>
      </w:r>
      <w:r w:rsidR="00DC7524">
        <w:rPr>
          <w:sz w:val="22"/>
        </w:rPr>
        <w:t>i</w:t>
      </w:r>
      <w:r w:rsidRPr="00B5380E">
        <w:rPr>
          <w:sz w:val="22"/>
        </w:rPr>
        <w:t>nternal auditing.</w:t>
      </w:r>
    </w:p>
    <w:p w14:paraId="08A19C3B" w14:textId="551BD4F4" w:rsidR="000F7333" w:rsidRPr="00B5380E" w:rsidRDefault="0075704D" w:rsidP="00B5380E">
      <w:pPr>
        <w:spacing w:after="240"/>
        <w:rPr>
          <w:sz w:val="22"/>
        </w:rPr>
      </w:pPr>
      <w:r w:rsidRPr="00B5380E">
        <w:rPr>
          <w:sz w:val="22"/>
        </w:rPr>
        <w:t xml:space="preserve">Appropriate segregation of duties is prescribed throughout the expenditure process. Responsibilities are clearly laid down. Payments go through various stages of approval and in </w:t>
      </w:r>
      <w:r w:rsidR="004340C8">
        <w:rPr>
          <w:sz w:val="22"/>
        </w:rPr>
        <w:t xml:space="preserve">the </w:t>
      </w:r>
      <w:r w:rsidRPr="00B5380E">
        <w:rPr>
          <w:sz w:val="22"/>
        </w:rPr>
        <w:t>IFMIS</w:t>
      </w:r>
      <w:r w:rsidR="004340C8">
        <w:rPr>
          <w:sz w:val="22"/>
        </w:rPr>
        <w:t>,</w:t>
      </w:r>
      <w:r w:rsidRPr="00B5380E">
        <w:rPr>
          <w:sz w:val="22"/>
        </w:rPr>
        <w:t xml:space="preserve"> there are different validators with unique passwords and different levels of access rights. Procurement process is clearly defined except under emergency cases and there is a separate emergency fund. </w:t>
      </w:r>
      <w:r w:rsidR="000335AC" w:rsidRPr="00B5380E">
        <w:rPr>
          <w:sz w:val="22"/>
        </w:rPr>
        <w:t xml:space="preserve">The </w:t>
      </w:r>
      <w:r w:rsidR="000F7333" w:rsidRPr="00B5380E">
        <w:rPr>
          <w:sz w:val="22"/>
        </w:rPr>
        <w:t xml:space="preserve">county government </w:t>
      </w:r>
      <w:r w:rsidR="000335AC" w:rsidRPr="00B5380E">
        <w:rPr>
          <w:sz w:val="22"/>
        </w:rPr>
        <w:t>uses the</w:t>
      </w:r>
      <w:r w:rsidR="000F7333" w:rsidRPr="00B5380E">
        <w:rPr>
          <w:sz w:val="22"/>
        </w:rPr>
        <w:t xml:space="preserve"> IFMIS which has various modules and different levels of access rights to ensure adequate segregation of duties in the expenditure </w:t>
      </w:r>
      <w:r w:rsidR="000B54FC" w:rsidRPr="00B5380E">
        <w:rPr>
          <w:sz w:val="22"/>
        </w:rPr>
        <w:t>process. Each</w:t>
      </w:r>
      <w:r w:rsidR="000F7333" w:rsidRPr="00B5380E">
        <w:rPr>
          <w:sz w:val="22"/>
        </w:rPr>
        <w:t xml:space="preserve"> stage is assigned a specific officer with specific log-in credentials. No one officer can initiate a transaction and process it to completion without the approval of the other </w:t>
      </w:r>
      <w:r w:rsidR="004340C8">
        <w:rPr>
          <w:sz w:val="22"/>
        </w:rPr>
        <w:t>officers</w:t>
      </w:r>
      <w:r w:rsidR="000B54FC" w:rsidRPr="00B5380E">
        <w:rPr>
          <w:sz w:val="22"/>
        </w:rPr>
        <w:t>. The</w:t>
      </w:r>
      <w:r w:rsidR="00612DBE" w:rsidRPr="00B5380E">
        <w:rPr>
          <w:sz w:val="22"/>
        </w:rPr>
        <w:t xml:space="preserve"> </w:t>
      </w:r>
      <w:r w:rsidR="000335AC" w:rsidRPr="00B5380E">
        <w:rPr>
          <w:sz w:val="22"/>
        </w:rPr>
        <w:t xml:space="preserve">budget execution process in </w:t>
      </w:r>
      <w:r w:rsidR="004340C8">
        <w:rPr>
          <w:sz w:val="22"/>
        </w:rPr>
        <w:t xml:space="preserve">the </w:t>
      </w:r>
      <w:r w:rsidR="000335AC" w:rsidRPr="00B5380E">
        <w:rPr>
          <w:sz w:val="22"/>
        </w:rPr>
        <w:t xml:space="preserve">IFMIS </w:t>
      </w:r>
      <w:r w:rsidR="00E07501" w:rsidRPr="00B5380E">
        <w:rPr>
          <w:sz w:val="22"/>
        </w:rPr>
        <w:t xml:space="preserve">is </w:t>
      </w:r>
      <w:r w:rsidR="000335AC" w:rsidRPr="00B5380E">
        <w:rPr>
          <w:sz w:val="22"/>
        </w:rPr>
        <w:t>summarized in</w:t>
      </w:r>
      <w:r w:rsidR="002969B1" w:rsidRPr="00B5380E">
        <w:rPr>
          <w:sz w:val="22"/>
        </w:rPr>
        <w:t xml:space="preserve"> T</w:t>
      </w:r>
      <w:r w:rsidR="000335AC" w:rsidRPr="00B5380E">
        <w:rPr>
          <w:sz w:val="22"/>
        </w:rPr>
        <w:t>able</w:t>
      </w:r>
      <w:r w:rsidR="002969B1" w:rsidRPr="00B5380E">
        <w:rPr>
          <w:sz w:val="22"/>
        </w:rPr>
        <w:t xml:space="preserve"> 3.</w:t>
      </w:r>
      <w:r w:rsidR="004340C8">
        <w:rPr>
          <w:sz w:val="22"/>
        </w:rPr>
        <w:t>1</w:t>
      </w:r>
      <w:r w:rsidR="002969B1" w:rsidRPr="00B5380E">
        <w:rPr>
          <w:sz w:val="22"/>
        </w:rPr>
        <w:t>9</w:t>
      </w:r>
      <w:r w:rsidR="000335AC" w:rsidRPr="00B5380E">
        <w:rPr>
          <w:sz w:val="22"/>
        </w:rPr>
        <w:t>.</w:t>
      </w:r>
    </w:p>
    <w:p w14:paraId="22209CB4" w14:textId="4CC3C80A" w:rsidR="00FE07C0" w:rsidRPr="00890A84" w:rsidRDefault="004B6441" w:rsidP="00590C8E">
      <w:pPr>
        <w:pStyle w:val="TableStyle"/>
      </w:pPr>
      <w:bookmarkStart w:id="105" w:name="_Toc530420893"/>
      <w:bookmarkStart w:id="106" w:name="_Toc532426106"/>
      <w:r>
        <w:t>Table</w:t>
      </w:r>
      <w:r w:rsidR="004340C8">
        <w:t xml:space="preserv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19</w:t>
      </w:r>
      <w:r w:rsidR="008B59A7">
        <w:rPr>
          <w:noProof/>
        </w:rPr>
        <w:fldChar w:fldCharType="end"/>
      </w:r>
      <w:r w:rsidR="00FE07C0" w:rsidRPr="00890A84">
        <w:t xml:space="preserve">: </w:t>
      </w:r>
      <w:r w:rsidR="005469CE" w:rsidRPr="00A357D0">
        <w:t>Different stages of control of budget execution</w:t>
      </w:r>
      <w:bookmarkEnd w:id="105"/>
      <w:bookmarkEnd w:id="106"/>
    </w:p>
    <w:tbl>
      <w:tblPr>
        <w:tblW w:w="924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880"/>
        <w:gridCol w:w="4110"/>
        <w:gridCol w:w="4253"/>
      </w:tblGrid>
      <w:tr w:rsidR="0091086E" w:rsidRPr="00B5380E" w14:paraId="4BB0C049" w14:textId="77777777" w:rsidTr="00B5380E">
        <w:trPr>
          <w:tblHeader/>
        </w:trPr>
        <w:tc>
          <w:tcPr>
            <w:tcW w:w="880" w:type="dxa"/>
            <w:shd w:val="clear" w:color="auto" w:fill="5B9BD5"/>
          </w:tcPr>
          <w:p w14:paraId="582867C7" w14:textId="77777777" w:rsidR="000F7333" w:rsidRPr="00B5380E" w:rsidRDefault="009C0DF4" w:rsidP="00B5380E">
            <w:pPr>
              <w:jc w:val="center"/>
              <w:rPr>
                <w:b/>
                <w:color w:val="FFFFFF" w:themeColor="background1"/>
                <w:sz w:val="20"/>
                <w:szCs w:val="20"/>
              </w:rPr>
            </w:pPr>
            <w:r w:rsidRPr="00B5380E">
              <w:rPr>
                <w:b/>
                <w:color w:val="FFFFFF" w:themeColor="background1"/>
                <w:sz w:val="20"/>
                <w:szCs w:val="20"/>
              </w:rPr>
              <w:t>Stage</w:t>
            </w:r>
          </w:p>
        </w:tc>
        <w:tc>
          <w:tcPr>
            <w:tcW w:w="4110" w:type="dxa"/>
            <w:shd w:val="clear" w:color="auto" w:fill="5B9BD5"/>
          </w:tcPr>
          <w:p w14:paraId="21221496" w14:textId="77777777" w:rsidR="000F7333" w:rsidRPr="00B5380E" w:rsidRDefault="009C0DF4" w:rsidP="00B5380E">
            <w:pPr>
              <w:jc w:val="center"/>
              <w:rPr>
                <w:b/>
                <w:color w:val="FFFFFF" w:themeColor="background1"/>
                <w:sz w:val="20"/>
                <w:szCs w:val="20"/>
              </w:rPr>
            </w:pPr>
            <w:r w:rsidRPr="00B5380E">
              <w:rPr>
                <w:b/>
                <w:color w:val="FFFFFF" w:themeColor="background1"/>
                <w:sz w:val="20"/>
                <w:szCs w:val="20"/>
              </w:rPr>
              <w:t>User</w:t>
            </w:r>
          </w:p>
        </w:tc>
        <w:tc>
          <w:tcPr>
            <w:tcW w:w="4253" w:type="dxa"/>
            <w:shd w:val="clear" w:color="auto" w:fill="5B9BD5"/>
          </w:tcPr>
          <w:p w14:paraId="337C896C" w14:textId="27C57321" w:rsidR="000F7333" w:rsidRPr="00B5380E" w:rsidRDefault="009C0DF4" w:rsidP="00B5380E">
            <w:pPr>
              <w:jc w:val="center"/>
              <w:rPr>
                <w:b/>
                <w:color w:val="FFFFFF" w:themeColor="background1"/>
                <w:sz w:val="20"/>
                <w:szCs w:val="20"/>
              </w:rPr>
            </w:pPr>
            <w:r w:rsidRPr="00B5380E">
              <w:rPr>
                <w:b/>
                <w:color w:val="FFFFFF" w:themeColor="background1"/>
                <w:sz w:val="20"/>
                <w:szCs w:val="20"/>
              </w:rPr>
              <w:t>Role</w:t>
            </w:r>
          </w:p>
        </w:tc>
      </w:tr>
      <w:tr w:rsidR="000F7333" w:rsidRPr="00B5380E" w14:paraId="5EDB6550" w14:textId="77777777" w:rsidTr="00B5380E">
        <w:tc>
          <w:tcPr>
            <w:tcW w:w="880" w:type="dxa"/>
            <w:shd w:val="clear" w:color="auto" w:fill="auto"/>
          </w:tcPr>
          <w:p w14:paraId="56CD985E" w14:textId="77777777" w:rsidR="000F7333" w:rsidRPr="00B5380E" w:rsidRDefault="000F7333" w:rsidP="00B5380E">
            <w:pPr>
              <w:jc w:val="center"/>
              <w:rPr>
                <w:sz w:val="20"/>
                <w:szCs w:val="20"/>
              </w:rPr>
            </w:pPr>
            <w:r w:rsidRPr="00B5380E">
              <w:rPr>
                <w:sz w:val="20"/>
                <w:szCs w:val="20"/>
              </w:rPr>
              <w:t>1</w:t>
            </w:r>
          </w:p>
        </w:tc>
        <w:tc>
          <w:tcPr>
            <w:tcW w:w="4110" w:type="dxa"/>
            <w:shd w:val="clear" w:color="auto" w:fill="auto"/>
          </w:tcPr>
          <w:p w14:paraId="285B44E9" w14:textId="77777777" w:rsidR="000F7333" w:rsidRPr="00B5380E" w:rsidRDefault="009C0DF4" w:rsidP="004340C8">
            <w:pPr>
              <w:jc w:val="left"/>
              <w:rPr>
                <w:sz w:val="20"/>
                <w:szCs w:val="20"/>
              </w:rPr>
            </w:pPr>
            <w:r w:rsidRPr="00B5380E">
              <w:rPr>
                <w:sz w:val="20"/>
                <w:szCs w:val="20"/>
              </w:rPr>
              <w:t>Invoicer</w:t>
            </w:r>
          </w:p>
        </w:tc>
        <w:tc>
          <w:tcPr>
            <w:tcW w:w="4253" w:type="dxa"/>
            <w:shd w:val="clear" w:color="auto" w:fill="auto"/>
          </w:tcPr>
          <w:p w14:paraId="506F74A9" w14:textId="77777777" w:rsidR="000F7333" w:rsidRPr="00B5380E" w:rsidRDefault="000F7333" w:rsidP="004340C8">
            <w:pPr>
              <w:jc w:val="left"/>
              <w:rPr>
                <w:sz w:val="20"/>
                <w:szCs w:val="20"/>
              </w:rPr>
            </w:pPr>
            <w:r w:rsidRPr="00B5380E">
              <w:rPr>
                <w:sz w:val="20"/>
                <w:szCs w:val="20"/>
              </w:rPr>
              <w:t>Initiates the payment</w:t>
            </w:r>
          </w:p>
        </w:tc>
      </w:tr>
      <w:tr w:rsidR="000F7333" w:rsidRPr="00B5380E" w14:paraId="24F23B93" w14:textId="77777777" w:rsidTr="00B5380E">
        <w:tc>
          <w:tcPr>
            <w:tcW w:w="880" w:type="dxa"/>
            <w:shd w:val="clear" w:color="auto" w:fill="auto"/>
          </w:tcPr>
          <w:p w14:paraId="21CA99D0" w14:textId="77777777" w:rsidR="000F7333" w:rsidRPr="00B5380E" w:rsidRDefault="000F7333" w:rsidP="00B5380E">
            <w:pPr>
              <w:jc w:val="center"/>
              <w:rPr>
                <w:sz w:val="20"/>
                <w:szCs w:val="20"/>
              </w:rPr>
            </w:pPr>
            <w:r w:rsidRPr="00B5380E">
              <w:rPr>
                <w:sz w:val="20"/>
                <w:szCs w:val="20"/>
              </w:rPr>
              <w:t>2</w:t>
            </w:r>
          </w:p>
        </w:tc>
        <w:tc>
          <w:tcPr>
            <w:tcW w:w="4110" w:type="dxa"/>
            <w:shd w:val="clear" w:color="auto" w:fill="auto"/>
          </w:tcPr>
          <w:p w14:paraId="747B7BAE" w14:textId="77777777" w:rsidR="000F7333" w:rsidRPr="00B5380E" w:rsidRDefault="009C0DF4" w:rsidP="004340C8">
            <w:pPr>
              <w:jc w:val="left"/>
              <w:rPr>
                <w:sz w:val="20"/>
                <w:szCs w:val="20"/>
              </w:rPr>
            </w:pPr>
            <w:r w:rsidRPr="00B5380E">
              <w:rPr>
                <w:sz w:val="20"/>
                <w:szCs w:val="20"/>
              </w:rPr>
              <w:t>Validator</w:t>
            </w:r>
          </w:p>
        </w:tc>
        <w:tc>
          <w:tcPr>
            <w:tcW w:w="4253" w:type="dxa"/>
            <w:shd w:val="clear" w:color="auto" w:fill="auto"/>
          </w:tcPr>
          <w:p w14:paraId="4044A81D" w14:textId="77777777" w:rsidR="000F7333" w:rsidRPr="00B5380E" w:rsidRDefault="000F7333" w:rsidP="004340C8">
            <w:pPr>
              <w:jc w:val="left"/>
              <w:rPr>
                <w:sz w:val="20"/>
                <w:szCs w:val="20"/>
              </w:rPr>
            </w:pPr>
            <w:r w:rsidRPr="00B5380E">
              <w:rPr>
                <w:sz w:val="20"/>
                <w:szCs w:val="20"/>
              </w:rPr>
              <w:t>Confirms the accuracy of the expenditure</w:t>
            </w:r>
          </w:p>
        </w:tc>
      </w:tr>
      <w:tr w:rsidR="000F7333" w:rsidRPr="00B5380E" w14:paraId="25A2ECED" w14:textId="77777777" w:rsidTr="00B5380E">
        <w:trPr>
          <w:trHeight w:val="134"/>
        </w:trPr>
        <w:tc>
          <w:tcPr>
            <w:tcW w:w="880" w:type="dxa"/>
            <w:shd w:val="clear" w:color="auto" w:fill="auto"/>
          </w:tcPr>
          <w:p w14:paraId="7BE44479" w14:textId="77777777" w:rsidR="000F7333" w:rsidRPr="00B5380E" w:rsidRDefault="000F7333" w:rsidP="00B5380E">
            <w:pPr>
              <w:jc w:val="center"/>
              <w:rPr>
                <w:sz w:val="20"/>
                <w:szCs w:val="20"/>
              </w:rPr>
            </w:pPr>
            <w:r w:rsidRPr="00B5380E">
              <w:rPr>
                <w:sz w:val="20"/>
                <w:szCs w:val="20"/>
              </w:rPr>
              <w:t>3</w:t>
            </w:r>
          </w:p>
        </w:tc>
        <w:tc>
          <w:tcPr>
            <w:tcW w:w="4110" w:type="dxa"/>
            <w:shd w:val="clear" w:color="auto" w:fill="auto"/>
          </w:tcPr>
          <w:p w14:paraId="7F23E07F" w14:textId="5CDE6E56" w:rsidR="000F7333" w:rsidRPr="00B5380E" w:rsidRDefault="00904407" w:rsidP="004340C8">
            <w:pPr>
              <w:jc w:val="left"/>
              <w:rPr>
                <w:sz w:val="20"/>
                <w:szCs w:val="20"/>
              </w:rPr>
            </w:pPr>
            <w:r w:rsidRPr="00B5380E">
              <w:rPr>
                <w:sz w:val="20"/>
                <w:szCs w:val="20"/>
              </w:rPr>
              <w:t xml:space="preserve">Authority to incur </w:t>
            </w:r>
            <w:r w:rsidR="004340C8">
              <w:rPr>
                <w:sz w:val="20"/>
                <w:szCs w:val="20"/>
              </w:rPr>
              <w:t>e</w:t>
            </w:r>
            <w:r w:rsidRPr="00B5380E">
              <w:rPr>
                <w:sz w:val="20"/>
                <w:szCs w:val="20"/>
              </w:rPr>
              <w:t>xpenditure (</w:t>
            </w:r>
            <w:r w:rsidR="000B54FC" w:rsidRPr="00B5380E">
              <w:rPr>
                <w:sz w:val="20"/>
                <w:szCs w:val="20"/>
              </w:rPr>
              <w:t>AIE</w:t>
            </w:r>
            <w:r w:rsidRPr="00B5380E">
              <w:rPr>
                <w:sz w:val="20"/>
                <w:szCs w:val="20"/>
              </w:rPr>
              <w:t xml:space="preserve">) </w:t>
            </w:r>
            <w:r w:rsidR="009C0DF4" w:rsidRPr="00B5380E">
              <w:rPr>
                <w:sz w:val="20"/>
                <w:szCs w:val="20"/>
              </w:rPr>
              <w:t xml:space="preserve">holder approval </w:t>
            </w:r>
          </w:p>
        </w:tc>
        <w:tc>
          <w:tcPr>
            <w:tcW w:w="4253" w:type="dxa"/>
            <w:shd w:val="clear" w:color="auto" w:fill="auto"/>
          </w:tcPr>
          <w:p w14:paraId="1E6862CC" w14:textId="77777777" w:rsidR="000F7333" w:rsidRPr="00B5380E" w:rsidRDefault="000F7333" w:rsidP="004340C8">
            <w:pPr>
              <w:jc w:val="left"/>
              <w:rPr>
                <w:sz w:val="20"/>
                <w:szCs w:val="20"/>
              </w:rPr>
            </w:pPr>
            <w:r w:rsidRPr="00B5380E">
              <w:rPr>
                <w:sz w:val="20"/>
                <w:szCs w:val="20"/>
              </w:rPr>
              <w:t>Approves the expenditure</w:t>
            </w:r>
          </w:p>
        </w:tc>
      </w:tr>
      <w:tr w:rsidR="000F7333" w:rsidRPr="00B5380E" w14:paraId="4BDAD1B6" w14:textId="77777777" w:rsidTr="00B5380E">
        <w:tc>
          <w:tcPr>
            <w:tcW w:w="880" w:type="dxa"/>
            <w:shd w:val="clear" w:color="auto" w:fill="auto"/>
          </w:tcPr>
          <w:p w14:paraId="7667F824" w14:textId="77777777" w:rsidR="000F7333" w:rsidRPr="00B5380E" w:rsidRDefault="000F7333" w:rsidP="00B5380E">
            <w:pPr>
              <w:jc w:val="center"/>
              <w:rPr>
                <w:sz w:val="20"/>
                <w:szCs w:val="20"/>
              </w:rPr>
            </w:pPr>
            <w:r w:rsidRPr="00B5380E">
              <w:rPr>
                <w:sz w:val="20"/>
                <w:szCs w:val="20"/>
              </w:rPr>
              <w:t>4</w:t>
            </w:r>
          </w:p>
        </w:tc>
        <w:tc>
          <w:tcPr>
            <w:tcW w:w="4110" w:type="dxa"/>
            <w:shd w:val="clear" w:color="auto" w:fill="auto"/>
          </w:tcPr>
          <w:p w14:paraId="0DA77830" w14:textId="77777777" w:rsidR="000F7333" w:rsidRPr="00B5380E" w:rsidRDefault="009C0DF4" w:rsidP="004340C8">
            <w:pPr>
              <w:jc w:val="left"/>
              <w:rPr>
                <w:sz w:val="20"/>
                <w:szCs w:val="20"/>
              </w:rPr>
            </w:pPr>
            <w:r w:rsidRPr="00B5380E">
              <w:rPr>
                <w:sz w:val="20"/>
                <w:szCs w:val="20"/>
              </w:rPr>
              <w:t>App</w:t>
            </w:r>
            <w:r w:rsidR="00904407" w:rsidRPr="00B5380E">
              <w:rPr>
                <w:sz w:val="20"/>
                <w:szCs w:val="20"/>
              </w:rPr>
              <w:t>r</w:t>
            </w:r>
            <w:r w:rsidRPr="00B5380E">
              <w:rPr>
                <w:sz w:val="20"/>
                <w:szCs w:val="20"/>
              </w:rPr>
              <w:t>over 1</w:t>
            </w:r>
          </w:p>
        </w:tc>
        <w:tc>
          <w:tcPr>
            <w:tcW w:w="4253" w:type="dxa"/>
            <w:shd w:val="clear" w:color="auto" w:fill="auto"/>
          </w:tcPr>
          <w:p w14:paraId="6CBA8DB2" w14:textId="77777777" w:rsidR="000F7333" w:rsidRPr="00B5380E" w:rsidRDefault="000F7333" w:rsidP="004340C8">
            <w:pPr>
              <w:jc w:val="left"/>
              <w:rPr>
                <w:sz w:val="20"/>
                <w:szCs w:val="20"/>
              </w:rPr>
            </w:pPr>
            <w:r w:rsidRPr="00B5380E">
              <w:rPr>
                <w:sz w:val="20"/>
                <w:szCs w:val="20"/>
              </w:rPr>
              <w:t xml:space="preserve">Checks correctness of </w:t>
            </w:r>
            <w:r w:rsidR="000B54FC" w:rsidRPr="00B5380E">
              <w:rPr>
                <w:sz w:val="20"/>
                <w:szCs w:val="20"/>
              </w:rPr>
              <w:t>the expenditure</w:t>
            </w:r>
          </w:p>
        </w:tc>
      </w:tr>
      <w:tr w:rsidR="000F7333" w:rsidRPr="00B5380E" w14:paraId="2ADC9D2A" w14:textId="77777777" w:rsidTr="00B5380E">
        <w:tc>
          <w:tcPr>
            <w:tcW w:w="880" w:type="dxa"/>
            <w:shd w:val="clear" w:color="auto" w:fill="auto"/>
          </w:tcPr>
          <w:p w14:paraId="24AC0A43" w14:textId="77777777" w:rsidR="000F7333" w:rsidRPr="00B5380E" w:rsidRDefault="000F7333" w:rsidP="00B5380E">
            <w:pPr>
              <w:jc w:val="center"/>
              <w:rPr>
                <w:sz w:val="20"/>
                <w:szCs w:val="20"/>
              </w:rPr>
            </w:pPr>
            <w:r w:rsidRPr="00B5380E">
              <w:rPr>
                <w:sz w:val="20"/>
                <w:szCs w:val="20"/>
              </w:rPr>
              <w:t>5</w:t>
            </w:r>
          </w:p>
        </w:tc>
        <w:tc>
          <w:tcPr>
            <w:tcW w:w="4110" w:type="dxa"/>
            <w:shd w:val="clear" w:color="auto" w:fill="auto"/>
          </w:tcPr>
          <w:p w14:paraId="77126954" w14:textId="77777777" w:rsidR="000F7333" w:rsidRPr="00B5380E" w:rsidRDefault="009C0DF4" w:rsidP="004340C8">
            <w:pPr>
              <w:jc w:val="left"/>
              <w:rPr>
                <w:sz w:val="20"/>
                <w:szCs w:val="20"/>
              </w:rPr>
            </w:pPr>
            <w:r w:rsidRPr="00B5380E">
              <w:rPr>
                <w:sz w:val="20"/>
                <w:szCs w:val="20"/>
              </w:rPr>
              <w:t>App</w:t>
            </w:r>
            <w:r w:rsidR="00904407" w:rsidRPr="00B5380E">
              <w:rPr>
                <w:sz w:val="20"/>
                <w:szCs w:val="20"/>
              </w:rPr>
              <w:t>r</w:t>
            </w:r>
            <w:r w:rsidRPr="00B5380E">
              <w:rPr>
                <w:sz w:val="20"/>
                <w:szCs w:val="20"/>
              </w:rPr>
              <w:t>over 2</w:t>
            </w:r>
          </w:p>
        </w:tc>
        <w:tc>
          <w:tcPr>
            <w:tcW w:w="4253" w:type="dxa"/>
            <w:shd w:val="clear" w:color="auto" w:fill="auto"/>
          </w:tcPr>
          <w:p w14:paraId="185FB62D" w14:textId="77777777" w:rsidR="000F7333" w:rsidRPr="00B5380E" w:rsidRDefault="000F7333" w:rsidP="004340C8">
            <w:pPr>
              <w:jc w:val="left"/>
              <w:rPr>
                <w:sz w:val="20"/>
                <w:szCs w:val="20"/>
              </w:rPr>
            </w:pPr>
            <w:r w:rsidRPr="00B5380E">
              <w:rPr>
                <w:sz w:val="20"/>
                <w:szCs w:val="20"/>
              </w:rPr>
              <w:t>Makes the final approval</w:t>
            </w:r>
          </w:p>
        </w:tc>
      </w:tr>
    </w:tbl>
    <w:p w14:paraId="6C860C4D" w14:textId="3824B61A" w:rsidR="00E07501" w:rsidRPr="00B5380E" w:rsidRDefault="009C0DF4" w:rsidP="00D52523">
      <w:pPr>
        <w:pStyle w:val="Italic"/>
        <w:rPr>
          <w:i w:val="0"/>
          <w:sz w:val="20"/>
        </w:rPr>
      </w:pPr>
      <w:r w:rsidRPr="00B5380E">
        <w:rPr>
          <w:sz w:val="20"/>
        </w:rPr>
        <w:t xml:space="preserve">Source: </w:t>
      </w:r>
      <w:r w:rsidR="00331248" w:rsidRPr="00B5380E">
        <w:rPr>
          <w:i w:val="0"/>
          <w:sz w:val="20"/>
        </w:rPr>
        <w:t xml:space="preserve">County </w:t>
      </w:r>
      <w:r w:rsidR="00904407" w:rsidRPr="00B5380E">
        <w:rPr>
          <w:i w:val="0"/>
          <w:sz w:val="20"/>
        </w:rPr>
        <w:t>E</w:t>
      </w:r>
      <w:r w:rsidR="00331248" w:rsidRPr="00B5380E">
        <w:rPr>
          <w:i w:val="0"/>
          <w:sz w:val="20"/>
        </w:rPr>
        <w:t>xecutive</w:t>
      </w:r>
      <w:r w:rsidR="00B5380E">
        <w:rPr>
          <w:i w:val="0"/>
          <w:sz w:val="20"/>
        </w:rPr>
        <w:t>.</w:t>
      </w:r>
    </w:p>
    <w:p w14:paraId="6D92E114" w14:textId="77777777" w:rsidR="00904407" w:rsidRPr="00890A84" w:rsidRDefault="00904407" w:rsidP="006D24AF"/>
    <w:p w14:paraId="36D1A6E4" w14:textId="37CB26FF" w:rsidR="00BD3BC9" w:rsidRPr="00B5380E" w:rsidRDefault="00BD3BC9" w:rsidP="00B5380E">
      <w:pPr>
        <w:spacing w:after="240"/>
        <w:rPr>
          <w:sz w:val="22"/>
        </w:rPr>
      </w:pPr>
      <w:r w:rsidRPr="00B5380E">
        <w:rPr>
          <w:sz w:val="22"/>
        </w:rPr>
        <w:t xml:space="preserve">Procurement process is clearly defined. However, </w:t>
      </w:r>
      <w:r w:rsidR="00F40901">
        <w:rPr>
          <w:sz w:val="22"/>
        </w:rPr>
        <w:t>for</w:t>
      </w:r>
      <w:r w:rsidR="00F40901" w:rsidRPr="00B5380E">
        <w:rPr>
          <w:sz w:val="22"/>
        </w:rPr>
        <w:t xml:space="preserve"> </w:t>
      </w:r>
      <w:r w:rsidRPr="00B5380E">
        <w:rPr>
          <w:sz w:val="22"/>
        </w:rPr>
        <w:t xml:space="preserve">emergency cases, the procurement process is not well defined. The staff </w:t>
      </w:r>
      <w:r w:rsidR="00F40901">
        <w:rPr>
          <w:sz w:val="22"/>
        </w:rPr>
        <w:t>member who</w:t>
      </w:r>
      <w:r w:rsidR="00F40901" w:rsidRPr="00B5380E">
        <w:rPr>
          <w:sz w:val="22"/>
        </w:rPr>
        <w:t xml:space="preserve"> </w:t>
      </w:r>
      <w:r w:rsidRPr="00B5380E">
        <w:rPr>
          <w:sz w:val="22"/>
        </w:rPr>
        <w:t xml:space="preserve">prepares tender documents is not involved in tender evaluation. A committee is constituted for tender opening and another one for tender evaluation. This is to enhance fairness in the process. The procurement staff </w:t>
      </w:r>
      <w:r w:rsidR="00F40901">
        <w:rPr>
          <w:sz w:val="22"/>
        </w:rPr>
        <w:t>are</w:t>
      </w:r>
      <w:r w:rsidR="00F40901" w:rsidRPr="00B5380E">
        <w:rPr>
          <w:sz w:val="22"/>
        </w:rPr>
        <w:t xml:space="preserve"> </w:t>
      </w:r>
      <w:r w:rsidRPr="00B5380E">
        <w:rPr>
          <w:sz w:val="22"/>
        </w:rPr>
        <w:t xml:space="preserve">not involved in processing of payments. There is a separate IFMIS section where various officers have been assigned different roles in the payment process up to the approval process. Payment is done by a cashier who has been assigned the role to make payments. </w:t>
      </w:r>
    </w:p>
    <w:p w14:paraId="53CE21F0" w14:textId="7EA1CABC" w:rsidR="0075704D" w:rsidRPr="00B5380E" w:rsidRDefault="00BD3BC9" w:rsidP="00B5380E">
      <w:pPr>
        <w:spacing w:after="240"/>
        <w:rPr>
          <w:sz w:val="22"/>
        </w:rPr>
      </w:pPr>
      <w:r w:rsidRPr="00B5380E">
        <w:rPr>
          <w:sz w:val="22"/>
        </w:rPr>
        <w:t xml:space="preserve">In summary, </w:t>
      </w:r>
      <w:r w:rsidR="0075704D" w:rsidRPr="00B5380E">
        <w:rPr>
          <w:sz w:val="22"/>
        </w:rPr>
        <w:t xml:space="preserve">segregation of duties is prescribed throughout the expenditure process. Responsibilities are clearly laid down for most key steps while further details may be needed in a few areas. </w:t>
      </w:r>
    </w:p>
    <w:p w14:paraId="1ABA25C1" w14:textId="07A3C527" w:rsidR="006F0846" w:rsidRPr="00B5380E" w:rsidRDefault="006F0846" w:rsidP="00B5380E">
      <w:pPr>
        <w:spacing w:after="240"/>
        <w:rPr>
          <w:b/>
          <w:sz w:val="22"/>
        </w:rPr>
      </w:pPr>
      <w:r w:rsidRPr="00B5380E">
        <w:rPr>
          <w:b/>
          <w:sz w:val="22"/>
        </w:rPr>
        <w:t>Dimension rating = B</w:t>
      </w:r>
    </w:p>
    <w:p w14:paraId="72D7D96F" w14:textId="77777777" w:rsidR="000F7333" w:rsidRPr="00890A84" w:rsidRDefault="00612DBE" w:rsidP="00BA6B2B">
      <w:pPr>
        <w:pStyle w:val="Heading5"/>
      </w:pPr>
      <w:r w:rsidRPr="00890A84">
        <w:t>PI-</w:t>
      </w:r>
      <w:r w:rsidR="000F7333" w:rsidRPr="00890A84">
        <w:t xml:space="preserve">25.2. Effectiveness of expenditure commitment controls </w:t>
      </w:r>
    </w:p>
    <w:p w14:paraId="0D68C008" w14:textId="0783AB95" w:rsidR="00057B7D" w:rsidRPr="00B5380E" w:rsidRDefault="000F7333" w:rsidP="00B5380E">
      <w:pPr>
        <w:spacing w:after="240"/>
        <w:rPr>
          <w:sz w:val="22"/>
        </w:rPr>
      </w:pPr>
      <w:r w:rsidRPr="00B5380E">
        <w:rPr>
          <w:sz w:val="22"/>
        </w:rPr>
        <w:t xml:space="preserve">Payments are made through </w:t>
      </w:r>
      <w:r w:rsidR="00F40901">
        <w:rPr>
          <w:sz w:val="22"/>
        </w:rPr>
        <w:t xml:space="preserve">the </w:t>
      </w:r>
      <w:r w:rsidRPr="00B5380E">
        <w:rPr>
          <w:sz w:val="22"/>
        </w:rPr>
        <w:t xml:space="preserve">IFMIS and the system has the approved budget which serves as </w:t>
      </w:r>
      <w:r w:rsidR="00F40901">
        <w:rPr>
          <w:sz w:val="22"/>
        </w:rPr>
        <w:t xml:space="preserve">a </w:t>
      </w:r>
      <w:r w:rsidRPr="00B5380E">
        <w:rPr>
          <w:sz w:val="22"/>
        </w:rPr>
        <w:t xml:space="preserve">vote control </w:t>
      </w:r>
      <w:r w:rsidR="00754B33" w:rsidRPr="00B5380E">
        <w:rPr>
          <w:sz w:val="22"/>
        </w:rPr>
        <w:t>mechanism.</w:t>
      </w:r>
      <w:r w:rsidR="00E56226" w:rsidRPr="00B5380E">
        <w:rPr>
          <w:sz w:val="22"/>
        </w:rPr>
        <w:t xml:space="preserve"> </w:t>
      </w:r>
      <w:r w:rsidR="005B7CBC" w:rsidRPr="00B5380E">
        <w:rPr>
          <w:sz w:val="22"/>
        </w:rPr>
        <w:t>T</w:t>
      </w:r>
      <w:r w:rsidR="006B30D8" w:rsidRPr="00B5380E">
        <w:rPr>
          <w:sz w:val="22"/>
        </w:rPr>
        <w:t>he C</w:t>
      </w:r>
      <w:r w:rsidR="00F40901">
        <w:rPr>
          <w:sz w:val="22"/>
        </w:rPr>
        <w:t>O</w:t>
      </w:r>
      <w:r w:rsidR="006B30D8" w:rsidRPr="00B5380E">
        <w:rPr>
          <w:sz w:val="22"/>
        </w:rPr>
        <w:t xml:space="preserve">B </w:t>
      </w:r>
      <w:r w:rsidR="00E075B4" w:rsidRPr="00B5380E">
        <w:rPr>
          <w:sz w:val="22"/>
        </w:rPr>
        <w:t xml:space="preserve">checks that quarterly </w:t>
      </w:r>
      <w:r w:rsidR="00057B7D" w:rsidRPr="00B5380E">
        <w:rPr>
          <w:sz w:val="22"/>
        </w:rPr>
        <w:t>release</w:t>
      </w:r>
      <w:r w:rsidR="00E075B4" w:rsidRPr="00B5380E">
        <w:rPr>
          <w:sz w:val="22"/>
        </w:rPr>
        <w:t xml:space="preserve"> </w:t>
      </w:r>
      <w:r w:rsidR="00057B7D" w:rsidRPr="00B5380E">
        <w:rPr>
          <w:sz w:val="22"/>
        </w:rPr>
        <w:t xml:space="preserve">does not exceed </w:t>
      </w:r>
      <w:r w:rsidR="00E075B4" w:rsidRPr="00B5380E">
        <w:rPr>
          <w:sz w:val="22"/>
        </w:rPr>
        <w:t>approved budget allocations.</w:t>
      </w:r>
    </w:p>
    <w:p w14:paraId="5DBD7A99" w14:textId="7393377B" w:rsidR="000F7333" w:rsidRPr="00B5380E" w:rsidRDefault="00754B33" w:rsidP="00B5380E">
      <w:pPr>
        <w:spacing w:after="240"/>
        <w:rPr>
          <w:sz w:val="22"/>
        </w:rPr>
      </w:pPr>
      <w:r w:rsidRPr="00B5380E">
        <w:rPr>
          <w:sz w:val="22"/>
        </w:rPr>
        <w:t>Any</w:t>
      </w:r>
      <w:r w:rsidR="000F7333" w:rsidRPr="00B5380E">
        <w:rPr>
          <w:sz w:val="22"/>
        </w:rPr>
        <w:t xml:space="preserve"> payment is supported by a payment voucher which is prepared </w:t>
      </w:r>
      <w:r w:rsidR="00F40901">
        <w:rPr>
          <w:sz w:val="22"/>
        </w:rPr>
        <w:t>by</w:t>
      </w:r>
      <w:r w:rsidR="00F40901" w:rsidRPr="00B5380E">
        <w:rPr>
          <w:sz w:val="22"/>
        </w:rPr>
        <w:t xml:space="preserve"> </w:t>
      </w:r>
      <w:r w:rsidR="000F7333" w:rsidRPr="00B5380E">
        <w:rPr>
          <w:sz w:val="22"/>
        </w:rPr>
        <w:t>the user department. The payment voucher has various sections for authorization and approval.</w:t>
      </w:r>
      <w:r w:rsidR="00A72E09" w:rsidRPr="00B5380E">
        <w:rPr>
          <w:sz w:val="22"/>
        </w:rPr>
        <w:t xml:space="preserve"> The </w:t>
      </w:r>
      <w:r w:rsidR="000F7333" w:rsidRPr="00B5380E">
        <w:rPr>
          <w:sz w:val="22"/>
        </w:rPr>
        <w:t>AIE holder signs and certifies that the expenditure was incurred for the authori</w:t>
      </w:r>
      <w:r w:rsidR="009D21FC">
        <w:rPr>
          <w:sz w:val="22"/>
        </w:rPr>
        <w:t>z</w:t>
      </w:r>
      <w:r w:rsidR="000F7333" w:rsidRPr="00B5380E">
        <w:rPr>
          <w:sz w:val="22"/>
        </w:rPr>
        <w:t xml:space="preserve">ed purpose, then the </w:t>
      </w:r>
      <w:r w:rsidRPr="00B5380E">
        <w:rPr>
          <w:sz w:val="22"/>
        </w:rPr>
        <w:t>departmental accountant</w:t>
      </w:r>
      <w:r w:rsidR="000F7333" w:rsidRPr="00B5380E">
        <w:rPr>
          <w:sz w:val="22"/>
        </w:rPr>
        <w:t xml:space="preserve"> signs to confirm the accuracy</w:t>
      </w:r>
      <w:r w:rsidR="00F40901">
        <w:rPr>
          <w:sz w:val="22"/>
        </w:rPr>
        <w:t>,</w:t>
      </w:r>
      <w:r w:rsidR="000F7333" w:rsidRPr="00B5380E">
        <w:rPr>
          <w:sz w:val="22"/>
        </w:rPr>
        <w:t xml:space="preserve"> and the Chief Officer in the </w:t>
      </w:r>
      <w:r w:rsidR="00F40901">
        <w:rPr>
          <w:sz w:val="22"/>
        </w:rPr>
        <w:t>D</w:t>
      </w:r>
      <w:r w:rsidR="000F7333" w:rsidRPr="00B5380E">
        <w:rPr>
          <w:sz w:val="22"/>
        </w:rPr>
        <w:t xml:space="preserve">epartment </w:t>
      </w:r>
      <w:r w:rsidR="00C54516" w:rsidRPr="00B5380E">
        <w:rPr>
          <w:sz w:val="22"/>
        </w:rPr>
        <w:t xml:space="preserve">of </w:t>
      </w:r>
      <w:r w:rsidR="00F40901">
        <w:rPr>
          <w:sz w:val="22"/>
        </w:rPr>
        <w:t>F</w:t>
      </w:r>
      <w:r w:rsidR="00C54516" w:rsidRPr="00B5380E">
        <w:rPr>
          <w:sz w:val="22"/>
        </w:rPr>
        <w:t>inance</w:t>
      </w:r>
      <w:r w:rsidR="000F7333" w:rsidRPr="00B5380E">
        <w:rPr>
          <w:sz w:val="22"/>
        </w:rPr>
        <w:t xml:space="preserve"> authorizes the </w:t>
      </w:r>
      <w:r w:rsidRPr="00B5380E">
        <w:rPr>
          <w:sz w:val="22"/>
        </w:rPr>
        <w:t>payment. The</w:t>
      </w:r>
      <w:r w:rsidR="000F7333" w:rsidRPr="00B5380E">
        <w:rPr>
          <w:sz w:val="22"/>
        </w:rPr>
        <w:t xml:space="preserve"> payment voucher has a vote book control section (Vote Book Certificate) which is used to ensure that payments are made within the approved vote.</w:t>
      </w:r>
      <w:r w:rsidR="00DC79D4" w:rsidRPr="00B5380E">
        <w:rPr>
          <w:sz w:val="22"/>
        </w:rPr>
        <w:t xml:space="preserve"> After authorization, the payment is initiated in </w:t>
      </w:r>
      <w:r w:rsidR="00F40901">
        <w:rPr>
          <w:sz w:val="22"/>
        </w:rPr>
        <w:t xml:space="preserve">the </w:t>
      </w:r>
      <w:r w:rsidR="00DC79D4" w:rsidRPr="00B5380E">
        <w:rPr>
          <w:sz w:val="22"/>
        </w:rPr>
        <w:t xml:space="preserve">IFMIS by the invoicer, and then a validator confirms the posting before the AIE holder approves the payment in </w:t>
      </w:r>
      <w:r w:rsidR="00F40901">
        <w:rPr>
          <w:sz w:val="22"/>
        </w:rPr>
        <w:t xml:space="preserve">the </w:t>
      </w:r>
      <w:r w:rsidR="00DC79D4" w:rsidRPr="00B5380E">
        <w:rPr>
          <w:sz w:val="22"/>
        </w:rPr>
        <w:t xml:space="preserve">IFMIS. Two more validators have to approve the transaction in </w:t>
      </w:r>
      <w:r w:rsidR="00F40901">
        <w:rPr>
          <w:sz w:val="22"/>
        </w:rPr>
        <w:t xml:space="preserve">the </w:t>
      </w:r>
      <w:r w:rsidR="00DC79D4" w:rsidRPr="00B5380E">
        <w:rPr>
          <w:sz w:val="22"/>
        </w:rPr>
        <w:t xml:space="preserve">IFMIS before the final stage of payment. The payment process in </w:t>
      </w:r>
      <w:r w:rsidR="00F40901">
        <w:rPr>
          <w:sz w:val="22"/>
        </w:rPr>
        <w:t xml:space="preserve">the </w:t>
      </w:r>
      <w:r w:rsidR="00DC79D4" w:rsidRPr="00B5380E">
        <w:rPr>
          <w:sz w:val="22"/>
        </w:rPr>
        <w:t>IFMIS is adhered to as everyone involved has a unique password with predefined</w:t>
      </w:r>
      <w:r w:rsidR="00F40901">
        <w:rPr>
          <w:sz w:val="22"/>
        </w:rPr>
        <w:t>,</w:t>
      </w:r>
      <w:r w:rsidR="00DC79D4" w:rsidRPr="00B5380E">
        <w:rPr>
          <w:sz w:val="22"/>
        </w:rPr>
        <w:t xml:space="preserve"> limited access rights. </w:t>
      </w:r>
    </w:p>
    <w:p w14:paraId="66AD7826" w14:textId="681DCEC6" w:rsidR="00BD3BC9" w:rsidRPr="00B5380E" w:rsidRDefault="0075704D" w:rsidP="00B5380E">
      <w:pPr>
        <w:spacing w:after="240"/>
        <w:rPr>
          <w:sz w:val="22"/>
        </w:rPr>
      </w:pPr>
      <w:r w:rsidRPr="00B5380E">
        <w:rPr>
          <w:sz w:val="22"/>
        </w:rPr>
        <w:t>T</w:t>
      </w:r>
      <w:r w:rsidR="00A72E09" w:rsidRPr="00B5380E">
        <w:rPr>
          <w:sz w:val="22"/>
        </w:rPr>
        <w:t>he OAG report on AFS 2014/15</w:t>
      </w:r>
      <w:r w:rsidR="00331248" w:rsidRPr="00B5380E">
        <w:rPr>
          <w:sz w:val="22"/>
        </w:rPr>
        <w:t xml:space="preserve"> points that, f</w:t>
      </w:r>
      <w:r w:rsidR="000F7333" w:rsidRPr="00B5380E">
        <w:rPr>
          <w:sz w:val="22"/>
        </w:rPr>
        <w:t xml:space="preserve">rom a sample of payment vouchers reviewed, the </w:t>
      </w:r>
      <w:r w:rsidR="00F40901">
        <w:rPr>
          <w:sz w:val="22"/>
        </w:rPr>
        <w:t>V</w:t>
      </w:r>
      <w:r w:rsidR="000F7333" w:rsidRPr="00B5380E">
        <w:rPr>
          <w:sz w:val="22"/>
        </w:rPr>
        <w:t xml:space="preserve">ote </w:t>
      </w:r>
      <w:r w:rsidR="00F40901">
        <w:rPr>
          <w:sz w:val="22"/>
        </w:rPr>
        <w:t>B</w:t>
      </w:r>
      <w:r w:rsidR="000F7333" w:rsidRPr="00B5380E">
        <w:rPr>
          <w:sz w:val="22"/>
        </w:rPr>
        <w:t xml:space="preserve">ook </w:t>
      </w:r>
      <w:r w:rsidR="00F40901">
        <w:rPr>
          <w:sz w:val="22"/>
        </w:rPr>
        <w:t>C</w:t>
      </w:r>
      <w:r w:rsidR="000F7333" w:rsidRPr="00B5380E">
        <w:rPr>
          <w:sz w:val="22"/>
        </w:rPr>
        <w:t xml:space="preserve">ertificate was not duly filled and therefore there was a risk of making payments without considering the amount </w:t>
      </w:r>
      <w:r w:rsidR="00754B33" w:rsidRPr="00B5380E">
        <w:rPr>
          <w:sz w:val="22"/>
        </w:rPr>
        <w:t>voted. Further</w:t>
      </w:r>
      <w:r w:rsidR="000F7333" w:rsidRPr="00B5380E">
        <w:rPr>
          <w:sz w:val="22"/>
        </w:rPr>
        <w:t xml:space="preserve">, the payment vouchers were required to be examined and signed. The examination was not done. The part where the </w:t>
      </w:r>
      <w:r w:rsidR="00F40901">
        <w:rPr>
          <w:sz w:val="22"/>
        </w:rPr>
        <w:t>C</w:t>
      </w:r>
      <w:r w:rsidR="000F7333" w:rsidRPr="00B5380E">
        <w:rPr>
          <w:sz w:val="22"/>
        </w:rPr>
        <w:t xml:space="preserve">hief </w:t>
      </w:r>
      <w:r w:rsidR="00F40901">
        <w:rPr>
          <w:sz w:val="22"/>
        </w:rPr>
        <w:t>O</w:t>
      </w:r>
      <w:r w:rsidR="000F7333" w:rsidRPr="00B5380E">
        <w:rPr>
          <w:sz w:val="22"/>
        </w:rPr>
        <w:t xml:space="preserve">fficer </w:t>
      </w:r>
      <w:r w:rsidR="00F40901">
        <w:rPr>
          <w:sz w:val="22"/>
        </w:rPr>
        <w:t>F</w:t>
      </w:r>
      <w:r w:rsidR="000F7333" w:rsidRPr="00B5380E">
        <w:rPr>
          <w:sz w:val="22"/>
        </w:rPr>
        <w:t xml:space="preserve">inance was required to sign was also left blank for most of the payment vouchers. </w:t>
      </w:r>
    </w:p>
    <w:p w14:paraId="3FEF32CD" w14:textId="42CD0A3D" w:rsidR="006F0846" w:rsidRPr="00B5380E" w:rsidRDefault="00F5429C" w:rsidP="00B5380E">
      <w:pPr>
        <w:spacing w:after="240"/>
        <w:rPr>
          <w:sz w:val="22"/>
        </w:rPr>
      </w:pPr>
      <w:r w:rsidRPr="00B5380E">
        <w:rPr>
          <w:sz w:val="22"/>
        </w:rPr>
        <w:t>In summary, e</w:t>
      </w:r>
      <w:r w:rsidR="0075704D" w:rsidRPr="00B5380E">
        <w:rPr>
          <w:sz w:val="22"/>
        </w:rPr>
        <w:t>xpenditure commitment control procedures exist</w:t>
      </w:r>
      <w:r w:rsidR="00F40901">
        <w:rPr>
          <w:sz w:val="22"/>
        </w:rPr>
        <w:t>,</w:t>
      </w:r>
      <w:r w:rsidR="0075704D" w:rsidRPr="00B5380E">
        <w:rPr>
          <w:sz w:val="22"/>
        </w:rPr>
        <w:t xml:space="preserve"> which provide partial coverage and are partially effective. </w:t>
      </w:r>
    </w:p>
    <w:p w14:paraId="66DED02D" w14:textId="5A926E5A" w:rsidR="006F0846" w:rsidRPr="00B5380E" w:rsidRDefault="006F0846" w:rsidP="00B5380E">
      <w:pPr>
        <w:spacing w:after="240"/>
        <w:rPr>
          <w:b/>
          <w:sz w:val="22"/>
        </w:rPr>
      </w:pPr>
      <w:r w:rsidRPr="00B5380E">
        <w:rPr>
          <w:b/>
          <w:sz w:val="22"/>
        </w:rPr>
        <w:t>Dimension rating = C</w:t>
      </w:r>
    </w:p>
    <w:p w14:paraId="6A605653" w14:textId="77777777" w:rsidR="000F7333" w:rsidRPr="00890A84" w:rsidRDefault="00612DBE" w:rsidP="00BA6B2B">
      <w:pPr>
        <w:pStyle w:val="Heading5"/>
      </w:pPr>
      <w:r w:rsidRPr="00890A84">
        <w:t>PI-</w:t>
      </w:r>
      <w:r w:rsidR="000F7333" w:rsidRPr="00890A84">
        <w:t xml:space="preserve">25.3. Compliance with payment rules and procedures </w:t>
      </w:r>
    </w:p>
    <w:p w14:paraId="0C3F1BF9" w14:textId="3EA0462A" w:rsidR="00AF5A81" w:rsidRPr="00B5380E" w:rsidRDefault="000F7333" w:rsidP="00B5380E">
      <w:pPr>
        <w:spacing w:after="240"/>
        <w:rPr>
          <w:sz w:val="22"/>
        </w:rPr>
      </w:pPr>
      <w:r w:rsidRPr="00B5380E">
        <w:rPr>
          <w:sz w:val="22"/>
        </w:rPr>
        <w:t xml:space="preserve">The county government </w:t>
      </w:r>
      <w:r w:rsidR="004B580F" w:rsidRPr="00B5380E">
        <w:rPr>
          <w:sz w:val="22"/>
        </w:rPr>
        <w:t xml:space="preserve">uses payment </w:t>
      </w:r>
      <w:r w:rsidRPr="00B5380E">
        <w:rPr>
          <w:sz w:val="22"/>
        </w:rPr>
        <w:t xml:space="preserve">authorization procedures </w:t>
      </w:r>
      <w:r w:rsidR="004B580F" w:rsidRPr="00B5380E">
        <w:rPr>
          <w:sz w:val="22"/>
        </w:rPr>
        <w:t xml:space="preserve">as defined in </w:t>
      </w:r>
      <w:r w:rsidR="00F40901">
        <w:rPr>
          <w:sz w:val="22"/>
        </w:rPr>
        <w:t xml:space="preserve">the </w:t>
      </w:r>
      <w:r w:rsidR="004B580F" w:rsidRPr="00B5380E">
        <w:rPr>
          <w:sz w:val="22"/>
        </w:rPr>
        <w:t>IFMIS</w:t>
      </w:r>
      <w:r w:rsidRPr="00B5380E">
        <w:rPr>
          <w:sz w:val="22"/>
        </w:rPr>
        <w:t xml:space="preserve">. However, </w:t>
      </w:r>
      <w:r w:rsidR="00FA0B8F" w:rsidRPr="00B5380E">
        <w:rPr>
          <w:sz w:val="22"/>
        </w:rPr>
        <w:t xml:space="preserve">the reports of the OAG pointed </w:t>
      </w:r>
      <w:r w:rsidR="00F40901">
        <w:rPr>
          <w:sz w:val="22"/>
        </w:rPr>
        <w:t xml:space="preserve">out </w:t>
      </w:r>
      <w:r w:rsidR="00FA0B8F" w:rsidRPr="00B5380E">
        <w:rPr>
          <w:sz w:val="22"/>
        </w:rPr>
        <w:t xml:space="preserve">a number of </w:t>
      </w:r>
      <w:r w:rsidR="00F40901">
        <w:rPr>
          <w:sz w:val="22"/>
        </w:rPr>
        <w:t xml:space="preserve">instances of </w:t>
      </w:r>
      <w:r w:rsidR="00FA0B8F" w:rsidRPr="00B5380E">
        <w:rPr>
          <w:sz w:val="22"/>
        </w:rPr>
        <w:t xml:space="preserve">lack of compliance with payment and procedures. </w:t>
      </w:r>
    </w:p>
    <w:p w14:paraId="544D9545" w14:textId="653C3E2F" w:rsidR="00841A24" w:rsidRPr="00B5380E" w:rsidRDefault="004C3569" w:rsidP="00B5380E">
      <w:pPr>
        <w:spacing w:after="240"/>
        <w:rPr>
          <w:sz w:val="22"/>
        </w:rPr>
      </w:pPr>
      <w:r w:rsidRPr="00B5380E">
        <w:rPr>
          <w:sz w:val="22"/>
        </w:rPr>
        <w:t>The counties</w:t>
      </w:r>
      <w:r w:rsidR="00F40901">
        <w:rPr>
          <w:sz w:val="22"/>
        </w:rPr>
        <w:t>’</w:t>
      </w:r>
      <w:r w:rsidRPr="00B5380E">
        <w:rPr>
          <w:sz w:val="22"/>
        </w:rPr>
        <w:t xml:space="preserve"> statements of their financial transactions differ from records on the IFMIS, according to a report by the </w:t>
      </w:r>
      <w:r w:rsidR="00F40901">
        <w:rPr>
          <w:sz w:val="22"/>
        </w:rPr>
        <w:t>A</w:t>
      </w:r>
      <w:r w:rsidRPr="00B5380E">
        <w:rPr>
          <w:sz w:val="22"/>
        </w:rPr>
        <w:t>uditor</w:t>
      </w:r>
      <w:r w:rsidR="008F1990">
        <w:rPr>
          <w:sz w:val="22"/>
        </w:rPr>
        <w:t xml:space="preserve"> </w:t>
      </w:r>
      <w:r w:rsidR="00F40901">
        <w:rPr>
          <w:sz w:val="22"/>
        </w:rPr>
        <w:t>G</w:t>
      </w:r>
      <w:r w:rsidRPr="00B5380E">
        <w:rPr>
          <w:sz w:val="22"/>
        </w:rPr>
        <w:t>eneral.</w:t>
      </w:r>
      <w:r w:rsidR="00EB15D6" w:rsidRPr="00B5380E">
        <w:rPr>
          <w:sz w:val="22"/>
        </w:rPr>
        <w:t xml:space="preserve"> </w:t>
      </w:r>
      <w:r w:rsidR="00F40901">
        <w:rPr>
          <w:sz w:val="22"/>
        </w:rPr>
        <w:t>I</w:t>
      </w:r>
      <w:r w:rsidRPr="00B5380E">
        <w:rPr>
          <w:sz w:val="22"/>
        </w:rPr>
        <w:t xml:space="preserve">n the 2016 county audit reports, </w:t>
      </w:r>
      <w:r w:rsidR="00F40901">
        <w:rPr>
          <w:sz w:val="22"/>
        </w:rPr>
        <w:t xml:space="preserve">the </w:t>
      </w:r>
      <w:r w:rsidR="00EB15D6" w:rsidRPr="00B5380E">
        <w:rPr>
          <w:sz w:val="22"/>
        </w:rPr>
        <w:t>OAG</w:t>
      </w:r>
      <w:r w:rsidRPr="00B5380E">
        <w:rPr>
          <w:sz w:val="22"/>
        </w:rPr>
        <w:t xml:space="preserve"> noted that the variations in majority of the 47 county governments could not confirm the accuracy and completeness of the expenditures incurred.</w:t>
      </w:r>
      <w:r w:rsidR="00841A24" w:rsidRPr="00B5380E">
        <w:rPr>
          <w:sz w:val="22"/>
        </w:rPr>
        <w:t xml:space="preserve"> “Although the automation was meant to make work easier and revenue collection more manageable, it was observed that the system was always down and the frequent breakdowns could not be justified</w:t>
      </w:r>
      <w:r w:rsidR="00F40901">
        <w:rPr>
          <w:sz w:val="22"/>
        </w:rPr>
        <w:t>.</w:t>
      </w:r>
      <w:r w:rsidR="00841A24" w:rsidRPr="00B5380E">
        <w:rPr>
          <w:sz w:val="22"/>
        </w:rPr>
        <w:t>”</w:t>
      </w:r>
    </w:p>
    <w:p w14:paraId="30F65667" w14:textId="586753F2" w:rsidR="004C3569" w:rsidRPr="00B5380E" w:rsidRDefault="004C3569" w:rsidP="00B5380E">
      <w:pPr>
        <w:spacing w:after="240"/>
        <w:rPr>
          <w:sz w:val="22"/>
        </w:rPr>
      </w:pPr>
      <w:r w:rsidRPr="00B5380E">
        <w:rPr>
          <w:sz w:val="22"/>
        </w:rPr>
        <w:t>The Public Procurement and Disposal Act requires county accounting officers to maintain a filing system with clear links between procurement and expenditure files to facilitate an audit trail.</w:t>
      </w:r>
      <w:r w:rsidR="00EB15D6" w:rsidRPr="00B5380E">
        <w:rPr>
          <w:sz w:val="22"/>
        </w:rPr>
        <w:t xml:space="preserve"> </w:t>
      </w:r>
      <w:r w:rsidRPr="00B5380E">
        <w:rPr>
          <w:sz w:val="22"/>
        </w:rPr>
        <w:t>The variance was recorded in receipts, payments, cash and bank, receivables</w:t>
      </w:r>
      <w:r w:rsidR="00F40901">
        <w:rPr>
          <w:sz w:val="22"/>
        </w:rPr>
        <w:t>,</w:t>
      </w:r>
      <w:r w:rsidRPr="00B5380E">
        <w:rPr>
          <w:sz w:val="22"/>
        </w:rPr>
        <w:t xml:space="preserve"> and payables.</w:t>
      </w:r>
    </w:p>
    <w:p w14:paraId="0CDCA60B" w14:textId="4D9425D6" w:rsidR="00FA0B8F" w:rsidRPr="00B5380E" w:rsidRDefault="00FA0B8F" w:rsidP="00B5380E">
      <w:pPr>
        <w:spacing w:after="240"/>
        <w:rPr>
          <w:sz w:val="22"/>
        </w:rPr>
      </w:pPr>
      <w:r w:rsidRPr="00B5380E">
        <w:rPr>
          <w:sz w:val="22"/>
        </w:rPr>
        <w:t xml:space="preserve">The report related to AFS 2014/15 observes that </w:t>
      </w:r>
      <w:r w:rsidR="00E73ED7">
        <w:rPr>
          <w:sz w:val="22"/>
        </w:rPr>
        <w:t>Ksh</w:t>
      </w:r>
      <w:r w:rsidR="00F40901">
        <w:rPr>
          <w:sz w:val="22"/>
        </w:rPr>
        <w:t xml:space="preserve"> </w:t>
      </w:r>
      <w:r w:rsidRPr="00B5380E">
        <w:rPr>
          <w:sz w:val="22"/>
        </w:rPr>
        <w:t>13.8 million w</w:t>
      </w:r>
      <w:r w:rsidR="00F40901">
        <w:rPr>
          <w:sz w:val="22"/>
        </w:rPr>
        <w:t>as</w:t>
      </w:r>
      <w:r w:rsidRPr="00B5380E">
        <w:rPr>
          <w:sz w:val="22"/>
        </w:rPr>
        <w:t xml:space="preserve"> paid to four firms contracted by the </w:t>
      </w:r>
      <w:r w:rsidR="00F40901">
        <w:rPr>
          <w:sz w:val="22"/>
        </w:rPr>
        <w:t>c</w:t>
      </w:r>
      <w:r w:rsidRPr="00B5380E">
        <w:rPr>
          <w:sz w:val="22"/>
        </w:rPr>
        <w:t xml:space="preserve">ounty to supply goods with either original or duplicate copies of LPOs instead of the triplicate copies as required by the Financial Orders and Regulations. Under these circumstances, the validity of </w:t>
      </w:r>
      <w:r w:rsidR="00754B33" w:rsidRPr="00B5380E">
        <w:rPr>
          <w:sz w:val="22"/>
        </w:rPr>
        <w:t>this</w:t>
      </w:r>
      <w:r w:rsidRPr="00B5380E">
        <w:rPr>
          <w:sz w:val="22"/>
        </w:rPr>
        <w:t xml:space="preserve"> expenditure on use of goods and services amounting </w:t>
      </w:r>
      <w:r w:rsidR="00F40901">
        <w:rPr>
          <w:sz w:val="22"/>
        </w:rPr>
        <w:t xml:space="preserve">to </w:t>
      </w:r>
      <w:r w:rsidRPr="00B5380E">
        <w:rPr>
          <w:sz w:val="22"/>
        </w:rPr>
        <w:t>about 1</w:t>
      </w:r>
      <w:r w:rsidR="00F40901">
        <w:rPr>
          <w:sz w:val="22"/>
        </w:rPr>
        <w:t xml:space="preserve"> percent</w:t>
      </w:r>
      <w:r w:rsidRPr="00B5380E">
        <w:rPr>
          <w:sz w:val="22"/>
        </w:rPr>
        <w:t xml:space="preserve"> of the whole expenditure could not be confirmed.</w:t>
      </w:r>
    </w:p>
    <w:p w14:paraId="682FB775" w14:textId="7F47D5CF" w:rsidR="00643A6B" w:rsidRPr="00B5380E" w:rsidRDefault="00FA0B8F" w:rsidP="00B5380E">
      <w:pPr>
        <w:spacing w:after="240"/>
        <w:rPr>
          <w:sz w:val="22"/>
        </w:rPr>
      </w:pPr>
      <w:r w:rsidRPr="00B5380E">
        <w:rPr>
          <w:sz w:val="22"/>
        </w:rPr>
        <w:t xml:space="preserve">Further, </w:t>
      </w:r>
      <w:r w:rsidR="000F7333" w:rsidRPr="00B5380E">
        <w:rPr>
          <w:sz w:val="22"/>
        </w:rPr>
        <w:t>a sample of payment vouchers obtained revealed that some payments were made without examination. The vote certificate section of the payment vouchers was a</w:t>
      </w:r>
      <w:r w:rsidR="004B580F" w:rsidRPr="00B5380E">
        <w:rPr>
          <w:sz w:val="22"/>
        </w:rPr>
        <w:t>lso left blank for all payments but this was mainly attributed to</w:t>
      </w:r>
      <w:r w:rsidR="0016520B" w:rsidRPr="00B5380E">
        <w:rPr>
          <w:sz w:val="22"/>
        </w:rPr>
        <w:t xml:space="preserve"> the fact that</w:t>
      </w:r>
      <w:r w:rsidR="000F7333" w:rsidRPr="00B5380E">
        <w:rPr>
          <w:sz w:val="22"/>
        </w:rPr>
        <w:t xml:space="preserve"> vote book control is done only in </w:t>
      </w:r>
      <w:r w:rsidR="00F40901">
        <w:rPr>
          <w:sz w:val="22"/>
        </w:rPr>
        <w:t xml:space="preserve">the </w:t>
      </w:r>
      <w:r w:rsidR="000F7333" w:rsidRPr="00B5380E">
        <w:rPr>
          <w:sz w:val="22"/>
        </w:rPr>
        <w:t>IFMIS</w:t>
      </w:r>
      <w:r w:rsidR="0016520B" w:rsidRPr="00B5380E">
        <w:rPr>
          <w:sz w:val="22"/>
        </w:rPr>
        <w:t>.</w:t>
      </w:r>
      <w:r w:rsidR="000F7333" w:rsidRPr="00B5380E">
        <w:rPr>
          <w:sz w:val="22"/>
        </w:rPr>
        <w:t xml:space="preserve"> According to Sec</w:t>
      </w:r>
      <w:r w:rsidR="0016520B" w:rsidRPr="00B5380E">
        <w:rPr>
          <w:sz w:val="22"/>
        </w:rPr>
        <w:t>tion</w:t>
      </w:r>
      <w:r w:rsidR="000F7333" w:rsidRPr="00B5380E">
        <w:rPr>
          <w:sz w:val="22"/>
        </w:rPr>
        <w:t xml:space="preserve"> 114</w:t>
      </w:r>
      <w:r w:rsidR="004F5FBA" w:rsidRPr="00B5380E">
        <w:rPr>
          <w:sz w:val="22"/>
        </w:rPr>
        <w:t xml:space="preserve"> o</w:t>
      </w:r>
      <w:r w:rsidR="000F7333" w:rsidRPr="00B5380E">
        <w:rPr>
          <w:sz w:val="22"/>
        </w:rPr>
        <w:t>f the P</w:t>
      </w:r>
      <w:r w:rsidR="0016520B" w:rsidRPr="00B5380E">
        <w:rPr>
          <w:sz w:val="22"/>
        </w:rPr>
        <w:t>FM</w:t>
      </w:r>
      <w:r w:rsidR="000F7333" w:rsidRPr="00B5380E">
        <w:rPr>
          <w:sz w:val="22"/>
        </w:rPr>
        <w:t xml:space="preserve"> Act</w:t>
      </w:r>
      <w:r w:rsidR="0016520B" w:rsidRPr="00B5380E">
        <w:rPr>
          <w:sz w:val="22"/>
        </w:rPr>
        <w:t xml:space="preserve">, 2015, the County Assembly approves expenditure from the </w:t>
      </w:r>
      <w:r w:rsidR="006316A8">
        <w:rPr>
          <w:sz w:val="22"/>
        </w:rPr>
        <w:t>e</w:t>
      </w:r>
      <w:r w:rsidR="0016520B" w:rsidRPr="00B5380E">
        <w:rPr>
          <w:sz w:val="22"/>
        </w:rPr>
        <w:t xml:space="preserve">mergency </w:t>
      </w:r>
      <w:r w:rsidR="006316A8">
        <w:rPr>
          <w:sz w:val="22"/>
        </w:rPr>
        <w:t>f</w:t>
      </w:r>
      <w:r w:rsidR="000F7333" w:rsidRPr="00B5380E">
        <w:rPr>
          <w:sz w:val="22"/>
        </w:rPr>
        <w:t xml:space="preserve">und. However, the </w:t>
      </w:r>
      <w:r w:rsidR="0016520B" w:rsidRPr="00B5380E">
        <w:rPr>
          <w:sz w:val="22"/>
        </w:rPr>
        <w:t>OAG audit report</w:t>
      </w:r>
      <w:r w:rsidR="000F7333" w:rsidRPr="00B5380E">
        <w:rPr>
          <w:sz w:val="22"/>
        </w:rPr>
        <w:t xml:space="preserve"> for the year ended June</w:t>
      </w:r>
      <w:r w:rsidR="006316A8">
        <w:rPr>
          <w:sz w:val="22"/>
        </w:rPr>
        <w:t xml:space="preserve"> 30</w:t>
      </w:r>
      <w:r w:rsidR="0016520B" w:rsidRPr="00B5380E">
        <w:rPr>
          <w:sz w:val="22"/>
        </w:rPr>
        <w:t>,</w:t>
      </w:r>
      <w:r w:rsidR="000F7333" w:rsidRPr="00B5380E">
        <w:rPr>
          <w:sz w:val="22"/>
        </w:rPr>
        <w:t xml:space="preserve"> 2016</w:t>
      </w:r>
      <w:r w:rsidR="006316A8">
        <w:rPr>
          <w:sz w:val="22"/>
        </w:rPr>
        <w:t>,</w:t>
      </w:r>
      <w:r w:rsidR="000F7333" w:rsidRPr="00B5380E">
        <w:rPr>
          <w:sz w:val="22"/>
        </w:rPr>
        <w:t xml:space="preserve"> revealed</w:t>
      </w:r>
      <w:r w:rsidR="005F0322" w:rsidRPr="00B5380E">
        <w:rPr>
          <w:sz w:val="22"/>
        </w:rPr>
        <w:t xml:space="preserve"> that the county spent </w:t>
      </w:r>
      <w:r w:rsidR="00E73ED7">
        <w:rPr>
          <w:sz w:val="22"/>
        </w:rPr>
        <w:t>Ksh</w:t>
      </w:r>
      <w:r w:rsidR="006316A8">
        <w:rPr>
          <w:sz w:val="22"/>
        </w:rPr>
        <w:t xml:space="preserve"> </w:t>
      </w:r>
      <w:r w:rsidR="005F0322" w:rsidRPr="00B5380E">
        <w:rPr>
          <w:sz w:val="22"/>
        </w:rPr>
        <w:t>72 million</w:t>
      </w:r>
      <w:r w:rsidR="0016520B" w:rsidRPr="00B5380E">
        <w:rPr>
          <w:sz w:val="22"/>
        </w:rPr>
        <w:t xml:space="preserve"> </w:t>
      </w:r>
      <w:r w:rsidR="004F5FBA" w:rsidRPr="00B5380E">
        <w:rPr>
          <w:sz w:val="22"/>
        </w:rPr>
        <w:t>of t</w:t>
      </w:r>
      <w:r w:rsidR="0016520B" w:rsidRPr="00B5380E">
        <w:rPr>
          <w:sz w:val="22"/>
        </w:rPr>
        <w:t xml:space="preserve">he </w:t>
      </w:r>
      <w:r w:rsidR="006316A8">
        <w:rPr>
          <w:sz w:val="22"/>
        </w:rPr>
        <w:t>e</w:t>
      </w:r>
      <w:r w:rsidR="0016520B" w:rsidRPr="00B5380E">
        <w:rPr>
          <w:sz w:val="22"/>
        </w:rPr>
        <w:t xml:space="preserve">mergency </w:t>
      </w:r>
      <w:r w:rsidR="006316A8">
        <w:rPr>
          <w:sz w:val="22"/>
        </w:rPr>
        <w:t>f</w:t>
      </w:r>
      <w:r w:rsidR="0016520B" w:rsidRPr="00B5380E">
        <w:rPr>
          <w:sz w:val="22"/>
        </w:rPr>
        <w:t xml:space="preserve">und </w:t>
      </w:r>
      <w:r w:rsidR="000F7333" w:rsidRPr="00B5380E">
        <w:rPr>
          <w:sz w:val="22"/>
        </w:rPr>
        <w:t xml:space="preserve">without </w:t>
      </w:r>
      <w:r w:rsidR="0016520B" w:rsidRPr="00B5380E">
        <w:rPr>
          <w:sz w:val="22"/>
        </w:rPr>
        <w:t>approval from the County A</w:t>
      </w:r>
      <w:r w:rsidR="000F7333" w:rsidRPr="00B5380E">
        <w:rPr>
          <w:sz w:val="22"/>
        </w:rPr>
        <w:t>ssembly.</w:t>
      </w:r>
      <w:r w:rsidR="000C73E4" w:rsidRPr="00B5380E">
        <w:rPr>
          <w:sz w:val="22"/>
        </w:rPr>
        <w:t xml:space="preserve"> </w:t>
      </w:r>
      <w:r w:rsidR="000F7333" w:rsidRPr="00B5380E">
        <w:rPr>
          <w:sz w:val="22"/>
        </w:rPr>
        <w:t>The</w:t>
      </w:r>
      <w:r w:rsidR="000C73E4" w:rsidRPr="00B5380E">
        <w:rPr>
          <w:sz w:val="22"/>
        </w:rPr>
        <w:t xml:space="preserve"> </w:t>
      </w:r>
      <w:r w:rsidR="0016520B" w:rsidRPr="00B5380E">
        <w:rPr>
          <w:sz w:val="22"/>
        </w:rPr>
        <w:t>OAG report a</w:t>
      </w:r>
      <w:r w:rsidR="005F0322" w:rsidRPr="00B5380E">
        <w:rPr>
          <w:sz w:val="22"/>
        </w:rPr>
        <w:t xml:space="preserve">lso </w:t>
      </w:r>
      <w:r w:rsidR="000F7333" w:rsidRPr="00B5380E">
        <w:rPr>
          <w:sz w:val="22"/>
        </w:rPr>
        <w:t>indicate</w:t>
      </w:r>
      <w:r w:rsidR="0016520B" w:rsidRPr="00B5380E">
        <w:rPr>
          <w:sz w:val="22"/>
        </w:rPr>
        <w:t>d</w:t>
      </w:r>
      <w:r w:rsidR="000F7333" w:rsidRPr="00B5380E">
        <w:rPr>
          <w:sz w:val="22"/>
        </w:rPr>
        <w:t xml:space="preserve"> that the county did not adhere to budgetary allocations in personnel </w:t>
      </w:r>
      <w:r w:rsidR="00754B33" w:rsidRPr="00B5380E">
        <w:rPr>
          <w:sz w:val="22"/>
        </w:rPr>
        <w:t>emoluments. Further</w:t>
      </w:r>
      <w:r w:rsidR="0016520B" w:rsidRPr="00B5380E">
        <w:rPr>
          <w:sz w:val="22"/>
        </w:rPr>
        <w:t>, the report revealed that the c</w:t>
      </w:r>
      <w:r w:rsidR="000F7333" w:rsidRPr="00B5380E">
        <w:rPr>
          <w:sz w:val="22"/>
        </w:rPr>
        <w:t xml:space="preserve">ounty did not adhere to </w:t>
      </w:r>
      <w:r w:rsidR="004F5FBA" w:rsidRPr="00B5380E">
        <w:rPr>
          <w:sz w:val="22"/>
        </w:rPr>
        <w:t>the p</w:t>
      </w:r>
      <w:r w:rsidR="000F7333" w:rsidRPr="00B5380E">
        <w:rPr>
          <w:sz w:val="22"/>
        </w:rPr>
        <w:t>rocurement plan.</w:t>
      </w:r>
      <w:r w:rsidR="000C73E4" w:rsidRPr="00B5380E">
        <w:rPr>
          <w:sz w:val="22"/>
        </w:rPr>
        <w:t xml:space="preserve"> </w:t>
      </w:r>
      <w:r w:rsidR="000F7333" w:rsidRPr="00B5380E">
        <w:rPr>
          <w:sz w:val="22"/>
        </w:rPr>
        <w:t>The count</w:t>
      </w:r>
      <w:r w:rsidR="005F0322" w:rsidRPr="00B5380E">
        <w:rPr>
          <w:sz w:val="22"/>
        </w:rPr>
        <w:t xml:space="preserve">y had planned to spend </w:t>
      </w:r>
      <w:r w:rsidR="00E73ED7">
        <w:rPr>
          <w:sz w:val="22"/>
        </w:rPr>
        <w:t>Ksh</w:t>
      </w:r>
      <w:r w:rsidR="00754B33" w:rsidRPr="00B5380E">
        <w:rPr>
          <w:sz w:val="22"/>
        </w:rPr>
        <w:t xml:space="preserve"> </w:t>
      </w:r>
      <w:r w:rsidR="005F0322" w:rsidRPr="00B5380E">
        <w:rPr>
          <w:sz w:val="22"/>
        </w:rPr>
        <w:t>40 million</w:t>
      </w:r>
      <w:r w:rsidR="0016520B" w:rsidRPr="00B5380E">
        <w:rPr>
          <w:sz w:val="22"/>
        </w:rPr>
        <w:t xml:space="preserve"> o</w:t>
      </w:r>
      <w:r w:rsidR="00754B33" w:rsidRPr="00B5380E">
        <w:rPr>
          <w:sz w:val="22"/>
        </w:rPr>
        <w:t>n</w:t>
      </w:r>
      <w:r w:rsidR="000F7333" w:rsidRPr="00B5380E">
        <w:rPr>
          <w:sz w:val="22"/>
        </w:rPr>
        <w:t xml:space="preserve"> development of </w:t>
      </w:r>
      <w:r w:rsidR="006316A8">
        <w:rPr>
          <w:sz w:val="22"/>
        </w:rPr>
        <w:t xml:space="preserve">the </w:t>
      </w:r>
      <w:r w:rsidR="000F7333" w:rsidRPr="00B5380E">
        <w:rPr>
          <w:sz w:val="22"/>
        </w:rPr>
        <w:t>asset management system (valuation roll) as per the procurement plan</w:t>
      </w:r>
      <w:r w:rsidR="006316A8">
        <w:rPr>
          <w:sz w:val="22"/>
        </w:rPr>
        <w:t>;</w:t>
      </w:r>
      <w:r w:rsidR="0016520B" w:rsidRPr="00B5380E">
        <w:rPr>
          <w:sz w:val="22"/>
        </w:rPr>
        <w:t xml:space="preserve"> </w:t>
      </w:r>
      <w:r w:rsidR="006316A8">
        <w:rPr>
          <w:sz w:val="22"/>
        </w:rPr>
        <w:t xml:space="preserve">the </w:t>
      </w:r>
      <w:r w:rsidR="0016520B" w:rsidRPr="00B5380E">
        <w:rPr>
          <w:sz w:val="22"/>
        </w:rPr>
        <w:t>actual expenditure was</w:t>
      </w:r>
      <w:r w:rsidR="000C73E4" w:rsidRPr="00B5380E">
        <w:rPr>
          <w:sz w:val="22"/>
        </w:rPr>
        <w:t xml:space="preserve"> </w:t>
      </w:r>
      <w:r w:rsidR="00E73ED7">
        <w:rPr>
          <w:sz w:val="22"/>
        </w:rPr>
        <w:t>Ksh</w:t>
      </w:r>
      <w:r w:rsidR="00754B33" w:rsidRPr="00B5380E">
        <w:rPr>
          <w:sz w:val="22"/>
        </w:rPr>
        <w:t xml:space="preserve"> </w:t>
      </w:r>
      <w:r w:rsidR="000F7333" w:rsidRPr="00B5380E">
        <w:rPr>
          <w:sz w:val="22"/>
        </w:rPr>
        <w:t>59</w:t>
      </w:r>
      <w:r w:rsidR="005F0322" w:rsidRPr="00B5380E">
        <w:rPr>
          <w:sz w:val="22"/>
        </w:rPr>
        <w:t xml:space="preserve"> million</w:t>
      </w:r>
      <w:r w:rsidR="0016520B" w:rsidRPr="00B5380E">
        <w:rPr>
          <w:sz w:val="22"/>
        </w:rPr>
        <w:t>.</w:t>
      </w:r>
    </w:p>
    <w:p w14:paraId="099DF4E0" w14:textId="6728BC06" w:rsidR="00BD3BC9" w:rsidRPr="00B5380E" w:rsidRDefault="0075704D" w:rsidP="00B5380E">
      <w:pPr>
        <w:spacing w:after="240"/>
        <w:rPr>
          <w:sz w:val="22"/>
        </w:rPr>
      </w:pPr>
      <w:r w:rsidRPr="00B5380E">
        <w:rPr>
          <w:sz w:val="22"/>
        </w:rPr>
        <w:t xml:space="preserve">Reports from the OAG and the COB pointed out that the </w:t>
      </w:r>
      <w:r w:rsidR="006316A8">
        <w:rPr>
          <w:sz w:val="22"/>
        </w:rPr>
        <w:t>c</w:t>
      </w:r>
      <w:r w:rsidRPr="00B5380E">
        <w:rPr>
          <w:sz w:val="22"/>
        </w:rPr>
        <w:t xml:space="preserve">ounty did not adhere to budgetary allocations in personnel emoluments, spent the emergency fund without any approval from the County </w:t>
      </w:r>
      <w:r w:rsidR="006316A8">
        <w:rPr>
          <w:sz w:val="22"/>
        </w:rPr>
        <w:t>A</w:t>
      </w:r>
      <w:r w:rsidRPr="00B5380E">
        <w:rPr>
          <w:sz w:val="22"/>
        </w:rPr>
        <w:t>ssembly as required, made some payments without examination, and purchased goods from a non-prequalified enterprise.</w:t>
      </w:r>
    </w:p>
    <w:p w14:paraId="0CE53BBF" w14:textId="7A8F4051" w:rsidR="006F0846" w:rsidRPr="00B5380E" w:rsidRDefault="00BD3BC9" w:rsidP="00B5380E">
      <w:pPr>
        <w:spacing w:after="240"/>
        <w:rPr>
          <w:sz w:val="22"/>
        </w:rPr>
      </w:pPr>
      <w:r w:rsidRPr="00B5380E">
        <w:rPr>
          <w:sz w:val="22"/>
        </w:rPr>
        <w:t xml:space="preserve">In summary, </w:t>
      </w:r>
      <w:r w:rsidR="00412AB5" w:rsidRPr="00B5380E">
        <w:rPr>
          <w:sz w:val="22"/>
        </w:rPr>
        <w:t xml:space="preserve">all payments should be made according </w:t>
      </w:r>
      <w:r w:rsidR="006316A8">
        <w:rPr>
          <w:sz w:val="22"/>
        </w:rPr>
        <w:t xml:space="preserve">to </w:t>
      </w:r>
      <w:r w:rsidR="00412AB5" w:rsidRPr="00B5380E">
        <w:rPr>
          <w:sz w:val="22"/>
        </w:rPr>
        <w:t xml:space="preserve">regular </w:t>
      </w:r>
      <w:r w:rsidR="00554A0F" w:rsidRPr="00B5380E">
        <w:rPr>
          <w:sz w:val="22"/>
        </w:rPr>
        <w:t>procedures</w:t>
      </w:r>
      <w:r w:rsidR="00412AB5" w:rsidRPr="00B5380E">
        <w:rPr>
          <w:sz w:val="22"/>
        </w:rPr>
        <w:t xml:space="preserve"> through </w:t>
      </w:r>
      <w:r w:rsidR="006316A8">
        <w:rPr>
          <w:sz w:val="22"/>
        </w:rPr>
        <w:t xml:space="preserve">the </w:t>
      </w:r>
      <w:r w:rsidR="00412AB5" w:rsidRPr="00B5380E">
        <w:rPr>
          <w:sz w:val="22"/>
        </w:rPr>
        <w:t>IFMIS, but the data enabl</w:t>
      </w:r>
      <w:r w:rsidR="006316A8">
        <w:rPr>
          <w:sz w:val="22"/>
        </w:rPr>
        <w:t>ing</w:t>
      </w:r>
      <w:r w:rsidR="00412AB5" w:rsidRPr="00B5380E">
        <w:rPr>
          <w:sz w:val="22"/>
        </w:rPr>
        <w:t xml:space="preserve"> </w:t>
      </w:r>
      <w:r w:rsidR="006316A8" w:rsidRPr="00B5380E">
        <w:rPr>
          <w:sz w:val="22"/>
        </w:rPr>
        <w:t xml:space="preserve">precise </w:t>
      </w:r>
      <w:r w:rsidR="00412AB5" w:rsidRPr="00B5380E">
        <w:rPr>
          <w:sz w:val="22"/>
        </w:rPr>
        <w:t>scor</w:t>
      </w:r>
      <w:r w:rsidR="006316A8">
        <w:rPr>
          <w:sz w:val="22"/>
        </w:rPr>
        <w:t xml:space="preserve">ing of </w:t>
      </w:r>
      <w:r w:rsidR="00412AB5" w:rsidRPr="00B5380E">
        <w:rPr>
          <w:sz w:val="22"/>
        </w:rPr>
        <w:t xml:space="preserve">the component was not provided. </w:t>
      </w:r>
    </w:p>
    <w:p w14:paraId="5A6A4975" w14:textId="64A35BE9" w:rsidR="006F0846" w:rsidRPr="00B5380E" w:rsidRDefault="006F0846" w:rsidP="00B5380E">
      <w:pPr>
        <w:spacing w:after="240"/>
        <w:rPr>
          <w:b/>
          <w:sz w:val="22"/>
        </w:rPr>
      </w:pPr>
      <w:r w:rsidRPr="00B5380E">
        <w:rPr>
          <w:b/>
          <w:sz w:val="22"/>
        </w:rPr>
        <w:t>Dimension rating = D*</w:t>
      </w:r>
    </w:p>
    <w:p w14:paraId="062C0E7E" w14:textId="77777777" w:rsidR="00BB1084" w:rsidRPr="00890A84" w:rsidRDefault="00BB1084" w:rsidP="00590C8E">
      <w:pPr>
        <w:pStyle w:val="Heading4"/>
      </w:pPr>
      <w:r w:rsidRPr="00890A84">
        <w:t>PI-26. Internal audit</w:t>
      </w:r>
    </w:p>
    <w:p w14:paraId="4CCAFFED" w14:textId="77777777" w:rsidR="003E5B0C" w:rsidRPr="00890A84" w:rsidRDefault="003E5B0C" w:rsidP="00BA6B2B">
      <w:pPr>
        <w:pStyle w:val="Heading5"/>
      </w:pPr>
      <w:r>
        <w:t>Summary of scores and performance table</w:t>
      </w:r>
    </w:p>
    <w:tbl>
      <w:tblPr>
        <w:tblW w:w="924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20" w:firstRow="1" w:lastRow="0" w:firstColumn="0" w:lastColumn="0" w:noHBand="1" w:noVBand="1"/>
      </w:tblPr>
      <w:tblGrid>
        <w:gridCol w:w="2843"/>
        <w:gridCol w:w="487"/>
        <w:gridCol w:w="5913"/>
      </w:tblGrid>
      <w:tr w:rsidR="003E5B0C" w:rsidRPr="00B5380E" w14:paraId="252F31B1" w14:textId="77777777" w:rsidTr="00B5380E">
        <w:trPr>
          <w:tblHeader/>
        </w:trPr>
        <w:tc>
          <w:tcPr>
            <w:tcW w:w="2843" w:type="dxa"/>
            <w:shd w:val="clear" w:color="auto" w:fill="5B9BD5"/>
          </w:tcPr>
          <w:p w14:paraId="22C8FB8B" w14:textId="36C3926B" w:rsidR="003E5B0C" w:rsidRPr="00B5380E" w:rsidRDefault="003E5B0C" w:rsidP="00B5380E">
            <w:pPr>
              <w:jc w:val="center"/>
              <w:rPr>
                <w:b/>
                <w:color w:val="FFFFFF" w:themeColor="background1"/>
                <w:sz w:val="20"/>
              </w:rPr>
            </w:pPr>
            <w:r w:rsidRPr="00B5380E">
              <w:rPr>
                <w:b/>
                <w:color w:val="FFFFFF" w:themeColor="background1"/>
                <w:sz w:val="20"/>
              </w:rPr>
              <w:t>PI-26</w:t>
            </w:r>
            <w:r w:rsidR="006316A8">
              <w:rPr>
                <w:b/>
                <w:color w:val="FFFFFF" w:themeColor="background1"/>
                <w:sz w:val="20"/>
              </w:rPr>
              <w:t>.</w:t>
            </w:r>
            <w:r w:rsidRPr="00B5380E">
              <w:rPr>
                <w:b/>
                <w:color w:val="FFFFFF" w:themeColor="background1"/>
                <w:sz w:val="20"/>
              </w:rPr>
              <w:t xml:space="preserve"> Internal audit (M1)</w:t>
            </w:r>
          </w:p>
        </w:tc>
        <w:tc>
          <w:tcPr>
            <w:tcW w:w="487" w:type="dxa"/>
            <w:shd w:val="clear" w:color="auto" w:fill="5B9BD5"/>
          </w:tcPr>
          <w:p w14:paraId="1366D22D" w14:textId="57FBF5BF" w:rsidR="003E5B0C" w:rsidRPr="00B5380E" w:rsidRDefault="000E5801" w:rsidP="00B5380E">
            <w:pPr>
              <w:jc w:val="center"/>
              <w:rPr>
                <w:b/>
                <w:color w:val="FFFFFF" w:themeColor="background1"/>
                <w:sz w:val="20"/>
              </w:rPr>
            </w:pPr>
            <w:r w:rsidRPr="00B5380E">
              <w:rPr>
                <w:b/>
                <w:color w:val="FFFFFF" w:themeColor="background1"/>
                <w:sz w:val="20"/>
              </w:rPr>
              <w:t>C</w:t>
            </w:r>
            <w:r w:rsidR="003E5B0C" w:rsidRPr="00B5380E">
              <w:rPr>
                <w:b/>
                <w:color w:val="FFFFFF" w:themeColor="background1"/>
                <w:sz w:val="20"/>
              </w:rPr>
              <w:t>+</w:t>
            </w:r>
          </w:p>
        </w:tc>
        <w:tc>
          <w:tcPr>
            <w:tcW w:w="5913" w:type="dxa"/>
            <w:shd w:val="clear" w:color="auto" w:fill="5B9BD5"/>
          </w:tcPr>
          <w:p w14:paraId="6A99B12E" w14:textId="77777777" w:rsidR="003E5B0C" w:rsidRPr="00B5380E" w:rsidRDefault="003E5B0C" w:rsidP="00B5380E">
            <w:pPr>
              <w:jc w:val="center"/>
              <w:rPr>
                <w:b/>
                <w:color w:val="FFFFFF" w:themeColor="background1"/>
                <w:sz w:val="20"/>
              </w:rPr>
            </w:pPr>
            <w:r w:rsidRPr="00B5380E">
              <w:rPr>
                <w:b/>
                <w:color w:val="FFFFFF" w:themeColor="background1"/>
                <w:sz w:val="20"/>
              </w:rPr>
              <w:t>Brief justification for score</w:t>
            </w:r>
          </w:p>
        </w:tc>
      </w:tr>
      <w:tr w:rsidR="003E5B0C" w:rsidRPr="00B5380E" w14:paraId="074EAEA2" w14:textId="77777777" w:rsidTr="00B5380E">
        <w:tc>
          <w:tcPr>
            <w:tcW w:w="2843" w:type="dxa"/>
            <w:shd w:val="clear" w:color="auto" w:fill="auto"/>
          </w:tcPr>
          <w:p w14:paraId="1E921012" w14:textId="77777777" w:rsidR="003E5B0C" w:rsidRPr="00B5380E" w:rsidRDefault="003E5B0C" w:rsidP="00B5380E">
            <w:pPr>
              <w:jc w:val="left"/>
              <w:rPr>
                <w:sz w:val="20"/>
              </w:rPr>
            </w:pPr>
            <w:r w:rsidRPr="00B5380E">
              <w:rPr>
                <w:sz w:val="20"/>
              </w:rPr>
              <w:t xml:space="preserve">26.1 Coverage of internal audit </w:t>
            </w:r>
          </w:p>
        </w:tc>
        <w:tc>
          <w:tcPr>
            <w:tcW w:w="487" w:type="dxa"/>
            <w:shd w:val="clear" w:color="auto" w:fill="auto"/>
          </w:tcPr>
          <w:p w14:paraId="647F41ED" w14:textId="54BA8E66" w:rsidR="003E5B0C" w:rsidRPr="00B5380E" w:rsidRDefault="000E5801" w:rsidP="00B5380E">
            <w:pPr>
              <w:jc w:val="center"/>
              <w:rPr>
                <w:color w:val="FF0000"/>
                <w:sz w:val="20"/>
              </w:rPr>
            </w:pPr>
            <w:r w:rsidRPr="00B5380E">
              <w:rPr>
                <w:color w:val="000000" w:themeColor="text1"/>
                <w:sz w:val="20"/>
              </w:rPr>
              <w:t>B</w:t>
            </w:r>
          </w:p>
        </w:tc>
        <w:tc>
          <w:tcPr>
            <w:tcW w:w="5913" w:type="dxa"/>
            <w:shd w:val="clear" w:color="auto" w:fill="auto"/>
          </w:tcPr>
          <w:p w14:paraId="01111491" w14:textId="780F804B" w:rsidR="003E5B0C" w:rsidRPr="00B5380E" w:rsidRDefault="003E5B0C" w:rsidP="00B5380E">
            <w:pPr>
              <w:jc w:val="left"/>
              <w:rPr>
                <w:color w:val="FF0000"/>
                <w:sz w:val="20"/>
              </w:rPr>
            </w:pPr>
            <w:r w:rsidRPr="00B5380E">
              <w:rPr>
                <w:color w:val="000000" w:themeColor="text1"/>
                <w:sz w:val="20"/>
              </w:rPr>
              <w:t>Internal audit is operational for the County Executive and the County Assembly</w:t>
            </w:r>
            <w:bookmarkStart w:id="107" w:name="_Hlk526660902"/>
            <w:r w:rsidR="00057C3E" w:rsidRPr="00B5380E">
              <w:rPr>
                <w:color w:val="000000" w:themeColor="text1"/>
                <w:sz w:val="20"/>
              </w:rPr>
              <w:t xml:space="preserve">. </w:t>
            </w:r>
            <w:bookmarkEnd w:id="107"/>
          </w:p>
        </w:tc>
      </w:tr>
      <w:tr w:rsidR="003E5B0C" w:rsidRPr="00B5380E" w14:paraId="2953D559" w14:textId="77777777" w:rsidTr="00B5380E">
        <w:tc>
          <w:tcPr>
            <w:tcW w:w="2843" w:type="dxa"/>
            <w:shd w:val="clear" w:color="auto" w:fill="auto"/>
          </w:tcPr>
          <w:p w14:paraId="708E39EB" w14:textId="77777777" w:rsidR="003E5B0C" w:rsidRPr="00B5380E" w:rsidRDefault="003E5B0C" w:rsidP="00B5380E">
            <w:pPr>
              <w:jc w:val="left"/>
              <w:rPr>
                <w:sz w:val="20"/>
              </w:rPr>
            </w:pPr>
            <w:r w:rsidRPr="00B5380E">
              <w:rPr>
                <w:sz w:val="20"/>
              </w:rPr>
              <w:t xml:space="preserve">26.2 Nature of audits and standards applied </w:t>
            </w:r>
          </w:p>
        </w:tc>
        <w:tc>
          <w:tcPr>
            <w:tcW w:w="487" w:type="dxa"/>
            <w:shd w:val="clear" w:color="auto" w:fill="auto"/>
          </w:tcPr>
          <w:p w14:paraId="1B50D323" w14:textId="77777777" w:rsidR="003E5B0C" w:rsidRPr="00B5380E" w:rsidRDefault="003E5B0C" w:rsidP="00B5380E">
            <w:pPr>
              <w:jc w:val="center"/>
              <w:rPr>
                <w:sz w:val="20"/>
              </w:rPr>
            </w:pPr>
            <w:r w:rsidRPr="00B5380E">
              <w:rPr>
                <w:sz w:val="20"/>
              </w:rPr>
              <w:t>C</w:t>
            </w:r>
          </w:p>
        </w:tc>
        <w:tc>
          <w:tcPr>
            <w:tcW w:w="5913" w:type="dxa"/>
            <w:shd w:val="clear" w:color="auto" w:fill="auto"/>
          </w:tcPr>
          <w:p w14:paraId="06C0B106" w14:textId="77777777" w:rsidR="003E5B0C" w:rsidRPr="00B5380E" w:rsidRDefault="003E5B0C" w:rsidP="00B5380E">
            <w:pPr>
              <w:jc w:val="left"/>
              <w:rPr>
                <w:sz w:val="20"/>
              </w:rPr>
            </w:pPr>
            <w:r w:rsidRPr="00B5380E">
              <w:rPr>
                <w:sz w:val="20"/>
              </w:rPr>
              <w:t>Audits were conducted, but no quality assurance process showing that internal audit activities are focused on evaluations of the adequacy and effectiveness of internal controls was disclosed.</w:t>
            </w:r>
          </w:p>
        </w:tc>
      </w:tr>
      <w:tr w:rsidR="003E5B0C" w:rsidRPr="00B5380E" w14:paraId="0D7EDF9F" w14:textId="77777777" w:rsidTr="00B5380E">
        <w:tc>
          <w:tcPr>
            <w:tcW w:w="2843" w:type="dxa"/>
            <w:shd w:val="clear" w:color="auto" w:fill="auto"/>
          </w:tcPr>
          <w:p w14:paraId="102C8A95" w14:textId="77777777" w:rsidR="003E5B0C" w:rsidRPr="00B5380E" w:rsidRDefault="003E5B0C" w:rsidP="00B5380E">
            <w:pPr>
              <w:jc w:val="left"/>
              <w:rPr>
                <w:sz w:val="20"/>
              </w:rPr>
            </w:pPr>
            <w:r w:rsidRPr="00B5380E">
              <w:rPr>
                <w:sz w:val="20"/>
              </w:rPr>
              <w:t xml:space="preserve">26.3 Implementation of internal audits and reporting </w:t>
            </w:r>
          </w:p>
        </w:tc>
        <w:tc>
          <w:tcPr>
            <w:tcW w:w="487" w:type="dxa"/>
            <w:shd w:val="clear" w:color="auto" w:fill="auto"/>
          </w:tcPr>
          <w:p w14:paraId="17CD220A" w14:textId="77777777" w:rsidR="003E5B0C" w:rsidRPr="00B5380E" w:rsidRDefault="003E5B0C" w:rsidP="00B5380E">
            <w:pPr>
              <w:jc w:val="center"/>
              <w:rPr>
                <w:sz w:val="20"/>
              </w:rPr>
            </w:pPr>
            <w:r w:rsidRPr="00B5380E">
              <w:rPr>
                <w:sz w:val="20"/>
              </w:rPr>
              <w:t>B</w:t>
            </w:r>
          </w:p>
        </w:tc>
        <w:tc>
          <w:tcPr>
            <w:tcW w:w="5913" w:type="dxa"/>
            <w:shd w:val="clear" w:color="auto" w:fill="auto"/>
          </w:tcPr>
          <w:p w14:paraId="339F9E0B" w14:textId="6A09D67A" w:rsidR="003E5B0C" w:rsidRPr="00B5380E" w:rsidRDefault="003E5B0C" w:rsidP="00B5380E">
            <w:pPr>
              <w:jc w:val="left"/>
              <w:rPr>
                <w:sz w:val="20"/>
              </w:rPr>
            </w:pPr>
            <w:r w:rsidRPr="00B5380E">
              <w:rPr>
                <w:sz w:val="20"/>
              </w:rPr>
              <w:t>Annual audit programs are performed annually</w:t>
            </w:r>
            <w:r w:rsidR="006316A8">
              <w:rPr>
                <w:sz w:val="20"/>
              </w:rPr>
              <w:t>,</w:t>
            </w:r>
            <w:r w:rsidRPr="00B5380E">
              <w:rPr>
                <w:sz w:val="20"/>
              </w:rPr>
              <w:t xml:space="preserve"> and most programmed audits have been completed in FY2015/16.</w:t>
            </w:r>
          </w:p>
        </w:tc>
      </w:tr>
      <w:tr w:rsidR="003E5B0C" w:rsidRPr="00B5380E" w14:paraId="430138C8" w14:textId="77777777" w:rsidTr="00B5380E">
        <w:tc>
          <w:tcPr>
            <w:tcW w:w="2843" w:type="dxa"/>
            <w:shd w:val="clear" w:color="auto" w:fill="auto"/>
          </w:tcPr>
          <w:p w14:paraId="57557F26" w14:textId="77777777" w:rsidR="003E5B0C" w:rsidRPr="00B5380E" w:rsidRDefault="003E5B0C" w:rsidP="00B5380E">
            <w:pPr>
              <w:jc w:val="left"/>
              <w:rPr>
                <w:sz w:val="20"/>
              </w:rPr>
            </w:pPr>
            <w:r w:rsidRPr="00B5380E">
              <w:rPr>
                <w:sz w:val="20"/>
              </w:rPr>
              <w:t xml:space="preserve">26.4 Response to internal audits </w:t>
            </w:r>
          </w:p>
        </w:tc>
        <w:tc>
          <w:tcPr>
            <w:tcW w:w="487" w:type="dxa"/>
            <w:shd w:val="clear" w:color="auto" w:fill="auto"/>
          </w:tcPr>
          <w:p w14:paraId="05FBAAFA" w14:textId="77777777" w:rsidR="003E5B0C" w:rsidRPr="00B5380E" w:rsidRDefault="003E5B0C" w:rsidP="00B5380E">
            <w:pPr>
              <w:jc w:val="center"/>
              <w:rPr>
                <w:sz w:val="20"/>
              </w:rPr>
            </w:pPr>
            <w:r w:rsidRPr="00B5380E">
              <w:rPr>
                <w:sz w:val="20"/>
              </w:rPr>
              <w:t>B</w:t>
            </w:r>
          </w:p>
        </w:tc>
        <w:tc>
          <w:tcPr>
            <w:tcW w:w="5913" w:type="dxa"/>
            <w:shd w:val="clear" w:color="auto" w:fill="auto"/>
          </w:tcPr>
          <w:p w14:paraId="22DAE7F4" w14:textId="1676088C" w:rsidR="003E5B0C" w:rsidRPr="00B5380E" w:rsidRDefault="003E5B0C" w:rsidP="00B5380E">
            <w:pPr>
              <w:jc w:val="left"/>
              <w:rPr>
                <w:color w:val="000000"/>
                <w:sz w:val="20"/>
              </w:rPr>
            </w:pPr>
            <w:r w:rsidRPr="00B5380E">
              <w:rPr>
                <w:sz w:val="20"/>
              </w:rPr>
              <w:t xml:space="preserve">Management provides a partial response to audit recommendations within </w:t>
            </w:r>
            <w:r w:rsidR="006316A8">
              <w:rPr>
                <w:sz w:val="20"/>
              </w:rPr>
              <w:t>12</w:t>
            </w:r>
            <w:r w:rsidR="006316A8" w:rsidRPr="00B5380E">
              <w:rPr>
                <w:sz w:val="20"/>
              </w:rPr>
              <w:t xml:space="preserve"> </w:t>
            </w:r>
            <w:r w:rsidRPr="00B5380E">
              <w:rPr>
                <w:sz w:val="20"/>
              </w:rPr>
              <w:t>months of the audit report being produced for three entities audited.</w:t>
            </w:r>
          </w:p>
        </w:tc>
      </w:tr>
    </w:tbl>
    <w:p w14:paraId="791B8B14" w14:textId="77777777" w:rsidR="00A40E55" w:rsidRPr="00890A84" w:rsidRDefault="00612DBE" w:rsidP="00BA6B2B">
      <w:pPr>
        <w:pStyle w:val="Heading5"/>
      </w:pPr>
      <w:r w:rsidRPr="00890A84">
        <w:t>PI-</w:t>
      </w:r>
      <w:r w:rsidR="00A40E55" w:rsidRPr="00890A84">
        <w:t xml:space="preserve">26.1. Coverage of internal audit </w:t>
      </w:r>
    </w:p>
    <w:p w14:paraId="30B37FBE" w14:textId="3AC68B63" w:rsidR="000F7333" w:rsidRPr="00B5380E" w:rsidRDefault="00863FD5" w:rsidP="00B5380E">
      <w:pPr>
        <w:spacing w:after="240"/>
        <w:rPr>
          <w:sz w:val="22"/>
        </w:rPr>
      </w:pPr>
      <w:r w:rsidRPr="00B5380E">
        <w:rPr>
          <w:sz w:val="22"/>
        </w:rPr>
        <w:t xml:space="preserve">Internal audit is operational for </w:t>
      </w:r>
      <w:r w:rsidR="00AF14DF" w:rsidRPr="00B5380E">
        <w:rPr>
          <w:sz w:val="22"/>
        </w:rPr>
        <w:t xml:space="preserve">the County Executive and the County Assembly, which are </w:t>
      </w:r>
      <w:r w:rsidRPr="00B5380E">
        <w:rPr>
          <w:sz w:val="22"/>
        </w:rPr>
        <w:t xml:space="preserve">central government entities collecting </w:t>
      </w:r>
      <w:r w:rsidR="00AF14DF" w:rsidRPr="00B5380E">
        <w:rPr>
          <w:sz w:val="22"/>
        </w:rPr>
        <w:t>all</w:t>
      </w:r>
      <w:r w:rsidRPr="00B5380E">
        <w:rPr>
          <w:sz w:val="22"/>
        </w:rPr>
        <w:t xml:space="preserve"> budgeted government revenue</w:t>
      </w:r>
      <w:r w:rsidR="00AF14DF" w:rsidRPr="00B5380E">
        <w:rPr>
          <w:sz w:val="22"/>
        </w:rPr>
        <w:t xml:space="preserve"> and expenditure</w:t>
      </w:r>
      <w:r w:rsidRPr="00B5380E">
        <w:rPr>
          <w:sz w:val="22"/>
        </w:rPr>
        <w:t>.</w:t>
      </w:r>
      <w:r w:rsidR="00AF14DF" w:rsidRPr="00B5380E">
        <w:rPr>
          <w:sz w:val="22"/>
        </w:rPr>
        <w:t xml:space="preserve"> </w:t>
      </w:r>
      <w:r w:rsidR="00B11F18" w:rsidRPr="00B5380E">
        <w:rPr>
          <w:sz w:val="22"/>
        </w:rPr>
        <w:t>The C</w:t>
      </w:r>
      <w:r w:rsidR="000F7333" w:rsidRPr="00B5380E">
        <w:rPr>
          <w:sz w:val="22"/>
        </w:rPr>
        <w:t xml:space="preserve">ounty </w:t>
      </w:r>
      <w:r w:rsidR="00B11F18" w:rsidRPr="00B5380E">
        <w:rPr>
          <w:sz w:val="22"/>
        </w:rPr>
        <w:t>Executive</w:t>
      </w:r>
      <w:r w:rsidR="000F7333" w:rsidRPr="00B5380E">
        <w:rPr>
          <w:sz w:val="22"/>
        </w:rPr>
        <w:t xml:space="preserve"> has a</w:t>
      </w:r>
      <w:r w:rsidR="00643A6B" w:rsidRPr="00B5380E">
        <w:rPr>
          <w:sz w:val="22"/>
        </w:rPr>
        <w:t xml:space="preserve"> directorate of </w:t>
      </w:r>
      <w:r w:rsidR="000F7333" w:rsidRPr="00B5380E">
        <w:rPr>
          <w:sz w:val="22"/>
        </w:rPr>
        <w:t xml:space="preserve">internal </w:t>
      </w:r>
      <w:r w:rsidR="00B11F18" w:rsidRPr="00B5380E">
        <w:rPr>
          <w:sz w:val="22"/>
        </w:rPr>
        <w:t xml:space="preserve">audit </w:t>
      </w:r>
      <w:r w:rsidR="000F7333" w:rsidRPr="00B5380E">
        <w:rPr>
          <w:sz w:val="22"/>
        </w:rPr>
        <w:t>function</w:t>
      </w:r>
      <w:r w:rsidR="006316A8">
        <w:rPr>
          <w:sz w:val="22"/>
        </w:rPr>
        <w:t>,</w:t>
      </w:r>
      <w:r w:rsidR="000F7333" w:rsidRPr="00B5380E">
        <w:rPr>
          <w:sz w:val="22"/>
        </w:rPr>
        <w:t xml:space="preserve"> which was established under Sec</w:t>
      </w:r>
      <w:r w:rsidR="00B11F18" w:rsidRPr="00B5380E">
        <w:rPr>
          <w:sz w:val="22"/>
        </w:rPr>
        <w:t>tion</w:t>
      </w:r>
      <w:r w:rsidR="000F7333" w:rsidRPr="00B5380E">
        <w:rPr>
          <w:sz w:val="22"/>
        </w:rPr>
        <w:t xml:space="preserve"> 155 of the PFM</w:t>
      </w:r>
      <w:r w:rsidR="006316A8">
        <w:rPr>
          <w:sz w:val="22"/>
        </w:rPr>
        <w:t xml:space="preserve"> Act</w:t>
      </w:r>
      <w:r w:rsidR="00B11F18" w:rsidRPr="00B5380E">
        <w:rPr>
          <w:sz w:val="22"/>
        </w:rPr>
        <w:t>,</w:t>
      </w:r>
      <w:r w:rsidR="000F7333" w:rsidRPr="00B5380E">
        <w:rPr>
          <w:sz w:val="22"/>
        </w:rPr>
        <w:t xml:space="preserve"> 2012</w:t>
      </w:r>
      <w:r w:rsidR="006316A8">
        <w:rPr>
          <w:sz w:val="22"/>
        </w:rPr>
        <w:t>,</w:t>
      </w:r>
      <w:r w:rsidR="00B11F18" w:rsidRPr="00B5380E">
        <w:rPr>
          <w:sz w:val="22"/>
        </w:rPr>
        <w:t xml:space="preserve"> and </w:t>
      </w:r>
      <w:r w:rsidR="000F7333" w:rsidRPr="00B5380E">
        <w:rPr>
          <w:sz w:val="22"/>
        </w:rPr>
        <w:t>P</w:t>
      </w:r>
      <w:r w:rsidR="00B11F18" w:rsidRPr="00B5380E">
        <w:rPr>
          <w:sz w:val="22"/>
        </w:rPr>
        <w:t>FM</w:t>
      </w:r>
      <w:r w:rsidR="000F7333" w:rsidRPr="00B5380E">
        <w:rPr>
          <w:sz w:val="22"/>
        </w:rPr>
        <w:t xml:space="preserve"> Regulations </w:t>
      </w:r>
      <w:r w:rsidR="00B11F18" w:rsidRPr="00B5380E">
        <w:rPr>
          <w:sz w:val="22"/>
        </w:rPr>
        <w:t xml:space="preserve">No. 153 of </w:t>
      </w:r>
      <w:r w:rsidR="000F7333" w:rsidRPr="00B5380E">
        <w:rPr>
          <w:sz w:val="22"/>
        </w:rPr>
        <w:t>2015</w:t>
      </w:r>
      <w:r w:rsidR="00B11F18" w:rsidRPr="00B5380E">
        <w:rPr>
          <w:sz w:val="22"/>
        </w:rPr>
        <w:t xml:space="preserve">. </w:t>
      </w:r>
      <w:r w:rsidR="000F7333" w:rsidRPr="00B5380E">
        <w:rPr>
          <w:sz w:val="22"/>
        </w:rPr>
        <w:t xml:space="preserve">The </w:t>
      </w:r>
      <w:r w:rsidR="006316A8">
        <w:rPr>
          <w:sz w:val="22"/>
        </w:rPr>
        <w:t>D</w:t>
      </w:r>
      <w:r w:rsidR="000F7333" w:rsidRPr="00B5380E">
        <w:rPr>
          <w:sz w:val="22"/>
        </w:rPr>
        <w:t xml:space="preserve">irector of </w:t>
      </w:r>
      <w:r w:rsidR="006316A8">
        <w:rPr>
          <w:sz w:val="22"/>
        </w:rPr>
        <w:t>I</w:t>
      </w:r>
      <w:r w:rsidR="000F7333" w:rsidRPr="00B5380E">
        <w:rPr>
          <w:sz w:val="22"/>
        </w:rPr>
        <w:t xml:space="preserve">nternal </w:t>
      </w:r>
      <w:r w:rsidR="006316A8">
        <w:rPr>
          <w:sz w:val="22"/>
        </w:rPr>
        <w:t>A</w:t>
      </w:r>
      <w:r w:rsidR="000F7333" w:rsidRPr="00B5380E">
        <w:rPr>
          <w:sz w:val="22"/>
        </w:rPr>
        <w:t xml:space="preserve">udit reports to the </w:t>
      </w:r>
      <w:r w:rsidR="006316A8">
        <w:rPr>
          <w:sz w:val="22"/>
        </w:rPr>
        <w:t>A</w:t>
      </w:r>
      <w:r w:rsidR="000F7333" w:rsidRPr="00B5380E">
        <w:rPr>
          <w:sz w:val="22"/>
        </w:rPr>
        <w:t xml:space="preserve">udit </w:t>
      </w:r>
      <w:r w:rsidR="006316A8">
        <w:rPr>
          <w:sz w:val="22"/>
        </w:rPr>
        <w:t>C</w:t>
      </w:r>
      <w:r w:rsidR="000F7333" w:rsidRPr="00B5380E">
        <w:rPr>
          <w:sz w:val="22"/>
        </w:rPr>
        <w:t>ommittee</w:t>
      </w:r>
      <w:r w:rsidR="00B11F18" w:rsidRPr="00B5380E">
        <w:rPr>
          <w:sz w:val="22"/>
        </w:rPr>
        <w:t xml:space="preserve"> which</w:t>
      </w:r>
      <w:r w:rsidR="000F7333" w:rsidRPr="00B5380E">
        <w:rPr>
          <w:sz w:val="22"/>
        </w:rPr>
        <w:t xml:space="preserve"> has powers to </w:t>
      </w:r>
      <w:r w:rsidR="006316A8" w:rsidRPr="00B5380E">
        <w:rPr>
          <w:sz w:val="22"/>
        </w:rPr>
        <w:t xml:space="preserve">also </w:t>
      </w:r>
      <w:r w:rsidR="000F7333" w:rsidRPr="00B5380E">
        <w:rPr>
          <w:sz w:val="22"/>
        </w:rPr>
        <w:t>summon accounting officers.</w:t>
      </w:r>
      <w:r w:rsidR="00B11F18" w:rsidRPr="00B5380E">
        <w:rPr>
          <w:sz w:val="22"/>
        </w:rPr>
        <w:t xml:space="preserve"> The County A</w:t>
      </w:r>
      <w:r w:rsidR="000F7333" w:rsidRPr="00B5380E">
        <w:rPr>
          <w:sz w:val="22"/>
        </w:rPr>
        <w:t>ssembly</w:t>
      </w:r>
      <w:r w:rsidR="00B11F18" w:rsidRPr="00B5380E">
        <w:rPr>
          <w:sz w:val="22"/>
        </w:rPr>
        <w:t xml:space="preserve"> </w:t>
      </w:r>
      <w:r w:rsidR="004F5FBA" w:rsidRPr="00B5380E">
        <w:rPr>
          <w:sz w:val="22"/>
        </w:rPr>
        <w:t>has also</w:t>
      </w:r>
      <w:r w:rsidR="000F7333" w:rsidRPr="00B5380E">
        <w:rPr>
          <w:sz w:val="22"/>
        </w:rPr>
        <w:t xml:space="preserve"> established an internal audit function which audits </w:t>
      </w:r>
      <w:r w:rsidR="00B11F18" w:rsidRPr="00B5380E">
        <w:rPr>
          <w:sz w:val="22"/>
        </w:rPr>
        <w:t xml:space="preserve">its </w:t>
      </w:r>
      <w:r w:rsidR="000F7333" w:rsidRPr="00B5380E">
        <w:rPr>
          <w:sz w:val="22"/>
        </w:rPr>
        <w:t>operations</w:t>
      </w:r>
      <w:r w:rsidR="006316A8">
        <w:rPr>
          <w:sz w:val="22"/>
        </w:rPr>
        <w:t>,</w:t>
      </w:r>
      <w:r w:rsidR="00B11F18" w:rsidRPr="00B5380E">
        <w:rPr>
          <w:sz w:val="22"/>
        </w:rPr>
        <w:t xml:space="preserve"> guided by </w:t>
      </w:r>
      <w:r w:rsidR="000F7333" w:rsidRPr="00B5380E">
        <w:rPr>
          <w:sz w:val="22"/>
        </w:rPr>
        <w:t>an audit charter. At the time of assessment, the internal audit se</w:t>
      </w:r>
      <w:r w:rsidR="00A90224" w:rsidRPr="00B5380E">
        <w:rPr>
          <w:sz w:val="22"/>
        </w:rPr>
        <w:t xml:space="preserve">ction had only </w:t>
      </w:r>
      <w:r w:rsidR="008876BE" w:rsidRPr="00B5380E">
        <w:rPr>
          <w:sz w:val="22"/>
        </w:rPr>
        <w:t>one</w:t>
      </w:r>
      <w:r w:rsidR="00CE3088" w:rsidRPr="00B5380E">
        <w:rPr>
          <w:sz w:val="22"/>
        </w:rPr>
        <w:t xml:space="preserve"> </w:t>
      </w:r>
      <w:r w:rsidR="0091086E" w:rsidRPr="00B5380E">
        <w:rPr>
          <w:sz w:val="22"/>
        </w:rPr>
        <w:t xml:space="preserve">staff </w:t>
      </w:r>
      <w:r w:rsidR="006316A8">
        <w:rPr>
          <w:sz w:val="22"/>
        </w:rPr>
        <w:t xml:space="preserve">member </w:t>
      </w:r>
      <w:r w:rsidR="00841A24" w:rsidRPr="00B5380E">
        <w:rPr>
          <w:sz w:val="22"/>
        </w:rPr>
        <w:t xml:space="preserve">but </w:t>
      </w:r>
      <w:r w:rsidR="002D0E49" w:rsidRPr="00B5380E">
        <w:rPr>
          <w:sz w:val="22"/>
        </w:rPr>
        <w:t>ha</w:t>
      </w:r>
      <w:r w:rsidR="00841A24" w:rsidRPr="00B5380E">
        <w:rPr>
          <w:sz w:val="22"/>
        </w:rPr>
        <w:t>d</w:t>
      </w:r>
      <w:r w:rsidR="00CE3088" w:rsidRPr="00B5380E">
        <w:rPr>
          <w:sz w:val="22"/>
        </w:rPr>
        <w:t xml:space="preserve"> </w:t>
      </w:r>
      <w:r w:rsidR="00AF14DF" w:rsidRPr="00B5380E">
        <w:rPr>
          <w:sz w:val="22"/>
        </w:rPr>
        <w:t xml:space="preserve">nevertheless </w:t>
      </w:r>
      <w:r w:rsidR="00CE3088" w:rsidRPr="00B5380E">
        <w:rPr>
          <w:sz w:val="22"/>
        </w:rPr>
        <w:t xml:space="preserve">produced </w:t>
      </w:r>
      <w:r w:rsidR="00841A24" w:rsidRPr="00B5380E">
        <w:rPr>
          <w:sz w:val="22"/>
        </w:rPr>
        <w:t xml:space="preserve">some </w:t>
      </w:r>
      <w:r w:rsidR="00A90224" w:rsidRPr="00B5380E">
        <w:rPr>
          <w:sz w:val="22"/>
        </w:rPr>
        <w:t>reports.</w:t>
      </w:r>
    </w:p>
    <w:p w14:paraId="12893DB3" w14:textId="7E9CB32E" w:rsidR="00667D86" w:rsidRPr="00B5380E" w:rsidRDefault="00667D86" w:rsidP="00B5380E">
      <w:pPr>
        <w:pStyle w:val="TableStyle"/>
        <w:rPr>
          <w:rFonts w:cs="Times New Roman"/>
        </w:rPr>
      </w:pPr>
      <w:bookmarkStart w:id="108" w:name="_Toc532426107"/>
      <w:r w:rsidRPr="00B5380E">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20</w:t>
      </w:r>
      <w:r w:rsidR="008B59A7">
        <w:rPr>
          <w:noProof/>
        </w:rPr>
        <w:fldChar w:fldCharType="end"/>
      </w:r>
      <w:r w:rsidRPr="00B5380E">
        <w:t xml:space="preserve">: </w:t>
      </w:r>
      <w:r w:rsidRPr="00B5380E">
        <w:rPr>
          <w:rFonts w:cs="Times New Roman"/>
        </w:rPr>
        <w:t xml:space="preserve">County </w:t>
      </w:r>
      <w:r w:rsidR="006316A8">
        <w:rPr>
          <w:rFonts w:cs="Times New Roman"/>
        </w:rPr>
        <w:t>g</w:t>
      </w:r>
      <w:r w:rsidRPr="00B5380E">
        <w:rPr>
          <w:rFonts w:cs="Times New Roman"/>
        </w:rPr>
        <w:t xml:space="preserve">overnment entities audited for the last </w:t>
      </w:r>
      <w:r w:rsidR="00C577DD">
        <w:rPr>
          <w:rFonts w:cs="Times New Roman"/>
        </w:rPr>
        <w:t>three</w:t>
      </w:r>
      <w:r w:rsidR="00C577DD" w:rsidRPr="00B5380E">
        <w:rPr>
          <w:rFonts w:cs="Times New Roman"/>
        </w:rPr>
        <w:t xml:space="preserve"> </w:t>
      </w:r>
      <w:r w:rsidRPr="00B5380E">
        <w:rPr>
          <w:rFonts w:cs="Times New Roman"/>
        </w:rPr>
        <w:t>years</w:t>
      </w:r>
      <w:bookmarkEnd w:id="108"/>
    </w:p>
    <w:tbl>
      <w:tblPr>
        <w:tblStyle w:val="table-style-blauw-070-none"/>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770"/>
      </w:tblGrid>
      <w:tr w:rsidR="0075704D" w:rsidRPr="00B5380E" w14:paraId="2646F466" w14:textId="77777777" w:rsidTr="00B5380E">
        <w:trPr>
          <w:cnfStyle w:val="100000000000" w:firstRow="1" w:lastRow="0" w:firstColumn="0" w:lastColumn="0" w:oddVBand="0" w:evenVBand="0" w:oddHBand="0" w:evenHBand="0" w:firstRowFirstColumn="0" w:firstRowLastColumn="0" w:lastRowFirstColumn="0" w:lastRowLastColumn="0"/>
        </w:trPr>
        <w:tc>
          <w:tcPr>
            <w:tcW w:w="477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9F5D05B" w14:textId="77777777" w:rsidR="0075704D" w:rsidRPr="00B5380E" w:rsidRDefault="0075704D" w:rsidP="00B5380E">
            <w:pPr>
              <w:pStyle w:val="ListParagraph"/>
              <w:numPr>
                <w:ilvl w:val="0"/>
                <w:numId w:val="0"/>
              </w:numPr>
              <w:spacing w:line="240" w:lineRule="auto"/>
              <w:jc w:val="center"/>
              <w:rPr>
                <w:rFonts w:asciiTheme="minorHAnsi" w:hAnsiTheme="minorHAnsi" w:cs="Times New Roman"/>
                <w:sz w:val="20"/>
                <w:szCs w:val="20"/>
              </w:rPr>
            </w:pPr>
            <w:r w:rsidRPr="00B5380E">
              <w:rPr>
                <w:rFonts w:asciiTheme="minorHAnsi" w:hAnsiTheme="minorHAnsi" w:cs="Times New Roman"/>
                <w:sz w:val="20"/>
                <w:szCs w:val="20"/>
              </w:rPr>
              <w:t>Department</w:t>
            </w:r>
          </w:p>
        </w:tc>
      </w:tr>
      <w:tr w:rsidR="0075704D" w:rsidRPr="00B5380E" w14:paraId="4ABBB9CA"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19CC3937"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Revenue Department</w:t>
            </w:r>
          </w:p>
        </w:tc>
      </w:tr>
      <w:tr w:rsidR="0075704D" w:rsidRPr="00B5380E" w14:paraId="673AB832"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2A505788"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Accounts/Expenditure Department</w:t>
            </w:r>
          </w:p>
        </w:tc>
      </w:tr>
      <w:tr w:rsidR="0075704D" w:rsidRPr="00B5380E" w14:paraId="31180186"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2AE8692F" w14:textId="02DE474B" w:rsidR="0075704D" w:rsidRPr="00B5380E" w:rsidRDefault="0075704D" w:rsidP="0075704D">
            <w:pPr>
              <w:rPr>
                <w:rFonts w:asciiTheme="minorHAnsi" w:hAnsiTheme="minorHAnsi"/>
                <w:sz w:val="20"/>
                <w:szCs w:val="20"/>
              </w:rPr>
            </w:pPr>
            <w:r w:rsidRPr="00B5380E">
              <w:rPr>
                <w:rFonts w:asciiTheme="minorHAnsi" w:hAnsiTheme="minorHAnsi"/>
                <w:sz w:val="20"/>
                <w:szCs w:val="20"/>
              </w:rPr>
              <w:t xml:space="preserve">Procurement </w:t>
            </w:r>
            <w:r w:rsidR="006316A8">
              <w:rPr>
                <w:rFonts w:asciiTheme="minorHAnsi" w:hAnsiTheme="minorHAnsi"/>
                <w:sz w:val="20"/>
                <w:szCs w:val="20"/>
              </w:rPr>
              <w:t xml:space="preserve">and </w:t>
            </w:r>
            <w:r w:rsidRPr="00B5380E">
              <w:rPr>
                <w:rFonts w:asciiTheme="minorHAnsi" w:hAnsiTheme="minorHAnsi"/>
                <w:sz w:val="20"/>
                <w:szCs w:val="20"/>
              </w:rPr>
              <w:t>Stores Department</w:t>
            </w:r>
          </w:p>
        </w:tc>
      </w:tr>
      <w:tr w:rsidR="0075704D" w:rsidRPr="00B5380E" w14:paraId="45DF2676"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59CDC3D8"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Roads Department</w:t>
            </w:r>
          </w:p>
        </w:tc>
      </w:tr>
      <w:tr w:rsidR="0075704D" w:rsidRPr="00B5380E" w14:paraId="2CCD5812"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73EB8154"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Public Works Department</w:t>
            </w:r>
          </w:p>
        </w:tc>
      </w:tr>
      <w:tr w:rsidR="0075704D" w:rsidRPr="00B5380E" w14:paraId="54CD7727"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2C625E6E"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Water Department</w:t>
            </w:r>
          </w:p>
        </w:tc>
      </w:tr>
      <w:tr w:rsidR="0075704D" w:rsidRPr="00B5380E" w14:paraId="60646208"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4976749C"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Health Services Department</w:t>
            </w:r>
          </w:p>
        </w:tc>
      </w:tr>
      <w:tr w:rsidR="0075704D" w:rsidRPr="00B5380E" w14:paraId="46F525B0"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7013E996"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County Public Service Board</w:t>
            </w:r>
          </w:p>
        </w:tc>
      </w:tr>
      <w:tr w:rsidR="0075704D" w:rsidRPr="00B5380E" w14:paraId="278F6431"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1A82D0C2"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Emergency Fund</w:t>
            </w:r>
          </w:p>
        </w:tc>
      </w:tr>
      <w:tr w:rsidR="0075704D" w:rsidRPr="00B5380E" w14:paraId="51E00FE4"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7522C4AD"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Bursary Fund</w:t>
            </w:r>
          </w:p>
        </w:tc>
      </w:tr>
    </w:tbl>
    <w:p w14:paraId="5BF11FDC" w14:textId="5465BA24" w:rsidR="00667D86" w:rsidRPr="00667D86" w:rsidRDefault="00667D86" w:rsidP="00B5380E">
      <w:pPr>
        <w:pStyle w:val="TableStyle"/>
      </w:pPr>
      <w:bookmarkStart w:id="109" w:name="_Toc532426108"/>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21</w:t>
      </w:r>
      <w:r w:rsidR="008B59A7">
        <w:rPr>
          <w:noProof/>
        </w:rPr>
        <w:fldChar w:fldCharType="end"/>
      </w:r>
      <w:r>
        <w:t xml:space="preserve">: </w:t>
      </w:r>
      <w:r w:rsidR="006316A8">
        <w:t>E</w:t>
      </w:r>
      <w:r w:rsidRPr="00667D86">
        <w:t xml:space="preserve">ntities to be covered by annual audit activities for the next </w:t>
      </w:r>
      <w:r w:rsidR="00C577DD">
        <w:t>three</w:t>
      </w:r>
      <w:r w:rsidR="00C577DD" w:rsidRPr="00667D86">
        <w:t xml:space="preserve"> </w:t>
      </w:r>
      <w:r w:rsidRPr="00667D86">
        <w:t>years</w:t>
      </w:r>
      <w:bookmarkEnd w:id="109"/>
    </w:p>
    <w:tbl>
      <w:tblPr>
        <w:tblStyle w:val="table-style-blauw-070-none"/>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770"/>
      </w:tblGrid>
      <w:tr w:rsidR="0075704D" w:rsidRPr="00B5380E" w14:paraId="4FBDEF34" w14:textId="77777777" w:rsidTr="00B5380E">
        <w:trPr>
          <w:cnfStyle w:val="100000000000" w:firstRow="1" w:lastRow="0" w:firstColumn="0" w:lastColumn="0" w:oddVBand="0" w:evenVBand="0" w:oddHBand="0" w:evenHBand="0" w:firstRowFirstColumn="0" w:firstRowLastColumn="0" w:lastRowFirstColumn="0" w:lastRowLastColumn="0"/>
        </w:trPr>
        <w:tc>
          <w:tcPr>
            <w:tcW w:w="477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E737E38" w14:textId="77777777" w:rsidR="0075704D" w:rsidRPr="00B5380E" w:rsidRDefault="0075704D" w:rsidP="00B5380E">
            <w:pPr>
              <w:pStyle w:val="ListParagraph"/>
              <w:numPr>
                <w:ilvl w:val="0"/>
                <w:numId w:val="0"/>
              </w:numPr>
              <w:spacing w:line="240" w:lineRule="auto"/>
              <w:jc w:val="center"/>
              <w:rPr>
                <w:rFonts w:asciiTheme="minorHAnsi" w:hAnsiTheme="minorHAnsi" w:cs="Times New Roman"/>
                <w:sz w:val="20"/>
                <w:szCs w:val="20"/>
              </w:rPr>
            </w:pPr>
            <w:r w:rsidRPr="00B5380E">
              <w:rPr>
                <w:rFonts w:asciiTheme="minorHAnsi" w:hAnsiTheme="minorHAnsi" w:cs="Times New Roman"/>
                <w:sz w:val="20"/>
                <w:szCs w:val="20"/>
              </w:rPr>
              <w:t>Department</w:t>
            </w:r>
          </w:p>
        </w:tc>
      </w:tr>
      <w:tr w:rsidR="0075704D" w:rsidRPr="00B5380E" w14:paraId="636D4FBE"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2829B764"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Revenue Department</w:t>
            </w:r>
          </w:p>
        </w:tc>
      </w:tr>
      <w:tr w:rsidR="0075704D" w:rsidRPr="00B5380E" w14:paraId="5A8075BC"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52712AB6"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Accounts/Expenditure Department</w:t>
            </w:r>
          </w:p>
        </w:tc>
      </w:tr>
      <w:tr w:rsidR="0075704D" w:rsidRPr="00B5380E" w14:paraId="06D842EB"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445B8A5F" w14:textId="11C459F9" w:rsidR="0075704D" w:rsidRPr="00B5380E" w:rsidRDefault="0075704D" w:rsidP="0075704D">
            <w:pPr>
              <w:rPr>
                <w:rFonts w:asciiTheme="minorHAnsi" w:hAnsiTheme="minorHAnsi"/>
                <w:sz w:val="20"/>
                <w:szCs w:val="20"/>
              </w:rPr>
            </w:pPr>
            <w:r w:rsidRPr="00B5380E">
              <w:rPr>
                <w:rFonts w:asciiTheme="minorHAnsi" w:hAnsiTheme="minorHAnsi"/>
                <w:sz w:val="20"/>
                <w:szCs w:val="20"/>
              </w:rPr>
              <w:t xml:space="preserve">Procurement </w:t>
            </w:r>
            <w:r w:rsidR="006316A8">
              <w:rPr>
                <w:rFonts w:asciiTheme="minorHAnsi" w:hAnsiTheme="minorHAnsi"/>
                <w:sz w:val="20"/>
                <w:szCs w:val="20"/>
              </w:rPr>
              <w:t xml:space="preserve">and </w:t>
            </w:r>
            <w:r w:rsidRPr="00B5380E">
              <w:rPr>
                <w:rFonts w:asciiTheme="minorHAnsi" w:hAnsiTheme="minorHAnsi"/>
                <w:sz w:val="20"/>
                <w:szCs w:val="20"/>
              </w:rPr>
              <w:t>Stores Department</w:t>
            </w:r>
          </w:p>
        </w:tc>
      </w:tr>
      <w:tr w:rsidR="0075704D" w:rsidRPr="00B5380E" w14:paraId="5FA2D1F2"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6121901F"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Roads Department</w:t>
            </w:r>
          </w:p>
        </w:tc>
      </w:tr>
      <w:tr w:rsidR="0075704D" w:rsidRPr="00B5380E" w14:paraId="4DE97ED0"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04691223"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Public Works Department</w:t>
            </w:r>
          </w:p>
        </w:tc>
      </w:tr>
      <w:tr w:rsidR="0075704D" w:rsidRPr="00B5380E" w14:paraId="6094E7A7"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1406B686"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Water Department</w:t>
            </w:r>
          </w:p>
        </w:tc>
      </w:tr>
      <w:tr w:rsidR="0075704D" w:rsidRPr="00B5380E" w14:paraId="61D33E6F"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36011018"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Health Services Department</w:t>
            </w:r>
          </w:p>
        </w:tc>
      </w:tr>
      <w:tr w:rsidR="0075704D" w:rsidRPr="00B5380E" w14:paraId="25C5053F"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5F67A22A"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County Public Service Board</w:t>
            </w:r>
          </w:p>
        </w:tc>
      </w:tr>
      <w:tr w:rsidR="0075704D" w:rsidRPr="00B5380E" w14:paraId="5C6DB7D1"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13166001"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Emergency Fund</w:t>
            </w:r>
          </w:p>
        </w:tc>
      </w:tr>
      <w:tr w:rsidR="0075704D" w:rsidRPr="00B5380E" w14:paraId="44AA5F79" w14:textId="77777777" w:rsidTr="00B5380E">
        <w:trPr>
          <w:cnfStyle w:val="000000010000" w:firstRow="0" w:lastRow="0" w:firstColumn="0" w:lastColumn="0" w:oddVBand="0" w:evenVBand="0" w:oddHBand="0" w:evenHBand="1" w:firstRowFirstColumn="0" w:firstRowLastColumn="0" w:lastRowFirstColumn="0" w:lastRowLastColumn="0"/>
        </w:trPr>
        <w:tc>
          <w:tcPr>
            <w:tcW w:w="4770" w:type="dxa"/>
            <w:tcBorders>
              <w:top w:val="none" w:sz="0" w:space="0" w:color="auto"/>
            </w:tcBorders>
            <w:hideMark/>
          </w:tcPr>
          <w:p w14:paraId="232B06A3"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Bursary Fund</w:t>
            </w:r>
          </w:p>
        </w:tc>
      </w:tr>
      <w:tr w:rsidR="0075704D" w:rsidRPr="00B5380E" w14:paraId="45A43A7A" w14:textId="77777777" w:rsidTr="00B5380E">
        <w:trPr>
          <w:cnfStyle w:val="000000100000" w:firstRow="0" w:lastRow="0" w:firstColumn="0" w:lastColumn="0" w:oddVBand="0" w:evenVBand="0" w:oddHBand="1" w:evenHBand="0" w:firstRowFirstColumn="0" w:firstRowLastColumn="0" w:lastRowFirstColumn="0" w:lastRowLastColumn="0"/>
        </w:trPr>
        <w:tc>
          <w:tcPr>
            <w:tcW w:w="4770" w:type="dxa"/>
            <w:tcBorders>
              <w:top w:val="none" w:sz="0" w:space="0" w:color="auto"/>
            </w:tcBorders>
            <w:hideMark/>
          </w:tcPr>
          <w:p w14:paraId="2450AA5B" w14:textId="77777777" w:rsidR="0075704D" w:rsidRPr="00B5380E" w:rsidRDefault="0075704D" w:rsidP="0075704D">
            <w:pPr>
              <w:rPr>
                <w:rFonts w:asciiTheme="minorHAnsi" w:hAnsiTheme="minorHAnsi"/>
                <w:sz w:val="20"/>
                <w:szCs w:val="20"/>
              </w:rPr>
            </w:pPr>
            <w:r w:rsidRPr="00B5380E">
              <w:rPr>
                <w:rFonts w:asciiTheme="minorHAnsi" w:hAnsiTheme="minorHAnsi"/>
                <w:sz w:val="20"/>
                <w:szCs w:val="20"/>
              </w:rPr>
              <w:t>People Living with Disability Fund</w:t>
            </w:r>
          </w:p>
        </w:tc>
      </w:tr>
    </w:tbl>
    <w:p w14:paraId="486436DB" w14:textId="70A25F9C" w:rsidR="00667D86" w:rsidRDefault="00667D86" w:rsidP="00371704">
      <w:pPr>
        <w:ind w:left="360"/>
        <w:rPr>
          <w:rFonts w:ascii="Times New Roman" w:hAnsi="Times New Roman" w:cs="Times New Roman"/>
          <w:sz w:val="22"/>
          <w:lang w:val="en-US" w:eastAsia="en-US"/>
        </w:rPr>
      </w:pPr>
    </w:p>
    <w:p w14:paraId="12DD7300" w14:textId="624A4C87" w:rsidR="006F0846" w:rsidRPr="00B5380E" w:rsidRDefault="00F5429C" w:rsidP="00B5380E">
      <w:pPr>
        <w:spacing w:after="240"/>
        <w:rPr>
          <w:sz w:val="22"/>
        </w:rPr>
      </w:pPr>
      <w:r w:rsidRPr="00B5380E">
        <w:rPr>
          <w:sz w:val="22"/>
        </w:rPr>
        <w:t>In summary, i</w:t>
      </w:r>
      <w:r w:rsidR="0075704D" w:rsidRPr="00B5380E">
        <w:rPr>
          <w:sz w:val="22"/>
        </w:rPr>
        <w:t>nternal audit is operational for the County Executive and the County Assembly, which are central government entities collecting all budgeted government revenue and expenditure</w:t>
      </w:r>
      <w:r w:rsidR="000E5801" w:rsidRPr="00B5380E">
        <w:rPr>
          <w:sz w:val="22"/>
        </w:rPr>
        <w:t>.</w:t>
      </w:r>
      <w:r w:rsidR="00350561" w:rsidRPr="00B5380E">
        <w:rPr>
          <w:sz w:val="22"/>
        </w:rPr>
        <w:t xml:space="preserve"> </w:t>
      </w:r>
      <w:r w:rsidR="000E5801" w:rsidRPr="00B5380E">
        <w:rPr>
          <w:sz w:val="22"/>
        </w:rPr>
        <w:t>T</w:t>
      </w:r>
      <w:r w:rsidR="00057C3E" w:rsidRPr="00B5380E">
        <w:rPr>
          <w:sz w:val="22"/>
        </w:rPr>
        <w:t>here is no data to estimate percentage of audited budget entities as the budget of public establishments is unknown</w:t>
      </w:r>
      <w:r w:rsidR="007152B3" w:rsidRPr="00B5380E">
        <w:rPr>
          <w:sz w:val="22"/>
        </w:rPr>
        <w:t xml:space="preserve">. Based on estimations made on the ground, it is assumed </w:t>
      </w:r>
      <w:r w:rsidR="000E5801" w:rsidRPr="00B5380E">
        <w:rPr>
          <w:sz w:val="22"/>
        </w:rPr>
        <w:t>that the budget of SAGAs is less than 25</w:t>
      </w:r>
      <w:r w:rsidR="006316A8">
        <w:rPr>
          <w:sz w:val="22"/>
        </w:rPr>
        <w:t xml:space="preserve"> percent</w:t>
      </w:r>
      <w:r w:rsidR="000E5801" w:rsidRPr="00B5380E">
        <w:rPr>
          <w:sz w:val="22"/>
        </w:rPr>
        <w:t xml:space="preserve"> of total budget expenditure of </w:t>
      </w:r>
      <w:r w:rsidR="006316A8">
        <w:rPr>
          <w:sz w:val="22"/>
        </w:rPr>
        <w:t>the county government</w:t>
      </w:r>
      <w:r w:rsidR="000E5801" w:rsidRPr="00B5380E">
        <w:rPr>
          <w:sz w:val="22"/>
        </w:rPr>
        <w:t>.</w:t>
      </w:r>
      <w:r w:rsidR="0075704D" w:rsidRPr="00B5380E">
        <w:rPr>
          <w:sz w:val="22"/>
        </w:rPr>
        <w:t xml:space="preserve"> </w:t>
      </w:r>
    </w:p>
    <w:p w14:paraId="4E37BA9D" w14:textId="5766BD3E" w:rsidR="006F0846" w:rsidRPr="00B5380E" w:rsidRDefault="006F0846" w:rsidP="00B5380E">
      <w:pPr>
        <w:spacing w:after="240"/>
        <w:rPr>
          <w:b/>
          <w:sz w:val="22"/>
        </w:rPr>
      </w:pPr>
      <w:r w:rsidRPr="00B5380E">
        <w:rPr>
          <w:b/>
          <w:sz w:val="22"/>
        </w:rPr>
        <w:t>Dimension rating = B</w:t>
      </w:r>
    </w:p>
    <w:p w14:paraId="71387110" w14:textId="77777777" w:rsidR="000F7333" w:rsidRPr="00890A84" w:rsidRDefault="00612DBE" w:rsidP="00BA6B2B">
      <w:pPr>
        <w:pStyle w:val="Heading5"/>
      </w:pPr>
      <w:r w:rsidRPr="00890A84">
        <w:t>PI-</w:t>
      </w:r>
      <w:r w:rsidR="000F7333" w:rsidRPr="00890A84">
        <w:t xml:space="preserve">26.2. Nature of audits and standards applied </w:t>
      </w:r>
    </w:p>
    <w:p w14:paraId="1D56793C" w14:textId="47D4F178" w:rsidR="00D06102" w:rsidRDefault="002D0E49" w:rsidP="00B5380E">
      <w:pPr>
        <w:spacing w:after="240"/>
      </w:pPr>
      <w:r w:rsidRPr="00B5380E">
        <w:rPr>
          <w:sz w:val="22"/>
        </w:rPr>
        <w:t>The internal audit directorate should apply international professional practice framework (IPPF) as stipulated in the PFM Act, 2012. Although t</w:t>
      </w:r>
      <w:r w:rsidR="000F7333" w:rsidRPr="00B5380E">
        <w:rPr>
          <w:sz w:val="22"/>
        </w:rPr>
        <w:t xml:space="preserve">he directorate conducted internal audits </w:t>
      </w:r>
      <w:r w:rsidRPr="00B5380E">
        <w:rPr>
          <w:sz w:val="22"/>
        </w:rPr>
        <w:t xml:space="preserve">to evaluate the adequacy of internal controls and compliance with governing regulations </w:t>
      </w:r>
      <w:r w:rsidR="000F7333" w:rsidRPr="00B5380E">
        <w:rPr>
          <w:sz w:val="22"/>
        </w:rPr>
        <w:t>in the county</w:t>
      </w:r>
      <w:r w:rsidRPr="00B5380E">
        <w:rPr>
          <w:sz w:val="22"/>
        </w:rPr>
        <w:t>,</w:t>
      </w:r>
      <w:r w:rsidR="000F7333" w:rsidRPr="00B5380E">
        <w:rPr>
          <w:sz w:val="22"/>
        </w:rPr>
        <w:t xml:space="preserve"> there was no evidence of a quality assurance process </w:t>
      </w:r>
      <w:r w:rsidRPr="00B5380E">
        <w:rPr>
          <w:sz w:val="22"/>
        </w:rPr>
        <w:t xml:space="preserve">being </w:t>
      </w:r>
      <w:r w:rsidR="000F7333" w:rsidRPr="00B5380E">
        <w:rPr>
          <w:sz w:val="22"/>
        </w:rPr>
        <w:t xml:space="preserve">followed. </w:t>
      </w:r>
      <w:r w:rsidRPr="00B5380E">
        <w:rPr>
          <w:sz w:val="22"/>
        </w:rPr>
        <w:t>Similarly, the County A</w:t>
      </w:r>
      <w:r w:rsidR="000F7333" w:rsidRPr="00B5380E">
        <w:rPr>
          <w:sz w:val="22"/>
        </w:rPr>
        <w:t>ssembly’s internal auditor conducted audits</w:t>
      </w:r>
      <w:r w:rsidRPr="00B5380E">
        <w:rPr>
          <w:sz w:val="22"/>
        </w:rPr>
        <w:t>,</w:t>
      </w:r>
      <w:r w:rsidR="007416BB" w:rsidRPr="00B5380E">
        <w:rPr>
          <w:sz w:val="22"/>
        </w:rPr>
        <w:t xml:space="preserve"> </w:t>
      </w:r>
      <w:r w:rsidR="009A0E14">
        <w:rPr>
          <w:sz w:val="22"/>
        </w:rPr>
        <w:t xml:space="preserve">but </w:t>
      </w:r>
      <w:r w:rsidR="000F7333" w:rsidRPr="00B5380E">
        <w:rPr>
          <w:sz w:val="22"/>
        </w:rPr>
        <w:t xml:space="preserve">no clear professional standards </w:t>
      </w:r>
      <w:r w:rsidR="009A0E14">
        <w:rPr>
          <w:sz w:val="22"/>
        </w:rPr>
        <w:t xml:space="preserve">were </w:t>
      </w:r>
      <w:r w:rsidR="000F7333" w:rsidRPr="00B5380E">
        <w:rPr>
          <w:sz w:val="22"/>
        </w:rPr>
        <w:t>followed in the audit</w:t>
      </w:r>
      <w:r w:rsidR="000F7333" w:rsidRPr="00890A84">
        <w:t xml:space="preserve">. </w:t>
      </w:r>
    </w:p>
    <w:p w14:paraId="59943A9D" w14:textId="765BC7CC" w:rsidR="00667D86" w:rsidRPr="00B5380E" w:rsidRDefault="00667D86" w:rsidP="00B5380E">
      <w:pPr>
        <w:spacing w:after="240"/>
        <w:rPr>
          <w:sz w:val="22"/>
        </w:rPr>
      </w:pPr>
      <w:r w:rsidRPr="00B5380E">
        <w:rPr>
          <w:sz w:val="22"/>
        </w:rPr>
        <w:t xml:space="preserve">The audits are basically continuous audits. This includes systems audits to ascertain existence and effectiveness of internal controls in areas </w:t>
      </w:r>
      <w:r w:rsidR="009A0E14" w:rsidRPr="00B5380E">
        <w:rPr>
          <w:sz w:val="22"/>
        </w:rPr>
        <w:t xml:space="preserve">such </w:t>
      </w:r>
      <w:r w:rsidRPr="00B5380E">
        <w:rPr>
          <w:sz w:val="22"/>
        </w:rPr>
        <w:t>as the payment process, procurement process</w:t>
      </w:r>
      <w:r w:rsidR="009A0E14">
        <w:rPr>
          <w:sz w:val="22"/>
        </w:rPr>
        <w:t>,</w:t>
      </w:r>
      <w:r w:rsidRPr="00B5380E">
        <w:rPr>
          <w:sz w:val="22"/>
        </w:rPr>
        <w:t xml:space="preserve"> and revenue collection and reporting process.</w:t>
      </w:r>
      <w:r w:rsidR="00EB15D6" w:rsidRPr="00B5380E">
        <w:rPr>
          <w:sz w:val="22"/>
        </w:rPr>
        <w:t xml:space="preserve"> </w:t>
      </w:r>
      <w:r w:rsidRPr="00B5380E">
        <w:rPr>
          <w:sz w:val="22"/>
        </w:rPr>
        <w:t xml:space="preserve">The </w:t>
      </w:r>
      <w:r w:rsidR="009A0E14">
        <w:rPr>
          <w:sz w:val="22"/>
        </w:rPr>
        <w:t xml:space="preserve">following </w:t>
      </w:r>
      <w:r w:rsidRPr="00B5380E">
        <w:rPr>
          <w:sz w:val="22"/>
        </w:rPr>
        <w:t xml:space="preserve">approach </w:t>
      </w:r>
      <w:r w:rsidR="009A0E14">
        <w:rPr>
          <w:sz w:val="22"/>
        </w:rPr>
        <w:t xml:space="preserve">was </w:t>
      </w:r>
      <w:r w:rsidRPr="00B5380E">
        <w:rPr>
          <w:sz w:val="22"/>
        </w:rPr>
        <w:t xml:space="preserve">used in performing the audits: </w:t>
      </w:r>
      <w:r w:rsidR="009A0E14">
        <w:rPr>
          <w:sz w:val="22"/>
        </w:rPr>
        <w:t>a</w:t>
      </w:r>
      <w:r w:rsidRPr="00B5380E">
        <w:rPr>
          <w:sz w:val="22"/>
        </w:rPr>
        <w:t>ll audit activities that are expected to be carried out in the course of the financial year are enlisted in the Annual Work Plan with the necessary time and resource budgets. An audit program is developed for each audit activity</w:t>
      </w:r>
      <w:r w:rsidR="009A0E14">
        <w:rPr>
          <w:sz w:val="22"/>
        </w:rPr>
        <w:t>,</w:t>
      </w:r>
      <w:r w:rsidRPr="00B5380E">
        <w:rPr>
          <w:sz w:val="22"/>
        </w:rPr>
        <w:t xml:space="preserve"> which details all the necessary substantive audit test</w:t>
      </w:r>
      <w:r w:rsidR="009A0E14">
        <w:rPr>
          <w:sz w:val="22"/>
        </w:rPr>
        <w:t>s</w:t>
      </w:r>
      <w:r w:rsidRPr="00B5380E">
        <w:rPr>
          <w:sz w:val="22"/>
        </w:rPr>
        <w:t xml:space="preserve"> to be carried out. The activities are then shared among the audit staff on the basis of competency and experience</w:t>
      </w:r>
      <w:r w:rsidR="009A0E14">
        <w:rPr>
          <w:sz w:val="22"/>
        </w:rPr>
        <w:t>,</w:t>
      </w:r>
      <w:r w:rsidRPr="00B5380E">
        <w:rPr>
          <w:sz w:val="22"/>
        </w:rPr>
        <w:t xml:space="preserve"> who then submit their findings to be compiled into one audit report by the Deputy Director of Audit. The Director of Internal Audit then reviews the report and issues </w:t>
      </w:r>
      <w:r w:rsidR="009A0E14">
        <w:rPr>
          <w:sz w:val="22"/>
        </w:rPr>
        <w:t xml:space="preserve">the </w:t>
      </w:r>
      <w:r w:rsidRPr="00B5380E">
        <w:rPr>
          <w:sz w:val="22"/>
        </w:rPr>
        <w:t xml:space="preserve">draft report to the </w:t>
      </w:r>
      <w:r w:rsidR="009A0E14" w:rsidRPr="00B5380E">
        <w:rPr>
          <w:sz w:val="22"/>
        </w:rPr>
        <w:t xml:space="preserve">concerned </w:t>
      </w:r>
      <w:r w:rsidRPr="00B5380E">
        <w:rPr>
          <w:sz w:val="22"/>
        </w:rPr>
        <w:t>department for response. A final report is the</w:t>
      </w:r>
      <w:r w:rsidR="009A0E14">
        <w:rPr>
          <w:sz w:val="22"/>
        </w:rPr>
        <w:t>n</w:t>
      </w:r>
      <w:r w:rsidRPr="00B5380E">
        <w:rPr>
          <w:sz w:val="22"/>
        </w:rPr>
        <w:t xml:space="preserve"> issued to the Audit Committee and copied to the Governor.</w:t>
      </w:r>
      <w:r w:rsidR="00E56226" w:rsidRPr="00B5380E">
        <w:rPr>
          <w:sz w:val="22"/>
        </w:rPr>
        <w:t xml:space="preserve"> </w:t>
      </w:r>
    </w:p>
    <w:p w14:paraId="1CD9651C" w14:textId="648A2E3E" w:rsidR="00381DE1" w:rsidRDefault="00381DE1" w:rsidP="00B5380E">
      <w:pPr>
        <w:pStyle w:val="TableStyle"/>
        <w:rPr>
          <w:color w:val="FF0000"/>
        </w:rPr>
      </w:pPr>
      <w:bookmarkStart w:id="110" w:name="_Toc532426109"/>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22</w:t>
      </w:r>
      <w:r w:rsidR="008B59A7">
        <w:rPr>
          <w:noProof/>
        </w:rPr>
        <w:fldChar w:fldCharType="end"/>
      </w:r>
      <w:r w:rsidR="000B4EB8">
        <w:t xml:space="preserve">: </w:t>
      </w:r>
      <w:r w:rsidRPr="00381DE1">
        <w:t>Table of risk index</w:t>
      </w:r>
      <w:bookmarkEnd w:id="110"/>
    </w:p>
    <w:tbl>
      <w:tblPr>
        <w:tblStyle w:val="table-style-blauw-070-none"/>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56"/>
        <w:gridCol w:w="1760"/>
        <w:gridCol w:w="3150"/>
      </w:tblGrid>
      <w:tr w:rsidR="0075704D" w:rsidRPr="00B5380E" w14:paraId="6BF1B7B7" w14:textId="77777777" w:rsidTr="00B5380E">
        <w:trPr>
          <w:cnfStyle w:val="100000000000" w:firstRow="1" w:lastRow="0" w:firstColumn="0" w:lastColumn="0" w:oddVBand="0" w:evenVBand="0" w:oddHBand="0" w:evenHBand="0" w:firstRowFirstColumn="0" w:firstRowLastColumn="0" w:lastRowFirstColumn="0" w:lastRowLastColumn="0"/>
          <w:tblHeader/>
        </w:trPr>
        <w:tc>
          <w:tcPr>
            <w:tcW w:w="335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02E14E0" w14:textId="77777777" w:rsidR="0075704D" w:rsidRPr="00B5380E" w:rsidRDefault="0075704D" w:rsidP="00B5380E">
            <w:pPr>
              <w:jc w:val="center"/>
              <w:rPr>
                <w:rFonts w:asciiTheme="minorHAnsi" w:hAnsiTheme="minorHAnsi"/>
                <w:sz w:val="20"/>
              </w:rPr>
            </w:pPr>
            <w:r w:rsidRPr="00B5380E">
              <w:rPr>
                <w:rFonts w:asciiTheme="minorHAnsi" w:hAnsiTheme="minorHAnsi"/>
                <w:sz w:val="20"/>
              </w:rPr>
              <w:t>Department</w:t>
            </w:r>
          </w:p>
        </w:tc>
        <w:tc>
          <w:tcPr>
            <w:tcW w:w="176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2E3B38F" w14:textId="77777777" w:rsidR="0075704D" w:rsidRPr="00B5380E" w:rsidRDefault="0075704D" w:rsidP="00B5380E">
            <w:pPr>
              <w:jc w:val="center"/>
              <w:rPr>
                <w:rFonts w:asciiTheme="minorHAnsi" w:hAnsiTheme="minorHAnsi"/>
                <w:sz w:val="20"/>
              </w:rPr>
            </w:pPr>
            <w:r w:rsidRPr="00B5380E">
              <w:rPr>
                <w:rFonts w:asciiTheme="minorHAnsi" w:hAnsiTheme="minorHAnsi"/>
                <w:sz w:val="20"/>
              </w:rPr>
              <w:t>Risk Index</w:t>
            </w:r>
          </w:p>
        </w:tc>
        <w:tc>
          <w:tcPr>
            <w:tcW w:w="315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46C5B27" w14:textId="3DF5DD42" w:rsidR="0075704D" w:rsidRPr="00B5380E" w:rsidRDefault="0075704D" w:rsidP="00B5380E">
            <w:pPr>
              <w:jc w:val="center"/>
              <w:rPr>
                <w:rFonts w:asciiTheme="minorHAnsi" w:hAnsiTheme="minorHAnsi"/>
                <w:sz w:val="20"/>
              </w:rPr>
            </w:pPr>
            <w:r w:rsidRPr="00B5380E">
              <w:rPr>
                <w:rFonts w:asciiTheme="minorHAnsi" w:hAnsiTheme="minorHAnsi"/>
                <w:sz w:val="20"/>
              </w:rPr>
              <w:t>No. of times audited in a year</w:t>
            </w:r>
          </w:p>
        </w:tc>
      </w:tr>
      <w:tr w:rsidR="0075704D" w:rsidRPr="00B5380E" w14:paraId="7C5553DC" w14:textId="77777777" w:rsidTr="00B5380E">
        <w:trPr>
          <w:cnfStyle w:val="000000100000" w:firstRow="0" w:lastRow="0" w:firstColumn="0" w:lastColumn="0" w:oddVBand="0" w:evenVBand="0" w:oddHBand="1" w:evenHBand="0" w:firstRowFirstColumn="0" w:firstRowLastColumn="0" w:lastRowFirstColumn="0" w:lastRowLastColumn="0"/>
        </w:trPr>
        <w:tc>
          <w:tcPr>
            <w:tcW w:w="3356" w:type="dxa"/>
            <w:tcBorders>
              <w:top w:val="none" w:sz="0" w:space="0" w:color="auto"/>
            </w:tcBorders>
            <w:hideMark/>
          </w:tcPr>
          <w:p w14:paraId="32864727" w14:textId="77777777" w:rsidR="0075704D" w:rsidRPr="00B5380E" w:rsidRDefault="0075704D" w:rsidP="0075704D">
            <w:pPr>
              <w:rPr>
                <w:rFonts w:asciiTheme="minorHAnsi" w:hAnsiTheme="minorHAnsi"/>
                <w:sz w:val="20"/>
              </w:rPr>
            </w:pPr>
            <w:r w:rsidRPr="00B5380E">
              <w:rPr>
                <w:rFonts w:asciiTheme="minorHAnsi" w:hAnsiTheme="minorHAnsi"/>
                <w:sz w:val="20"/>
              </w:rPr>
              <w:t>Revenue Department</w:t>
            </w:r>
          </w:p>
        </w:tc>
        <w:tc>
          <w:tcPr>
            <w:tcW w:w="1760" w:type="dxa"/>
            <w:tcBorders>
              <w:top w:val="none" w:sz="0" w:space="0" w:color="auto"/>
            </w:tcBorders>
            <w:hideMark/>
          </w:tcPr>
          <w:p w14:paraId="6464773C" w14:textId="77777777" w:rsidR="0075704D" w:rsidRPr="00B5380E" w:rsidRDefault="0075704D" w:rsidP="0075704D">
            <w:pPr>
              <w:rPr>
                <w:rFonts w:asciiTheme="minorHAnsi" w:hAnsiTheme="minorHAnsi"/>
                <w:sz w:val="20"/>
              </w:rPr>
            </w:pPr>
            <w:r w:rsidRPr="00B5380E">
              <w:rPr>
                <w:rFonts w:asciiTheme="minorHAnsi" w:hAnsiTheme="minorHAnsi"/>
                <w:sz w:val="20"/>
              </w:rPr>
              <w:t>High risk</w:t>
            </w:r>
          </w:p>
        </w:tc>
        <w:tc>
          <w:tcPr>
            <w:tcW w:w="3150" w:type="dxa"/>
            <w:tcBorders>
              <w:top w:val="none" w:sz="0" w:space="0" w:color="auto"/>
            </w:tcBorders>
            <w:hideMark/>
          </w:tcPr>
          <w:p w14:paraId="7D3F315A" w14:textId="3A0CE268" w:rsidR="0075704D" w:rsidRPr="00B5380E" w:rsidRDefault="009A0E14" w:rsidP="0075704D">
            <w:pPr>
              <w:rPr>
                <w:rFonts w:asciiTheme="minorHAnsi" w:hAnsiTheme="minorHAnsi"/>
                <w:sz w:val="20"/>
              </w:rPr>
            </w:pPr>
            <w:r>
              <w:rPr>
                <w:rFonts w:asciiTheme="minorHAnsi" w:hAnsiTheme="minorHAnsi"/>
                <w:sz w:val="20"/>
              </w:rPr>
              <w:t>Thrice</w:t>
            </w:r>
          </w:p>
        </w:tc>
      </w:tr>
      <w:tr w:rsidR="0075704D" w:rsidRPr="00B5380E" w14:paraId="499DC396" w14:textId="77777777" w:rsidTr="00B5380E">
        <w:trPr>
          <w:cnfStyle w:val="000000010000" w:firstRow="0" w:lastRow="0" w:firstColumn="0" w:lastColumn="0" w:oddVBand="0" w:evenVBand="0" w:oddHBand="0" w:evenHBand="1" w:firstRowFirstColumn="0" w:firstRowLastColumn="0" w:lastRowFirstColumn="0" w:lastRowLastColumn="0"/>
        </w:trPr>
        <w:tc>
          <w:tcPr>
            <w:tcW w:w="3356" w:type="dxa"/>
            <w:tcBorders>
              <w:top w:val="none" w:sz="0" w:space="0" w:color="auto"/>
            </w:tcBorders>
            <w:hideMark/>
          </w:tcPr>
          <w:p w14:paraId="578963FE" w14:textId="77777777" w:rsidR="0075704D" w:rsidRPr="00B5380E" w:rsidRDefault="0075704D" w:rsidP="0075704D">
            <w:pPr>
              <w:rPr>
                <w:rFonts w:asciiTheme="minorHAnsi" w:hAnsiTheme="minorHAnsi"/>
                <w:sz w:val="20"/>
              </w:rPr>
            </w:pPr>
            <w:r w:rsidRPr="00B5380E">
              <w:rPr>
                <w:rFonts w:asciiTheme="minorHAnsi" w:hAnsiTheme="minorHAnsi"/>
                <w:sz w:val="20"/>
              </w:rPr>
              <w:t>Accounts/Expenditure Department</w:t>
            </w:r>
          </w:p>
        </w:tc>
        <w:tc>
          <w:tcPr>
            <w:tcW w:w="1760" w:type="dxa"/>
            <w:tcBorders>
              <w:top w:val="none" w:sz="0" w:space="0" w:color="auto"/>
            </w:tcBorders>
            <w:hideMark/>
          </w:tcPr>
          <w:p w14:paraId="4CCDE801" w14:textId="77777777" w:rsidR="0075704D" w:rsidRPr="00B5380E" w:rsidRDefault="0075704D" w:rsidP="0075704D">
            <w:pPr>
              <w:rPr>
                <w:rFonts w:asciiTheme="minorHAnsi" w:hAnsiTheme="minorHAnsi"/>
                <w:sz w:val="20"/>
              </w:rPr>
            </w:pPr>
            <w:r w:rsidRPr="00B5380E">
              <w:rPr>
                <w:rFonts w:asciiTheme="minorHAnsi" w:hAnsiTheme="minorHAnsi"/>
                <w:sz w:val="20"/>
              </w:rPr>
              <w:t>Medium risk</w:t>
            </w:r>
          </w:p>
        </w:tc>
        <w:tc>
          <w:tcPr>
            <w:tcW w:w="3150" w:type="dxa"/>
            <w:tcBorders>
              <w:top w:val="none" w:sz="0" w:space="0" w:color="auto"/>
            </w:tcBorders>
            <w:hideMark/>
          </w:tcPr>
          <w:p w14:paraId="124A5B50" w14:textId="1B568F05" w:rsidR="0075704D" w:rsidRPr="00B5380E" w:rsidRDefault="009A0E14" w:rsidP="0075704D">
            <w:pPr>
              <w:rPr>
                <w:rFonts w:asciiTheme="minorHAnsi" w:hAnsiTheme="minorHAnsi"/>
                <w:sz w:val="20"/>
              </w:rPr>
            </w:pPr>
            <w:r>
              <w:rPr>
                <w:rFonts w:asciiTheme="minorHAnsi" w:hAnsiTheme="minorHAnsi"/>
                <w:sz w:val="20"/>
              </w:rPr>
              <w:t>Twice</w:t>
            </w:r>
          </w:p>
        </w:tc>
      </w:tr>
      <w:tr w:rsidR="0075704D" w:rsidRPr="00B5380E" w14:paraId="5C737C73" w14:textId="77777777" w:rsidTr="00B5380E">
        <w:trPr>
          <w:cnfStyle w:val="000000100000" w:firstRow="0" w:lastRow="0" w:firstColumn="0" w:lastColumn="0" w:oddVBand="0" w:evenVBand="0" w:oddHBand="1" w:evenHBand="0" w:firstRowFirstColumn="0" w:firstRowLastColumn="0" w:lastRowFirstColumn="0" w:lastRowLastColumn="0"/>
        </w:trPr>
        <w:tc>
          <w:tcPr>
            <w:tcW w:w="3356" w:type="dxa"/>
            <w:tcBorders>
              <w:top w:val="none" w:sz="0" w:space="0" w:color="auto"/>
            </w:tcBorders>
            <w:hideMark/>
          </w:tcPr>
          <w:p w14:paraId="75E92851" w14:textId="62B9611F" w:rsidR="0075704D" w:rsidRPr="00B5380E" w:rsidRDefault="0075704D" w:rsidP="0075704D">
            <w:pPr>
              <w:rPr>
                <w:rFonts w:asciiTheme="minorHAnsi" w:hAnsiTheme="minorHAnsi"/>
                <w:sz w:val="20"/>
              </w:rPr>
            </w:pPr>
            <w:r w:rsidRPr="00B5380E">
              <w:rPr>
                <w:rFonts w:asciiTheme="minorHAnsi" w:hAnsiTheme="minorHAnsi"/>
                <w:sz w:val="20"/>
              </w:rPr>
              <w:t xml:space="preserve">Procurement </w:t>
            </w:r>
            <w:r w:rsidR="009A0E14">
              <w:rPr>
                <w:rFonts w:asciiTheme="minorHAnsi" w:hAnsiTheme="minorHAnsi"/>
                <w:sz w:val="20"/>
              </w:rPr>
              <w:t xml:space="preserve">and </w:t>
            </w:r>
            <w:r w:rsidRPr="00B5380E">
              <w:rPr>
                <w:rFonts w:asciiTheme="minorHAnsi" w:hAnsiTheme="minorHAnsi"/>
                <w:sz w:val="20"/>
              </w:rPr>
              <w:t>Stores Department</w:t>
            </w:r>
          </w:p>
        </w:tc>
        <w:tc>
          <w:tcPr>
            <w:tcW w:w="1760" w:type="dxa"/>
            <w:tcBorders>
              <w:top w:val="none" w:sz="0" w:space="0" w:color="auto"/>
            </w:tcBorders>
            <w:hideMark/>
          </w:tcPr>
          <w:p w14:paraId="0CBCB440" w14:textId="77777777" w:rsidR="0075704D" w:rsidRPr="00B5380E" w:rsidRDefault="0075704D" w:rsidP="0075704D">
            <w:pPr>
              <w:rPr>
                <w:rFonts w:asciiTheme="minorHAnsi" w:hAnsiTheme="minorHAnsi"/>
                <w:sz w:val="20"/>
              </w:rPr>
            </w:pPr>
            <w:r w:rsidRPr="00B5380E">
              <w:rPr>
                <w:rFonts w:asciiTheme="minorHAnsi" w:hAnsiTheme="minorHAnsi"/>
                <w:sz w:val="20"/>
              </w:rPr>
              <w:t>Medium risk</w:t>
            </w:r>
          </w:p>
        </w:tc>
        <w:tc>
          <w:tcPr>
            <w:tcW w:w="3150" w:type="dxa"/>
            <w:tcBorders>
              <w:top w:val="none" w:sz="0" w:space="0" w:color="auto"/>
            </w:tcBorders>
            <w:hideMark/>
          </w:tcPr>
          <w:p w14:paraId="3E5BA270" w14:textId="7CCFC5D7" w:rsidR="0075704D" w:rsidRPr="00B5380E" w:rsidRDefault="009A0E14" w:rsidP="0075704D">
            <w:pPr>
              <w:rPr>
                <w:rFonts w:asciiTheme="minorHAnsi" w:hAnsiTheme="minorHAnsi"/>
                <w:sz w:val="20"/>
              </w:rPr>
            </w:pPr>
            <w:r>
              <w:rPr>
                <w:rFonts w:asciiTheme="minorHAnsi" w:hAnsiTheme="minorHAnsi"/>
                <w:sz w:val="20"/>
              </w:rPr>
              <w:t>Twice</w:t>
            </w:r>
            <w:r w:rsidR="0075704D" w:rsidRPr="00B5380E">
              <w:rPr>
                <w:rFonts w:asciiTheme="minorHAnsi" w:hAnsiTheme="minorHAnsi"/>
                <w:sz w:val="20"/>
              </w:rPr>
              <w:t xml:space="preserve"> </w:t>
            </w:r>
          </w:p>
        </w:tc>
      </w:tr>
      <w:tr w:rsidR="0075704D" w:rsidRPr="00B5380E" w14:paraId="66151F14" w14:textId="77777777" w:rsidTr="00B5380E">
        <w:trPr>
          <w:cnfStyle w:val="000000010000" w:firstRow="0" w:lastRow="0" w:firstColumn="0" w:lastColumn="0" w:oddVBand="0" w:evenVBand="0" w:oddHBand="0" w:evenHBand="1" w:firstRowFirstColumn="0" w:firstRowLastColumn="0" w:lastRowFirstColumn="0" w:lastRowLastColumn="0"/>
        </w:trPr>
        <w:tc>
          <w:tcPr>
            <w:tcW w:w="3356" w:type="dxa"/>
            <w:tcBorders>
              <w:top w:val="none" w:sz="0" w:space="0" w:color="auto"/>
            </w:tcBorders>
            <w:hideMark/>
          </w:tcPr>
          <w:p w14:paraId="4CE393FB" w14:textId="77777777" w:rsidR="0075704D" w:rsidRPr="00B5380E" w:rsidRDefault="0075704D" w:rsidP="0075704D">
            <w:pPr>
              <w:rPr>
                <w:rFonts w:asciiTheme="minorHAnsi" w:hAnsiTheme="minorHAnsi"/>
                <w:sz w:val="20"/>
              </w:rPr>
            </w:pPr>
            <w:r w:rsidRPr="00B5380E">
              <w:rPr>
                <w:rFonts w:asciiTheme="minorHAnsi" w:hAnsiTheme="minorHAnsi"/>
                <w:sz w:val="20"/>
              </w:rPr>
              <w:t>Roads Department</w:t>
            </w:r>
          </w:p>
        </w:tc>
        <w:tc>
          <w:tcPr>
            <w:tcW w:w="1760" w:type="dxa"/>
            <w:tcBorders>
              <w:top w:val="none" w:sz="0" w:space="0" w:color="auto"/>
            </w:tcBorders>
            <w:hideMark/>
          </w:tcPr>
          <w:p w14:paraId="51B0D209"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Low risk </w:t>
            </w:r>
          </w:p>
        </w:tc>
        <w:tc>
          <w:tcPr>
            <w:tcW w:w="3150" w:type="dxa"/>
            <w:tcBorders>
              <w:top w:val="none" w:sz="0" w:space="0" w:color="auto"/>
            </w:tcBorders>
            <w:hideMark/>
          </w:tcPr>
          <w:p w14:paraId="0776728C"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Once </w:t>
            </w:r>
          </w:p>
        </w:tc>
      </w:tr>
      <w:tr w:rsidR="0075704D" w:rsidRPr="00B5380E" w14:paraId="312A2A34" w14:textId="77777777" w:rsidTr="00B5380E">
        <w:trPr>
          <w:cnfStyle w:val="000000100000" w:firstRow="0" w:lastRow="0" w:firstColumn="0" w:lastColumn="0" w:oddVBand="0" w:evenVBand="0" w:oddHBand="1" w:evenHBand="0" w:firstRowFirstColumn="0" w:firstRowLastColumn="0" w:lastRowFirstColumn="0" w:lastRowLastColumn="0"/>
        </w:trPr>
        <w:tc>
          <w:tcPr>
            <w:tcW w:w="3356" w:type="dxa"/>
            <w:tcBorders>
              <w:top w:val="none" w:sz="0" w:space="0" w:color="auto"/>
            </w:tcBorders>
            <w:hideMark/>
          </w:tcPr>
          <w:p w14:paraId="2A47608F" w14:textId="77777777" w:rsidR="0075704D" w:rsidRPr="00B5380E" w:rsidRDefault="0075704D" w:rsidP="0075704D">
            <w:pPr>
              <w:rPr>
                <w:rFonts w:asciiTheme="minorHAnsi" w:hAnsiTheme="minorHAnsi"/>
                <w:sz w:val="20"/>
              </w:rPr>
            </w:pPr>
            <w:r w:rsidRPr="00B5380E">
              <w:rPr>
                <w:rFonts w:asciiTheme="minorHAnsi" w:hAnsiTheme="minorHAnsi"/>
                <w:sz w:val="20"/>
              </w:rPr>
              <w:t>Public Works Department</w:t>
            </w:r>
          </w:p>
        </w:tc>
        <w:tc>
          <w:tcPr>
            <w:tcW w:w="1760" w:type="dxa"/>
            <w:tcBorders>
              <w:top w:val="none" w:sz="0" w:space="0" w:color="auto"/>
            </w:tcBorders>
            <w:hideMark/>
          </w:tcPr>
          <w:p w14:paraId="0F501788"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Low </w:t>
            </w:r>
          </w:p>
        </w:tc>
        <w:tc>
          <w:tcPr>
            <w:tcW w:w="3150" w:type="dxa"/>
            <w:tcBorders>
              <w:top w:val="none" w:sz="0" w:space="0" w:color="auto"/>
            </w:tcBorders>
            <w:hideMark/>
          </w:tcPr>
          <w:p w14:paraId="0EA37E1F"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Once </w:t>
            </w:r>
          </w:p>
        </w:tc>
      </w:tr>
      <w:tr w:rsidR="0075704D" w:rsidRPr="00B5380E" w14:paraId="768132A9" w14:textId="77777777" w:rsidTr="00B5380E">
        <w:trPr>
          <w:cnfStyle w:val="000000010000" w:firstRow="0" w:lastRow="0" w:firstColumn="0" w:lastColumn="0" w:oddVBand="0" w:evenVBand="0" w:oddHBand="0" w:evenHBand="1" w:firstRowFirstColumn="0" w:firstRowLastColumn="0" w:lastRowFirstColumn="0" w:lastRowLastColumn="0"/>
        </w:trPr>
        <w:tc>
          <w:tcPr>
            <w:tcW w:w="3356" w:type="dxa"/>
            <w:tcBorders>
              <w:top w:val="none" w:sz="0" w:space="0" w:color="auto"/>
            </w:tcBorders>
            <w:hideMark/>
          </w:tcPr>
          <w:p w14:paraId="10B0818B" w14:textId="77777777" w:rsidR="0075704D" w:rsidRPr="00B5380E" w:rsidRDefault="0075704D" w:rsidP="0075704D">
            <w:pPr>
              <w:rPr>
                <w:rFonts w:asciiTheme="minorHAnsi" w:hAnsiTheme="minorHAnsi"/>
                <w:sz w:val="20"/>
              </w:rPr>
            </w:pPr>
            <w:r w:rsidRPr="00B5380E">
              <w:rPr>
                <w:rFonts w:asciiTheme="minorHAnsi" w:hAnsiTheme="minorHAnsi"/>
                <w:sz w:val="20"/>
              </w:rPr>
              <w:t>Water Department</w:t>
            </w:r>
          </w:p>
        </w:tc>
        <w:tc>
          <w:tcPr>
            <w:tcW w:w="1760" w:type="dxa"/>
            <w:tcBorders>
              <w:top w:val="none" w:sz="0" w:space="0" w:color="auto"/>
            </w:tcBorders>
            <w:hideMark/>
          </w:tcPr>
          <w:p w14:paraId="5E666C50"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Low </w:t>
            </w:r>
          </w:p>
        </w:tc>
        <w:tc>
          <w:tcPr>
            <w:tcW w:w="3150" w:type="dxa"/>
            <w:tcBorders>
              <w:top w:val="none" w:sz="0" w:space="0" w:color="auto"/>
            </w:tcBorders>
            <w:hideMark/>
          </w:tcPr>
          <w:p w14:paraId="1A562975"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Once </w:t>
            </w:r>
          </w:p>
        </w:tc>
      </w:tr>
      <w:tr w:rsidR="0075704D" w:rsidRPr="00B5380E" w14:paraId="51981FB3" w14:textId="77777777" w:rsidTr="00B5380E">
        <w:trPr>
          <w:cnfStyle w:val="000000100000" w:firstRow="0" w:lastRow="0" w:firstColumn="0" w:lastColumn="0" w:oddVBand="0" w:evenVBand="0" w:oddHBand="1" w:evenHBand="0" w:firstRowFirstColumn="0" w:firstRowLastColumn="0" w:lastRowFirstColumn="0" w:lastRowLastColumn="0"/>
        </w:trPr>
        <w:tc>
          <w:tcPr>
            <w:tcW w:w="3356" w:type="dxa"/>
            <w:tcBorders>
              <w:top w:val="none" w:sz="0" w:space="0" w:color="auto"/>
            </w:tcBorders>
            <w:hideMark/>
          </w:tcPr>
          <w:p w14:paraId="61BF5F4B" w14:textId="77777777" w:rsidR="0075704D" w:rsidRPr="00B5380E" w:rsidRDefault="0075704D" w:rsidP="0075704D">
            <w:pPr>
              <w:rPr>
                <w:rFonts w:asciiTheme="minorHAnsi" w:hAnsiTheme="minorHAnsi"/>
                <w:sz w:val="20"/>
              </w:rPr>
            </w:pPr>
            <w:r w:rsidRPr="00B5380E">
              <w:rPr>
                <w:rFonts w:asciiTheme="minorHAnsi" w:hAnsiTheme="minorHAnsi"/>
                <w:sz w:val="20"/>
              </w:rPr>
              <w:t>Health Services Department</w:t>
            </w:r>
          </w:p>
        </w:tc>
        <w:tc>
          <w:tcPr>
            <w:tcW w:w="1760" w:type="dxa"/>
            <w:tcBorders>
              <w:top w:val="none" w:sz="0" w:space="0" w:color="auto"/>
            </w:tcBorders>
            <w:hideMark/>
          </w:tcPr>
          <w:p w14:paraId="05B7A81A"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Low </w:t>
            </w:r>
          </w:p>
        </w:tc>
        <w:tc>
          <w:tcPr>
            <w:tcW w:w="3150" w:type="dxa"/>
            <w:tcBorders>
              <w:top w:val="none" w:sz="0" w:space="0" w:color="auto"/>
            </w:tcBorders>
            <w:hideMark/>
          </w:tcPr>
          <w:p w14:paraId="71B8977A"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Once </w:t>
            </w:r>
          </w:p>
        </w:tc>
      </w:tr>
      <w:tr w:rsidR="0075704D" w:rsidRPr="00B5380E" w14:paraId="5FFFEBD4" w14:textId="77777777" w:rsidTr="00B5380E">
        <w:trPr>
          <w:cnfStyle w:val="000000010000" w:firstRow="0" w:lastRow="0" w:firstColumn="0" w:lastColumn="0" w:oddVBand="0" w:evenVBand="0" w:oddHBand="0" w:evenHBand="1" w:firstRowFirstColumn="0" w:firstRowLastColumn="0" w:lastRowFirstColumn="0" w:lastRowLastColumn="0"/>
        </w:trPr>
        <w:tc>
          <w:tcPr>
            <w:tcW w:w="3356" w:type="dxa"/>
            <w:tcBorders>
              <w:top w:val="none" w:sz="0" w:space="0" w:color="auto"/>
            </w:tcBorders>
            <w:hideMark/>
          </w:tcPr>
          <w:p w14:paraId="5F7546A9" w14:textId="77777777" w:rsidR="0075704D" w:rsidRPr="00B5380E" w:rsidRDefault="0075704D" w:rsidP="0075704D">
            <w:pPr>
              <w:rPr>
                <w:rFonts w:asciiTheme="minorHAnsi" w:hAnsiTheme="minorHAnsi"/>
                <w:sz w:val="20"/>
              </w:rPr>
            </w:pPr>
            <w:r w:rsidRPr="00B5380E">
              <w:rPr>
                <w:rFonts w:asciiTheme="minorHAnsi" w:hAnsiTheme="minorHAnsi"/>
                <w:sz w:val="20"/>
              </w:rPr>
              <w:t>County Public Service Board</w:t>
            </w:r>
          </w:p>
        </w:tc>
        <w:tc>
          <w:tcPr>
            <w:tcW w:w="1760" w:type="dxa"/>
            <w:tcBorders>
              <w:top w:val="none" w:sz="0" w:space="0" w:color="auto"/>
            </w:tcBorders>
            <w:hideMark/>
          </w:tcPr>
          <w:p w14:paraId="3124A2E1"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Low </w:t>
            </w:r>
          </w:p>
        </w:tc>
        <w:tc>
          <w:tcPr>
            <w:tcW w:w="3150" w:type="dxa"/>
            <w:tcBorders>
              <w:top w:val="none" w:sz="0" w:space="0" w:color="auto"/>
            </w:tcBorders>
            <w:hideMark/>
          </w:tcPr>
          <w:p w14:paraId="65895147"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Once </w:t>
            </w:r>
          </w:p>
        </w:tc>
      </w:tr>
      <w:tr w:rsidR="0075704D" w:rsidRPr="00B5380E" w14:paraId="3E5DBD60" w14:textId="77777777" w:rsidTr="00B5380E">
        <w:trPr>
          <w:cnfStyle w:val="000000100000" w:firstRow="0" w:lastRow="0" w:firstColumn="0" w:lastColumn="0" w:oddVBand="0" w:evenVBand="0" w:oddHBand="1" w:evenHBand="0" w:firstRowFirstColumn="0" w:firstRowLastColumn="0" w:lastRowFirstColumn="0" w:lastRowLastColumn="0"/>
        </w:trPr>
        <w:tc>
          <w:tcPr>
            <w:tcW w:w="3356" w:type="dxa"/>
            <w:tcBorders>
              <w:top w:val="none" w:sz="0" w:space="0" w:color="auto"/>
            </w:tcBorders>
            <w:hideMark/>
          </w:tcPr>
          <w:p w14:paraId="4341FE52" w14:textId="77777777" w:rsidR="0075704D" w:rsidRPr="00B5380E" w:rsidRDefault="0075704D" w:rsidP="0075704D">
            <w:pPr>
              <w:rPr>
                <w:rFonts w:asciiTheme="minorHAnsi" w:hAnsiTheme="minorHAnsi"/>
                <w:sz w:val="20"/>
              </w:rPr>
            </w:pPr>
            <w:r w:rsidRPr="00B5380E">
              <w:rPr>
                <w:rFonts w:asciiTheme="minorHAnsi" w:hAnsiTheme="minorHAnsi"/>
                <w:sz w:val="20"/>
              </w:rPr>
              <w:t>Emergency Fund</w:t>
            </w:r>
          </w:p>
        </w:tc>
        <w:tc>
          <w:tcPr>
            <w:tcW w:w="1760" w:type="dxa"/>
            <w:tcBorders>
              <w:top w:val="none" w:sz="0" w:space="0" w:color="auto"/>
            </w:tcBorders>
            <w:hideMark/>
          </w:tcPr>
          <w:p w14:paraId="55C66415"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Low </w:t>
            </w:r>
          </w:p>
        </w:tc>
        <w:tc>
          <w:tcPr>
            <w:tcW w:w="3150" w:type="dxa"/>
            <w:tcBorders>
              <w:top w:val="none" w:sz="0" w:space="0" w:color="auto"/>
            </w:tcBorders>
            <w:hideMark/>
          </w:tcPr>
          <w:p w14:paraId="36FA60BB"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Once </w:t>
            </w:r>
          </w:p>
        </w:tc>
      </w:tr>
      <w:tr w:rsidR="0075704D" w:rsidRPr="00B5380E" w14:paraId="04C78A4F" w14:textId="77777777" w:rsidTr="00B5380E">
        <w:trPr>
          <w:cnfStyle w:val="000000010000" w:firstRow="0" w:lastRow="0" w:firstColumn="0" w:lastColumn="0" w:oddVBand="0" w:evenVBand="0" w:oddHBand="0" w:evenHBand="1" w:firstRowFirstColumn="0" w:firstRowLastColumn="0" w:lastRowFirstColumn="0" w:lastRowLastColumn="0"/>
        </w:trPr>
        <w:tc>
          <w:tcPr>
            <w:tcW w:w="3356" w:type="dxa"/>
            <w:tcBorders>
              <w:top w:val="none" w:sz="0" w:space="0" w:color="auto"/>
            </w:tcBorders>
            <w:hideMark/>
          </w:tcPr>
          <w:p w14:paraId="2DF210D6" w14:textId="77777777" w:rsidR="0075704D" w:rsidRPr="00B5380E" w:rsidRDefault="0075704D" w:rsidP="0075704D">
            <w:pPr>
              <w:rPr>
                <w:rFonts w:asciiTheme="minorHAnsi" w:hAnsiTheme="minorHAnsi"/>
                <w:sz w:val="20"/>
              </w:rPr>
            </w:pPr>
            <w:r w:rsidRPr="00B5380E">
              <w:rPr>
                <w:rFonts w:asciiTheme="minorHAnsi" w:hAnsiTheme="minorHAnsi"/>
                <w:sz w:val="20"/>
              </w:rPr>
              <w:t>Bursary Fund</w:t>
            </w:r>
          </w:p>
        </w:tc>
        <w:tc>
          <w:tcPr>
            <w:tcW w:w="1760" w:type="dxa"/>
            <w:tcBorders>
              <w:top w:val="none" w:sz="0" w:space="0" w:color="auto"/>
            </w:tcBorders>
            <w:hideMark/>
          </w:tcPr>
          <w:p w14:paraId="3A7CA3FB"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Low </w:t>
            </w:r>
          </w:p>
        </w:tc>
        <w:tc>
          <w:tcPr>
            <w:tcW w:w="3150" w:type="dxa"/>
            <w:tcBorders>
              <w:top w:val="none" w:sz="0" w:space="0" w:color="auto"/>
            </w:tcBorders>
            <w:hideMark/>
          </w:tcPr>
          <w:p w14:paraId="5AAB9D89" w14:textId="77777777" w:rsidR="0075704D" w:rsidRPr="00B5380E" w:rsidRDefault="0075704D" w:rsidP="0075704D">
            <w:pPr>
              <w:rPr>
                <w:rFonts w:asciiTheme="minorHAnsi" w:hAnsiTheme="minorHAnsi"/>
                <w:sz w:val="20"/>
              </w:rPr>
            </w:pPr>
            <w:r w:rsidRPr="00B5380E">
              <w:rPr>
                <w:rFonts w:asciiTheme="minorHAnsi" w:hAnsiTheme="minorHAnsi"/>
                <w:sz w:val="20"/>
              </w:rPr>
              <w:t xml:space="preserve">Once </w:t>
            </w:r>
          </w:p>
        </w:tc>
      </w:tr>
    </w:tbl>
    <w:p w14:paraId="10314D49" w14:textId="16FFFAD0" w:rsidR="006F0846" w:rsidRPr="00B5380E" w:rsidRDefault="00F5429C" w:rsidP="00B5380E">
      <w:pPr>
        <w:spacing w:before="240" w:after="240"/>
        <w:rPr>
          <w:sz w:val="22"/>
        </w:rPr>
      </w:pPr>
      <w:r w:rsidRPr="00B5380E">
        <w:rPr>
          <w:sz w:val="22"/>
        </w:rPr>
        <w:t>In summary, a</w:t>
      </w:r>
      <w:r w:rsidR="0075704D" w:rsidRPr="00B5380E">
        <w:rPr>
          <w:sz w:val="22"/>
        </w:rPr>
        <w:t>udits were conducted</w:t>
      </w:r>
      <w:r w:rsidR="00EB15D6" w:rsidRPr="00B5380E">
        <w:rPr>
          <w:sz w:val="22"/>
        </w:rPr>
        <w:t>. N</w:t>
      </w:r>
      <w:r w:rsidR="0075704D" w:rsidRPr="00B5380E">
        <w:rPr>
          <w:sz w:val="22"/>
        </w:rPr>
        <w:t xml:space="preserve">o quality assurance process showing that internal audit activities are focused on evaluations of the adequacy and effectiveness of internal controls was disclosed. </w:t>
      </w:r>
    </w:p>
    <w:p w14:paraId="1DF85FB4" w14:textId="7545BB4D" w:rsidR="006F0846" w:rsidRPr="00B5380E" w:rsidRDefault="006F0846" w:rsidP="00B5380E">
      <w:pPr>
        <w:spacing w:after="240"/>
        <w:rPr>
          <w:b/>
          <w:sz w:val="22"/>
        </w:rPr>
      </w:pPr>
      <w:r w:rsidRPr="00B5380E">
        <w:rPr>
          <w:b/>
          <w:sz w:val="22"/>
        </w:rPr>
        <w:t>Dimension rating = C</w:t>
      </w:r>
    </w:p>
    <w:p w14:paraId="1975C78B" w14:textId="77777777" w:rsidR="000F7333" w:rsidRPr="00890A84" w:rsidRDefault="00612DBE" w:rsidP="00BA6B2B">
      <w:pPr>
        <w:pStyle w:val="Heading5"/>
      </w:pPr>
      <w:r w:rsidRPr="00890A84">
        <w:t>PI-</w:t>
      </w:r>
      <w:r w:rsidR="000F7333" w:rsidRPr="00890A84">
        <w:t xml:space="preserve">26.3. Implementation of internal audits and reporting </w:t>
      </w:r>
    </w:p>
    <w:p w14:paraId="25E82AB3" w14:textId="16671EC1" w:rsidR="008E3C95" w:rsidRPr="00B5380E" w:rsidRDefault="00B26CE9" w:rsidP="00B5380E">
      <w:pPr>
        <w:spacing w:after="240"/>
        <w:rPr>
          <w:sz w:val="22"/>
        </w:rPr>
      </w:pPr>
      <w:r w:rsidRPr="00B5380E">
        <w:rPr>
          <w:sz w:val="22"/>
        </w:rPr>
        <w:t>T</w:t>
      </w:r>
      <w:r w:rsidR="000F7333" w:rsidRPr="00B5380E">
        <w:rPr>
          <w:sz w:val="22"/>
        </w:rPr>
        <w:t xml:space="preserve">he </w:t>
      </w:r>
      <w:r w:rsidR="009A0E14">
        <w:rPr>
          <w:sz w:val="22"/>
        </w:rPr>
        <w:t>D</w:t>
      </w:r>
      <w:r w:rsidR="000F7333" w:rsidRPr="00B5380E">
        <w:rPr>
          <w:sz w:val="22"/>
        </w:rPr>
        <w:t xml:space="preserve">irectorate of </w:t>
      </w:r>
      <w:r w:rsidR="009A0E14">
        <w:rPr>
          <w:sz w:val="22"/>
        </w:rPr>
        <w:t>I</w:t>
      </w:r>
      <w:r w:rsidR="000F7333" w:rsidRPr="00B5380E">
        <w:rPr>
          <w:sz w:val="22"/>
        </w:rPr>
        <w:t xml:space="preserve">nternal </w:t>
      </w:r>
      <w:r w:rsidR="009A0E14">
        <w:rPr>
          <w:sz w:val="22"/>
        </w:rPr>
        <w:t>A</w:t>
      </w:r>
      <w:r w:rsidR="000F7333" w:rsidRPr="00B5380E">
        <w:rPr>
          <w:sz w:val="22"/>
        </w:rPr>
        <w:t xml:space="preserve">udit </w:t>
      </w:r>
      <w:r w:rsidRPr="00B5380E">
        <w:rPr>
          <w:sz w:val="22"/>
        </w:rPr>
        <w:t xml:space="preserve">of the County Executive </w:t>
      </w:r>
      <w:r w:rsidR="000F7333" w:rsidRPr="00B5380E">
        <w:rPr>
          <w:sz w:val="22"/>
        </w:rPr>
        <w:t xml:space="preserve">planned to conduct 11 audits in </w:t>
      </w:r>
      <w:r w:rsidRPr="00B5380E">
        <w:rPr>
          <w:sz w:val="22"/>
        </w:rPr>
        <w:t xml:space="preserve">FY2015/16 and managed to conduct </w:t>
      </w:r>
      <w:r w:rsidR="000F7333" w:rsidRPr="00B5380E">
        <w:rPr>
          <w:sz w:val="22"/>
        </w:rPr>
        <w:t>8 audits</w:t>
      </w:r>
      <w:r w:rsidR="00754B33" w:rsidRPr="00B5380E">
        <w:rPr>
          <w:sz w:val="22"/>
        </w:rPr>
        <w:t>.</w:t>
      </w:r>
      <w:r w:rsidR="008E3C95" w:rsidRPr="00B5380E">
        <w:rPr>
          <w:sz w:val="22"/>
        </w:rPr>
        <w:t xml:space="preserve"> The percentage of audit </w:t>
      </w:r>
      <w:r w:rsidR="00E53D18">
        <w:rPr>
          <w:sz w:val="22"/>
        </w:rPr>
        <w:t xml:space="preserve">completion </w:t>
      </w:r>
      <w:r w:rsidR="008E3C95" w:rsidRPr="00B5380E">
        <w:rPr>
          <w:sz w:val="22"/>
        </w:rPr>
        <w:t>was 73</w:t>
      </w:r>
      <w:r w:rsidR="009A0E14">
        <w:rPr>
          <w:sz w:val="22"/>
        </w:rPr>
        <w:t xml:space="preserve"> percent</w:t>
      </w:r>
      <w:r w:rsidR="008E3C95" w:rsidRPr="00B5380E">
        <w:rPr>
          <w:sz w:val="22"/>
        </w:rPr>
        <w:t>.</w:t>
      </w:r>
    </w:p>
    <w:p w14:paraId="593FF0CA" w14:textId="0D13969A" w:rsidR="008E3C95" w:rsidRDefault="008E3C95" w:rsidP="00B5380E">
      <w:pPr>
        <w:pStyle w:val="TableStyle"/>
      </w:pPr>
      <w:bookmarkStart w:id="111" w:name="_Toc532426110"/>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23</w:t>
      </w:r>
      <w:r w:rsidR="008B59A7">
        <w:rPr>
          <w:noProof/>
        </w:rPr>
        <w:fldChar w:fldCharType="end"/>
      </w:r>
      <w:r>
        <w:t>: Planed and reali</w:t>
      </w:r>
      <w:r w:rsidR="009D21FC">
        <w:t>z</w:t>
      </w:r>
      <w:r>
        <w:t>ed audits of the County Executive in 2015/16</w:t>
      </w:r>
      <w:bookmarkEnd w:id="111"/>
    </w:p>
    <w:tbl>
      <w:tblPr>
        <w:tblStyle w:val="table-style-blauw-070-none"/>
        <w:tblW w:w="1036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58"/>
        <w:gridCol w:w="4747"/>
        <w:gridCol w:w="90"/>
        <w:gridCol w:w="1530"/>
        <w:gridCol w:w="1710"/>
        <w:gridCol w:w="1733"/>
      </w:tblGrid>
      <w:tr w:rsidR="008E3C95" w:rsidRPr="00B5380E" w14:paraId="554D6824" w14:textId="77777777" w:rsidTr="009A0E14">
        <w:trPr>
          <w:cnfStyle w:val="100000000000" w:firstRow="1" w:lastRow="0" w:firstColumn="0" w:lastColumn="0" w:oddVBand="0" w:evenVBand="0" w:oddHBand="0" w:evenHBand="0" w:firstRowFirstColumn="0" w:firstRowLastColumn="0" w:lastRowFirstColumn="0" w:lastRowLastColumn="0"/>
        </w:trPr>
        <w:tc>
          <w:tcPr>
            <w:tcW w:w="5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EA43A8" w14:textId="77777777" w:rsidR="008E3C95" w:rsidRPr="00B5380E" w:rsidRDefault="008E3C95" w:rsidP="00B5380E">
            <w:pPr>
              <w:autoSpaceDE w:val="0"/>
              <w:autoSpaceDN w:val="0"/>
              <w:adjustRightInd w:val="0"/>
              <w:spacing w:line="240" w:lineRule="auto"/>
              <w:jc w:val="center"/>
              <w:rPr>
                <w:rFonts w:asciiTheme="minorHAnsi" w:hAnsiTheme="minorHAnsi" w:cs="Times New Roman"/>
                <w:color w:val="FFFFFF" w:themeColor="background1"/>
                <w:sz w:val="20"/>
                <w:szCs w:val="20"/>
              </w:rPr>
            </w:pPr>
          </w:p>
        </w:tc>
        <w:tc>
          <w:tcPr>
            <w:tcW w:w="474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C3250C2" w14:textId="08CCC457" w:rsidR="008E3C95" w:rsidRPr="00B5380E" w:rsidRDefault="008E3C95" w:rsidP="00B5380E">
            <w:pPr>
              <w:autoSpaceDE w:val="0"/>
              <w:autoSpaceDN w:val="0"/>
              <w:adjustRightInd w:val="0"/>
              <w:spacing w:line="240" w:lineRule="auto"/>
              <w:jc w:val="center"/>
              <w:rPr>
                <w:rFonts w:asciiTheme="minorHAnsi" w:hAnsiTheme="minorHAnsi"/>
                <w:color w:val="FFFFFF" w:themeColor="background1"/>
                <w:sz w:val="20"/>
                <w:szCs w:val="20"/>
              </w:rPr>
            </w:pPr>
            <w:r w:rsidRPr="00B5380E">
              <w:rPr>
                <w:rFonts w:asciiTheme="minorHAnsi" w:hAnsiTheme="minorHAnsi"/>
                <w:color w:val="FFFFFF" w:themeColor="background1"/>
                <w:sz w:val="20"/>
                <w:szCs w:val="20"/>
              </w:rPr>
              <w:t>Planned audits</w:t>
            </w:r>
          </w:p>
        </w:tc>
        <w:tc>
          <w:tcPr>
            <w:tcW w:w="162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150FC50" w14:textId="77777777" w:rsidR="008E3C95" w:rsidRPr="00B5380E" w:rsidRDefault="008E3C95" w:rsidP="00B5380E">
            <w:pPr>
              <w:autoSpaceDE w:val="0"/>
              <w:autoSpaceDN w:val="0"/>
              <w:adjustRightInd w:val="0"/>
              <w:spacing w:line="240" w:lineRule="auto"/>
              <w:jc w:val="center"/>
              <w:rPr>
                <w:rFonts w:asciiTheme="minorHAnsi" w:hAnsiTheme="minorHAnsi"/>
                <w:color w:val="FFFFFF" w:themeColor="background1"/>
                <w:sz w:val="20"/>
                <w:szCs w:val="20"/>
              </w:rPr>
            </w:pPr>
            <w:r w:rsidRPr="00B5380E">
              <w:rPr>
                <w:rFonts w:asciiTheme="minorHAnsi" w:hAnsiTheme="minorHAnsi"/>
                <w:color w:val="FFFFFF" w:themeColor="background1"/>
                <w:sz w:val="20"/>
                <w:szCs w:val="20"/>
              </w:rPr>
              <w:t>Audits concluded (Y/N)</w:t>
            </w:r>
          </w:p>
        </w:tc>
        <w:tc>
          <w:tcPr>
            <w:tcW w:w="171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AEC8119" w14:textId="77777777" w:rsidR="008E3C95" w:rsidRPr="00B5380E" w:rsidRDefault="008E3C95" w:rsidP="00B5380E">
            <w:pPr>
              <w:autoSpaceDE w:val="0"/>
              <w:autoSpaceDN w:val="0"/>
              <w:adjustRightInd w:val="0"/>
              <w:spacing w:line="240" w:lineRule="auto"/>
              <w:jc w:val="center"/>
              <w:rPr>
                <w:rFonts w:asciiTheme="minorHAnsi" w:hAnsiTheme="minorHAnsi"/>
                <w:color w:val="FFFFFF" w:themeColor="background1"/>
                <w:sz w:val="20"/>
                <w:szCs w:val="20"/>
              </w:rPr>
            </w:pPr>
            <w:r w:rsidRPr="00B5380E">
              <w:rPr>
                <w:rFonts w:asciiTheme="minorHAnsi" w:hAnsiTheme="minorHAnsi"/>
                <w:color w:val="FFFFFF" w:themeColor="background1"/>
                <w:sz w:val="20"/>
                <w:szCs w:val="20"/>
              </w:rPr>
              <w:t>Reports released to management</w:t>
            </w:r>
          </w:p>
          <w:p w14:paraId="6E21759E" w14:textId="3294E9AA" w:rsidR="008E3C95" w:rsidRPr="00B5380E" w:rsidRDefault="008E3C95" w:rsidP="00B5380E">
            <w:pPr>
              <w:autoSpaceDE w:val="0"/>
              <w:autoSpaceDN w:val="0"/>
              <w:adjustRightInd w:val="0"/>
              <w:spacing w:line="240" w:lineRule="auto"/>
              <w:jc w:val="center"/>
              <w:rPr>
                <w:rFonts w:asciiTheme="minorHAnsi" w:hAnsiTheme="minorHAnsi"/>
                <w:color w:val="FFFFFF" w:themeColor="background1"/>
                <w:sz w:val="20"/>
                <w:szCs w:val="20"/>
              </w:rPr>
            </w:pPr>
            <w:r w:rsidRPr="00B5380E">
              <w:rPr>
                <w:rFonts w:asciiTheme="minorHAnsi" w:hAnsiTheme="minorHAnsi"/>
                <w:color w:val="FFFFFF" w:themeColor="background1"/>
                <w:sz w:val="20"/>
                <w:szCs w:val="20"/>
              </w:rPr>
              <w:t>(Y/N)</w:t>
            </w:r>
          </w:p>
        </w:tc>
        <w:tc>
          <w:tcPr>
            <w:tcW w:w="173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4AA30ED" w14:textId="15D4F11B" w:rsidR="008E3C95" w:rsidRPr="00B5380E" w:rsidRDefault="008E3C95" w:rsidP="00B5380E">
            <w:pPr>
              <w:autoSpaceDE w:val="0"/>
              <w:autoSpaceDN w:val="0"/>
              <w:adjustRightInd w:val="0"/>
              <w:spacing w:line="240" w:lineRule="auto"/>
              <w:jc w:val="center"/>
              <w:rPr>
                <w:rFonts w:asciiTheme="minorHAnsi" w:hAnsiTheme="minorHAnsi"/>
                <w:color w:val="FFFFFF" w:themeColor="background1"/>
                <w:sz w:val="20"/>
                <w:szCs w:val="20"/>
              </w:rPr>
            </w:pPr>
            <w:r w:rsidRPr="00B5380E">
              <w:rPr>
                <w:rFonts w:asciiTheme="minorHAnsi" w:hAnsiTheme="minorHAnsi"/>
                <w:color w:val="FFFFFF" w:themeColor="background1"/>
                <w:sz w:val="20"/>
                <w:szCs w:val="20"/>
              </w:rPr>
              <w:t>Management response received</w:t>
            </w:r>
          </w:p>
          <w:p w14:paraId="6023B7C2" w14:textId="77777777" w:rsidR="008E3C95" w:rsidRPr="00B5380E" w:rsidRDefault="008E3C95" w:rsidP="00B5380E">
            <w:pPr>
              <w:autoSpaceDE w:val="0"/>
              <w:autoSpaceDN w:val="0"/>
              <w:adjustRightInd w:val="0"/>
              <w:spacing w:line="240" w:lineRule="auto"/>
              <w:jc w:val="center"/>
              <w:rPr>
                <w:rFonts w:asciiTheme="minorHAnsi" w:hAnsiTheme="minorHAnsi"/>
                <w:color w:val="FFFFFF" w:themeColor="background1"/>
                <w:sz w:val="20"/>
                <w:szCs w:val="20"/>
              </w:rPr>
            </w:pPr>
            <w:r w:rsidRPr="00B5380E">
              <w:rPr>
                <w:rFonts w:asciiTheme="minorHAnsi" w:hAnsiTheme="minorHAnsi"/>
                <w:color w:val="FFFFFF" w:themeColor="background1"/>
                <w:sz w:val="20"/>
                <w:szCs w:val="20"/>
              </w:rPr>
              <w:t>(Y/N)</w:t>
            </w:r>
          </w:p>
        </w:tc>
      </w:tr>
      <w:tr w:rsidR="008E3C95" w:rsidRPr="00B5380E" w14:paraId="674D30DA" w14:textId="77777777" w:rsidTr="009A0E14">
        <w:trPr>
          <w:cnfStyle w:val="000000100000" w:firstRow="0" w:lastRow="0" w:firstColumn="0" w:lastColumn="0" w:oddVBand="0" w:evenVBand="0" w:oddHBand="1" w:evenHBand="0" w:firstRowFirstColumn="0" w:firstRowLastColumn="0" w:lastRowFirstColumn="0" w:lastRowLastColumn="0"/>
        </w:trPr>
        <w:tc>
          <w:tcPr>
            <w:tcW w:w="558" w:type="dxa"/>
            <w:tcBorders>
              <w:top w:val="none" w:sz="0" w:space="0" w:color="auto"/>
            </w:tcBorders>
            <w:hideMark/>
          </w:tcPr>
          <w:p w14:paraId="15A0FEAE"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1</w:t>
            </w:r>
          </w:p>
        </w:tc>
        <w:tc>
          <w:tcPr>
            <w:tcW w:w="4837" w:type="dxa"/>
            <w:gridSpan w:val="2"/>
            <w:tcBorders>
              <w:top w:val="none" w:sz="0" w:space="0" w:color="auto"/>
            </w:tcBorders>
            <w:hideMark/>
          </w:tcPr>
          <w:p w14:paraId="5C570544" w14:textId="59F5704A" w:rsidR="008E3C95" w:rsidRPr="00B5380E" w:rsidRDefault="008E3C95" w:rsidP="009A0E14">
            <w:pPr>
              <w:autoSpaceDE w:val="0"/>
              <w:autoSpaceDN w:val="0"/>
              <w:adjustRightInd w:val="0"/>
              <w:spacing w:line="240" w:lineRule="auto"/>
              <w:jc w:val="left"/>
              <w:rPr>
                <w:rFonts w:asciiTheme="minorHAnsi" w:hAnsiTheme="minorHAnsi"/>
                <w:sz w:val="20"/>
                <w:szCs w:val="20"/>
              </w:rPr>
            </w:pPr>
            <w:r w:rsidRPr="00B5380E">
              <w:rPr>
                <w:rFonts w:asciiTheme="minorHAnsi" w:hAnsiTheme="minorHAnsi"/>
                <w:sz w:val="20"/>
                <w:szCs w:val="20"/>
              </w:rPr>
              <w:t xml:space="preserve">Cash survey as </w:t>
            </w:r>
            <w:r w:rsidR="009A0E14">
              <w:rPr>
                <w:rFonts w:asciiTheme="minorHAnsi" w:hAnsiTheme="minorHAnsi"/>
                <w:sz w:val="20"/>
                <w:szCs w:val="20"/>
              </w:rPr>
              <w:t>of</w:t>
            </w:r>
            <w:r w:rsidRPr="00B5380E">
              <w:rPr>
                <w:rFonts w:asciiTheme="minorHAnsi" w:hAnsiTheme="minorHAnsi"/>
                <w:sz w:val="20"/>
                <w:szCs w:val="20"/>
              </w:rPr>
              <w:t xml:space="preserve"> June </w:t>
            </w:r>
            <w:r w:rsidR="009A0E14">
              <w:rPr>
                <w:rFonts w:asciiTheme="minorHAnsi" w:hAnsiTheme="minorHAnsi"/>
                <w:sz w:val="20"/>
                <w:szCs w:val="20"/>
              </w:rPr>
              <w:t xml:space="preserve">30, </w:t>
            </w:r>
            <w:r w:rsidRPr="00B5380E">
              <w:rPr>
                <w:rFonts w:asciiTheme="minorHAnsi" w:hAnsiTheme="minorHAnsi"/>
                <w:sz w:val="20"/>
                <w:szCs w:val="20"/>
              </w:rPr>
              <w:t>2015</w:t>
            </w:r>
          </w:p>
        </w:tc>
        <w:tc>
          <w:tcPr>
            <w:tcW w:w="1530" w:type="dxa"/>
            <w:tcBorders>
              <w:top w:val="none" w:sz="0" w:space="0" w:color="auto"/>
            </w:tcBorders>
            <w:hideMark/>
          </w:tcPr>
          <w:p w14:paraId="1171FA6A"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10" w:type="dxa"/>
            <w:tcBorders>
              <w:top w:val="none" w:sz="0" w:space="0" w:color="auto"/>
            </w:tcBorders>
            <w:hideMark/>
          </w:tcPr>
          <w:p w14:paraId="5CA07FE2"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33" w:type="dxa"/>
            <w:tcBorders>
              <w:top w:val="none" w:sz="0" w:space="0" w:color="auto"/>
            </w:tcBorders>
            <w:hideMark/>
          </w:tcPr>
          <w:p w14:paraId="1456F6F7"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r>
      <w:tr w:rsidR="008E3C95" w:rsidRPr="00B5380E" w14:paraId="0D07236B" w14:textId="77777777" w:rsidTr="009A0E14">
        <w:trPr>
          <w:cnfStyle w:val="000000010000" w:firstRow="0" w:lastRow="0" w:firstColumn="0" w:lastColumn="0" w:oddVBand="0" w:evenVBand="0" w:oddHBand="0" w:evenHBand="1" w:firstRowFirstColumn="0" w:firstRowLastColumn="0" w:lastRowFirstColumn="0" w:lastRowLastColumn="0"/>
        </w:trPr>
        <w:tc>
          <w:tcPr>
            <w:tcW w:w="558" w:type="dxa"/>
            <w:tcBorders>
              <w:top w:val="none" w:sz="0" w:space="0" w:color="auto"/>
            </w:tcBorders>
            <w:hideMark/>
          </w:tcPr>
          <w:p w14:paraId="17581435" w14:textId="77777777" w:rsidR="008E3C95" w:rsidRPr="00B5380E" w:rsidRDefault="008E3C95" w:rsidP="00B5380E">
            <w:pPr>
              <w:spacing w:line="240" w:lineRule="auto"/>
              <w:jc w:val="center"/>
              <w:rPr>
                <w:rFonts w:asciiTheme="minorHAnsi" w:hAnsiTheme="minorHAnsi"/>
                <w:sz w:val="20"/>
                <w:szCs w:val="20"/>
              </w:rPr>
            </w:pPr>
            <w:r w:rsidRPr="00B5380E">
              <w:rPr>
                <w:rFonts w:asciiTheme="minorHAnsi" w:hAnsiTheme="minorHAnsi"/>
                <w:sz w:val="20"/>
                <w:szCs w:val="20"/>
              </w:rPr>
              <w:t>2</w:t>
            </w:r>
          </w:p>
        </w:tc>
        <w:tc>
          <w:tcPr>
            <w:tcW w:w="4837" w:type="dxa"/>
            <w:gridSpan w:val="2"/>
            <w:tcBorders>
              <w:top w:val="none" w:sz="0" w:space="0" w:color="auto"/>
            </w:tcBorders>
            <w:hideMark/>
          </w:tcPr>
          <w:p w14:paraId="290BF625" w14:textId="79D09516" w:rsidR="008E3C95" w:rsidRPr="00B5380E" w:rsidRDefault="008E3C95" w:rsidP="009A0E14">
            <w:pPr>
              <w:spacing w:line="240" w:lineRule="auto"/>
              <w:jc w:val="left"/>
              <w:rPr>
                <w:rFonts w:asciiTheme="minorHAnsi" w:hAnsiTheme="minorHAnsi"/>
                <w:sz w:val="20"/>
                <w:szCs w:val="20"/>
              </w:rPr>
            </w:pPr>
            <w:r w:rsidRPr="00B5380E">
              <w:rPr>
                <w:rFonts w:asciiTheme="minorHAnsi" w:hAnsiTheme="minorHAnsi"/>
                <w:sz w:val="20"/>
                <w:szCs w:val="20"/>
              </w:rPr>
              <w:t>Development projects -</w:t>
            </w:r>
            <w:r w:rsidR="009A0E14">
              <w:rPr>
                <w:rFonts w:asciiTheme="minorHAnsi" w:hAnsiTheme="minorHAnsi"/>
                <w:sz w:val="20"/>
                <w:szCs w:val="20"/>
              </w:rPr>
              <w:t xml:space="preserve"> </w:t>
            </w:r>
            <w:r w:rsidRPr="00B5380E">
              <w:rPr>
                <w:rFonts w:asciiTheme="minorHAnsi" w:hAnsiTheme="minorHAnsi"/>
                <w:sz w:val="20"/>
                <w:szCs w:val="20"/>
              </w:rPr>
              <w:t>roads, buildings</w:t>
            </w:r>
            <w:r w:rsidR="009A0E14">
              <w:rPr>
                <w:rFonts w:asciiTheme="minorHAnsi" w:hAnsiTheme="minorHAnsi"/>
                <w:sz w:val="20"/>
                <w:szCs w:val="20"/>
              </w:rPr>
              <w:t>,</w:t>
            </w:r>
            <w:r w:rsidR="00E56226" w:rsidRPr="00B5380E">
              <w:rPr>
                <w:rFonts w:asciiTheme="minorHAnsi" w:hAnsiTheme="minorHAnsi"/>
                <w:sz w:val="20"/>
                <w:szCs w:val="20"/>
              </w:rPr>
              <w:t xml:space="preserve"> </w:t>
            </w:r>
            <w:r w:rsidRPr="00B5380E">
              <w:rPr>
                <w:rFonts w:asciiTheme="minorHAnsi" w:hAnsiTheme="minorHAnsi"/>
                <w:sz w:val="20"/>
                <w:szCs w:val="20"/>
              </w:rPr>
              <w:t xml:space="preserve">and water projects </w:t>
            </w:r>
          </w:p>
        </w:tc>
        <w:tc>
          <w:tcPr>
            <w:tcW w:w="1530" w:type="dxa"/>
            <w:tcBorders>
              <w:top w:val="none" w:sz="0" w:space="0" w:color="auto"/>
            </w:tcBorders>
            <w:hideMark/>
          </w:tcPr>
          <w:p w14:paraId="4AEEA875"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10" w:type="dxa"/>
            <w:tcBorders>
              <w:top w:val="none" w:sz="0" w:space="0" w:color="auto"/>
            </w:tcBorders>
            <w:hideMark/>
          </w:tcPr>
          <w:p w14:paraId="40C16121"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33" w:type="dxa"/>
            <w:tcBorders>
              <w:top w:val="none" w:sz="0" w:space="0" w:color="auto"/>
            </w:tcBorders>
            <w:hideMark/>
          </w:tcPr>
          <w:p w14:paraId="55B7F38C"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r>
      <w:tr w:rsidR="008E3C95" w:rsidRPr="00B5380E" w14:paraId="455E7CA3" w14:textId="77777777" w:rsidTr="009A0E14">
        <w:trPr>
          <w:cnfStyle w:val="000000100000" w:firstRow="0" w:lastRow="0" w:firstColumn="0" w:lastColumn="0" w:oddVBand="0" w:evenVBand="0" w:oddHBand="1" w:evenHBand="0" w:firstRowFirstColumn="0" w:firstRowLastColumn="0" w:lastRowFirstColumn="0" w:lastRowLastColumn="0"/>
        </w:trPr>
        <w:tc>
          <w:tcPr>
            <w:tcW w:w="558" w:type="dxa"/>
            <w:tcBorders>
              <w:top w:val="none" w:sz="0" w:space="0" w:color="auto"/>
            </w:tcBorders>
            <w:hideMark/>
          </w:tcPr>
          <w:p w14:paraId="65E68660" w14:textId="77777777" w:rsidR="008E3C95" w:rsidRPr="00B5380E" w:rsidRDefault="008E3C95" w:rsidP="00B5380E">
            <w:pPr>
              <w:spacing w:line="240" w:lineRule="auto"/>
              <w:jc w:val="center"/>
              <w:rPr>
                <w:rFonts w:asciiTheme="minorHAnsi" w:hAnsiTheme="minorHAnsi"/>
                <w:sz w:val="20"/>
                <w:szCs w:val="20"/>
              </w:rPr>
            </w:pPr>
            <w:r w:rsidRPr="00B5380E">
              <w:rPr>
                <w:rFonts w:asciiTheme="minorHAnsi" w:hAnsiTheme="minorHAnsi"/>
                <w:sz w:val="20"/>
                <w:szCs w:val="20"/>
              </w:rPr>
              <w:t>3</w:t>
            </w:r>
          </w:p>
        </w:tc>
        <w:tc>
          <w:tcPr>
            <w:tcW w:w="4837" w:type="dxa"/>
            <w:gridSpan w:val="2"/>
            <w:tcBorders>
              <w:top w:val="none" w:sz="0" w:space="0" w:color="auto"/>
            </w:tcBorders>
            <w:hideMark/>
          </w:tcPr>
          <w:p w14:paraId="57BE0E27" w14:textId="77777777" w:rsidR="008E3C95" w:rsidRPr="00B5380E" w:rsidRDefault="008E3C95" w:rsidP="009A0E14">
            <w:pPr>
              <w:spacing w:line="240" w:lineRule="auto"/>
              <w:jc w:val="left"/>
              <w:rPr>
                <w:rFonts w:asciiTheme="minorHAnsi" w:hAnsiTheme="minorHAnsi"/>
                <w:sz w:val="20"/>
                <w:szCs w:val="20"/>
              </w:rPr>
            </w:pPr>
            <w:r w:rsidRPr="00B5380E">
              <w:rPr>
                <w:rFonts w:asciiTheme="minorHAnsi" w:hAnsiTheme="minorHAnsi"/>
                <w:sz w:val="20"/>
                <w:szCs w:val="20"/>
              </w:rPr>
              <w:t xml:space="preserve">Revenue audit </w:t>
            </w:r>
          </w:p>
        </w:tc>
        <w:tc>
          <w:tcPr>
            <w:tcW w:w="1530" w:type="dxa"/>
            <w:tcBorders>
              <w:top w:val="none" w:sz="0" w:space="0" w:color="auto"/>
            </w:tcBorders>
            <w:hideMark/>
          </w:tcPr>
          <w:p w14:paraId="3131E2FB"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10" w:type="dxa"/>
            <w:tcBorders>
              <w:top w:val="none" w:sz="0" w:space="0" w:color="auto"/>
            </w:tcBorders>
            <w:hideMark/>
          </w:tcPr>
          <w:p w14:paraId="61DD97D7"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33" w:type="dxa"/>
            <w:tcBorders>
              <w:top w:val="none" w:sz="0" w:space="0" w:color="auto"/>
            </w:tcBorders>
            <w:hideMark/>
          </w:tcPr>
          <w:p w14:paraId="0D16F916"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N</w:t>
            </w:r>
          </w:p>
        </w:tc>
      </w:tr>
      <w:tr w:rsidR="008E3C95" w:rsidRPr="00B5380E" w14:paraId="3ADBCFCE" w14:textId="77777777" w:rsidTr="009A0E14">
        <w:trPr>
          <w:cnfStyle w:val="000000010000" w:firstRow="0" w:lastRow="0" w:firstColumn="0" w:lastColumn="0" w:oddVBand="0" w:evenVBand="0" w:oddHBand="0" w:evenHBand="1" w:firstRowFirstColumn="0" w:firstRowLastColumn="0" w:lastRowFirstColumn="0" w:lastRowLastColumn="0"/>
        </w:trPr>
        <w:tc>
          <w:tcPr>
            <w:tcW w:w="558" w:type="dxa"/>
            <w:tcBorders>
              <w:top w:val="none" w:sz="0" w:space="0" w:color="auto"/>
            </w:tcBorders>
            <w:hideMark/>
          </w:tcPr>
          <w:p w14:paraId="54E0432B" w14:textId="77777777" w:rsidR="008E3C95" w:rsidRPr="00B5380E" w:rsidRDefault="008E3C95" w:rsidP="00B5380E">
            <w:pPr>
              <w:spacing w:line="240" w:lineRule="auto"/>
              <w:jc w:val="center"/>
              <w:rPr>
                <w:rFonts w:asciiTheme="minorHAnsi" w:hAnsiTheme="minorHAnsi"/>
                <w:sz w:val="20"/>
                <w:szCs w:val="20"/>
              </w:rPr>
            </w:pPr>
            <w:r w:rsidRPr="00B5380E">
              <w:rPr>
                <w:rFonts w:asciiTheme="minorHAnsi" w:hAnsiTheme="minorHAnsi"/>
                <w:sz w:val="20"/>
                <w:szCs w:val="20"/>
              </w:rPr>
              <w:t>4</w:t>
            </w:r>
          </w:p>
        </w:tc>
        <w:tc>
          <w:tcPr>
            <w:tcW w:w="4837" w:type="dxa"/>
            <w:gridSpan w:val="2"/>
            <w:tcBorders>
              <w:top w:val="none" w:sz="0" w:space="0" w:color="auto"/>
            </w:tcBorders>
            <w:hideMark/>
          </w:tcPr>
          <w:p w14:paraId="3A7DAD2D" w14:textId="27645D9D" w:rsidR="008E3C95" w:rsidRPr="00B5380E" w:rsidRDefault="008E3C95" w:rsidP="009A0E14">
            <w:pPr>
              <w:spacing w:line="240" w:lineRule="auto"/>
              <w:jc w:val="left"/>
              <w:rPr>
                <w:rFonts w:asciiTheme="minorHAnsi" w:hAnsiTheme="minorHAnsi"/>
                <w:sz w:val="20"/>
                <w:szCs w:val="20"/>
              </w:rPr>
            </w:pPr>
            <w:r w:rsidRPr="00B5380E">
              <w:rPr>
                <w:rFonts w:asciiTheme="minorHAnsi" w:hAnsiTheme="minorHAnsi"/>
                <w:sz w:val="20"/>
                <w:szCs w:val="20"/>
              </w:rPr>
              <w:t xml:space="preserve">Examination of </w:t>
            </w:r>
            <w:r w:rsidR="009A0E14">
              <w:rPr>
                <w:rFonts w:asciiTheme="minorHAnsi" w:hAnsiTheme="minorHAnsi"/>
                <w:sz w:val="20"/>
                <w:szCs w:val="20"/>
              </w:rPr>
              <w:t>p</w:t>
            </w:r>
            <w:r w:rsidRPr="00B5380E">
              <w:rPr>
                <w:rFonts w:asciiTheme="minorHAnsi" w:hAnsiTheme="minorHAnsi"/>
                <w:sz w:val="20"/>
                <w:szCs w:val="20"/>
              </w:rPr>
              <w:t>ayment process/recurrent</w:t>
            </w:r>
            <w:r w:rsidR="00E56226" w:rsidRPr="00B5380E">
              <w:rPr>
                <w:rFonts w:asciiTheme="minorHAnsi" w:hAnsiTheme="minorHAnsi"/>
                <w:sz w:val="20"/>
                <w:szCs w:val="20"/>
              </w:rPr>
              <w:t xml:space="preserve"> </w:t>
            </w:r>
            <w:r w:rsidRPr="00B5380E">
              <w:rPr>
                <w:rFonts w:asciiTheme="minorHAnsi" w:hAnsiTheme="minorHAnsi"/>
                <w:sz w:val="20"/>
                <w:szCs w:val="20"/>
              </w:rPr>
              <w:t xml:space="preserve">expenditure </w:t>
            </w:r>
          </w:p>
        </w:tc>
        <w:tc>
          <w:tcPr>
            <w:tcW w:w="1530" w:type="dxa"/>
            <w:tcBorders>
              <w:top w:val="none" w:sz="0" w:space="0" w:color="auto"/>
            </w:tcBorders>
            <w:hideMark/>
          </w:tcPr>
          <w:p w14:paraId="0269680D"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10" w:type="dxa"/>
            <w:tcBorders>
              <w:top w:val="none" w:sz="0" w:space="0" w:color="auto"/>
            </w:tcBorders>
            <w:hideMark/>
          </w:tcPr>
          <w:p w14:paraId="20C95FE4"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33" w:type="dxa"/>
            <w:tcBorders>
              <w:top w:val="none" w:sz="0" w:space="0" w:color="auto"/>
            </w:tcBorders>
            <w:hideMark/>
          </w:tcPr>
          <w:p w14:paraId="687064E7"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r>
      <w:tr w:rsidR="008E3C95" w:rsidRPr="00B5380E" w14:paraId="6B04F666" w14:textId="77777777" w:rsidTr="009A0E14">
        <w:trPr>
          <w:cnfStyle w:val="000000100000" w:firstRow="0" w:lastRow="0" w:firstColumn="0" w:lastColumn="0" w:oddVBand="0" w:evenVBand="0" w:oddHBand="1" w:evenHBand="0" w:firstRowFirstColumn="0" w:firstRowLastColumn="0" w:lastRowFirstColumn="0" w:lastRowLastColumn="0"/>
        </w:trPr>
        <w:tc>
          <w:tcPr>
            <w:tcW w:w="558" w:type="dxa"/>
            <w:tcBorders>
              <w:top w:val="none" w:sz="0" w:space="0" w:color="auto"/>
            </w:tcBorders>
            <w:hideMark/>
          </w:tcPr>
          <w:p w14:paraId="1DBFDC2B" w14:textId="77777777" w:rsidR="008E3C95" w:rsidRPr="00B5380E" w:rsidRDefault="008E3C95" w:rsidP="00B5380E">
            <w:pPr>
              <w:spacing w:line="240" w:lineRule="auto"/>
              <w:jc w:val="center"/>
              <w:rPr>
                <w:rFonts w:asciiTheme="minorHAnsi" w:hAnsiTheme="minorHAnsi"/>
                <w:sz w:val="20"/>
                <w:szCs w:val="20"/>
              </w:rPr>
            </w:pPr>
            <w:r w:rsidRPr="00B5380E">
              <w:rPr>
                <w:rFonts w:asciiTheme="minorHAnsi" w:hAnsiTheme="minorHAnsi"/>
                <w:sz w:val="20"/>
                <w:szCs w:val="20"/>
              </w:rPr>
              <w:t>5</w:t>
            </w:r>
          </w:p>
        </w:tc>
        <w:tc>
          <w:tcPr>
            <w:tcW w:w="4837" w:type="dxa"/>
            <w:gridSpan w:val="2"/>
            <w:tcBorders>
              <w:top w:val="none" w:sz="0" w:space="0" w:color="auto"/>
            </w:tcBorders>
            <w:hideMark/>
          </w:tcPr>
          <w:p w14:paraId="646E184A" w14:textId="77777777" w:rsidR="008E3C95" w:rsidRPr="00B5380E" w:rsidRDefault="008E3C95" w:rsidP="009A0E14">
            <w:pPr>
              <w:spacing w:line="240" w:lineRule="auto"/>
              <w:jc w:val="left"/>
              <w:rPr>
                <w:rFonts w:asciiTheme="minorHAnsi" w:hAnsiTheme="minorHAnsi"/>
                <w:sz w:val="20"/>
                <w:szCs w:val="20"/>
              </w:rPr>
            </w:pPr>
            <w:r w:rsidRPr="00B5380E">
              <w:rPr>
                <w:rFonts w:asciiTheme="minorHAnsi" w:hAnsiTheme="minorHAnsi"/>
                <w:sz w:val="20"/>
                <w:szCs w:val="20"/>
              </w:rPr>
              <w:t xml:space="preserve">Verification of assets inherited from defunct authorities </w:t>
            </w:r>
          </w:p>
        </w:tc>
        <w:tc>
          <w:tcPr>
            <w:tcW w:w="1530" w:type="dxa"/>
            <w:tcBorders>
              <w:top w:val="none" w:sz="0" w:space="0" w:color="auto"/>
            </w:tcBorders>
            <w:hideMark/>
          </w:tcPr>
          <w:p w14:paraId="6EA6B156"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N</w:t>
            </w:r>
          </w:p>
        </w:tc>
        <w:tc>
          <w:tcPr>
            <w:tcW w:w="1710" w:type="dxa"/>
            <w:tcBorders>
              <w:top w:val="none" w:sz="0" w:space="0" w:color="auto"/>
            </w:tcBorders>
            <w:hideMark/>
          </w:tcPr>
          <w:p w14:paraId="0BEE2403" w14:textId="046EDDD8" w:rsidR="008E3C95" w:rsidRPr="00B5380E" w:rsidRDefault="00EB09D7">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lang w:val="en-GB"/>
              </w:rPr>
              <w:t>N/A</w:t>
            </w:r>
          </w:p>
        </w:tc>
        <w:tc>
          <w:tcPr>
            <w:tcW w:w="1733" w:type="dxa"/>
            <w:tcBorders>
              <w:top w:val="none" w:sz="0" w:space="0" w:color="auto"/>
            </w:tcBorders>
            <w:hideMark/>
          </w:tcPr>
          <w:p w14:paraId="49E82CA1" w14:textId="60EEF73C" w:rsidR="008E3C95" w:rsidRPr="00B5380E" w:rsidRDefault="00EB09D7" w:rsidP="00B538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lang w:val="en-GB"/>
              </w:rPr>
              <w:t>N/A</w:t>
            </w:r>
          </w:p>
        </w:tc>
      </w:tr>
      <w:tr w:rsidR="008E3C95" w:rsidRPr="00B5380E" w14:paraId="12CCEDFA" w14:textId="77777777" w:rsidTr="009A0E14">
        <w:trPr>
          <w:cnfStyle w:val="000000010000" w:firstRow="0" w:lastRow="0" w:firstColumn="0" w:lastColumn="0" w:oddVBand="0" w:evenVBand="0" w:oddHBand="0" w:evenHBand="1" w:firstRowFirstColumn="0" w:firstRowLastColumn="0" w:lastRowFirstColumn="0" w:lastRowLastColumn="0"/>
        </w:trPr>
        <w:tc>
          <w:tcPr>
            <w:tcW w:w="558" w:type="dxa"/>
            <w:tcBorders>
              <w:top w:val="none" w:sz="0" w:space="0" w:color="auto"/>
            </w:tcBorders>
            <w:hideMark/>
          </w:tcPr>
          <w:p w14:paraId="386DA60F" w14:textId="77777777" w:rsidR="008E3C95" w:rsidRPr="00B5380E" w:rsidRDefault="008E3C95" w:rsidP="00B5380E">
            <w:pPr>
              <w:spacing w:line="240" w:lineRule="auto"/>
              <w:jc w:val="center"/>
              <w:rPr>
                <w:rFonts w:asciiTheme="minorHAnsi" w:hAnsiTheme="minorHAnsi"/>
                <w:sz w:val="20"/>
                <w:szCs w:val="20"/>
              </w:rPr>
            </w:pPr>
            <w:r w:rsidRPr="00B5380E">
              <w:rPr>
                <w:rFonts w:asciiTheme="minorHAnsi" w:hAnsiTheme="minorHAnsi"/>
                <w:sz w:val="20"/>
                <w:szCs w:val="20"/>
              </w:rPr>
              <w:t>6</w:t>
            </w:r>
          </w:p>
        </w:tc>
        <w:tc>
          <w:tcPr>
            <w:tcW w:w="4837" w:type="dxa"/>
            <w:gridSpan w:val="2"/>
            <w:tcBorders>
              <w:top w:val="none" w:sz="0" w:space="0" w:color="auto"/>
            </w:tcBorders>
            <w:hideMark/>
          </w:tcPr>
          <w:p w14:paraId="618862CA" w14:textId="77777777" w:rsidR="008E3C95" w:rsidRPr="00B5380E" w:rsidRDefault="008E3C95" w:rsidP="009A0E14">
            <w:pPr>
              <w:spacing w:line="240" w:lineRule="auto"/>
              <w:jc w:val="left"/>
              <w:rPr>
                <w:rFonts w:asciiTheme="minorHAnsi" w:hAnsiTheme="minorHAnsi"/>
                <w:sz w:val="20"/>
                <w:szCs w:val="20"/>
              </w:rPr>
            </w:pPr>
            <w:r w:rsidRPr="00B5380E">
              <w:rPr>
                <w:rFonts w:asciiTheme="minorHAnsi" w:hAnsiTheme="minorHAnsi"/>
                <w:sz w:val="20"/>
                <w:szCs w:val="20"/>
              </w:rPr>
              <w:t xml:space="preserve">Bursary fund </w:t>
            </w:r>
          </w:p>
        </w:tc>
        <w:tc>
          <w:tcPr>
            <w:tcW w:w="1530" w:type="dxa"/>
            <w:tcBorders>
              <w:top w:val="none" w:sz="0" w:space="0" w:color="auto"/>
            </w:tcBorders>
            <w:hideMark/>
          </w:tcPr>
          <w:p w14:paraId="4842DB50"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10" w:type="dxa"/>
            <w:tcBorders>
              <w:top w:val="none" w:sz="0" w:space="0" w:color="auto"/>
            </w:tcBorders>
            <w:hideMark/>
          </w:tcPr>
          <w:p w14:paraId="47E47689"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33" w:type="dxa"/>
            <w:tcBorders>
              <w:top w:val="none" w:sz="0" w:space="0" w:color="auto"/>
            </w:tcBorders>
            <w:hideMark/>
          </w:tcPr>
          <w:p w14:paraId="22A443E2"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r>
      <w:tr w:rsidR="00B5380E" w:rsidRPr="00B5380E" w14:paraId="618809D1" w14:textId="77777777" w:rsidTr="009A0E14">
        <w:trPr>
          <w:cnfStyle w:val="000000100000" w:firstRow="0" w:lastRow="0" w:firstColumn="0" w:lastColumn="0" w:oddVBand="0" w:evenVBand="0" w:oddHBand="1" w:evenHBand="0" w:firstRowFirstColumn="0" w:firstRowLastColumn="0" w:lastRowFirstColumn="0" w:lastRowLastColumn="0"/>
        </w:trPr>
        <w:tc>
          <w:tcPr>
            <w:tcW w:w="558" w:type="dxa"/>
            <w:tcBorders>
              <w:top w:val="none" w:sz="0" w:space="0" w:color="auto"/>
            </w:tcBorders>
            <w:hideMark/>
          </w:tcPr>
          <w:p w14:paraId="5AD23E20" w14:textId="77777777" w:rsidR="00B5380E" w:rsidRPr="00B5380E" w:rsidRDefault="00B5380E" w:rsidP="00B5380E">
            <w:pPr>
              <w:spacing w:line="240" w:lineRule="auto"/>
              <w:jc w:val="center"/>
              <w:rPr>
                <w:rFonts w:asciiTheme="minorHAnsi" w:hAnsiTheme="minorHAnsi"/>
                <w:sz w:val="20"/>
                <w:szCs w:val="20"/>
              </w:rPr>
            </w:pPr>
            <w:r w:rsidRPr="00B5380E">
              <w:rPr>
                <w:rFonts w:asciiTheme="minorHAnsi" w:hAnsiTheme="minorHAnsi"/>
                <w:sz w:val="20"/>
                <w:szCs w:val="20"/>
              </w:rPr>
              <w:t>7</w:t>
            </w:r>
          </w:p>
        </w:tc>
        <w:tc>
          <w:tcPr>
            <w:tcW w:w="4837" w:type="dxa"/>
            <w:gridSpan w:val="2"/>
            <w:tcBorders>
              <w:top w:val="none" w:sz="0" w:space="0" w:color="auto"/>
            </w:tcBorders>
            <w:hideMark/>
          </w:tcPr>
          <w:p w14:paraId="4EA63534" w14:textId="77777777" w:rsidR="00B5380E" w:rsidRPr="00B5380E" w:rsidRDefault="00B5380E" w:rsidP="009A0E14">
            <w:pPr>
              <w:spacing w:line="240" w:lineRule="auto"/>
              <w:jc w:val="left"/>
              <w:rPr>
                <w:rFonts w:asciiTheme="minorHAnsi" w:hAnsiTheme="minorHAnsi"/>
                <w:sz w:val="20"/>
                <w:szCs w:val="20"/>
              </w:rPr>
            </w:pPr>
            <w:r w:rsidRPr="00B5380E">
              <w:rPr>
                <w:rFonts w:asciiTheme="minorHAnsi" w:hAnsiTheme="minorHAnsi"/>
                <w:sz w:val="20"/>
                <w:szCs w:val="20"/>
              </w:rPr>
              <w:t xml:space="preserve">Audit of health centres </w:t>
            </w:r>
          </w:p>
        </w:tc>
        <w:tc>
          <w:tcPr>
            <w:tcW w:w="1530" w:type="dxa"/>
            <w:tcBorders>
              <w:top w:val="none" w:sz="0" w:space="0" w:color="auto"/>
            </w:tcBorders>
            <w:hideMark/>
          </w:tcPr>
          <w:p w14:paraId="5953F517" w14:textId="77777777" w:rsidR="00B5380E" w:rsidRPr="00B5380E" w:rsidRDefault="00B5380E"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N</w:t>
            </w:r>
          </w:p>
        </w:tc>
        <w:tc>
          <w:tcPr>
            <w:tcW w:w="1710" w:type="dxa"/>
            <w:tcBorders>
              <w:top w:val="none" w:sz="0" w:space="0" w:color="auto"/>
            </w:tcBorders>
            <w:hideMark/>
          </w:tcPr>
          <w:p w14:paraId="04EE4E19" w14:textId="00E529CC" w:rsidR="00B5380E" w:rsidRPr="00B5380E" w:rsidRDefault="00EB09D7" w:rsidP="00B538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lang w:val="en-GB"/>
              </w:rPr>
              <w:t>N/A</w:t>
            </w:r>
          </w:p>
        </w:tc>
        <w:tc>
          <w:tcPr>
            <w:tcW w:w="1733" w:type="dxa"/>
            <w:tcBorders>
              <w:top w:val="none" w:sz="0" w:space="0" w:color="auto"/>
            </w:tcBorders>
            <w:hideMark/>
          </w:tcPr>
          <w:p w14:paraId="4536C749" w14:textId="5ECD3F5D" w:rsidR="00B5380E" w:rsidRPr="00B5380E" w:rsidRDefault="00EB09D7" w:rsidP="00B538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lang w:val="en-GB"/>
              </w:rPr>
              <w:t>N/A</w:t>
            </w:r>
          </w:p>
        </w:tc>
      </w:tr>
      <w:tr w:rsidR="00B5380E" w:rsidRPr="00B5380E" w14:paraId="21CB2664" w14:textId="77777777" w:rsidTr="009A0E14">
        <w:trPr>
          <w:cnfStyle w:val="000000010000" w:firstRow="0" w:lastRow="0" w:firstColumn="0" w:lastColumn="0" w:oddVBand="0" w:evenVBand="0" w:oddHBand="0" w:evenHBand="1" w:firstRowFirstColumn="0" w:firstRowLastColumn="0" w:lastRowFirstColumn="0" w:lastRowLastColumn="0"/>
        </w:trPr>
        <w:tc>
          <w:tcPr>
            <w:tcW w:w="558" w:type="dxa"/>
            <w:tcBorders>
              <w:top w:val="none" w:sz="0" w:space="0" w:color="auto"/>
            </w:tcBorders>
            <w:hideMark/>
          </w:tcPr>
          <w:p w14:paraId="3AED9003" w14:textId="77777777" w:rsidR="00B5380E" w:rsidRPr="00B5380E" w:rsidRDefault="00B5380E" w:rsidP="00B5380E">
            <w:pPr>
              <w:spacing w:line="240" w:lineRule="auto"/>
              <w:jc w:val="center"/>
              <w:rPr>
                <w:rFonts w:asciiTheme="minorHAnsi" w:hAnsiTheme="minorHAnsi"/>
                <w:sz w:val="20"/>
                <w:szCs w:val="20"/>
              </w:rPr>
            </w:pPr>
            <w:r w:rsidRPr="00B5380E">
              <w:rPr>
                <w:rFonts w:asciiTheme="minorHAnsi" w:hAnsiTheme="minorHAnsi"/>
                <w:sz w:val="20"/>
                <w:szCs w:val="20"/>
              </w:rPr>
              <w:t>8</w:t>
            </w:r>
          </w:p>
        </w:tc>
        <w:tc>
          <w:tcPr>
            <w:tcW w:w="4837" w:type="dxa"/>
            <w:gridSpan w:val="2"/>
            <w:tcBorders>
              <w:top w:val="none" w:sz="0" w:space="0" w:color="auto"/>
            </w:tcBorders>
            <w:hideMark/>
          </w:tcPr>
          <w:p w14:paraId="46BA8AF2" w14:textId="77777777" w:rsidR="00B5380E" w:rsidRPr="00B5380E" w:rsidRDefault="00B5380E" w:rsidP="009A0E14">
            <w:pPr>
              <w:spacing w:line="240" w:lineRule="auto"/>
              <w:jc w:val="left"/>
              <w:rPr>
                <w:rFonts w:asciiTheme="minorHAnsi" w:hAnsiTheme="minorHAnsi"/>
                <w:sz w:val="20"/>
                <w:szCs w:val="20"/>
              </w:rPr>
            </w:pPr>
            <w:r w:rsidRPr="00B5380E">
              <w:rPr>
                <w:rFonts w:asciiTheme="minorHAnsi" w:hAnsiTheme="minorHAnsi"/>
                <w:sz w:val="20"/>
                <w:szCs w:val="20"/>
              </w:rPr>
              <w:t xml:space="preserve">Payroll audit </w:t>
            </w:r>
          </w:p>
        </w:tc>
        <w:tc>
          <w:tcPr>
            <w:tcW w:w="1530" w:type="dxa"/>
            <w:tcBorders>
              <w:top w:val="none" w:sz="0" w:space="0" w:color="auto"/>
            </w:tcBorders>
            <w:hideMark/>
          </w:tcPr>
          <w:p w14:paraId="7D71472B" w14:textId="77777777" w:rsidR="00B5380E" w:rsidRPr="00B5380E" w:rsidRDefault="00B5380E"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N</w:t>
            </w:r>
          </w:p>
        </w:tc>
        <w:tc>
          <w:tcPr>
            <w:tcW w:w="1710" w:type="dxa"/>
            <w:tcBorders>
              <w:top w:val="none" w:sz="0" w:space="0" w:color="auto"/>
            </w:tcBorders>
            <w:hideMark/>
          </w:tcPr>
          <w:p w14:paraId="7DC433FA" w14:textId="68B22184" w:rsidR="00B5380E" w:rsidRPr="00B5380E" w:rsidRDefault="00EB09D7" w:rsidP="00B538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lang w:val="en-GB"/>
              </w:rPr>
              <w:t>N/A</w:t>
            </w:r>
          </w:p>
        </w:tc>
        <w:tc>
          <w:tcPr>
            <w:tcW w:w="1733" w:type="dxa"/>
            <w:tcBorders>
              <w:top w:val="none" w:sz="0" w:space="0" w:color="auto"/>
            </w:tcBorders>
            <w:hideMark/>
          </w:tcPr>
          <w:p w14:paraId="6B0B0BA8" w14:textId="243E6DC0" w:rsidR="00B5380E" w:rsidRPr="00B5380E" w:rsidRDefault="00EB09D7" w:rsidP="00B5380E">
            <w:pPr>
              <w:autoSpaceDE w:val="0"/>
              <w:autoSpaceDN w:val="0"/>
              <w:adjustRightInd w:val="0"/>
              <w:spacing w:line="240" w:lineRule="auto"/>
              <w:jc w:val="center"/>
              <w:rPr>
                <w:rFonts w:asciiTheme="minorHAnsi" w:hAnsiTheme="minorHAnsi"/>
                <w:sz w:val="20"/>
                <w:szCs w:val="20"/>
              </w:rPr>
            </w:pPr>
            <w:r>
              <w:rPr>
                <w:rFonts w:asciiTheme="minorHAnsi" w:hAnsiTheme="minorHAnsi"/>
                <w:sz w:val="20"/>
                <w:szCs w:val="20"/>
                <w:lang w:val="en-GB"/>
              </w:rPr>
              <w:t>N/A</w:t>
            </w:r>
          </w:p>
        </w:tc>
      </w:tr>
      <w:tr w:rsidR="008E3C95" w:rsidRPr="00B5380E" w14:paraId="0E241ABA" w14:textId="77777777" w:rsidTr="009A0E14">
        <w:trPr>
          <w:cnfStyle w:val="000000100000" w:firstRow="0" w:lastRow="0" w:firstColumn="0" w:lastColumn="0" w:oddVBand="0" w:evenVBand="0" w:oddHBand="1" w:evenHBand="0" w:firstRowFirstColumn="0" w:firstRowLastColumn="0" w:lastRowFirstColumn="0" w:lastRowLastColumn="0"/>
        </w:trPr>
        <w:tc>
          <w:tcPr>
            <w:tcW w:w="558" w:type="dxa"/>
            <w:tcBorders>
              <w:top w:val="none" w:sz="0" w:space="0" w:color="auto"/>
            </w:tcBorders>
            <w:hideMark/>
          </w:tcPr>
          <w:p w14:paraId="098C95A2" w14:textId="77777777" w:rsidR="008E3C95" w:rsidRPr="00B5380E" w:rsidRDefault="008E3C95" w:rsidP="00B5380E">
            <w:pPr>
              <w:spacing w:line="240" w:lineRule="auto"/>
              <w:jc w:val="center"/>
              <w:rPr>
                <w:rFonts w:asciiTheme="minorHAnsi" w:hAnsiTheme="minorHAnsi"/>
                <w:sz w:val="20"/>
                <w:szCs w:val="20"/>
              </w:rPr>
            </w:pPr>
            <w:r w:rsidRPr="00B5380E">
              <w:rPr>
                <w:rFonts w:asciiTheme="minorHAnsi" w:hAnsiTheme="minorHAnsi"/>
                <w:sz w:val="20"/>
                <w:szCs w:val="20"/>
              </w:rPr>
              <w:t>9</w:t>
            </w:r>
          </w:p>
        </w:tc>
        <w:tc>
          <w:tcPr>
            <w:tcW w:w="4837" w:type="dxa"/>
            <w:gridSpan w:val="2"/>
            <w:tcBorders>
              <w:top w:val="none" w:sz="0" w:space="0" w:color="auto"/>
            </w:tcBorders>
            <w:hideMark/>
          </w:tcPr>
          <w:p w14:paraId="71553061" w14:textId="6B017522" w:rsidR="008E3C95" w:rsidRPr="00B5380E" w:rsidRDefault="008E3C95" w:rsidP="009A0E14">
            <w:pPr>
              <w:spacing w:line="240" w:lineRule="auto"/>
              <w:jc w:val="left"/>
              <w:rPr>
                <w:rFonts w:asciiTheme="minorHAnsi" w:hAnsiTheme="minorHAnsi"/>
                <w:sz w:val="20"/>
                <w:szCs w:val="20"/>
              </w:rPr>
            </w:pPr>
            <w:r w:rsidRPr="00B5380E">
              <w:rPr>
                <w:rFonts w:asciiTheme="minorHAnsi" w:hAnsiTheme="minorHAnsi"/>
                <w:sz w:val="20"/>
                <w:szCs w:val="20"/>
              </w:rPr>
              <w:t>Internal controls system review</w:t>
            </w:r>
            <w:r w:rsidR="00E56226" w:rsidRPr="00B5380E">
              <w:rPr>
                <w:rFonts w:asciiTheme="minorHAnsi" w:hAnsiTheme="minorHAnsi"/>
                <w:sz w:val="20"/>
                <w:szCs w:val="20"/>
              </w:rPr>
              <w:t xml:space="preserve"> </w:t>
            </w:r>
          </w:p>
        </w:tc>
        <w:tc>
          <w:tcPr>
            <w:tcW w:w="1530" w:type="dxa"/>
            <w:tcBorders>
              <w:top w:val="none" w:sz="0" w:space="0" w:color="auto"/>
            </w:tcBorders>
            <w:hideMark/>
          </w:tcPr>
          <w:p w14:paraId="6C2DF2D8"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10" w:type="dxa"/>
            <w:tcBorders>
              <w:top w:val="none" w:sz="0" w:space="0" w:color="auto"/>
            </w:tcBorders>
            <w:hideMark/>
          </w:tcPr>
          <w:p w14:paraId="39CA412E"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33" w:type="dxa"/>
            <w:tcBorders>
              <w:top w:val="none" w:sz="0" w:space="0" w:color="auto"/>
            </w:tcBorders>
            <w:hideMark/>
          </w:tcPr>
          <w:p w14:paraId="1F334D2B"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r>
      <w:tr w:rsidR="008E3C95" w:rsidRPr="00B5380E" w14:paraId="522581BC" w14:textId="77777777" w:rsidTr="009A0E14">
        <w:trPr>
          <w:cnfStyle w:val="000000010000" w:firstRow="0" w:lastRow="0" w:firstColumn="0" w:lastColumn="0" w:oddVBand="0" w:evenVBand="0" w:oddHBand="0" w:evenHBand="1" w:firstRowFirstColumn="0" w:firstRowLastColumn="0" w:lastRowFirstColumn="0" w:lastRowLastColumn="0"/>
        </w:trPr>
        <w:tc>
          <w:tcPr>
            <w:tcW w:w="558" w:type="dxa"/>
            <w:tcBorders>
              <w:top w:val="none" w:sz="0" w:space="0" w:color="auto"/>
            </w:tcBorders>
            <w:hideMark/>
          </w:tcPr>
          <w:p w14:paraId="1A221C93" w14:textId="77777777" w:rsidR="008E3C95" w:rsidRPr="00B5380E" w:rsidRDefault="008E3C95" w:rsidP="00B5380E">
            <w:pPr>
              <w:spacing w:line="240" w:lineRule="auto"/>
              <w:jc w:val="center"/>
              <w:rPr>
                <w:rFonts w:asciiTheme="minorHAnsi" w:hAnsiTheme="minorHAnsi"/>
                <w:sz w:val="20"/>
                <w:szCs w:val="20"/>
              </w:rPr>
            </w:pPr>
            <w:r w:rsidRPr="00B5380E">
              <w:rPr>
                <w:rFonts w:asciiTheme="minorHAnsi" w:hAnsiTheme="minorHAnsi"/>
                <w:sz w:val="20"/>
                <w:szCs w:val="20"/>
              </w:rPr>
              <w:t>10</w:t>
            </w:r>
          </w:p>
        </w:tc>
        <w:tc>
          <w:tcPr>
            <w:tcW w:w="4837" w:type="dxa"/>
            <w:gridSpan w:val="2"/>
            <w:tcBorders>
              <w:top w:val="none" w:sz="0" w:space="0" w:color="auto"/>
            </w:tcBorders>
            <w:hideMark/>
          </w:tcPr>
          <w:p w14:paraId="29AF066D" w14:textId="50680EE6" w:rsidR="008E3C95" w:rsidRPr="00B5380E" w:rsidRDefault="008E3C95" w:rsidP="009A0E14">
            <w:pPr>
              <w:spacing w:line="240" w:lineRule="auto"/>
              <w:jc w:val="left"/>
              <w:rPr>
                <w:rFonts w:asciiTheme="minorHAnsi" w:hAnsiTheme="minorHAnsi"/>
                <w:sz w:val="20"/>
                <w:szCs w:val="20"/>
              </w:rPr>
            </w:pPr>
            <w:r w:rsidRPr="00B5380E">
              <w:rPr>
                <w:rFonts w:asciiTheme="minorHAnsi" w:hAnsiTheme="minorHAnsi"/>
                <w:sz w:val="20"/>
                <w:szCs w:val="20"/>
              </w:rPr>
              <w:t>Stores records/</w:t>
            </w:r>
            <w:r w:rsidR="009A0E14">
              <w:rPr>
                <w:rFonts w:asciiTheme="minorHAnsi" w:hAnsiTheme="minorHAnsi"/>
                <w:sz w:val="20"/>
                <w:szCs w:val="20"/>
              </w:rPr>
              <w:t>i</w:t>
            </w:r>
            <w:r w:rsidRPr="00B5380E">
              <w:rPr>
                <w:rFonts w:asciiTheme="minorHAnsi" w:hAnsiTheme="minorHAnsi"/>
                <w:sz w:val="20"/>
                <w:szCs w:val="20"/>
              </w:rPr>
              <w:t xml:space="preserve">nventories audit </w:t>
            </w:r>
          </w:p>
        </w:tc>
        <w:tc>
          <w:tcPr>
            <w:tcW w:w="1530" w:type="dxa"/>
            <w:tcBorders>
              <w:top w:val="none" w:sz="0" w:space="0" w:color="auto"/>
            </w:tcBorders>
            <w:hideMark/>
          </w:tcPr>
          <w:p w14:paraId="3A9640F7"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10" w:type="dxa"/>
            <w:tcBorders>
              <w:top w:val="none" w:sz="0" w:space="0" w:color="auto"/>
            </w:tcBorders>
            <w:hideMark/>
          </w:tcPr>
          <w:p w14:paraId="31471481"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33" w:type="dxa"/>
            <w:tcBorders>
              <w:top w:val="none" w:sz="0" w:space="0" w:color="auto"/>
            </w:tcBorders>
            <w:hideMark/>
          </w:tcPr>
          <w:p w14:paraId="0EEA6B5D"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N</w:t>
            </w:r>
          </w:p>
        </w:tc>
      </w:tr>
      <w:tr w:rsidR="008E3C95" w:rsidRPr="00B5380E" w14:paraId="604A2BE4" w14:textId="77777777" w:rsidTr="009A0E14">
        <w:trPr>
          <w:cnfStyle w:val="000000100000" w:firstRow="0" w:lastRow="0" w:firstColumn="0" w:lastColumn="0" w:oddVBand="0" w:evenVBand="0" w:oddHBand="1" w:evenHBand="0" w:firstRowFirstColumn="0" w:firstRowLastColumn="0" w:lastRowFirstColumn="0" w:lastRowLastColumn="0"/>
        </w:trPr>
        <w:tc>
          <w:tcPr>
            <w:tcW w:w="558" w:type="dxa"/>
            <w:tcBorders>
              <w:top w:val="none" w:sz="0" w:space="0" w:color="auto"/>
            </w:tcBorders>
            <w:hideMark/>
          </w:tcPr>
          <w:p w14:paraId="03EEF6EC" w14:textId="77777777" w:rsidR="008E3C95" w:rsidRPr="00B5380E" w:rsidRDefault="008E3C95" w:rsidP="00B5380E">
            <w:pPr>
              <w:spacing w:line="240" w:lineRule="auto"/>
              <w:jc w:val="center"/>
              <w:rPr>
                <w:rFonts w:asciiTheme="minorHAnsi" w:hAnsiTheme="minorHAnsi"/>
                <w:sz w:val="20"/>
                <w:szCs w:val="20"/>
              </w:rPr>
            </w:pPr>
            <w:r w:rsidRPr="00B5380E">
              <w:rPr>
                <w:rFonts w:asciiTheme="minorHAnsi" w:hAnsiTheme="minorHAnsi"/>
                <w:sz w:val="20"/>
                <w:szCs w:val="20"/>
              </w:rPr>
              <w:t>11</w:t>
            </w:r>
          </w:p>
        </w:tc>
        <w:tc>
          <w:tcPr>
            <w:tcW w:w="4837" w:type="dxa"/>
            <w:gridSpan w:val="2"/>
            <w:tcBorders>
              <w:top w:val="none" w:sz="0" w:space="0" w:color="auto"/>
            </w:tcBorders>
            <w:hideMark/>
          </w:tcPr>
          <w:p w14:paraId="01836540" w14:textId="00F063C0" w:rsidR="008E3C95" w:rsidRPr="00B5380E" w:rsidRDefault="008E3C95" w:rsidP="009A0E14">
            <w:pPr>
              <w:spacing w:line="240" w:lineRule="auto"/>
              <w:jc w:val="left"/>
              <w:rPr>
                <w:rFonts w:asciiTheme="minorHAnsi" w:hAnsiTheme="minorHAnsi"/>
                <w:sz w:val="20"/>
                <w:szCs w:val="20"/>
              </w:rPr>
            </w:pPr>
            <w:r w:rsidRPr="00B5380E">
              <w:rPr>
                <w:rFonts w:asciiTheme="minorHAnsi" w:hAnsiTheme="minorHAnsi"/>
                <w:sz w:val="20"/>
                <w:szCs w:val="20"/>
              </w:rPr>
              <w:t>County Public service board</w:t>
            </w:r>
            <w:r w:rsidR="00E56226" w:rsidRPr="00B5380E">
              <w:rPr>
                <w:rFonts w:asciiTheme="minorHAnsi" w:hAnsiTheme="minorHAnsi"/>
                <w:sz w:val="20"/>
                <w:szCs w:val="20"/>
              </w:rPr>
              <w:t xml:space="preserve"> </w:t>
            </w:r>
            <w:r w:rsidRPr="00B5380E">
              <w:rPr>
                <w:rFonts w:asciiTheme="minorHAnsi" w:hAnsiTheme="minorHAnsi"/>
                <w:sz w:val="20"/>
                <w:szCs w:val="20"/>
              </w:rPr>
              <w:t xml:space="preserve">audit </w:t>
            </w:r>
          </w:p>
        </w:tc>
        <w:tc>
          <w:tcPr>
            <w:tcW w:w="1530" w:type="dxa"/>
            <w:tcBorders>
              <w:top w:val="none" w:sz="0" w:space="0" w:color="auto"/>
            </w:tcBorders>
            <w:hideMark/>
          </w:tcPr>
          <w:p w14:paraId="28CFED7E"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10" w:type="dxa"/>
            <w:tcBorders>
              <w:top w:val="none" w:sz="0" w:space="0" w:color="auto"/>
            </w:tcBorders>
            <w:hideMark/>
          </w:tcPr>
          <w:p w14:paraId="4BD6B8D1" w14:textId="77777777" w:rsidR="008E3C95" w:rsidRPr="00B5380E" w:rsidRDefault="008E3C95">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c>
          <w:tcPr>
            <w:tcW w:w="1733" w:type="dxa"/>
            <w:tcBorders>
              <w:top w:val="none" w:sz="0" w:space="0" w:color="auto"/>
            </w:tcBorders>
            <w:hideMark/>
          </w:tcPr>
          <w:p w14:paraId="077CF831" w14:textId="77777777" w:rsidR="008E3C95" w:rsidRPr="00B5380E" w:rsidRDefault="008E3C95" w:rsidP="00B5380E">
            <w:pPr>
              <w:autoSpaceDE w:val="0"/>
              <w:autoSpaceDN w:val="0"/>
              <w:adjustRightInd w:val="0"/>
              <w:spacing w:line="240" w:lineRule="auto"/>
              <w:jc w:val="center"/>
              <w:rPr>
                <w:rFonts w:asciiTheme="minorHAnsi" w:hAnsiTheme="minorHAnsi"/>
                <w:sz w:val="20"/>
                <w:szCs w:val="20"/>
              </w:rPr>
            </w:pPr>
            <w:r w:rsidRPr="00B5380E">
              <w:rPr>
                <w:rFonts w:asciiTheme="minorHAnsi" w:hAnsiTheme="minorHAnsi"/>
                <w:sz w:val="20"/>
                <w:szCs w:val="20"/>
              </w:rPr>
              <w:t>Y</w:t>
            </w:r>
          </w:p>
        </w:tc>
      </w:tr>
    </w:tbl>
    <w:p w14:paraId="158D9B48" w14:textId="69A2E51C" w:rsidR="008E3C95" w:rsidRPr="009C39DF" w:rsidRDefault="00F5429C" w:rsidP="009C39DF">
      <w:pPr>
        <w:pStyle w:val="Italic"/>
        <w:spacing w:after="240"/>
        <w:rPr>
          <w:i w:val="0"/>
          <w:sz w:val="20"/>
        </w:rPr>
      </w:pPr>
      <w:r w:rsidRPr="009C39DF">
        <w:rPr>
          <w:sz w:val="20"/>
        </w:rPr>
        <w:t>Source:</w:t>
      </w:r>
      <w:r w:rsidR="008E3C95" w:rsidRPr="009C39DF">
        <w:rPr>
          <w:sz w:val="20"/>
        </w:rPr>
        <w:t xml:space="preserve"> </w:t>
      </w:r>
      <w:r w:rsidR="008E3C95" w:rsidRPr="009C39DF">
        <w:rPr>
          <w:i w:val="0"/>
          <w:sz w:val="20"/>
        </w:rPr>
        <w:t xml:space="preserve">Directorate of </w:t>
      </w:r>
      <w:r w:rsidR="009A0E14">
        <w:rPr>
          <w:i w:val="0"/>
          <w:sz w:val="20"/>
        </w:rPr>
        <w:t>I</w:t>
      </w:r>
      <w:r w:rsidR="008E3C95" w:rsidRPr="009C39DF">
        <w:rPr>
          <w:i w:val="0"/>
          <w:sz w:val="20"/>
        </w:rPr>
        <w:t xml:space="preserve">nternal </w:t>
      </w:r>
      <w:r w:rsidR="009A0E14">
        <w:rPr>
          <w:i w:val="0"/>
          <w:sz w:val="20"/>
        </w:rPr>
        <w:t>A</w:t>
      </w:r>
      <w:r w:rsidR="008E3C95" w:rsidRPr="009C39DF">
        <w:rPr>
          <w:i w:val="0"/>
          <w:sz w:val="20"/>
        </w:rPr>
        <w:t>udit</w:t>
      </w:r>
      <w:r w:rsidR="009A0E14">
        <w:rPr>
          <w:i w:val="0"/>
          <w:sz w:val="20"/>
        </w:rPr>
        <w:t>.</w:t>
      </w:r>
    </w:p>
    <w:p w14:paraId="5674E3AE" w14:textId="293C43FB" w:rsidR="000F7333" w:rsidRPr="00B5380E" w:rsidRDefault="00B26CE9" w:rsidP="00B5380E">
      <w:pPr>
        <w:spacing w:after="240"/>
        <w:rPr>
          <w:sz w:val="22"/>
        </w:rPr>
      </w:pPr>
      <w:r w:rsidRPr="00B5380E">
        <w:rPr>
          <w:sz w:val="22"/>
        </w:rPr>
        <w:t>Similarly, i</w:t>
      </w:r>
      <w:r w:rsidR="00754B33" w:rsidRPr="00B5380E">
        <w:rPr>
          <w:sz w:val="22"/>
        </w:rPr>
        <w:t>n</w:t>
      </w:r>
      <w:r w:rsidR="000F7333" w:rsidRPr="00B5380E">
        <w:rPr>
          <w:sz w:val="22"/>
        </w:rPr>
        <w:t xml:space="preserve"> the County Assembly, the internal auditor planned for 12 audits </w:t>
      </w:r>
      <w:r w:rsidRPr="00B5380E">
        <w:rPr>
          <w:sz w:val="22"/>
        </w:rPr>
        <w:t>and</w:t>
      </w:r>
      <w:r w:rsidR="000F7333" w:rsidRPr="00B5380E">
        <w:rPr>
          <w:sz w:val="22"/>
        </w:rPr>
        <w:t xml:space="preserve"> managed to complete 9</w:t>
      </w:r>
      <w:r w:rsidR="00AF14DF" w:rsidRPr="00B5380E">
        <w:rPr>
          <w:sz w:val="22"/>
        </w:rPr>
        <w:t>, which corresponds to an execution rate of 75</w:t>
      </w:r>
      <w:r w:rsidR="009A0E14">
        <w:rPr>
          <w:sz w:val="22"/>
        </w:rPr>
        <w:t xml:space="preserve"> percent</w:t>
      </w:r>
      <w:r w:rsidR="000F7333" w:rsidRPr="00B5380E">
        <w:rPr>
          <w:sz w:val="22"/>
        </w:rPr>
        <w:t>.</w:t>
      </w:r>
    </w:p>
    <w:p w14:paraId="255DDBD3" w14:textId="0808C1BD" w:rsidR="006F0846" w:rsidRPr="009C39DF" w:rsidRDefault="00AF14DF" w:rsidP="00B5380E">
      <w:pPr>
        <w:spacing w:after="240"/>
        <w:rPr>
          <w:sz w:val="22"/>
        </w:rPr>
      </w:pPr>
      <w:r w:rsidRPr="009C39DF">
        <w:rPr>
          <w:sz w:val="22"/>
        </w:rPr>
        <w:t xml:space="preserve">In summary, annual audit programs are performed annually and </w:t>
      </w:r>
      <w:r w:rsidRPr="009C39DF">
        <w:rPr>
          <w:b/>
          <w:i/>
          <w:sz w:val="22"/>
        </w:rPr>
        <w:t>most</w:t>
      </w:r>
      <w:r w:rsidRPr="009C39DF">
        <w:rPr>
          <w:sz w:val="22"/>
        </w:rPr>
        <w:t xml:space="preserve"> programmed audits </w:t>
      </w:r>
      <w:r w:rsidR="009B6528" w:rsidRPr="009C39DF">
        <w:rPr>
          <w:sz w:val="22"/>
        </w:rPr>
        <w:t>have been</w:t>
      </w:r>
      <w:r w:rsidRPr="009C39DF">
        <w:rPr>
          <w:sz w:val="22"/>
        </w:rPr>
        <w:t xml:space="preserve"> completed</w:t>
      </w:r>
      <w:r w:rsidR="009B6528" w:rsidRPr="009C39DF">
        <w:rPr>
          <w:sz w:val="22"/>
        </w:rPr>
        <w:t xml:space="preserve"> in FY2015/16</w:t>
      </w:r>
      <w:r w:rsidRPr="009C39DF">
        <w:rPr>
          <w:sz w:val="22"/>
        </w:rPr>
        <w:t>.</w:t>
      </w:r>
      <w:r w:rsidR="00DF68B1" w:rsidRPr="009C39DF">
        <w:rPr>
          <w:sz w:val="22"/>
        </w:rPr>
        <w:t xml:space="preserve"> </w:t>
      </w:r>
    </w:p>
    <w:p w14:paraId="3B1E465A" w14:textId="52FD230F" w:rsidR="006F0846" w:rsidRPr="009C39DF" w:rsidRDefault="006F0846" w:rsidP="00B5380E">
      <w:pPr>
        <w:spacing w:after="240"/>
        <w:rPr>
          <w:b/>
          <w:sz w:val="22"/>
        </w:rPr>
      </w:pPr>
      <w:r w:rsidRPr="009C39DF">
        <w:rPr>
          <w:b/>
          <w:sz w:val="22"/>
        </w:rPr>
        <w:t>Dimension rating = B</w:t>
      </w:r>
    </w:p>
    <w:p w14:paraId="5D4F6F4A" w14:textId="77777777" w:rsidR="000F7333" w:rsidRPr="00890A84" w:rsidRDefault="00612DBE" w:rsidP="00BA6B2B">
      <w:pPr>
        <w:pStyle w:val="Heading5"/>
      </w:pPr>
      <w:r w:rsidRPr="00890A84">
        <w:t>PI-</w:t>
      </w:r>
      <w:r w:rsidR="000F7333" w:rsidRPr="00890A84">
        <w:t xml:space="preserve">26.4. Response to internal audits </w:t>
      </w:r>
    </w:p>
    <w:p w14:paraId="56C2D5CA" w14:textId="77777777" w:rsidR="00381DE1" w:rsidRPr="00B5380E" w:rsidRDefault="000F7333" w:rsidP="00B5380E">
      <w:pPr>
        <w:spacing w:after="240"/>
        <w:rPr>
          <w:sz w:val="22"/>
        </w:rPr>
      </w:pPr>
      <w:r w:rsidRPr="00B5380E">
        <w:rPr>
          <w:sz w:val="22"/>
        </w:rPr>
        <w:t>The county has a functional audit committee w</w:t>
      </w:r>
      <w:r w:rsidR="00755F6E" w:rsidRPr="00B5380E">
        <w:rPr>
          <w:sz w:val="22"/>
        </w:rPr>
        <w:t>ith the a</w:t>
      </w:r>
      <w:r w:rsidRPr="00B5380E">
        <w:rPr>
          <w:sz w:val="22"/>
        </w:rPr>
        <w:t xml:space="preserve">uthority to </w:t>
      </w:r>
      <w:r w:rsidR="00DB17E8" w:rsidRPr="00B5380E">
        <w:rPr>
          <w:sz w:val="22"/>
        </w:rPr>
        <w:t>seek</w:t>
      </w:r>
      <w:r w:rsidRPr="00B5380E">
        <w:rPr>
          <w:sz w:val="22"/>
        </w:rPr>
        <w:t xml:space="preserve"> explanations on audit reports and </w:t>
      </w:r>
      <w:r w:rsidR="00DB17E8" w:rsidRPr="00B5380E">
        <w:rPr>
          <w:sz w:val="22"/>
        </w:rPr>
        <w:t xml:space="preserve">discuss </w:t>
      </w:r>
      <w:r w:rsidRPr="00B5380E">
        <w:rPr>
          <w:sz w:val="22"/>
        </w:rPr>
        <w:t xml:space="preserve">recommendations </w:t>
      </w:r>
      <w:r w:rsidR="00DB17E8" w:rsidRPr="00B5380E">
        <w:rPr>
          <w:sz w:val="22"/>
        </w:rPr>
        <w:t>with</w:t>
      </w:r>
      <w:r w:rsidRPr="00B5380E">
        <w:rPr>
          <w:sz w:val="22"/>
        </w:rPr>
        <w:t xml:space="preserve"> the management for implementation. </w:t>
      </w:r>
    </w:p>
    <w:p w14:paraId="4B6D44FF" w14:textId="4F1EF315" w:rsidR="007416BB" w:rsidRPr="00B5380E" w:rsidRDefault="000F7333" w:rsidP="00B5380E">
      <w:pPr>
        <w:spacing w:after="240"/>
        <w:rPr>
          <w:sz w:val="22"/>
        </w:rPr>
      </w:pPr>
      <w:r w:rsidRPr="00B5380E">
        <w:rPr>
          <w:sz w:val="22"/>
        </w:rPr>
        <w:t xml:space="preserve">In </w:t>
      </w:r>
      <w:r w:rsidR="009A0E14">
        <w:rPr>
          <w:sz w:val="22"/>
        </w:rPr>
        <w:t>FY</w:t>
      </w:r>
      <w:r w:rsidRPr="00B5380E">
        <w:rPr>
          <w:sz w:val="22"/>
        </w:rPr>
        <w:t>2015</w:t>
      </w:r>
      <w:r w:rsidR="00DB17E8" w:rsidRPr="00B5380E">
        <w:rPr>
          <w:sz w:val="22"/>
        </w:rPr>
        <w:t>/</w:t>
      </w:r>
      <w:r w:rsidRPr="00B5380E">
        <w:rPr>
          <w:sz w:val="22"/>
        </w:rPr>
        <w:t xml:space="preserve">2016, the management responded to 6 </w:t>
      </w:r>
      <w:r w:rsidR="00DB17E8" w:rsidRPr="00B5380E">
        <w:rPr>
          <w:sz w:val="22"/>
        </w:rPr>
        <w:t xml:space="preserve">out of the 8 </w:t>
      </w:r>
      <w:r w:rsidRPr="00B5380E">
        <w:rPr>
          <w:sz w:val="22"/>
        </w:rPr>
        <w:t xml:space="preserve">audit reports. </w:t>
      </w:r>
      <w:r w:rsidR="00DB17E8" w:rsidRPr="00B5380E">
        <w:rPr>
          <w:sz w:val="22"/>
        </w:rPr>
        <w:t>The County A</w:t>
      </w:r>
      <w:r w:rsidR="00A90224" w:rsidRPr="00B5380E">
        <w:rPr>
          <w:sz w:val="22"/>
        </w:rPr>
        <w:t xml:space="preserve">ssembly received 9 audit reports but responded to </w:t>
      </w:r>
      <w:r w:rsidR="00DB17E8" w:rsidRPr="00B5380E">
        <w:rPr>
          <w:sz w:val="22"/>
        </w:rPr>
        <w:t>7</w:t>
      </w:r>
      <w:r w:rsidR="00A90224" w:rsidRPr="00B5380E">
        <w:rPr>
          <w:sz w:val="22"/>
        </w:rPr>
        <w:t xml:space="preserve">. </w:t>
      </w:r>
      <w:r w:rsidR="00354723" w:rsidRPr="00B5380E">
        <w:rPr>
          <w:sz w:val="22"/>
        </w:rPr>
        <w:t>However, as complete information was not available, a sampling approach was applied, but it was not possible to get five major budgetary units or institutional units as recommended by the PE</w:t>
      </w:r>
      <w:r w:rsidR="00381DE1" w:rsidRPr="00B5380E">
        <w:rPr>
          <w:sz w:val="22"/>
        </w:rPr>
        <w:t>F</w:t>
      </w:r>
      <w:r w:rsidR="00354723" w:rsidRPr="00B5380E">
        <w:rPr>
          <w:sz w:val="22"/>
        </w:rPr>
        <w:t>A methodology.</w:t>
      </w:r>
      <w:r w:rsidR="0075704D" w:rsidRPr="00B5380E">
        <w:rPr>
          <w:sz w:val="22"/>
        </w:rPr>
        <w:t xml:space="preserve"> </w:t>
      </w:r>
      <w:r w:rsidR="00506312" w:rsidRPr="00B5380E">
        <w:rPr>
          <w:sz w:val="22"/>
        </w:rPr>
        <w:t>E</w:t>
      </w:r>
      <w:r w:rsidR="00CA1BE5" w:rsidRPr="00B5380E">
        <w:rPr>
          <w:sz w:val="22"/>
        </w:rPr>
        <w:t xml:space="preserve">vidence </w:t>
      </w:r>
      <w:r w:rsidR="00DB17E8" w:rsidRPr="00B5380E">
        <w:rPr>
          <w:sz w:val="22"/>
        </w:rPr>
        <w:t>was</w:t>
      </w:r>
      <w:r w:rsidR="00CA1BE5" w:rsidRPr="00B5380E">
        <w:rPr>
          <w:sz w:val="22"/>
        </w:rPr>
        <w:t xml:space="preserve"> provided to assess the time</w:t>
      </w:r>
      <w:r w:rsidR="00DB17E8" w:rsidRPr="00B5380E">
        <w:rPr>
          <w:sz w:val="22"/>
        </w:rPr>
        <w:t>liness</w:t>
      </w:r>
      <w:r w:rsidR="00CA1BE5" w:rsidRPr="00B5380E">
        <w:rPr>
          <w:sz w:val="22"/>
        </w:rPr>
        <w:t xml:space="preserve"> of </w:t>
      </w:r>
      <w:r w:rsidR="00DB17E8" w:rsidRPr="00B5380E">
        <w:rPr>
          <w:sz w:val="22"/>
        </w:rPr>
        <w:t xml:space="preserve">the </w:t>
      </w:r>
      <w:r w:rsidR="00CA1BE5" w:rsidRPr="00B5380E">
        <w:rPr>
          <w:sz w:val="22"/>
        </w:rPr>
        <w:t>response</w:t>
      </w:r>
      <w:r w:rsidR="00DB17E8" w:rsidRPr="00B5380E">
        <w:rPr>
          <w:sz w:val="22"/>
        </w:rPr>
        <w:t>s</w:t>
      </w:r>
      <w:r w:rsidR="00506312" w:rsidRPr="00B5380E">
        <w:rPr>
          <w:sz w:val="22"/>
        </w:rPr>
        <w:t xml:space="preserve"> for </w:t>
      </w:r>
      <w:r w:rsidR="009A0E14">
        <w:rPr>
          <w:sz w:val="22"/>
        </w:rPr>
        <w:t xml:space="preserve">the </w:t>
      </w:r>
      <w:r w:rsidR="00506312" w:rsidRPr="00B5380E">
        <w:rPr>
          <w:sz w:val="22"/>
        </w:rPr>
        <w:t>three public entities</w:t>
      </w:r>
      <w:r w:rsidR="00354723" w:rsidRPr="00B5380E">
        <w:rPr>
          <w:sz w:val="22"/>
        </w:rPr>
        <w:t xml:space="preserve"> presented </w:t>
      </w:r>
      <w:r w:rsidR="000B4EB8">
        <w:rPr>
          <w:sz w:val="22"/>
        </w:rPr>
        <w:t>in Table 3.24</w:t>
      </w:r>
      <w:r w:rsidR="00CA1BE5" w:rsidRPr="00B5380E">
        <w:rPr>
          <w:sz w:val="22"/>
        </w:rPr>
        <w:t>.</w:t>
      </w:r>
      <w:r w:rsidR="003D11A0" w:rsidRPr="00B5380E">
        <w:rPr>
          <w:sz w:val="22"/>
        </w:rPr>
        <w:t xml:space="preserve"> </w:t>
      </w:r>
    </w:p>
    <w:p w14:paraId="7BAB1322" w14:textId="71603BE6" w:rsidR="00506312" w:rsidRDefault="0075704D" w:rsidP="009C39DF">
      <w:pPr>
        <w:pStyle w:val="TableStyle"/>
      </w:pPr>
      <w:bookmarkStart w:id="112" w:name="_Toc532426111"/>
      <w:r>
        <w:t xml:space="preserve">Table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24</w:t>
      </w:r>
      <w:r w:rsidR="008B59A7">
        <w:rPr>
          <w:noProof/>
        </w:rPr>
        <w:fldChar w:fldCharType="end"/>
      </w:r>
      <w:r>
        <w:t xml:space="preserve">: </w:t>
      </w:r>
      <w:r w:rsidR="009A0E14">
        <w:t>T</w:t>
      </w:r>
      <w:r w:rsidRPr="0075704D">
        <w:t xml:space="preserve">imeliness of the responses </w:t>
      </w:r>
      <w:r>
        <w:t xml:space="preserve">to internal audit by audited </w:t>
      </w:r>
      <w:r w:rsidRPr="0075704D">
        <w:t>public entities</w:t>
      </w:r>
      <w:bookmarkEnd w:id="112"/>
    </w:p>
    <w:tbl>
      <w:tblPr>
        <w:tblStyle w:val="table-style-blauw-070-none"/>
        <w:tblW w:w="9008" w:type="dxa"/>
        <w:tblInd w:w="-1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71"/>
        <w:gridCol w:w="2070"/>
        <w:gridCol w:w="1182"/>
        <w:gridCol w:w="1248"/>
        <w:gridCol w:w="1142"/>
        <w:gridCol w:w="1195"/>
      </w:tblGrid>
      <w:tr w:rsidR="00506312" w:rsidRPr="009C39DF" w14:paraId="5A3D3E6C" w14:textId="77777777" w:rsidTr="00EC4B41">
        <w:trPr>
          <w:cnfStyle w:val="100000000000" w:firstRow="1" w:lastRow="0" w:firstColumn="0" w:lastColumn="0" w:oddVBand="0" w:evenVBand="0" w:oddHBand="0" w:evenHBand="0" w:firstRowFirstColumn="0" w:firstRowLastColumn="0" w:lastRowFirstColumn="0" w:lastRowLastColumn="0"/>
        </w:trPr>
        <w:tc>
          <w:tcPr>
            <w:tcW w:w="2171"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E613F5F" w14:textId="77777777" w:rsidR="00506312" w:rsidRPr="009C39DF" w:rsidRDefault="00506312" w:rsidP="009C39DF">
            <w:pPr>
              <w:jc w:val="center"/>
              <w:rPr>
                <w:rFonts w:asciiTheme="minorHAnsi" w:hAnsiTheme="minorHAnsi" w:cs="Times New Roman"/>
                <w:color w:val="FFFFFF" w:themeColor="background1"/>
                <w:sz w:val="20"/>
                <w:lang w:val="fr-FR"/>
              </w:rPr>
            </w:pPr>
            <w:r w:rsidRPr="009C39DF">
              <w:rPr>
                <w:rFonts w:asciiTheme="minorHAnsi" w:hAnsiTheme="minorHAnsi" w:cs="Times New Roman"/>
                <w:color w:val="FFFFFF" w:themeColor="background1"/>
                <w:sz w:val="20"/>
                <w:lang w:val="fr-FR"/>
              </w:rPr>
              <w:t>Entity</w:t>
            </w:r>
          </w:p>
        </w:tc>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3C8E80C" w14:textId="77777777" w:rsidR="00506312" w:rsidRPr="009C39DF" w:rsidRDefault="00506312" w:rsidP="009C39DF">
            <w:pPr>
              <w:jc w:val="center"/>
              <w:rPr>
                <w:rFonts w:asciiTheme="minorHAnsi" w:hAnsiTheme="minorHAnsi" w:cs="Times New Roman"/>
                <w:color w:val="FFFFFF" w:themeColor="background1"/>
                <w:sz w:val="20"/>
                <w:lang w:val="fr-FR"/>
              </w:rPr>
            </w:pPr>
            <w:r w:rsidRPr="009C39DF">
              <w:rPr>
                <w:rFonts w:asciiTheme="minorHAnsi" w:hAnsiTheme="minorHAnsi" w:cs="Times New Roman"/>
                <w:color w:val="FFFFFF" w:themeColor="background1"/>
                <w:sz w:val="20"/>
                <w:lang w:val="fr-FR"/>
              </w:rPr>
              <w:t>Nature of audit</w:t>
            </w:r>
          </w:p>
        </w:tc>
        <w:tc>
          <w:tcPr>
            <w:tcW w:w="11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698D47" w14:textId="7CA2534A" w:rsidR="00506312" w:rsidRPr="009C39DF" w:rsidRDefault="00506312" w:rsidP="009C39DF">
            <w:pPr>
              <w:jc w:val="center"/>
              <w:rPr>
                <w:rFonts w:asciiTheme="minorHAnsi" w:hAnsiTheme="minorHAnsi" w:cs="Times New Roman"/>
                <w:color w:val="FFFFFF" w:themeColor="background1"/>
                <w:sz w:val="20"/>
                <w:lang w:val="fr-FR"/>
              </w:rPr>
            </w:pPr>
            <w:r w:rsidRPr="009C39DF">
              <w:rPr>
                <w:rFonts w:asciiTheme="minorHAnsi" w:hAnsiTheme="minorHAnsi" w:cs="Times New Roman"/>
                <w:color w:val="FFFFFF" w:themeColor="background1"/>
                <w:sz w:val="20"/>
                <w:lang w:val="fr-FR"/>
              </w:rPr>
              <w:t>Date of audit</w:t>
            </w:r>
          </w:p>
        </w:tc>
        <w:tc>
          <w:tcPr>
            <w:tcW w:w="12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B5EC60" w14:textId="3561F550" w:rsidR="00506312" w:rsidRPr="009C39DF" w:rsidRDefault="00506312" w:rsidP="009C39DF">
            <w:pPr>
              <w:jc w:val="center"/>
              <w:rPr>
                <w:rFonts w:asciiTheme="minorHAnsi" w:hAnsiTheme="minorHAnsi" w:cs="Times New Roman"/>
                <w:color w:val="FFFFFF" w:themeColor="background1"/>
                <w:sz w:val="20"/>
                <w:lang w:val="fr-FR"/>
              </w:rPr>
            </w:pPr>
            <w:r w:rsidRPr="009C39DF">
              <w:rPr>
                <w:rFonts w:asciiTheme="minorHAnsi" w:hAnsiTheme="minorHAnsi" w:cs="Times New Roman"/>
                <w:color w:val="FFFFFF" w:themeColor="background1"/>
                <w:sz w:val="20"/>
                <w:lang w:val="fr-FR"/>
              </w:rPr>
              <w:t>Date of response</w:t>
            </w:r>
          </w:p>
        </w:tc>
        <w:tc>
          <w:tcPr>
            <w:tcW w:w="1142"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F3A0B84" w14:textId="4EB7FAB4" w:rsidR="00506312" w:rsidRPr="009C39DF" w:rsidRDefault="00506312" w:rsidP="009C39DF">
            <w:pPr>
              <w:jc w:val="center"/>
              <w:rPr>
                <w:rFonts w:asciiTheme="minorHAnsi" w:hAnsiTheme="minorHAnsi" w:cs="Times New Roman"/>
                <w:color w:val="FFFFFF" w:themeColor="background1"/>
                <w:sz w:val="20"/>
                <w:lang w:val="fr-FR"/>
              </w:rPr>
            </w:pPr>
            <w:r w:rsidRPr="009C39DF">
              <w:rPr>
                <w:rFonts w:asciiTheme="minorHAnsi" w:hAnsiTheme="minorHAnsi" w:cs="Times New Roman"/>
                <w:color w:val="FFFFFF" w:themeColor="background1"/>
                <w:sz w:val="20"/>
                <w:lang w:val="fr-FR"/>
              </w:rPr>
              <w:t>Time</w:t>
            </w:r>
            <w:r w:rsidR="009A0E14">
              <w:rPr>
                <w:rFonts w:asciiTheme="minorHAnsi" w:hAnsiTheme="minorHAnsi" w:cs="Times New Roman"/>
                <w:color w:val="FFFFFF" w:themeColor="background1"/>
                <w:sz w:val="20"/>
                <w:lang w:val="fr-FR"/>
              </w:rPr>
              <w:t xml:space="preserve"> </w:t>
            </w:r>
            <w:r w:rsidRPr="009C39DF">
              <w:rPr>
                <w:rFonts w:asciiTheme="minorHAnsi" w:hAnsiTheme="minorHAnsi" w:cs="Times New Roman"/>
                <w:color w:val="FFFFFF" w:themeColor="background1"/>
                <w:sz w:val="20"/>
                <w:lang w:val="fr-FR"/>
              </w:rPr>
              <w:t>lag in months</w:t>
            </w:r>
          </w:p>
        </w:tc>
        <w:tc>
          <w:tcPr>
            <w:tcW w:w="1195"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9151E6F" w14:textId="77777777" w:rsidR="00506312" w:rsidRPr="009C39DF" w:rsidRDefault="00506312" w:rsidP="009C39DF">
            <w:pPr>
              <w:jc w:val="center"/>
              <w:rPr>
                <w:rFonts w:asciiTheme="minorHAnsi" w:hAnsiTheme="minorHAnsi" w:cs="Times New Roman"/>
                <w:color w:val="FFFFFF" w:themeColor="background1"/>
                <w:sz w:val="20"/>
                <w:lang w:val="fr-FR"/>
              </w:rPr>
            </w:pPr>
            <w:r w:rsidRPr="009C39DF">
              <w:rPr>
                <w:rFonts w:asciiTheme="minorHAnsi" w:hAnsiTheme="minorHAnsi" w:cs="Times New Roman"/>
                <w:color w:val="FFFFFF" w:themeColor="background1"/>
                <w:sz w:val="20"/>
                <w:lang w:val="fr-FR"/>
              </w:rPr>
              <w:t>Type of response</w:t>
            </w:r>
          </w:p>
        </w:tc>
      </w:tr>
      <w:tr w:rsidR="00506312" w:rsidRPr="009C39DF" w14:paraId="02B7CE62" w14:textId="77777777" w:rsidTr="00EC4B41">
        <w:trPr>
          <w:cnfStyle w:val="000000100000" w:firstRow="0" w:lastRow="0" w:firstColumn="0" w:lastColumn="0" w:oddVBand="0" w:evenVBand="0" w:oddHBand="1" w:evenHBand="0" w:firstRowFirstColumn="0" w:firstRowLastColumn="0" w:lastRowFirstColumn="0" w:lastRowLastColumn="0"/>
        </w:trPr>
        <w:tc>
          <w:tcPr>
            <w:tcW w:w="2171" w:type="dxa"/>
            <w:tcBorders>
              <w:top w:val="none" w:sz="0" w:space="0" w:color="auto"/>
            </w:tcBorders>
            <w:noWrap/>
            <w:hideMark/>
          </w:tcPr>
          <w:p w14:paraId="7A90949D" w14:textId="0A4C5AB0" w:rsidR="00506312" w:rsidRPr="009C39DF" w:rsidRDefault="00506312" w:rsidP="009C39DF">
            <w:pPr>
              <w:jc w:val="left"/>
              <w:rPr>
                <w:rFonts w:asciiTheme="minorHAnsi" w:hAnsiTheme="minorHAnsi" w:cs="Times New Roman"/>
                <w:sz w:val="20"/>
                <w:lang w:val="fr-FR"/>
              </w:rPr>
            </w:pPr>
            <w:r w:rsidRPr="009C39DF">
              <w:rPr>
                <w:rFonts w:asciiTheme="minorHAnsi" w:hAnsiTheme="minorHAnsi" w:cs="Times New Roman"/>
                <w:sz w:val="20"/>
                <w:lang w:val="fr-FR"/>
              </w:rPr>
              <w:t xml:space="preserve">Public </w:t>
            </w:r>
            <w:r w:rsidR="009A0E14">
              <w:rPr>
                <w:rFonts w:asciiTheme="minorHAnsi" w:hAnsiTheme="minorHAnsi" w:cs="Times New Roman"/>
                <w:sz w:val="20"/>
                <w:lang w:val="fr-FR"/>
              </w:rPr>
              <w:t>W</w:t>
            </w:r>
            <w:r w:rsidRPr="009C39DF">
              <w:rPr>
                <w:rFonts w:asciiTheme="minorHAnsi" w:hAnsiTheme="minorHAnsi" w:cs="Times New Roman"/>
                <w:sz w:val="20"/>
                <w:lang w:val="fr-FR"/>
              </w:rPr>
              <w:t xml:space="preserve">orks </w:t>
            </w:r>
            <w:r w:rsidR="009A0E14">
              <w:rPr>
                <w:rFonts w:asciiTheme="minorHAnsi" w:hAnsiTheme="minorHAnsi" w:cs="Times New Roman"/>
                <w:sz w:val="20"/>
                <w:lang w:val="fr-FR"/>
              </w:rPr>
              <w:t>and</w:t>
            </w:r>
            <w:r w:rsidRPr="009C39DF">
              <w:rPr>
                <w:rFonts w:asciiTheme="minorHAnsi" w:hAnsiTheme="minorHAnsi" w:cs="Times New Roman"/>
                <w:sz w:val="20"/>
                <w:lang w:val="fr-FR"/>
              </w:rPr>
              <w:t xml:space="preserve"> </w:t>
            </w:r>
            <w:r w:rsidR="009A0E14">
              <w:rPr>
                <w:rFonts w:asciiTheme="minorHAnsi" w:hAnsiTheme="minorHAnsi" w:cs="Times New Roman"/>
                <w:sz w:val="20"/>
                <w:lang w:val="fr-FR"/>
              </w:rPr>
              <w:t>E</w:t>
            </w:r>
            <w:r w:rsidRPr="009C39DF">
              <w:rPr>
                <w:rFonts w:asciiTheme="minorHAnsi" w:hAnsiTheme="minorHAnsi" w:cs="Times New Roman"/>
                <w:sz w:val="20"/>
                <w:lang w:val="fr-FR"/>
              </w:rPr>
              <w:t>nergy</w:t>
            </w:r>
          </w:p>
        </w:tc>
        <w:tc>
          <w:tcPr>
            <w:tcW w:w="2070" w:type="dxa"/>
            <w:tcBorders>
              <w:top w:val="none" w:sz="0" w:space="0" w:color="auto"/>
            </w:tcBorders>
            <w:noWrap/>
            <w:hideMark/>
          </w:tcPr>
          <w:p w14:paraId="17A25402" w14:textId="77777777" w:rsidR="00506312" w:rsidRPr="009C39DF" w:rsidRDefault="00506312" w:rsidP="009C39DF">
            <w:pPr>
              <w:jc w:val="left"/>
              <w:rPr>
                <w:rFonts w:asciiTheme="minorHAnsi" w:hAnsiTheme="minorHAnsi" w:cs="Times New Roman"/>
                <w:sz w:val="20"/>
                <w:lang w:val="fr-FR"/>
              </w:rPr>
            </w:pPr>
            <w:r w:rsidRPr="009C39DF">
              <w:rPr>
                <w:rFonts w:asciiTheme="minorHAnsi" w:hAnsiTheme="minorHAnsi" w:cs="Times New Roman"/>
                <w:sz w:val="20"/>
                <w:lang w:val="fr-FR"/>
              </w:rPr>
              <w:t>Development project</w:t>
            </w:r>
          </w:p>
        </w:tc>
        <w:tc>
          <w:tcPr>
            <w:tcW w:w="1182" w:type="dxa"/>
            <w:tcBorders>
              <w:top w:val="none" w:sz="0" w:space="0" w:color="auto"/>
            </w:tcBorders>
          </w:tcPr>
          <w:p w14:paraId="5690E06D" w14:textId="7A6233F7"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03/30/2016</w:t>
            </w:r>
          </w:p>
        </w:tc>
        <w:tc>
          <w:tcPr>
            <w:tcW w:w="1248" w:type="dxa"/>
            <w:tcBorders>
              <w:top w:val="none" w:sz="0" w:space="0" w:color="auto"/>
            </w:tcBorders>
          </w:tcPr>
          <w:p w14:paraId="0ADA0644" w14:textId="0A0CD80E"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08/09/2016</w:t>
            </w:r>
          </w:p>
        </w:tc>
        <w:tc>
          <w:tcPr>
            <w:tcW w:w="1142" w:type="dxa"/>
            <w:tcBorders>
              <w:top w:val="none" w:sz="0" w:space="0" w:color="auto"/>
            </w:tcBorders>
            <w:noWrap/>
            <w:hideMark/>
          </w:tcPr>
          <w:p w14:paraId="78480383" w14:textId="1439DCD8"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5.4</w:t>
            </w:r>
          </w:p>
        </w:tc>
        <w:tc>
          <w:tcPr>
            <w:tcW w:w="1195" w:type="dxa"/>
            <w:tcBorders>
              <w:top w:val="none" w:sz="0" w:space="0" w:color="auto"/>
            </w:tcBorders>
            <w:noWrap/>
            <w:hideMark/>
          </w:tcPr>
          <w:p w14:paraId="39440D1C" w14:textId="77777777" w:rsidR="00506312" w:rsidRPr="009C39DF" w:rsidRDefault="00506312" w:rsidP="00506312">
            <w:pPr>
              <w:jc w:val="left"/>
              <w:rPr>
                <w:rFonts w:asciiTheme="minorHAnsi" w:hAnsiTheme="minorHAnsi" w:cs="Times New Roman"/>
                <w:sz w:val="20"/>
                <w:lang w:val="fr-FR"/>
              </w:rPr>
            </w:pPr>
            <w:r w:rsidRPr="009C39DF">
              <w:rPr>
                <w:rFonts w:asciiTheme="minorHAnsi" w:hAnsiTheme="minorHAnsi" w:cs="Times New Roman"/>
                <w:sz w:val="20"/>
                <w:lang w:val="fr-FR"/>
              </w:rPr>
              <w:t>Complete</w:t>
            </w:r>
          </w:p>
        </w:tc>
      </w:tr>
      <w:tr w:rsidR="00506312" w:rsidRPr="009C39DF" w14:paraId="26023665" w14:textId="77777777" w:rsidTr="00EC4B41">
        <w:trPr>
          <w:cnfStyle w:val="000000010000" w:firstRow="0" w:lastRow="0" w:firstColumn="0" w:lastColumn="0" w:oddVBand="0" w:evenVBand="0" w:oddHBand="0" w:evenHBand="1" w:firstRowFirstColumn="0" w:firstRowLastColumn="0" w:lastRowFirstColumn="0" w:lastRowLastColumn="0"/>
        </w:trPr>
        <w:tc>
          <w:tcPr>
            <w:tcW w:w="2171" w:type="dxa"/>
            <w:tcBorders>
              <w:top w:val="none" w:sz="0" w:space="0" w:color="auto"/>
            </w:tcBorders>
            <w:noWrap/>
            <w:hideMark/>
          </w:tcPr>
          <w:p w14:paraId="60752598" w14:textId="77777777" w:rsidR="00506312" w:rsidRPr="009C39DF" w:rsidRDefault="00506312" w:rsidP="009C39DF">
            <w:pPr>
              <w:jc w:val="left"/>
              <w:rPr>
                <w:rFonts w:asciiTheme="minorHAnsi" w:hAnsiTheme="minorHAnsi" w:cs="Times New Roman"/>
                <w:sz w:val="20"/>
                <w:lang w:val="fr-FR"/>
              </w:rPr>
            </w:pPr>
            <w:r w:rsidRPr="009C39DF">
              <w:rPr>
                <w:rFonts w:asciiTheme="minorHAnsi" w:hAnsiTheme="minorHAnsi" w:cs="Times New Roman"/>
                <w:sz w:val="20"/>
                <w:lang w:val="fr-FR"/>
              </w:rPr>
              <w:t>County Treasury</w:t>
            </w:r>
          </w:p>
        </w:tc>
        <w:tc>
          <w:tcPr>
            <w:tcW w:w="2070" w:type="dxa"/>
            <w:tcBorders>
              <w:top w:val="none" w:sz="0" w:space="0" w:color="auto"/>
            </w:tcBorders>
            <w:noWrap/>
            <w:hideMark/>
          </w:tcPr>
          <w:p w14:paraId="09302791" w14:textId="77777777" w:rsidR="00506312" w:rsidRPr="009C39DF" w:rsidRDefault="00506312" w:rsidP="009C39DF">
            <w:pPr>
              <w:jc w:val="left"/>
              <w:rPr>
                <w:rFonts w:asciiTheme="minorHAnsi" w:hAnsiTheme="minorHAnsi" w:cs="Times New Roman"/>
                <w:sz w:val="20"/>
                <w:lang w:val="fr-FR"/>
              </w:rPr>
            </w:pPr>
            <w:r w:rsidRPr="009C39DF">
              <w:rPr>
                <w:rFonts w:asciiTheme="minorHAnsi" w:hAnsiTheme="minorHAnsi" w:cs="Times New Roman"/>
                <w:sz w:val="20"/>
                <w:lang w:val="fr-FR"/>
              </w:rPr>
              <w:t>Recurrent expenditure</w:t>
            </w:r>
          </w:p>
        </w:tc>
        <w:tc>
          <w:tcPr>
            <w:tcW w:w="1182" w:type="dxa"/>
            <w:tcBorders>
              <w:top w:val="none" w:sz="0" w:space="0" w:color="auto"/>
            </w:tcBorders>
          </w:tcPr>
          <w:p w14:paraId="55A0DB11" w14:textId="24709520"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02/26/2016</w:t>
            </w:r>
          </w:p>
        </w:tc>
        <w:tc>
          <w:tcPr>
            <w:tcW w:w="1248" w:type="dxa"/>
            <w:tcBorders>
              <w:top w:val="none" w:sz="0" w:space="0" w:color="auto"/>
            </w:tcBorders>
          </w:tcPr>
          <w:p w14:paraId="4D8E83BF" w14:textId="29C94A55"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03/16/2016</w:t>
            </w:r>
          </w:p>
        </w:tc>
        <w:tc>
          <w:tcPr>
            <w:tcW w:w="1142" w:type="dxa"/>
            <w:tcBorders>
              <w:top w:val="none" w:sz="0" w:space="0" w:color="auto"/>
            </w:tcBorders>
            <w:noWrap/>
            <w:hideMark/>
          </w:tcPr>
          <w:p w14:paraId="19953486" w14:textId="692F103B"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0.6</w:t>
            </w:r>
          </w:p>
        </w:tc>
        <w:tc>
          <w:tcPr>
            <w:tcW w:w="1195" w:type="dxa"/>
            <w:tcBorders>
              <w:top w:val="none" w:sz="0" w:space="0" w:color="auto"/>
            </w:tcBorders>
            <w:noWrap/>
            <w:hideMark/>
          </w:tcPr>
          <w:p w14:paraId="216E781A" w14:textId="77777777" w:rsidR="00506312" w:rsidRPr="009C39DF" w:rsidRDefault="00506312" w:rsidP="00506312">
            <w:pPr>
              <w:jc w:val="left"/>
              <w:rPr>
                <w:rFonts w:asciiTheme="minorHAnsi" w:hAnsiTheme="minorHAnsi" w:cs="Times New Roman"/>
                <w:sz w:val="20"/>
                <w:lang w:val="fr-FR"/>
              </w:rPr>
            </w:pPr>
            <w:r w:rsidRPr="009C39DF">
              <w:rPr>
                <w:rFonts w:asciiTheme="minorHAnsi" w:hAnsiTheme="minorHAnsi" w:cs="Times New Roman"/>
                <w:sz w:val="20"/>
                <w:lang w:val="fr-FR"/>
              </w:rPr>
              <w:t>Complete</w:t>
            </w:r>
          </w:p>
        </w:tc>
      </w:tr>
      <w:tr w:rsidR="00506312" w:rsidRPr="009C39DF" w14:paraId="779A7A65" w14:textId="77777777" w:rsidTr="00EC4B41">
        <w:trPr>
          <w:cnfStyle w:val="000000100000" w:firstRow="0" w:lastRow="0" w:firstColumn="0" w:lastColumn="0" w:oddVBand="0" w:evenVBand="0" w:oddHBand="1" w:evenHBand="0" w:firstRowFirstColumn="0" w:firstRowLastColumn="0" w:lastRowFirstColumn="0" w:lastRowLastColumn="0"/>
        </w:trPr>
        <w:tc>
          <w:tcPr>
            <w:tcW w:w="2171" w:type="dxa"/>
            <w:tcBorders>
              <w:top w:val="none" w:sz="0" w:space="0" w:color="auto"/>
            </w:tcBorders>
            <w:noWrap/>
            <w:hideMark/>
          </w:tcPr>
          <w:p w14:paraId="3DED75F7" w14:textId="628466AA" w:rsidR="00506312" w:rsidRPr="009C39DF" w:rsidRDefault="00506312" w:rsidP="009C39DF">
            <w:pPr>
              <w:jc w:val="left"/>
              <w:rPr>
                <w:rFonts w:asciiTheme="minorHAnsi" w:hAnsiTheme="minorHAnsi" w:cs="Times New Roman"/>
                <w:sz w:val="20"/>
                <w:lang w:val="fr-FR"/>
              </w:rPr>
            </w:pPr>
            <w:r w:rsidRPr="009C39DF">
              <w:rPr>
                <w:rFonts w:asciiTheme="minorHAnsi" w:hAnsiTheme="minorHAnsi" w:cs="Times New Roman"/>
                <w:sz w:val="20"/>
                <w:lang w:val="fr-FR"/>
              </w:rPr>
              <w:t xml:space="preserve">Public </w:t>
            </w:r>
            <w:r w:rsidR="009A0E14">
              <w:rPr>
                <w:rFonts w:asciiTheme="minorHAnsi" w:hAnsiTheme="minorHAnsi" w:cs="Times New Roman"/>
                <w:sz w:val="20"/>
                <w:lang w:val="fr-FR"/>
              </w:rPr>
              <w:t>S</w:t>
            </w:r>
            <w:r w:rsidRPr="009C39DF">
              <w:rPr>
                <w:rFonts w:asciiTheme="minorHAnsi" w:hAnsiTheme="minorHAnsi" w:cs="Times New Roman"/>
                <w:sz w:val="20"/>
                <w:lang w:val="fr-FR"/>
              </w:rPr>
              <w:t xml:space="preserve">ervice </w:t>
            </w:r>
            <w:r w:rsidR="009A0E14">
              <w:rPr>
                <w:rFonts w:asciiTheme="minorHAnsi" w:hAnsiTheme="minorHAnsi" w:cs="Times New Roman"/>
                <w:sz w:val="20"/>
                <w:lang w:val="fr-FR"/>
              </w:rPr>
              <w:t>B</w:t>
            </w:r>
            <w:r w:rsidRPr="009C39DF">
              <w:rPr>
                <w:rFonts w:asciiTheme="minorHAnsi" w:hAnsiTheme="minorHAnsi" w:cs="Times New Roman"/>
                <w:sz w:val="20"/>
                <w:lang w:val="fr-FR"/>
              </w:rPr>
              <w:t>oard</w:t>
            </w:r>
          </w:p>
        </w:tc>
        <w:tc>
          <w:tcPr>
            <w:tcW w:w="2070" w:type="dxa"/>
            <w:tcBorders>
              <w:top w:val="none" w:sz="0" w:space="0" w:color="auto"/>
            </w:tcBorders>
            <w:noWrap/>
            <w:hideMark/>
          </w:tcPr>
          <w:p w14:paraId="59D36430" w14:textId="77777777" w:rsidR="00506312" w:rsidRPr="009C39DF" w:rsidRDefault="00506312" w:rsidP="009C39DF">
            <w:pPr>
              <w:jc w:val="left"/>
              <w:rPr>
                <w:rFonts w:asciiTheme="minorHAnsi" w:hAnsiTheme="minorHAnsi" w:cs="Times New Roman"/>
                <w:sz w:val="20"/>
                <w:lang w:val="fr-FR"/>
              </w:rPr>
            </w:pPr>
            <w:r w:rsidRPr="009C39DF">
              <w:rPr>
                <w:rFonts w:asciiTheme="minorHAnsi" w:hAnsiTheme="minorHAnsi" w:cs="Times New Roman"/>
                <w:sz w:val="20"/>
                <w:lang w:val="fr-FR"/>
              </w:rPr>
              <w:t>Public procurement</w:t>
            </w:r>
          </w:p>
        </w:tc>
        <w:tc>
          <w:tcPr>
            <w:tcW w:w="1182" w:type="dxa"/>
            <w:tcBorders>
              <w:top w:val="none" w:sz="0" w:space="0" w:color="auto"/>
            </w:tcBorders>
          </w:tcPr>
          <w:p w14:paraId="1CEC534C" w14:textId="0E15B2FC"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07/19/2016</w:t>
            </w:r>
          </w:p>
        </w:tc>
        <w:tc>
          <w:tcPr>
            <w:tcW w:w="1248" w:type="dxa"/>
            <w:tcBorders>
              <w:top w:val="none" w:sz="0" w:space="0" w:color="auto"/>
            </w:tcBorders>
          </w:tcPr>
          <w:p w14:paraId="78766139" w14:textId="2A357007"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08/18/2016</w:t>
            </w:r>
          </w:p>
        </w:tc>
        <w:tc>
          <w:tcPr>
            <w:tcW w:w="1142" w:type="dxa"/>
            <w:tcBorders>
              <w:top w:val="none" w:sz="0" w:space="0" w:color="auto"/>
            </w:tcBorders>
            <w:noWrap/>
            <w:hideMark/>
          </w:tcPr>
          <w:p w14:paraId="7AE1A3A8" w14:textId="6F6107D5" w:rsidR="00506312" w:rsidRPr="009C39DF" w:rsidRDefault="00506312" w:rsidP="00506312">
            <w:pPr>
              <w:jc w:val="center"/>
              <w:rPr>
                <w:rFonts w:asciiTheme="minorHAnsi" w:hAnsiTheme="minorHAnsi" w:cs="Times New Roman"/>
                <w:sz w:val="20"/>
                <w:lang w:val="fr-FR"/>
              </w:rPr>
            </w:pPr>
            <w:r w:rsidRPr="009C39DF">
              <w:rPr>
                <w:rFonts w:asciiTheme="minorHAnsi" w:hAnsiTheme="minorHAnsi" w:cs="Times New Roman"/>
                <w:sz w:val="20"/>
                <w:lang w:val="fr-FR"/>
              </w:rPr>
              <w:t>1.0</w:t>
            </w:r>
          </w:p>
        </w:tc>
        <w:tc>
          <w:tcPr>
            <w:tcW w:w="1195" w:type="dxa"/>
            <w:tcBorders>
              <w:top w:val="none" w:sz="0" w:space="0" w:color="auto"/>
            </w:tcBorders>
            <w:noWrap/>
            <w:hideMark/>
          </w:tcPr>
          <w:p w14:paraId="3741EFD4" w14:textId="77777777" w:rsidR="00506312" w:rsidRPr="009C39DF" w:rsidRDefault="00506312" w:rsidP="00506312">
            <w:pPr>
              <w:jc w:val="left"/>
              <w:rPr>
                <w:rFonts w:asciiTheme="minorHAnsi" w:hAnsiTheme="minorHAnsi" w:cs="Times New Roman"/>
                <w:sz w:val="20"/>
                <w:lang w:val="fr-FR"/>
              </w:rPr>
            </w:pPr>
            <w:r w:rsidRPr="009C39DF">
              <w:rPr>
                <w:rFonts w:asciiTheme="minorHAnsi" w:hAnsiTheme="minorHAnsi" w:cs="Times New Roman"/>
                <w:sz w:val="20"/>
                <w:lang w:val="fr-FR"/>
              </w:rPr>
              <w:t>Complete</w:t>
            </w:r>
          </w:p>
        </w:tc>
      </w:tr>
    </w:tbl>
    <w:p w14:paraId="32840902" w14:textId="0C6372AF" w:rsidR="00506312" w:rsidRPr="009C39DF" w:rsidRDefault="0075704D" w:rsidP="009C39DF">
      <w:pPr>
        <w:pStyle w:val="italic0"/>
        <w:spacing w:after="240"/>
        <w:rPr>
          <w:sz w:val="20"/>
        </w:rPr>
      </w:pPr>
      <w:r w:rsidRPr="009C39DF">
        <w:rPr>
          <w:sz w:val="20"/>
        </w:rPr>
        <w:t xml:space="preserve">Source: </w:t>
      </w:r>
      <w:r w:rsidRPr="009C39DF">
        <w:rPr>
          <w:i w:val="0"/>
          <w:sz w:val="20"/>
        </w:rPr>
        <w:t xml:space="preserve">County </w:t>
      </w:r>
      <w:r w:rsidR="009A0E14">
        <w:rPr>
          <w:i w:val="0"/>
          <w:sz w:val="20"/>
        </w:rPr>
        <w:t>E</w:t>
      </w:r>
      <w:r w:rsidRPr="009C39DF">
        <w:rPr>
          <w:i w:val="0"/>
          <w:sz w:val="20"/>
        </w:rPr>
        <w:t>xecutive</w:t>
      </w:r>
      <w:r w:rsidR="009C39DF">
        <w:rPr>
          <w:i w:val="0"/>
          <w:sz w:val="20"/>
        </w:rPr>
        <w:t>.</w:t>
      </w:r>
    </w:p>
    <w:p w14:paraId="2C66488B" w14:textId="5E335EC4" w:rsidR="006F0846" w:rsidRPr="00B5380E" w:rsidRDefault="0075704D" w:rsidP="00B5380E">
      <w:pPr>
        <w:spacing w:after="240"/>
        <w:rPr>
          <w:sz w:val="22"/>
        </w:rPr>
      </w:pPr>
      <w:r w:rsidRPr="00B5380E">
        <w:rPr>
          <w:sz w:val="22"/>
        </w:rPr>
        <w:t>In summary, au</w:t>
      </w:r>
      <w:r w:rsidR="00354723" w:rsidRPr="00B5380E">
        <w:rPr>
          <w:sz w:val="22"/>
        </w:rPr>
        <w:t xml:space="preserve">dited entities provided a full response to audit recommendations within </w:t>
      </w:r>
      <w:r w:rsidR="009A0E14">
        <w:rPr>
          <w:sz w:val="22"/>
        </w:rPr>
        <w:t xml:space="preserve">12 </w:t>
      </w:r>
      <w:r w:rsidR="00354723" w:rsidRPr="00B5380E">
        <w:rPr>
          <w:sz w:val="22"/>
        </w:rPr>
        <w:t>months of the audit report being produced. This would have qualified for an A score, as everyone met the requirements</w:t>
      </w:r>
      <w:r w:rsidRPr="00B5380E">
        <w:rPr>
          <w:sz w:val="22"/>
        </w:rPr>
        <w:t>. However,</w:t>
      </w:r>
      <w:r w:rsidR="00354723" w:rsidRPr="00B5380E">
        <w:rPr>
          <w:sz w:val="22"/>
        </w:rPr>
        <w:t xml:space="preserve"> only the three</w:t>
      </w:r>
      <w:r w:rsidR="006F0846" w:rsidRPr="00B5380E">
        <w:rPr>
          <w:sz w:val="22"/>
        </w:rPr>
        <w:t xml:space="preserve"> entities provided their report.</w:t>
      </w:r>
    </w:p>
    <w:p w14:paraId="3DD90C3E" w14:textId="73C77212" w:rsidR="006F0846" w:rsidRPr="009C39DF" w:rsidRDefault="006F0846" w:rsidP="00B5380E">
      <w:pPr>
        <w:spacing w:after="240"/>
        <w:rPr>
          <w:b/>
          <w:sz w:val="22"/>
        </w:rPr>
      </w:pPr>
      <w:r w:rsidRPr="009C39DF">
        <w:rPr>
          <w:b/>
          <w:sz w:val="22"/>
        </w:rPr>
        <w:t>Dimension rating = B</w:t>
      </w:r>
    </w:p>
    <w:p w14:paraId="5AEA421F" w14:textId="7E2CBE9D" w:rsidR="008876BE" w:rsidRPr="00893B4A" w:rsidRDefault="00BB1084" w:rsidP="00776E84">
      <w:pPr>
        <w:pStyle w:val="Heading2"/>
        <w:rPr>
          <w:rFonts w:eastAsia="Calibri"/>
          <w:lang w:eastAsia="en-US"/>
        </w:rPr>
      </w:pPr>
      <w:bookmarkStart w:id="113" w:name="_Toc150866"/>
      <w:bookmarkStart w:id="114" w:name="_Toc532426042"/>
      <w:r w:rsidRPr="00890A84">
        <w:t>Pillar VI. Accounting and reporting</w:t>
      </w:r>
      <w:bookmarkEnd w:id="113"/>
      <w:bookmarkEnd w:id="114"/>
    </w:p>
    <w:p w14:paraId="1C32A904" w14:textId="77777777" w:rsidR="00BB1084" w:rsidRPr="00890A84" w:rsidRDefault="00BB1084" w:rsidP="00590C8E">
      <w:pPr>
        <w:pStyle w:val="Heading4"/>
      </w:pPr>
      <w:r w:rsidRPr="00890A84">
        <w:t>PI-27. Financial data integrity</w:t>
      </w:r>
    </w:p>
    <w:p w14:paraId="3A7E4664" w14:textId="77777777" w:rsidR="003E5B0C" w:rsidRPr="00890A84" w:rsidRDefault="003E5B0C" w:rsidP="00BA6B2B">
      <w:pPr>
        <w:pStyle w:val="Heading5"/>
      </w:pPr>
      <w:r w:rsidRPr="00890A84">
        <w:t>Summary of scores and performance table</w:t>
      </w:r>
    </w:p>
    <w:tbl>
      <w:tblPr>
        <w:tblW w:w="936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843"/>
        <w:gridCol w:w="487"/>
        <w:gridCol w:w="6030"/>
      </w:tblGrid>
      <w:tr w:rsidR="003E5B0C" w:rsidRPr="009C39DF" w14:paraId="4A587792" w14:textId="77777777" w:rsidTr="009C39DF">
        <w:trPr>
          <w:tblHeader/>
        </w:trPr>
        <w:tc>
          <w:tcPr>
            <w:tcW w:w="2843" w:type="dxa"/>
            <w:shd w:val="clear" w:color="auto" w:fill="5B9BD5"/>
          </w:tcPr>
          <w:p w14:paraId="63BC4F52" w14:textId="731D6F14" w:rsidR="003E5B0C" w:rsidRPr="009C39DF" w:rsidRDefault="003E5B0C" w:rsidP="009C39DF">
            <w:pPr>
              <w:jc w:val="center"/>
              <w:rPr>
                <w:b/>
                <w:color w:val="FFFFFF" w:themeColor="background1"/>
                <w:sz w:val="20"/>
              </w:rPr>
            </w:pPr>
            <w:r w:rsidRPr="009C39DF">
              <w:rPr>
                <w:b/>
                <w:color w:val="FFFFFF" w:themeColor="background1"/>
                <w:sz w:val="20"/>
              </w:rPr>
              <w:t>PI-27</w:t>
            </w:r>
            <w:r w:rsidR="00EC4B41">
              <w:rPr>
                <w:b/>
                <w:color w:val="FFFFFF" w:themeColor="background1"/>
                <w:sz w:val="20"/>
              </w:rPr>
              <w:t>.</w:t>
            </w:r>
            <w:r w:rsidRPr="009C39DF">
              <w:rPr>
                <w:b/>
                <w:color w:val="FFFFFF" w:themeColor="background1"/>
                <w:sz w:val="20"/>
              </w:rPr>
              <w:t xml:space="preserve"> Financial data integrity (M2)</w:t>
            </w:r>
          </w:p>
        </w:tc>
        <w:tc>
          <w:tcPr>
            <w:tcW w:w="487" w:type="dxa"/>
            <w:shd w:val="clear" w:color="auto" w:fill="5B9BD5"/>
          </w:tcPr>
          <w:p w14:paraId="4A3BDDF9" w14:textId="77777777" w:rsidR="003E5B0C" w:rsidRPr="009C39DF" w:rsidRDefault="003E5B0C" w:rsidP="009C39DF">
            <w:pPr>
              <w:jc w:val="center"/>
              <w:rPr>
                <w:b/>
                <w:color w:val="FFFFFF" w:themeColor="background1"/>
                <w:sz w:val="20"/>
              </w:rPr>
            </w:pPr>
            <w:r w:rsidRPr="009C39DF">
              <w:rPr>
                <w:b/>
                <w:color w:val="FFFFFF" w:themeColor="background1"/>
                <w:sz w:val="20"/>
              </w:rPr>
              <w:t>D+</w:t>
            </w:r>
          </w:p>
        </w:tc>
        <w:tc>
          <w:tcPr>
            <w:tcW w:w="6030" w:type="dxa"/>
            <w:shd w:val="clear" w:color="auto" w:fill="5B9BD5"/>
          </w:tcPr>
          <w:p w14:paraId="75BF637C" w14:textId="77777777" w:rsidR="003E5B0C" w:rsidRPr="009C39DF" w:rsidRDefault="003E5B0C" w:rsidP="009C39DF">
            <w:pPr>
              <w:jc w:val="center"/>
              <w:rPr>
                <w:b/>
                <w:color w:val="FFFFFF" w:themeColor="background1"/>
                <w:sz w:val="20"/>
              </w:rPr>
            </w:pPr>
            <w:r w:rsidRPr="009C39DF">
              <w:rPr>
                <w:b/>
                <w:color w:val="FFFFFF" w:themeColor="background1"/>
                <w:sz w:val="20"/>
              </w:rPr>
              <w:t>Brief justification for score</w:t>
            </w:r>
          </w:p>
        </w:tc>
      </w:tr>
      <w:tr w:rsidR="003E5B0C" w:rsidRPr="009C39DF" w14:paraId="44358172" w14:textId="77777777" w:rsidTr="009C39DF">
        <w:tc>
          <w:tcPr>
            <w:tcW w:w="2843" w:type="dxa"/>
            <w:shd w:val="clear" w:color="auto" w:fill="auto"/>
          </w:tcPr>
          <w:p w14:paraId="3EEFE8B1" w14:textId="77777777" w:rsidR="003E5B0C" w:rsidRPr="009C39DF" w:rsidRDefault="003E5B0C" w:rsidP="009C39DF">
            <w:pPr>
              <w:jc w:val="left"/>
              <w:rPr>
                <w:sz w:val="20"/>
              </w:rPr>
            </w:pPr>
            <w:r w:rsidRPr="009C39DF">
              <w:rPr>
                <w:sz w:val="20"/>
              </w:rPr>
              <w:t xml:space="preserve">27.1 Bank account reconciliation </w:t>
            </w:r>
          </w:p>
        </w:tc>
        <w:tc>
          <w:tcPr>
            <w:tcW w:w="487" w:type="dxa"/>
            <w:shd w:val="clear" w:color="auto" w:fill="auto"/>
          </w:tcPr>
          <w:p w14:paraId="14BEA12D" w14:textId="77777777" w:rsidR="003E5B0C" w:rsidRPr="009C39DF" w:rsidRDefault="003E5B0C" w:rsidP="009C39DF">
            <w:pPr>
              <w:jc w:val="center"/>
              <w:rPr>
                <w:sz w:val="20"/>
              </w:rPr>
            </w:pPr>
            <w:r w:rsidRPr="009C39DF">
              <w:rPr>
                <w:sz w:val="20"/>
              </w:rPr>
              <w:t>D*</w:t>
            </w:r>
          </w:p>
        </w:tc>
        <w:tc>
          <w:tcPr>
            <w:tcW w:w="6030" w:type="dxa"/>
            <w:shd w:val="clear" w:color="auto" w:fill="auto"/>
          </w:tcPr>
          <w:p w14:paraId="78F0AD4E" w14:textId="457019D2" w:rsidR="003E5B0C" w:rsidRPr="009C39DF" w:rsidRDefault="003E5B0C" w:rsidP="009C39DF">
            <w:pPr>
              <w:jc w:val="left"/>
              <w:rPr>
                <w:sz w:val="20"/>
              </w:rPr>
            </w:pPr>
            <w:r w:rsidRPr="009C39DF">
              <w:rPr>
                <w:sz w:val="20"/>
              </w:rPr>
              <w:t xml:space="preserve">Bank reconciliation for all active </w:t>
            </w:r>
            <w:r w:rsidR="00EC4B41">
              <w:rPr>
                <w:sz w:val="20"/>
              </w:rPr>
              <w:t>c</w:t>
            </w:r>
            <w:r w:rsidRPr="009C39DF">
              <w:rPr>
                <w:sz w:val="20"/>
              </w:rPr>
              <w:t xml:space="preserve">ounty government bank accounts takes place at least monthly, usually within 4 weeks from the end of each month. However, bank reconciliation regarding extra budgetary units is unknown. </w:t>
            </w:r>
          </w:p>
        </w:tc>
      </w:tr>
      <w:tr w:rsidR="003E5B0C" w:rsidRPr="009C39DF" w14:paraId="781192B6" w14:textId="77777777" w:rsidTr="009C39DF">
        <w:tc>
          <w:tcPr>
            <w:tcW w:w="2843" w:type="dxa"/>
            <w:shd w:val="clear" w:color="auto" w:fill="auto"/>
          </w:tcPr>
          <w:p w14:paraId="53B3D2D9" w14:textId="77777777" w:rsidR="003E5B0C" w:rsidRPr="009C39DF" w:rsidRDefault="003E5B0C" w:rsidP="009C39DF">
            <w:pPr>
              <w:jc w:val="left"/>
              <w:rPr>
                <w:sz w:val="20"/>
              </w:rPr>
            </w:pPr>
            <w:r w:rsidRPr="009C39DF">
              <w:rPr>
                <w:sz w:val="20"/>
              </w:rPr>
              <w:t xml:space="preserve">27.2 Suspense accounts </w:t>
            </w:r>
          </w:p>
        </w:tc>
        <w:tc>
          <w:tcPr>
            <w:tcW w:w="487" w:type="dxa"/>
            <w:shd w:val="clear" w:color="auto" w:fill="auto"/>
          </w:tcPr>
          <w:p w14:paraId="34AC9FE8" w14:textId="77777777" w:rsidR="003E5B0C" w:rsidRPr="009C39DF" w:rsidRDefault="003E5B0C" w:rsidP="009C39DF">
            <w:pPr>
              <w:jc w:val="center"/>
              <w:rPr>
                <w:sz w:val="20"/>
              </w:rPr>
            </w:pPr>
            <w:r w:rsidRPr="009C39DF">
              <w:rPr>
                <w:sz w:val="20"/>
              </w:rPr>
              <w:t>D*</w:t>
            </w:r>
          </w:p>
        </w:tc>
        <w:tc>
          <w:tcPr>
            <w:tcW w:w="6030" w:type="dxa"/>
            <w:shd w:val="clear" w:color="auto" w:fill="auto"/>
          </w:tcPr>
          <w:p w14:paraId="5D7F4F49" w14:textId="60B6DE89" w:rsidR="003E5B0C" w:rsidRPr="009C39DF" w:rsidRDefault="003E5B0C" w:rsidP="009C39DF">
            <w:pPr>
              <w:jc w:val="left"/>
              <w:rPr>
                <w:sz w:val="20"/>
              </w:rPr>
            </w:pPr>
            <w:r w:rsidRPr="009C39DF">
              <w:rPr>
                <w:sz w:val="20"/>
              </w:rPr>
              <w:t>Suspense accounts are reconciled and cleared monthly but evidences have not been provided.</w:t>
            </w:r>
          </w:p>
        </w:tc>
      </w:tr>
      <w:tr w:rsidR="003E5B0C" w:rsidRPr="009C39DF" w14:paraId="78E1D8DC" w14:textId="77777777" w:rsidTr="009C39DF">
        <w:tc>
          <w:tcPr>
            <w:tcW w:w="2843" w:type="dxa"/>
            <w:shd w:val="clear" w:color="auto" w:fill="auto"/>
          </w:tcPr>
          <w:p w14:paraId="55363F3C" w14:textId="77777777" w:rsidR="003E5B0C" w:rsidRPr="009C39DF" w:rsidRDefault="003E5B0C" w:rsidP="009C39DF">
            <w:pPr>
              <w:jc w:val="left"/>
              <w:rPr>
                <w:sz w:val="20"/>
              </w:rPr>
            </w:pPr>
            <w:r w:rsidRPr="009C39DF">
              <w:rPr>
                <w:sz w:val="20"/>
              </w:rPr>
              <w:t xml:space="preserve">27.3 Advance accounts </w:t>
            </w:r>
          </w:p>
        </w:tc>
        <w:tc>
          <w:tcPr>
            <w:tcW w:w="487" w:type="dxa"/>
            <w:shd w:val="clear" w:color="auto" w:fill="auto"/>
          </w:tcPr>
          <w:p w14:paraId="1D24C906" w14:textId="77777777" w:rsidR="003E5B0C" w:rsidRPr="009C39DF" w:rsidRDefault="003E5B0C" w:rsidP="009C39DF">
            <w:pPr>
              <w:jc w:val="center"/>
              <w:rPr>
                <w:sz w:val="20"/>
              </w:rPr>
            </w:pPr>
            <w:r w:rsidRPr="009C39DF">
              <w:rPr>
                <w:sz w:val="20"/>
              </w:rPr>
              <w:t>D*</w:t>
            </w:r>
          </w:p>
        </w:tc>
        <w:tc>
          <w:tcPr>
            <w:tcW w:w="6030" w:type="dxa"/>
            <w:shd w:val="clear" w:color="auto" w:fill="auto"/>
          </w:tcPr>
          <w:p w14:paraId="2740B80F" w14:textId="789B5BBC" w:rsidR="003E5B0C" w:rsidRPr="009C39DF" w:rsidRDefault="003E5B0C" w:rsidP="009C39DF">
            <w:pPr>
              <w:jc w:val="left"/>
              <w:rPr>
                <w:sz w:val="20"/>
              </w:rPr>
            </w:pPr>
            <w:r w:rsidRPr="009C39DF">
              <w:rPr>
                <w:sz w:val="20"/>
              </w:rPr>
              <w:t>The county prepares imprest reconciliation monthly. However, some items are not cleared on time. Imprest account reconciliations have not been provided.</w:t>
            </w:r>
          </w:p>
        </w:tc>
      </w:tr>
      <w:tr w:rsidR="003E5B0C" w:rsidRPr="009C39DF" w14:paraId="064CCFD3" w14:textId="77777777" w:rsidTr="009C39DF">
        <w:tc>
          <w:tcPr>
            <w:tcW w:w="2843" w:type="dxa"/>
            <w:shd w:val="clear" w:color="auto" w:fill="auto"/>
          </w:tcPr>
          <w:p w14:paraId="0B495FB8" w14:textId="77777777" w:rsidR="003E5B0C" w:rsidRPr="009C39DF" w:rsidRDefault="003E5B0C" w:rsidP="009C39DF">
            <w:pPr>
              <w:jc w:val="left"/>
              <w:rPr>
                <w:sz w:val="20"/>
              </w:rPr>
            </w:pPr>
            <w:r w:rsidRPr="009C39DF">
              <w:rPr>
                <w:sz w:val="20"/>
              </w:rPr>
              <w:t>27.4 Financial data integrity processes</w:t>
            </w:r>
          </w:p>
        </w:tc>
        <w:tc>
          <w:tcPr>
            <w:tcW w:w="487" w:type="dxa"/>
            <w:shd w:val="clear" w:color="auto" w:fill="auto"/>
          </w:tcPr>
          <w:p w14:paraId="18E9C99F" w14:textId="77777777" w:rsidR="003E5B0C" w:rsidRPr="009C39DF" w:rsidRDefault="003E5B0C" w:rsidP="009C39DF">
            <w:pPr>
              <w:jc w:val="center"/>
              <w:rPr>
                <w:sz w:val="20"/>
              </w:rPr>
            </w:pPr>
            <w:r w:rsidRPr="009C39DF">
              <w:rPr>
                <w:sz w:val="20"/>
              </w:rPr>
              <w:t>C</w:t>
            </w:r>
          </w:p>
        </w:tc>
        <w:tc>
          <w:tcPr>
            <w:tcW w:w="6030" w:type="dxa"/>
            <w:shd w:val="clear" w:color="auto" w:fill="auto"/>
          </w:tcPr>
          <w:p w14:paraId="5BE89FF1" w14:textId="77777777" w:rsidR="003E5B0C" w:rsidRPr="009C39DF" w:rsidRDefault="003E5B0C" w:rsidP="009C39DF">
            <w:pPr>
              <w:jc w:val="left"/>
              <w:rPr>
                <w:sz w:val="20"/>
              </w:rPr>
            </w:pPr>
            <w:r w:rsidRPr="009C39DF">
              <w:rPr>
                <w:sz w:val="20"/>
              </w:rPr>
              <w:t>IFMIS is used for recording and processing budget data originating from the national government. An examination unit ensures data integrity by pre-audit of payments before they are passed into the system. But no audit trail is available for local resources.</w:t>
            </w:r>
          </w:p>
        </w:tc>
      </w:tr>
    </w:tbl>
    <w:p w14:paraId="0C346DFA" w14:textId="77777777" w:rsidR="00A40E55" w:rsidRPr="00890A84" w:rsidRDefault="00612DBE" w:rsidP="00BA6B2B">
      <w:pPr>
        <w:pStyle w:val="Heading5"/>
      </w:pPr>
      <w:r w:rsidRPr="00890A84">
        <w:t>PI-</w:t>
      </w:r>
      <w:r w:rsidR="00A40E55" w:rsidRPr="00890A84">
        <w:t xml:space="preserve">27.1. Bank account reconciliation </w:t>
      </w:r>
    </w:p>
    <w:p w14:paraId="526BD3C8" w14:textId="132BD1EF" w:rsidR="00F7473B" w:rsidRPr="00B5380E" w:rsidRDefault="00DB17E8" w:rsidP="00B5380E">
      <w:pPr>
        <w:spacing w:after="240"/>
        <w:rPr>
          <w:sz w:val="22"/>
        </w:rPr>
      </w:pPr>
      <w:r w:rsidRPr="00B5380E">
        <w:rPr>
          <w:sz w:val="22"/>
        </w:rPr>
        <w:t xml:space="preserve">PFM Act, </w:t>
      </w:r>
      <w:r w:rsidR="00EC4B41">
        <w:rPr>
          <w:sz w:val="22"/>
        </w:rPr>
        <w:t xml:space="preserve">2012, </w:t>
      </w:r>
      <w:r w:rsidRPr="00B5380E">
        <w:rPr>
          <w:sz w:val="22"/>
        </w:rPr>
        <w:t xml:space="preserve">Section 90(1) requires bank reconciliations to all active accounts to be prepared every month and submitted to the County Treasury with a copy to the OAG not later than </w:t>
      </w:r>
      <w:r w:rsidR="00EC4B41">
        <w:rPr>
          <w:sz w:val="22"/>
        </w:rPr>
        <w:t xml:space="preserve">the </w:t>
      </w:r>
      <w:r w:rsidRPr="00B5380E">
        <w:rPr>
          <w:sz w:val="22"/>
        </w:rPr>
        <w:t xml:space="preserve">10th of the subsequent month. </w:t>
      </w:r>
      <w:r w:rsidR="00643A6B" w:rsidRPr="00B5380E">
        <w:rPr>
          <w:sz w:val="22"/>
        </w:rPr>
        <w:t>M</w:t>
      </w:r>
      <w:r w:rsidR="00240EB1" w:rsidRPr="00B5380E">
        <w:rPr>
          <w:sz w:val="22"/>
        </w:rPr>
        <w:t>anual bank reconciliation</w:t>
      </w:r>
      <w:r w:rsidRPr="00B5380E">
        <w:rPr>
          <w:sz w:val="22"/>
        </w:rPr>
        <w:t xml:space="preserve"> statements </w:t>
      </w:r>
      <w:r w:rsidR="004C5C84" w:rsidRPr="00B5380E">
        <w:rPr>
          <w:sz w:val="22"/>
        </w:rPr>
        <w:t xml:space="preserve">were </w:t>
      </w:r>
      <w:r w:rsidR="00643A6B" w:rsidRPr="00B5380E">
        <w:rPr>
          <w:sz w:val="22"/>
        </w:rPr>
        <w:t xml:space="preserve">provided </w:t>
      </w:r>
      <w:r w:rsidR="00240EB1" w:rsidRPr="00B5380E">
        <w:rPr>
          <w:sz w:val="22"/>
        </w:rPr>
        <w:t>for June 2015</w:t>
      </w:r>
      <w:r w:rsidR="00EC4B41">
        <w:rPr>
          <w:sz w:val="22"/>
        </w:rPr>
        <w:t>,</w:t>
      </w:r>
      <w:r w:rsidR="00240EB1" w:rsidRPr="00B5380E">
        <w:rPr>
          <w:sz w:val="22"/>
        </w:rPr>
        <w:t xml:space="preserve"> June 2016</w:t>
      </w:r>
      <w:r w:rsidR="00EC4B41">
        <w:rPr>
          <w:sz w:val="22"/>
        </w:rPr>
        <w:t>,</w:t>
      </w:r>
      <w:r w:rsidR="00240EB1" w:rsidRPr="00B5380E">
        <w:rPr>
          <w:sz w:val="22"/>
        </w:rPr>
        <w:t xml:space="preserve"> and December 2016.</w:t>
      </w:r>
    </w:p>
    <w:p w14:paraId="303166BC" w14:textId="132182FC" w:rsidR="006F0846" w:rsidRPr="00B5380E" w:rsidRDefault="00F5429C" w:rsidP="00B5380E">
      <w:pPr>
        <w:spacing w:after="240"/>
        <w:rPr>
          <w:sz w:val="22"/>
        </w:rPr>
      </w:pPr>
      <w:r w:rsidRPr="00B5380E">
        <w:rPr>
          <w:sz w:val="22"/>
        </w:rPr>
        <w:t>In summary, b</w:t>
      </w:r>
      <w:r w:rsidR="00893B4A" w:rsidRPr="00B5380E">
        <w:rPr>
          <w:sz w:val="22"/>
        </w:rPr>
        <w:t xml:space="preserve">ank reconciliation for all active </w:t>
      </w:r>
      <w:r w:rsidR="00EC4B41">
        <w:rPr>
          <w:sz w:val="22"/>
        </w:rPr>
        <w:t>c</w:t>
      </w:r>
      <w:r w:rsidR="00893B4A" w:rsidRPr="00B5380E">
        <w:rPr>
          <w:sz w:val="22"/>
        </w:rPr>
        <w:t xml:space="preserve">ounty government bank accounts takes place at least monthly, usually within 4 weeks from the end of each month. However, bank reconciliation regarding extra budgetary units is unknown. </w:t>
      </w:r>
    </w:p>
    <w:p w14:paraId="03BB2EE1" w14:textId="07AACA21" w:rsidR="006F0846" w:rsidRPr="009C39DF" w:rsidRDefault="006F0846" w:rsidP="00B5380E">
      <w:pPr>
        <w:spacing w:after="240"/>
        <w:rPr>
          <w:b/>
          <w:sz w:val="22"/>
        </w:rPr>
      </w:pPr>
      <w:r w:rsidRPr="009C39DF">
        <w:rPr>
          <w:b/>
          <w:sz w:val="22"/>
        </w:rPr>
        <w:t>Dimension rating = D*</w:t>
      </w:r>
    </w:p>
    <w:p w14:paraId="0DA86FD5" w14:textId="77777777" w:rsidR="00A40E55" w:rsidRPr="00890A84" w:rsidRDefault="00612DBE" w:rsidP="00BA6B2B">
      <w:pPr>
        <w:pStyle w:val="Heading5"/>
      </w:pPr>
      <w:r w:rsidRPr="00890A84">
        <w:t>PI-</w:t>
      </w:r>
      <w:r w:rsidR="00A40E55" w:rsidRPr="00890A84">
        <w:t xml:space="preserve">27.2. Suspense accounts </w:t>
      </w:r>
    </w:p>
    <w:p w14:paraId="11D6FF7F" w14:textId="3E18F987" w:rsidR="00233D65" w:rsidRPr="00B5380E" w:rsidRDefault="004C5C84" w:rsidP="00B5380E">
      <w:pPr>
        <w:spacing w:after="240"/>
        <w:rPr>
          <w:sz w:val="22"/>
        </w:rPr>
      </w:pPr>
      <w:r w:rsidRPr="00B5380E">
        <w:rPr>
          <w:sz w:val="22"/>
        </w:rPr>
        <w:t xml:space="preserve">According to Section 107(2b) of the PFM Act, 2012, the accounting officer must ensure that monthly reconciliations are performed to confirm the balance of each account. </w:t>
      </w:r>
      <w:r w:rsidR="00233D65" w:rsidRPr="00B5380E">
        <w:rPr>
          <w:sz w:val="22"/>
        </w:rPr>
        <w:t>The only suspense account a</w:t>
      </w:r>
      <w:r w:rsidRPr="00B5380E">
        <w:rPr>
          <w:sz w:val="22"/>
        </w:rPr>
        <w:t xml:space="preserve">t the county is </w:t>
      </w:r>
      <w:r w:rsidR="00EC4B41">
        <w:rPr>
          <w:sz w:val="22"/>
        </w:rPr>
        <w:t xml:space="preserve">a </w:t>
      </w:r>
      <w:r w:rsidRPr="00B5380E">
        <w:rPr>
          <w:sz w:val="22"/>
        </w:rPr>
        <w:t xml:space="preserve">deposit account which </w:t>
      </w:r>
      <w:r w:rsidR="00233D65" w:rsidRPr="00B5380E">
        <w:rPr>
          <w:sz w:val="22"/>
        </w:rPr>
        <w:t>is</w:t>
      </w:r>
      <w:r w:rsidRPr="00B5380E">
        <w:rPr>
          <w:sz w:val="22"/>
        </w:rPr>
        <w:t xml:space="preserve"> used to record 10</w:t>
      </w:r>
      <w:r w:rsidR="00EC4B41">
        <w:rPr>
          <w:sz w:val="22"/>
        </w:rPr>
        <w:t xml:space="preserve"> percent</w:t>
      </w:r>
      <w:r w:rsidRPr="00B5380E">
        <w:rPr>
          <w:sz w:val="22"/>
        </w:rPr>
        <w:t xml:space="preserve"> retention for</w:t>
      </w:r>
      <w:r w:rsidR="00233D65" w:rsidRPr="00B5380E">
        <w:rPr>
          <w:sz w:val="22"/>
        </w:rPr>
        <w:t xml:space="preserve"> contractors</w:t>
      </w:r>
      <w:r w:rsidR="00EC4B41">
        <w:rPr>
          <w:sz w:val="22"/>
        </w:rPr>
        <w:t>,</w:t>
      </w:r>
      <w:r w:rsidR="00233D65" w:rsidRPr="00B5380E">
        <w:rPr>
          <w:sz w:val="22"/>
        </w:rPr>
        <w:t xml:space="preserve"> and it</w:t>
      </w:r>
      <w:r w:rsidR="00DB17E8" w:rsidRPr="00B5380E">
        <w:rPr>
          <w:sz w:val="22"/>
        </w:rPr>
        <w:t xml:space="preserve"> i</w:t>
      </w:r>
      <w:r w:rsidR="00233D65" w:rsidRPr="00B5380E">
        <w:rPr>
          <w:sz w:val="22"/>
        </w:rPr>
        <w:t>s paid once the project is complete. The rec</w:t>
      </w:r>
      <w:r w:rsidR="00240EB1" w:rsidRPr="00B5380E">
        <w:rPr>
          <w:sz w:val="22"/>
        </w:rPr>
        <w:t xml:space="preserve">onciliation </w:t>
      </w:r>
      <w:r w:rsidRPr="00B5380E">
        <w:rPr>
          <w:sz w:val="22"/>
        </w:rPr>
        <w:t xml:space="preserve">of this account </w:t>
      </w:r>
      <w:r w:rsidR="00240EB1" w:rsidRPr="00B5380E">
        <w:rPr>
          <w:sz w:val="22"/>
        </w:rPr>
        <w:t xml:space="preserve">is </w:t>
      </w:r>
      <w:r w:rsidRPr="00B5380E">
        <w:rPr>
          <w:sz w:val="22"/>
        </w:rPr>
        <w:t>done</w:t>
      </w:r>
      <w:r w:rsidR="00240EB1" w:rsidRPr="00B5380E">
        <w:rPr>
          <w:sz w:val="22"/>
        </w:rPr>
        <w:t xml:space="preserve"> monthly</w:t>
      </w:r>
      <w:r w:rsidRPr="00B5380E">
        <w:rPr>
          <w:sz w:val="22"/>
        </w:rPr>
        <w:t xml:space="preserve"> and cleared before the end of</w:t>
      </w:r>
      <w:r w:rsidR="00EC4B41">
        <w:rPr>
          <w:sz w:val="22"/>
        </w:rPr>
        <w:t xml:space="preserve"> the</w:t>
      </w:r>
      <w:r w:rsidRPr="00B5380E">
        <w:rPr>
          <w:sz w:val="22"/>
        </w:rPr>
        <w:t xml:space="preserve"> FY</w:t>
      </w:r>
      <w:r w:rsidR="00240EB1" w:rsidRPr="00B5380E">
        <w:rPr>
          <w:sz w:val="22"/>
        </w:rPr>
        <w:t xml:space="preserve">. </w:t>
      </w:r>
      <w:r w:rsidR="00794A56" w:rsidRPr="00B5380E">
        <w:rPr>
          <w:sz w:val="22"/>
        </w:rPr>
        <w:t>B</w:t>
      </w:r>
      <w:r w:rsidR="00240EB1" w:rsidRPr="00B5380E">
        <w:rPr>
          <w:sz w:val="22"/>
        </w:rPr>
        <w:t>ank reconciliation</w:t>
      </w:r>
      <w:r w:rsidR="00754B33" w:rsidRPr="00B5380E">
        <w:rPr>
          <w:sz w:val="22"/>
        </w:rPr>
        <w:t>s</w:t>
      </w:r>
      <w:r w:rsidR="00240EB1" w:rsidRPr="00B5380E">
        <w:rPr>
          <w:sz w:val="22"/>
        </w:rPr>
        <w:t xml:space="preserve"> for the retention account </w:t>
      </w:r>
      <w:r w:rsidR="00794A56" w:rsidRPr="00B5380E">
        <w:rPr>
          <w:sz w:val="22"/>
        </w:rPr>
        <w:t xml:space="preserve">were provided </w:t>
      </w:r>
      <w:r w:rsidR="00240EB1" w:rsidRPr="00B5380E">
        <w:rPr>
          <w:sz w:val="22"/>
        </w:rPr>
        <w:t xml:space="preserve">for </w:t>
      </w:r>
      <w:r w:rsidRPr="00B5380E">
        <w:rPr>
          <w:sz w:val="22"/>
        </w:rPr>
        <w:t>June 2015</w:t>
      </w:r>
      <w:r w:rsidR="004F5FBA" w:rsidRPr="00B5380E">
        <w:rPr>
          <w:sz w:val="22"/>
        </w:rPr>
        <w:t xml:space="preserve"> a</w:t>
      </w:r>
      <w:r w:rsidRPr="00B5380E">
        <w:rPr>
          <w:sz w:val="22"/>
        </w:rPr>
        <w:t xml:space="preserve">nd June </w:t>
      </w:r>
      <w:r w:rsidR="00240EB1" w:rsidRPr="00B5380E">
        <w:rPr>
          <w:sz w:val="22"/>
        </w:rPr>
        <w:t>2016.</w:t>
      </w:r>
    </w:p>
    <w:p w14:paraId="279B68ED" w14:textId="7AA96DFB" w:rsidR="00090837" w:rsidRPr="00B5380E" w:rsidRDefault="00090837" w:rsidP="00B5380E">
      <w:pPr>
        <w:spacing w:after="240"/>
        <w:rPr>
          <w:sz w:val="22"/>
        </w:rPr>
      </w:pPr>
      <w:r w:rsidRPr="00B5380E">
        <w:rPr>
          <w:sz w:val="22"/>
        </w:rPr>
        <w:t xml:space="preserve">The other form of suspense account is IFMIS generated and comes about when the accounting process is not completed in </w:t>
      </w:r>
      <w:r w:rsidR="004F5FBA" w:rsidRPr="00B5380E">
        <w:rPr>
          <w:sz w:val="22"/>
        </w:rPr>
        <w:t>the s</w:t>
      </w:r>
      <w:r w:rsidRPr="00B5380E">
        <w:rPr>
          <w:sz w:val="22"/>
        </w:rPr>
        <w:t>ystem. The reconciliation of this suspense is also done monthly. Provision of soft copy of reconciliation for system generated suspense account is still outstanding.</w:t>
      </w:r>
    </w:p>
    <w:p w14:paraId="7EA75E8A" w14:textId="579E54A5" w:rsidR="006F0846" w:rsidRPr="00B5380E" w:rsidRDefault="00F5429C" w:rsidP="00B5380E">
      <w:pPr>
        <w:spacing w:after="240"/>
        <w:rPr>
          <w:sz w:val="22"/>
        </w:rPr>
      </w:pPr>
      <w:r w:rsidRPr="00B5380E">
        <w:rPr>
          <w:sz w:val="22"/>
        </w:rPr>
        <w:t>In summary, s</w:t>
      </w:r>
      <w:r w:rsidR="00893B4A" w:rsidRPr="00B5380E">
        <w:rPr>
          <w:sz w:val="22"/>
        </w:rPr>
        <w:t>uspense accounts are reconciled and cleared monthly</w:t>
      </w:r>
      <w:r w:rsidR="00552A7E">
        <w:rPr>
          <w:sz w:val="22"/>
        </w:rPr>
        <w:t>,</w:t>
      </w:r>
      <w:r w:rsidR="00893B4A" w:rsidRPr="00B5380E">
        <w:rPr>
          <w:sz w:val="22"/>
        </w:rPr>
        <w:t xml:space="preserve"> but </w:t>
      </w:r>
      <w:r w:rsidR="00552A7E">
        <w:rPr>
          <w:sz w:val="22"/>
        </w:rPr>
        <w:t xml:space="preserve">no </w:t>
      </w:r>
      <w:r w:rsidR="00893B4A" w:rsidRPr="00B5380E">
        <w:rPr>
          <w:sz w:val="22"/>
        </w:rPr>
        <w:t xml:space="preserve">evidence </w:t>
      </w:r>
      <w:r w:rsidR="00552A7E">
        <w:rPr>
          <w:sz w:val="22"/>
        </w:rPr>
        <w:t>was</w:t>
      </w:r>
      <w:r w:rsidR="00893B4A" w:rsidRPr="00B5380E">
        <w:rPr>
          <w:sz w:val="22"/>
        </w:rPr>
        <w:t xml:space="preserve"> provided. </w:t>
      </w:r>
    </w:p>
    <w:p w14:paraId="2D8CDA45" w14:textId="70221335" w:rsidR="006F0846" w:rsidRPr="009C39DF" w:rsidRDefault="006F0846" w:rsidP="00B5380E">
      <w:pPr>
        <w:spacing w:after="240"/>
        <w:rPr>
          <w:b/>
          <w:sz w:val="22"/>
        </w:rPr>
      </w:pPr>
      <w:r w:rsidRPr="009C39DF">
        <w:rPr>
          <w:b/>
          <w:sz w:val="22"/>
        </w:rPr>
        <w:t>Dimension rating = D*</w:t>
      </w:r>
    </w:p>
    <w:p w14:paraId="101511C9" w14:textId="77777777" w:rsidR="00A40E55" w:rsidRPr="00890A84" w:rsidRDefault="00612DBE" w:rsidP="00BA6B2B">
      <w:pPr>
        <w:pStyle w:val="Heading5"/>
      </w:pPr>
      <w:r w:rsidRPr="00890A84">
        <w:t>PI-</w:t>
      </w:r>
      <w:r w:rsidR="00A40E55" w:rsidRPr="00890A84">
        <w:t xml:space="preserve">27.3. Advance accounts </w:t>
      </w:r>
    </w:p>
    <w:p w14:paraId="6EB168B3" w14:textId="6647CD37" w:rsidR="00893B4A" w:rsidRPr="00B5380E" w:rsidRDefault="004C5C84" w:rsidP="00B5380E">
      <w:pPr>
        <w:spacing w:after="240"/>
        <w:rPr>
          <w:sz w:val="22"/>
        </w:rPr>
      </w:pPr>
      <w:r w:rsidRPr="00B5380E">
        <w:rPr>
          <w:sz w:val="22"/>
        </w:rPr>
        <w:t>Section 93(1) of the PFM Act, 2012</w:t>
      </w:r>
      <w:r w:rsidR="00EC4B41">
        <w:rPr>
          <w:sz w:val="22"/>
        </w:rPr>
        <w:t>,</w:t>
      </w:r>
      <w:r w:rsidRPr="00B5380E">
        <w:rPr>
          <w:sz w:val="22"/>
        </w:rPr>
        <w:t xml:space="preserve"> classifies imprests into temporary (safari imprests)</w:t>
      </w:r>
      <w:r w:rsidR="00EC4B41">
        <w:rPr>
          <w:sz w:val="22"/>
        </w:rPr>
        <w:t>,</w:t>
      </w:r>
      <w:r w:rsidRPr="00B5380E">
        <w:rPr>
          <w:sz w:val="22"/>
        </w:rPr>
        <w:t xml:space="preserve"> which should be accounted for within seven days after returning to </w:t>
      </w:r>
      <w:r w:rsidR="00EC4B41">
        <w:rPr>
          <w:sz w:val="22"/>
        </w:rPr>
        <w:t xml:space="preserve">the </w:t>
      </w:r>
      <w:r w:rsidRPr="00B5380E">
        <w:rPr>
          <w:sz w:val="22"/>
        </w:rPr>
        <w:t>duty station</w:t>
      </w:r>
      <w:r w:rsidR="00EC4B41">
        <w:rPr>
          <w:sz w:val="22"/>
        </w:rPr>
        <w:t>,</w:t>
      </w:r>
      <w:r w:rsidRPr="00B5380E">
        <w:rPr>
          <w:sz w:val="22"/>
        </w:rPr>
        <w:t xml:space="preserve"> and standing imprests. </w:t>
      </w:r>
      <w:r w:rsidR="00341F41" w:rsidRPr="00B5380E">
        <w:rPr>
          <w:sz w:val="22"/>
        </w:rPr>
        <w:t xml:space="preserve">The county has </w:t>
      </w:r>
      <w:r w:rsidR="00EC4B41">
        <w:rPr>
          <w:sz w:val="22"/>
        </w:rPr>
        <w:t xml:space="preserve">an </w:t>
      </w:r>
      <w:r w:rsidR="00341F41" w:rsidRPr="00B5380E">
        <w:rPr>
          <w:sz w:val="22"/>
        </w:rPr>
        <w:t xml:space="preserve">imprest account as </w:t>
      </w:r>
      <w:r w:rsidR="007F7DB7" w:rsidRPr="00B5380E">
        <w:rPr>
          <w:sz w:val="22"/>
        </w:rPr>
        <w:t xml:space="preserve">the only </w:t>
      </w:r>
      <w:r w:rsidR="00341F41" w:rsidRPr="00B5380E">
        <w:rPr>
          <w:sz w:val="22"/>
        </w:rPr>
        <w:t xml:space="preserve">advance account. This is used to issue </w:t>
      </w:r>
      <w:r w:rsidR="007F7DB7" w:rsidRPr="00B5380E">
        <w:rPr>
          <w:sz w:val="22"/>
        </w:rPr>
        <w:t>i</w:t>
      </w:r>
      <w:r w:rsidR="00754B33" w:rsidRPr="00B5380E">
        <w:rPr>
          <w:sz w:val="22"/>
        </w:rPr>
        <w:t>mprest</w:t>
      </w:r>
      <w:r w:rsidR="00341F41" w:rsidRPr="00B5380E">
        <w:rPr>
          <w:sz w:val="22"/>
        </w:rPr>
        <w:t xml:space="preserve"> to officers travelling on official </w:t>
      </w:r>
      <w:r w:rsidR="007F7DB7" w:rsidRPr="00B5380E">
        <w:rPr>
          <w:sz w:val="22"/>
        </w:rPr>
        <w:t>dut</w:t>
      </w:r>
      <w:r w:rsidR="00EC4B41">
        <w:rPr>
          <w:sz w:val="22"/>
        </w:rPr>
        <w:t>y</w:t>
      </w:r>
      <w:r w:rsidR="00341F41" w:rsidRPr="00B5380E">
        <w:rPr>
          <w:sz w:val="22"/>
        </w:rPr>
        <w:t xml:space="preserve">. The imprest surrender is done within 7 days </w:t>
      </w:r>
      <w:r w:rsidR="007F7DB7" w:rsidRPr="00B5380E">
        <w:rPr>
          <w:sz w:val="22"/>
        </w:rPr>
        <w:t>after an officer return</w:t>
      </w:r>
      <w:r w:rsidR="00EC4B41">
        <w:rPr>
          <w:sz w:val="22"/>
        </w:rPr>
        <w:t>s</w:t>
      </w:r>
      <w:r w:rsidR="007F7DB7" w:rsidRPr="00B5380E">
        <w:rPr>
          <w:sz w:val="22"/>
        </w:rPr>
        <w:t xml:space="preserve"> to the duty station</w:t>
      </w:r>
      <w:r w:rsidR="00341F41" w:rsidRPr="00B5380E">
        <w:rPr>
          <w:sz w:val="22"/>
        </w:rPr>
        <w:t>.</w:t>
      </w:r>
      <w:r w:rsidR="00612DBE" w:rsidRPr="00B5380E">
        <w:rPr>
          <w:sz w:val="22"/>
        </w:rPr>
        <w:t xml:space="preserve"> </w:t>
      </w:r>
    </w:p>
    <w:p w14:paraId="3F8991D1" w14:textId="77777777" w:rsidR="006F0846" w:rsidRPr="00B5380E" w:rsidRDefault="00612DBE" w:rsidP="00B5380E">
      <w:pPr>
        <w:spacing w:after="240"/>
        <w:rPr>
          <w:sz w:val="22"/>
        </w:rPr>
      </w:pPr>
      <w:r w:rsidRPr="00B5380E">
        <w:rPr>
          <w:sz w:val="22"/>
        </w:rPr>
        <w:t>I</w:t>
      </w:r>
      <w:r w:rsidR="00341F41" w:rsidRPr="00B5380E">
        <w:rPr>
          <w:sz w:val="22"/>
        </w:rPr>
        <w:t>mprest reconciliat</w:t>
      </w:r>
      <w:r w:rsidR="00643A6B" w:rsidRPr="00B5380E">
        <w:rPr>
          <w:sz w:val="22"/>
        </w:rPr>
        <w:t xml:space="preserve">ions </w:t>
      </w:r>
      <w:r w:rsidR="007F7DB7" w:rsidRPr="00B5380E">
        <w:rPr>
          <w:sz w:val="22"/>
        </w:rPr>
        <w:t xml:space="preserve">are prepared </w:t>
      </w:r>
      <w:r w:rsidR="00643A6B" w:rsidRPr="00B5380E">
        <w:rPr>
          <w:sz w:val="22"/>
        </w:rPr>
        <w:t xml:space="preserve">monthly, but </w:t>
      </w:r>
      <w:r w:rsidR="007F7DB7" w:rsidRPr="00B5380E">
        <w:rPr>
          <w:sz w:val="22"/>
        </w:rPr>
        <w:t>no evidence was provided</w:t>
      </w:r>
      <w:r w:rsidR="00643A6B" w:rsidRPr="00B5380E">
        <w:rPr>
          <w:sz w:val="22"/>
        </w:rPr>
        <w:t>.</w:t>
      </w:r>
      <w:r w:rsidR="00893B4A" w:rsidRPr="00B5380E">
        <w:rPr>
          <w:sz w:val="22"/>
        </w:rPr>
        <w:t xml:space="preserve"> </w:t>
      </w:r>
    </w:p>
    <w:p w14:paraId="18F13098" w14:textId="6B98A5A6" w:rsidR="006F0846" w:rsidRPr="009C39DF" w:rsidRDefault="006F0846" w:rsidP="00B5380E">
      <w:pPr>
        <w:spacing w:after="240"/>
        <w:rPr>
          <w:b/>
          <w:sz w:val="22"/>
        </w:rPr>
      </w:pPr>
      <w:r w:rsidRPr="009C39DF">
        <w:rPr>
          <w:b/>
          <w:sz w:val="22"/>
        </w:rPr>
        <w:t>Dimension rating = D*</w:t>
      </w:r>
    </w:p>
    <w:p w14:paraId="338F6A30" w14:textId="77777777" w:rsidR="00F7473B" w:rsidRPr="00890A84" w:rsidRDefault="00612DBE" w:rsidP="00BA6B2B">
      <w:pPr>
        <w:pStyle w:val="Heading5"/>
      </w:pPr>
      <w:r w:rsidRPr="00890A84">
        <w:t>PI-</w:t>
      </w:r>
      <w:r w:rsidR="00555629" w:rsidRPr="00890A84">
        <w:t>27.4 Financial data integrity processes</w:t>
      </w:r>
    </w:p>
    <w:p w14:paraId="75F7FE32" w14:textId="5A17B602" w:rsidR="00A337ED" w:rsidRPr="00B5380E" w:rsidRDefault="007F7DB7" w:rsidP="00B5380E">
      <w:pPr>
        <w:spacing w:after="240"/>
        <w:rPr>
          <w:sz w:val="22"/>
        </w:rPr>
      </w:pPr>
      <w:r w:rsidRPr="00B5380E">
        <w:rPr>
          <w:sz w:val="22"/>
        </w:rPr>
        <w:t>Section 109(1) and 110 of the PFM Act, 2012</w:t>
      </w:r>
      <w:r w:rsidR="00EC4B41">
        <w:rPr>
          <w:sz w:val="22"/>
        </w:rPr>
        <w:t>,</w:t>
      </w:r>
      <w:r w:rsidRPr="00B5380E">
        <w:rPr>
          <w:sz w:val="22"/>
        </w:rPr>
        <w:t xml:space="preserve"> requires the establishment of an IFMIS, with appropriate access controls put in place in the system to minimize breach of information confidentiality and data integrity. </w:t>
      </w:r>
    </w:p>
    <w:p w14:paraId="1FE97AD9" w14:textId="4010E8B9" w:rsidR="00643A6B" w:rsidRPr="00B5380E" w:rsidRDefault="007F7DB7" w:rsidP="00B5380E">
      <w:pPr>
        <w:spacing w:after="240"/>
        <w:rPr>
          <w:sz w:val="22"/>
        </w:rPr>
      </w:pPr>
      <w:r w:rsidRPr="00B5380E">
        <w:rPr>
          <w:sz w:val="22"/>
        </w:rPr>
        <w:t xml:space="preserve">The County Treasury uses </w:t>
      </w:r>
      <w:r w:rsidR="00EC4B41">
        <w:rPr>
          <w:sz w:val="22"/>
        </w:rPr>
        <w:t xml:space="preserve">the </w:t>
      </w:r>
      <w:r w:rsidR="00EF2DB7" w:rsidRPr="00B5380E">
        <w:rPr>
          <w:sz w:val="22"/>
        </w:rPr>
        <w:t>IFMIS for recording and processing budget data. This system has various modules rangin</w:t>
      </w:r>
      <w:r w:rsidRPr="00B5380E">
        <w:rPr>
          <w:sz w:val="22"/>
        </w:rPr>
        <w:t>g from budgeting</w:t>
      </w:r>
      <w:r w:rsidR="00EC4B41">
        <w:rPr>
          <w:sz w:val="22"/>
        </w:rPr>
        <w:t xml:space="preserve"> to</w:t>
      </w:r>
      <w:r w:rsidRPr="00B5380E">
        <w:rPr>
          <w:sz w:val="22"/>
        </w:rPr>
        <w:t xml:space="preserve"> payments and r</w:t>
      </w:r>
      <w:r w:rsidR="00EF2DB7" w:rsidRPr="00B5380E">
        <w:rPr>
          <w:sz w:val="22"/>
        </w:rPr>
        <w:t>eporting.</w:t>
      </w:r>
      <w:r w:rsidR="000C73E4" w:rsidRPr="00B5380E">
        <w:rPr>
          <w:sz w:val="22"/>
        </w:rPr>
        <w:t xml:space="preserve"> </w:t>
      </w:r>
      <w:r w:rsidR="00EF2DB7" w:rsidRPr="00B5380E">
        <w:rPr>
          <w:sz w:val="22"/>
        </w:rPr>
        <w:t>All users are assigned passwords</w:t>
      </w:r>
      <w:r w:rsidRPr="00B5380E">
        <w:rPr>
          <w:sz w:val="22"/>
        </w:rPr>
        <w:t xml:space="preserve"> and t</w:t>
      </w:r>
      <w:r w:rsidR="00EF2DB7" w:rsidRPr="00B5380E">
        <w:rPr>
          <w:sz w:val="22"/>
        </w:rPr>
        <w:t xml:space="preserve">he Chief Officer </w:t>
      </w:r>
      <w:r w:rsidR="00EC4B41">
        <w:rPr>
          <w:sz w:val="22"/>
        </w:rPr>
        <w:t>F</w:t>
      </w:r>
      <w:r w:rsidR="00EF2DB7" w:rsidRPr="00B5380E">
        <w:rPr>
          <w:sz w:val="22"/>
        </w:rPr>
        <w:t xml:space="preserve">inance authorizes assignment of responsibilities in the various rights to the system. </w:t>
      </w:r>
      <w:r w:rsidR="00643A6B" w:rsidRPr="00B5380E">
        <w:rPr>
          <w:sz w:val="22"/>
        </w:rPr>
        <w:t>The</w:t>
      </w:r>
      <w:r w:rsidR="00EF2DB7" w:rsidRPr="00B5380E">
        <w:rPr>
          <w:sz w:val="22"/>
        </w:rPr>
        <w:t xml:space="preserve"> IFMIS has an audit trail and any record change is electronically recorded in the system</w:t>
      </w:r>
      <w:r w:rsidR="00643A6B" w:rsidRPr="00B5380E">
        <w:rPr>
          <w:sz w:val="22"/>
        </w:rPr>
        <w:t xml:space="preserve">. </w:t>
      </w:r>
      <w:r w:rsidR="00754B33" w:rsidRPr="00B5380E">
        <w:rPr>
          <w:sz w:val="22"/>
        </w:rPr>
        <w:t>The</w:t>
      </w:r>
      <w:r w:rsidR="00EF2DB7" w:rsidRPr="00B5380E">
        <w:rPr>
          <w:sz w:val="22"/>
        </w:rPr>
        <w:t xml:space="preserve"> IFMIS department in the National Treasury is responsible for introduction of new users in the system with the approval of the accounting officer.</w:t>
      </w:r>
      <w:r w:rsidR="00643A6B" w:rsidRPr="00B5380E">
        <w:rPr>
          <w:sz w:val="22"/>
        </w:rPr>
        <w:t xml:space="preserve"> Finally, the county has an examination unit that ensures data integrity by pre</w:t>
      </w:r>
      <w:r w:rsidRPr="00B5380E">
        <w:rPr>
          <w:sz w:val="22"/>
        </w:rPr>
        <w:t>-</w:t>
      </w:r>
      <w:r w:rsidR="00643A6B" w:rsidRPr="00B5380E">
        <w:rPr>
          <w:sz w:val="22"/>
        </w:rPr>
        <w:t>audit of payments before they are passed into the system</w:t>
      </w:r>
      <w:r w:rsidRPr="00B5380E">
        <w:rPr>
          <w:sz w:val="22"/>
        </w:rPr>
        <w:t>. However,</w:t>
      </w:r>
      <w:r w:rsidR="00643A6B" w:rsidRPr="00B5380E">
        <w:rPr>
          <w:sz w:val="22"/>
        </w:rPr>
        <w:t xml:space="preserve"> there is no operational unit</w:t>
      </w:r>
      <w:r w:rsidRPr="00B5380E">
        <w:rPr>
          <w:sz w:val="22"/>
        </w:rPr>
        <w:t xml:space="preserve"> to</w:t>
      </w:r>
      <w:r w:rsidR="00643A6B" w:rsidRPr="00B5380E">
        <w:rPr>
          <w:sz w:val="22"/>
        </w:rPr>
        <w:t xml:space="preserve"> verify financial data integrity.</w:t>
      </w:r>
    </w:p>
    <w:p w14:paraId="3DC9A0D3" w14:textId="3E710F25" w:rsidR="00DF68B1" w:rsidRDefault="00893B4A" w:rsidP="00B5380E">
      <w:pPr>
        <w:spacing w:after="240"/>
      </w:pPr>
      <w:r w:rsidRPr="00B5380E">
        <w:rPr>
          <w:sz w:val="22"/>
        </w:rPr>
        <w:t>In addition</w:t>
      </w:r>
      <w:r w:rsidR="003E1C86" w:rsidRPr="00B5380E">
        <w:rPr>
          <w:sz w:val="22"/>
        </w:rPr>
        <w:t xml:space="preserve">, the report of the </w:t>
      </w:r>
      <w:r w:rsidR="00EC4B41">
        <w:rPr>
          <w:sz w:val="22"/>
        </w:rPr>
        <w:t>A</w:t>
      </w:r>
      <w:r w:rsidR="003E1C86" w:rsidRPr="00B5380E">
        <w:rPr>
          <w:sz w:val="22"/>
        </w:rPr>
        <w:t xml:space="preserve">uditor </w:t>
      </w:r>
      <w:r w:rsidR="00EC4B41">
        <w:rPr>
          <w:sz w:val="22"/>
        </w:rPr>
        <w:t>G</w:t>
      </w:r>
      <w:r w:rsidR="003E1C86" w:rsidRPr="00B5380E">
        <w:rPr>
          <w:sz w:val="22"/>
        </w:rPr>
        <w:t>eneral on AFS 2015</w:t>
      </w:r>
      <w:r w:rsidR="007C3F72">
        <w:rPr>
          <w:sz w:val="22"/>
        </w:rPr>
        <w:t>/</w:t>
      </w:r>
      <w:r w:rsidR="003E1C86" w:rsidRPr="00B5380E">
        <w:rPr>
          <w:sz w:val="22"/>
        </w:rPr>
        <w:t xml:space="preserve">16 states that </w:t>
      </w:r>
      <w:r w:rsidR="003E1C86" w:rsidRPr="007C3F72">
        <w:rPr>
          <w:sz w:val="22"/>
        </w:rPr>
        <w:t>“the County Government financial procedures requires that revenue receipt books be logged in the Counter Receipt Book Register (CTBR) upon receipt from the printers.</w:t>
      </w:r>
      <w:r w:rsidR="00E56226" w:rsidRPr="007C3F72">
        <w:rPr>
          <w:sz w:val="22"/>
        </w:rPr>
        <w:t xml:space="preserve"> </w:t>
      </w:r>
      <w:r w:rsidR="003E1C86" w:rsidRPr="007C3F72">
        <w:rPr>
          <w:sz w:val="22"/>
        </w:rPr>
        <w:t xml:space="preserve">However, the County Government did not adhere to these procedures. Consequently, completeness and accuracy of the other revenues balance of 650.9 million </w:t>
      </w:r>
      <w:r w:rsidR="00E73ED7">
        <w:rPr>
          <w:sz w:val="22"/>
        </w:rPr>
        <w:t>Ksh</w:t>
      </w:r>
      <w:r w:rsidR="003E1C86" w:rsidRPr="007C3F72">
        <w:rPr>
          <w:sz w:val="22"/>
        </w:rPr>
        <w:t xml:space="preserve"> </w:t>
      </w:r>
      <w:r w:rsidR="00EB15D6" w:rsidRPr="007C3F72">
        <w:rPr>
          <w:sz w:val="22"/>
        </w:rPr>
        <w:t>cannot</w:t>
      </w:r>
      <w:r w:rsidR="003E1C86" w:rsidRPr="007C3F72">
        <w:rPr>
          <w:sz w:val="22"/>
        </w:rPr>
        <w:t xml:space="preserve"> be confirmed.”</w:t>
      </w:r>
      <w:r w:rsidR="003E1C86">
        <w:t xml:space="preserve"> </w:t>
      </w:r>
    </w:p>
    <w:p w14:paraId="77E1EAB1" w14:textId="5D709EBF" w:rsidR="006F0846" w:rsidRPr="00B5380E" w:rsidRDefault="00DF68B1" w:rsidP="00B5380E">
      <w:pPr>
        <w:spacing w:after="240"/>
        <w:rPr>
          <w:sz w:val="22"/>
        </w:rPr>
      </w:pPr>
      <w:r w:rsidRPr="00B5380E">
        <w:rPr>
          <w:sz w:val="22"/>
        </w:rPr>
        <w:t xml:space="preserve">In summary, </w:t>
      </w:r>
      <w:r w:rsidR="003E1C86" w:rsidRPr="00B5380E">
        <w:rPr>
          <w:sz w:val="22"/>
        </w:rPr>
        <w:t xml:space="preserve">no audit trail is </w:t>
      </w:r>
      <w:r w:rsidR="00BB0D60" w:rsidRPr="00B5380E">
        <w:rPr>
          <w:sz w:val="22"/>
        </w:rPr>
        <w:t>available</w:t>
      </w:r>
      <w:r w:rsidR="003E1C86" w:rsidRPr="00B5380E">
        <w:rPr>
          <w:sz w:val="22"/>
        </w:rPr>
        <w:t xml:space="preserve"> for </w:t>
      </w:r>
      <w:r w:rsidR="00BB0D60" w:rsidRPr="00B5380E">
        <w:rPr>
          <w:sz w:val="22"/>
        </w:rPr>
        <w:t xml:space="preserve">local resources and </w:t>
      </w:r>
      <w:r w:rsidR="0043151B">
        <w:rPr>
          <w:sz w:val="22"/>
        </w:rPr>
        <w:t>a</w:t>
      </w:r>
      <w:r w:rsidR="00BB0D60" w:rsidRPr="00B5380E">
        <w:rPr>
          <w:sz w:val="22"/>
        </w:rPr>
        <w:t xml:space="preserve"> </w:t>
      </w:r>
      <w:r w:rsidR="0043151B">
        <w:rPr>
          <w:sz w:val="22"/>
        </w:rPr>
        <w:t>‘</w:t>
      </w:r>
      <w:r w:rsidR="00BB0D60" w:rsidRPr="00B5380E">
        <w:rPr>
          <w:sz w:val="22"/>
        </w:rPr>
        <w:t>B</w:t>
      </w:r>
      <w:r w:rsidR="0043151B">
        <w:rPr>
          <w:sz w:val="22"/>
        </w:rPr>
        <w:t>’</w:t>
      </w:r>
      <w:r w:rsidR="00BB0D60" w:rsidRPr="00B5380E">
        <w:rPr>
          <w:sz w:val="22"/>
        </w:rPr>
        <w:t xml:space="preserve"> score cannot be provide</w:t>
      </w:r>
      <w:r w:rsidR="003A1F78" w:rsidRPr="00B5380E">
        <w:rPr>
          <w:sz w:val="22"/>
        </w:rPr>
        <w:t>d</w:t>
      </w:r>
      <w:r w:rsidR="00BB0D60" w:rsidRPr="00B5380E">
        <w:rPr>
          <w:sz w:val="22"/>
        </w:rPr>
        <w:t xml:space="preserve"> for the component. </w:t>
      </w:r>
    </w:p>
    <w:p w14:paraId="75ADA0D1" w14:textId="4486F195" w:rsidR="006F0846" w:rsidRPr="009C39DF" w:rsidRDefault="006F0846" w:rsidP="00B5380E">
      <w:pPr>
        <w:spacing w:after="240"/>
        <w:rPr>
          <w:b/>
          <w:sz w:val="22"/>
        </w:rPr>
      </w:pPr>
      <w:r w:rsidRPr="009C39DF">
        <w:rPr>
          <w:b/>
          <w:sz w:val="22"/>
        </w:rPr>
        <w:t>Dimension rating = C</w:t>
      </w:r>
    </w:p>
    <w:p w14:paraId="5CA1D109" w14:textId="77777777" w:rsidR="00BB1084" w:rsidRPr="001E3161" w:rsidRDefault="00BB1084" w:rsidP="00590C8E">
      <w:pPr>
        <w:pStyle w:val="Heading4"/>
      </w:pPr>
      <w:r w:rsidRPr="001E3161">
        <w:t>PI-28. In-year budget reports</w:t>
      </w:r>
    </w:p>
    <w:p w14:paraId="0CE1359B" w14:textId="77777777" w:rsidR="003E5B0C" w:rsidRPr="00890A84" w:rsidRDefault="003E5B0C" w:rsidP="00BA6B2B">
      <w:pPr>
        <w:pStyle w:val="Heading5"/>
      </w:pPr>
      <w:r w:rsidRPr="00890A84">
        <w:t>Summary of scores and performance table</w:t>
      </w:r>
    </w:p>
    <w:tbl>
      <w:tblPr>
        <w:tblW w:w="9498"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2835"/>
        <w:gridCol w:w="540"/>
        <w:gridCol w:w="6123"/>
      </w:tblGrid>
      <w:tr w:rsidR="003E5B0C" w:rsidRPr="009C39DF" w14:paraId="2972BDC9" w14:textId="77777777" w:rsidTr="0043151B">
        <w:trPr>
          <w:tblHeader/>
        </w:trPr>
        <w:tc>
          <w:tcPr>
            <w:tcW w:w="2835" w:type="dxa"/>
            <w:shd w:val="clear" w:color="auto" w:fill="5B9BD5"/>
          </w:tcPr>
          <w:p w14:paraId="36D2409E" w14:textId="3A282060" w:rsidR="003E5B0C" w:rsidRPr="009C39DF" w:rsidRDefault="003E5B0C" w:rsidP="0043151B">
            <w:pPr>
              <w:jc w:val="center"/>
              <w:rPr>
                <w:b/>
                <w:color w:val="FFFFFF" w:themeColor="background1"/>
                <w:sz w:val="20"/>
                <w:szCs w:val="20"/>
              </w:rPr>
            </w:pPr>
            <w:r w:rsidRPr="009C39DF">
              <w:rPr>
                <w:b/>
                <w:color w:val="FFFFFF" w:themeColor="background1"/>
                <w:sz w:val="20"/>
                <w:szCs w:val="20"/>
              </w:rPr>
              <w:t>PI-28</w:t>
            </w:r>
            <w:r w:rsidR="0043151B">
              <w:rPr>
                <w:b/>
                <w:color w:val="FFFFFF" w:themeColor="background1"/>
                <w:sz w:val="20"/>
                <w:szCs w:val="20"/>
              </w:rPr>
              <w:t>.</w:t>
            </w:r>
            <w:r w:rsidRPr="009C39DF">
              <w:rPr>
                <w:b/>
                <w:color w:val="FFFFFF" w:themeColor="background1"/>
                <w:sz w:val="20"/>
                <w:szCs w:val="20"/>
              </w:rPr>
              <w:t xml:space="preserve"> In-year budget reports (M1)</w:t>
            </w:r>
          </w:p>
        </w:tc>
        <w:tc>
          <w:tcPr>
            <w:tcW w:w="540" w:type="dxa"/>
            <w:shd w:val="clear" w:color="auto" w:fill="5B9BD5"/>
          </w:tcPr>
          <w:p w14:paraId="3B05C7EA" w14:textId="4B13C4E4" w:rsidR="003E5B0C" w:rsidRPr="009C39DF" w:rsidRDefault="007A1A8D" w:rsidP="0043151B">
            <w:pPr>
              <w:jc w:val="center"/>
              <w:rPr>
                <w:b/>
                <w:color w:val="FFFFFF" w:themeColor="background1"/>
                <w:sz w:val="20"/>
                <w:szCs w:val="20"/>
              </w:rPr>
            </w:pPr>
            <w:r w:rsidRPr="009C39DF">
              <w:rPr>
                <w:b/>
                <w:color w:val="FFFFFF" w:themeColor="background1"/>
                <w:sz w:val="20"/>
                <w:szCs w:val="20"/>
              </w:rPr>
              <w:t>C</w:t>
            </w:r>
            <w:r w:rsidR="003E5B0C" w:rsidRPr="009C39DF">
              <w:rPr>
                <w:b/>
                <w:color w:val="FFFFFF" w:themeColor="background1"/>
                <w:sz w:val="20"/>
                <w:szCs w:val="20"/>
              </w:rPr>
              <w:t>+</w:t>
            </w:r>
          </w:p>
        </w:tc>
        <w:tc>
          <w:tcPr>
            <w:tcW w:w="6123" w:type="dxa"/>
            <w:shd w:val="clear" w:color="auto" w:fill="5B9BD5"/>
          </w:tcPr>
          <w:p w14:paraId="67D31FAA" w14:textId="77777777" w:rsidR="003E5B0C" w:rsidRPr="009C39DF" w:rsidRDefault="003E5B0C" w:rsidP="0043151B">
            <w:pPr>
              <w:jc w:val="center"/>
              <w:rPr>
                <w:b/>
                <w:color w:val="FFFFFF" w:themeColor="background1"/>
                <w:sz w:val="20"/>
                <w:szCs w:val="20"/>
              </w:rPr>
            </w:pPr>
            <w:r w:rsidRPr="009C39DF">
              <w:rPr>
                <w:b/>
                <w:color w:val="FFFFFF" w:themeColor="background1"/>
                <w:sz w:val="20"/>
                <w:szCs w:val="20"/>
              </w:rPr>
              <w:t>Brief justification for score</w:t>
            </w:r>
          </w:p>
        </w:tc>
      </w:tr>
      <w:tr w:rsidR="003E5B0C" w:rsidRPr="009C39DF" w14:paraId="13B0CE99" w14:textId="77777777" w:rsidTr="0043151B">
        <w:tc>
          <w:tcPr>
            <w:tcW w:w="2835" w:type="dxa"/>
            <w:shd w:val="clear" w:color="auto" w:fill="auto"/>
          </w:tcPr>
          <w:p w14:paraId="31E7999E" w14:textId="77777777" w:rsidR="003E5B0C" w:rsidRPr="009C39DF" w:rsidRDefault="003E5B0C" w:rsidP="009C39DF">
            <w:pPr>
              <w:jc w:val="left"/>
              <w:rPr>
                <w:sz w:val="20"/>
                <w:szCs w:val="20"/>
              </w:rPr>
            </w:pPr>
            <w:r w:rsidRPr="009C39DF">
              <w:rPr>
                <w:sz w:val="20"/>
                <w:szCs w:val="20"/>
              </w:rPr>
              <w:t xml:space="preserve">28.1 Coverage and comparability of reports </w:t>
            </w:r>
          </w:p>
        </w:tc>
        <w:tc>
          <w:tcPr>
            <w:tcW w:w="540" w:type="dxa"/>
            <w:shd w:val="clear" w:color="auto" w:fill="auto"/>
          </w:tcPr>
          <w:p w14:paraId="1CFD14D2" w14:textId="16FB81F5" w:rsidR="003E5B0C" w:rsidRPr="009C39DF" w:rsidRDefault="007A1A8D" w:rsidP="009C39DF">
            <w:pPr>
              <w:jc w:val="center"/>
              <w:rPr>
                <w:sz w:val="20"/>
                <w:szCs w:val="20"/>
              </w:rPr>
            </w:pPr>
            <w:r w:rsidRPr="009C39DF">
              <w:rPr>
                <w:sz w:val="20"/>
                <w:szCs w:val="20"/>
              </w:rPr>
              <w:t>C</w:t>
            </w:r>
          </w:p>
        </w:tc>
        <w:tc>
          <w:tcPr>
            <w:tcW w:w="6123" w:type="dxa"/>
            <w:shd w:val="clear" w:color="auto" w:fill="auto"/>
          </w:tcPr>
          <w:p w14:paraId="34148EA3" w14:textId="75F99A3F" w:rsidR="003E5B0C" w:rsidRPr="009C39DF" w:rsidRDefault="003E5B0C" w:rsidP="009C39DF">
            <w:pPr>
              <w:jc w:val="left"/>
              <w:rPr>
                <w:color w:val="000000"/>
                <w:sz w:val="20"/>
                <w:szCs w:val="20"/>
              </w:rPr>
            </w:pPr>
            <w:r w:rsidRPr="009C39DF">
              <w:rPr>
                <w:sz w:val="20"/>
                <w:szCs w:val="20"/>
              </w:rPr>
              <w:t>Budget reports are prepared quarterly</w:t>
            </w:r>
            <w:r w:rsidR="007A1A8D" w:rsidRPr="009C39DF">
              <w:rPr>
                <w:sz w:val="20"/>
                <w:szCs w:val="20"/>
              </w:rPr>
              <w:t>. T</w:t>
            </w:r>
            <w:r w:rsidRPr="009C39DF">
              <w:rPr>
                <w:sz w:val="20"/>
                <w:szCs w:val="20"/>
              </w:rPr>
              <w:t xml:space="preserve">his report has its own format </w:t>
            </w:r>
            <w:r w:rsidR="007A1A8D" w:rsidRPr="009C39DF">
              <w:rPr>
                <w:sz w:val="20"/>
                <w:szCs w:val="20"/>
              </w:rPr>
              <w:t>but</w:t>
            </w:r>
            <w:r w:rsidRPr="009C39DF">
              <w:rPr>
                <w:sz w:val="20"/>
                <w:szCs w:val="20"/>
              </w:rPr>
              <w:t xml:space="preserve"> budget items are easily comparable to the initial budget.</w:t>
            </w:r>
          </w:p>
        </w:tc>
      </w:tr>
      <w:tr w:rsidR="003E5B0C" w:rsidRPr="009C39DF" w14:paraId="56271686" w14:textId="77777777" w:rsidTr="0043151B">
        <w:tc>
          <w:tcPr>
            <w:tcW w:w="2835" w:type="dxa"/>
            <w:shd w:val="clear" w:color="auto" w:fill="auto"/>
          </w:tcPr>
          <w:p w14:paraId="00F26CB9" w14:textId="77777777" w:rsidR="003E5B0C" w:rsidRPr="009C39DF" w:rsidRDefault="003E5B0C" w:rsidP="009C39DF">
            <w:pPr>
              <w:jc w:val="left"/>
              <w:rPr>
                <w:sz w:val="20"/>
                <w:szCs w:val="20"/>
              </w:rPr>
            </w:pPr>
            <w:r w:rsidRPr="009C39DF">
              <w:rPr>
                <w:sz w:val="20"/>
                <w:szCs w:val="20"/>
              </w:rPr>
              <w:t xml:space="preserve">28.2 Timing of in-year budget reports </w:t>
            </w:r>
          </w:p>
        </w:tc>
        <w:tc>
          <w:tcPr>
            <w:tcW w:w="540" w:type="dxa"/>
            <w:shd w:val="clear" w:color="auto" w:fill="auto"/>
          </w:tcPr>
          <w:p w14:paraId="6F419DF7" w14:textId="77777777" w:rsidR="003E5B0C" w:rsidRPr="009C39DF" w:rsidRDefault="003E5B0C" w:rsidP="009C39DF">
            <w:pPr>
              <w:jc w:val="center"/>
              <w:rPr>
                <w:sz w:val="20"/>
                <w:szCs w:val="20"/>
              </w:rPr>
            </w:pPr>
            <w:r w:rsidRPr="009C39DF">
              <w:rPr>
                <w:sz w:val="20"/>
                <w:szCs w:val="20"/>
              </w:rPr>
              <w:t>B</w:t>
            </w:r>
          </w:p>
        </w:tc>
        <w:tc>
          <w:tcPr>
            <w:tcW w:w="6123" w:type="dxa"/>
            <w:shd w:val="clear" w:color="auto" w:fill="auto"/>
          </w:tcPr>
          <w:p w14:paraId="435605BE" w14:textId="77777777" w:rsidR="003E5B0C" w:rsidRPr="009C39DF" w:rsidRDefault="003E5B0C" w:rsidP="009C39DF">
            <w:pPr>
              <w:jc w:val="left"/>
              <w:rPr>
                <w:color w:val="000000"/>
                <w:sz w:val="20"/>
                <w:szCs w:val="20"/>
              </w:rPr>
            </w:pPr>
            <w:r w:rsidRPr="009C39DF">
              <w:rPr>
                <w:sz w:val="20"/>
                <w:szCs w:val="20"/>
              </w:rPr>
              <w:t>Budget execution reports are prepared quarterly and within one month from the end of that quarter.</w:t>
            </w:r>
          </w:p>
        </w:tc>
      </w:tr>
      <w:tr w:rsidR="003E5B0C" w:rsidRPr="009C39DF" w14:paraId="3C00C171" w14:textId="77777777" w:rsidTr="0043151B">
        <w:tc>
          <w:tcPr>
            <w:tcW w:w="2835" w:type="dxa"/>
            <w:shd w:val="clear" w:color="auto" w:fill="auto"/>
          </w:tcPr>
          <w:p w14:paraId="3497FDFA" w14:textId="77777777" w:rsidR="003E5B0C" w:rsidRPr="009C39DF" w:rsidRDefault="003E5B0C" w:rsidP="009C39DF">
            <w:pPr>
              <w:jc w:val="left"/>
              <w:rPr>
                <w:sz w:val="20"/>
                <w:szCs w:val="20"/>
              </w:rPr>
            </w:pPr>
            <w:r w:rsidRPr="009C39DF">
              <w:rPr>
                <w:sz w:val="20"/>
                <w:szCs w:val="20"/>
              </w:rPr>
              <w:t xml:space="preserve">28.3 Accuracy of in-year budget reports </w:t>
            </w:r>
          </w:p>
        </w:tc>
        <w:tc>
          <w:tcPr>
            <w:tcW w:w="540" w:type="dxa"/>
            <w:shd w:val="clear" w:color="auto" w:fill="auto"/>
          </w:tcPr>
          <w:p w14:paraId="45F73DDB" w14:textId="77777777" w:rsidR="003E5B0C" w:rsidRPr="009C39DF" w:rsidRDefault="003E5B0C" w:rsidP="009C39DF">
            <w:pPr>
              <w:jc w:val="center"/>
              <w:rPr>
                <w:sz w:val="20"/>
                <w:szCs w:val="20"/>
              </w:rPr>
            </w:pPr>
            <w:r w:rsidRPr="009C39DF">
              <w:rPr>
                <w:sz w:val="20"/>
                <w:szCs w:val="20"/>
              </w:rPr>
              <w:t>C</w:t>
            </w:r>
          </w:p>
        </w:tc>
        <w:tc>
          <w:tcPr>
            <w:tcW w:w="6123" w:type="dxa"/>
            <w:shd w:val="clear" w:color="auto" w:fill="auto"/>
          </w:tcPr>
          <w:p w14:paraId="390CD2D3" w14:textId="72B21B3D" w:rsidR="003E5B0C" w:rsidRPr="009C39DF" w:rsidRDefault="003E5B0C" w:rsidP="009C39DF">
            <w:pPr>
              <w:jc w:val="left"/>
              <w:rPr>
                <w:sz w:val="20"/>
                <w:szCs w:val="20"/>
              </w:rPr>
            </w:pPr>
            <w:r w:rsidRPr="009C39DF">
              <w:rPr>
                <w:sz w:val="20"/>
                <w:szCs w:val="20"/>
              </w:rPr>
              <w:t xml:space="preserve">There may be concerns regarding data accuracy, which are not highlighted in the report. Data is consistent and useful for analysis of budget execution, but no analysis of the budget execution is provided on at least a half-yearly basis. Expenditure is captured at </w:t>
            </w:r>
            <w:r w:rsidR="0043151B">
              <w:rPr>
                <w:sz w:val="20"/>
                <w:szCs w:val="20"/>
              </w:rPr>
              <w:t xml:space="preserve">the </w:t>
            </w:r>
            <w:r w:rsidRPr="009C39DF">
              <w:rPr>
                <w:sz w:val="20"/>
                <w:szCs w:val="20"/>
              </w:rPr>
              <w:t xml:space="preserve">payment stage. </w:t>
            </w:r>
          </w:p>
        </w:tc>
      </w:tr>
    </w:tbl>
    <w:p w14:paraId="2E75C934" w14:textId="77777777" w:rsidR="0004546D" w:rsidRPr="00890A84" w:rsidRDefault="00033A33" w:rsidP="00BA6B2B">
      <w:pPr>
        <w:pStyle w:val="Heading5"/>
      </w:pPr>
      <w:r w:rsidRPr="00890A84">
        <w:t>PI-</w:t>
      </w:r>
      <w:r w:rsidR="0004546D" w:rsidRPr="00890A84">
        <w:t xml:space="preserve">28.1. Coverage and comparability of reports </w:t>
      </w:r>
    </w:p>
    <w:p w14:paraId="77B4A455" w14:textId="58303187" w:rsidR="00FB55B1" w:rsidRPr="00B5380E" w:rsidRDefault="00FB55B1" w:rsidP="00B5380E">
      <w:pPr>
        <w:spacing w:after="240"/>
        <w:rPr>
          <w:sz w:val="22"/>
        </w:rPr>
      </w:pPr>
      <w:r w:rsidRPr="00B5380E">
        <w:rPr>
          <w:sz w:val="22"/>
        </w:rPr>
        <w:t>The PFM Act, 2012</w:t>
      </w:r>
      <w:r w:rsidR="0043151B">
        <w:rPr>
          <w:sz w:val="22"/>
        </w:rPr>
        <w:t>,</w:t>
      </w:r>
      <w:r w:rsidRPr="00B5380E">
        <w:rPr>
          <w:sz w:val="22"/>
        </w:rPr>
        <w:t xml:space="preserve"> requires budget execution monthly financial statement and nonfinancial budgetary reports to be submitted to the County Treasury. The CBROP is prepared in accordance with Section 118 of the PFM Act, 2012. According to this </w:t>
      </w:r>
      <w:r w:rsidR="0043151B">
        <w:rPr>
          <w:sz w:val="22"/>
        </w:rPr>
        <w:t>a</w:t>
      </w:r>
      <w:r w:rsidRPr="00B5380E">
        <w:rPr>
          <w:sz w:val="22"/>
        </w:rPr>
        <w:t>ct, the county should prepare quarterly implementation reports to give an overview of budget execution. They compar</w:t>
      </w:r>
      <w:r w:rsidR="00747EB2">
        <w:rPr>
          <w:sz w:val="22"/>
        </w:rPr>
        <w:t>e</w:t>
      </w:r>
      <w:r w:rsidRPr="00B5380E">
        <w:rPr>
          <w:sz w:val="22"/>
        </w:rPr>
        <w:t xml:space="preserve"> between budget estimates and actual expenditures among departments and </w:t>
      </w:r>
      <w:r w:rsidR="0043151B">
        <w:rPr>
          <w:sz w:val="22"/>
        </w:rPr>
        <w:t>the C</w:t>
      </w:r>
      <w:r w:rsidRPr="00B5380E">
        <w:rPr>
          <w:sz w:val="22"/>
        </w:rPr>
        <w:t xml:space="preserve">ounty </w:t>
      </w:r>
      <w:r w:rsidR="0043151B">
        <w:rPr>
          <w:sz w:val="22"/>
        </w:rPr>
        <w:t>A</w:t>
      </w:r>
      <w:r w:rsidRPr="00B5380E">
        <w:rPr>
          <w:sz w:val="22"/>
        </w:rPr>
        <w:t>ssembly.</w:t>
      </w:r>
    </w:p>
    <w:p w14:paraId="6E792106" w14:textId="62B75CB8" w:rsidR="003E1C86" w:rsidRPr="00B5380E" w:rsidRDefault="0080684C" w:rsidP="00B5380E">
      <w:pPr>
        <w:spacing w:after="240"/>
        <w:rPr>
          <w:sz w:val="22"/>
        </w:rPr>
      </w:pPr>
      <w:r w:rsidRPr="00B5380E">
        <w:rPr>
          <w:sz w:val="22"/>
        </w:rPr>
        <w:t xml:space="preserve">The county prepares </w:t>
      </w:r>
      <w:r w:rsidR="00747EB2">
        <w:rPr>
          <w:sz w:val="22"/>
        </w:rPr>
        <w:t xml:space="preserve">the </w:t>
      </w:r>
      <w:r w:rsidRPr="00B5380E">
        <w:rPr>
          <w:sz w:val="22"/>
        </w:rPr>
        <w:t xml:space="preserve">quarterly expenditure report </w:t>
      </w:r>
      <w:r w:rsidR="00FB55B1" w:rsidRPr="00B5380E">
        <w:rPr>
          <w:sz w:val="22"/>
        </w:rPr>
        <w:t>that</w:t>
      </w:r>
      <w:r w:rsidRPr="00B5380E">
        <w:rPr>
          <w:sz w:val="22"/>
        </w:rPr>
        <w:t xml:space="preserve"> show</w:t>
      </w:r>
      <w:r w:rsidR="00E03637" w:rsidRPr="00B5380E">
        <w:rPr>
          <w:sz w:val="22"/>
        </w:rPr>
        <w:t>s</w:t>
      </w:r>
      <w:r w:rsidRPr="00B5380E">
        <w:rPr>
          <w:sz w:val="22"/>
        </w:rPr>
        <w:t xml:space="preserve"> budgeted expenditure against actual expenditure and any revision in the exact</w:t>
      </w:r>
      <w:r w:rsidR="00FB55B1" w:rsidRPr="00B5380E">
        <w:rPr>
          <w:sz w:val="22"/>
        </w:rPr>
        <w:t xml:space="preserve"> budget</w:t>
      </w:r>
      <w:r w:rsidRPr="00B5380E">
        <w:rPr>
          <w:sz w:val="22"/>
        </w:rPr>
        <w:t xml:space="preserve"> line items. </w:t>
      </w:r>
      <w:r w:rsidR="00FB55B1" w:rsidRPr="00B5380E">
        <w:rPr>
          <w:sz w:val="22"/>
        </w:rPr>
        <w:t>This report is prepared based on a template issued by the C</w:t>
      </w:r>
      <w:r w:rsidR="0043151B">
        <w:rPr>
          <w:sz w:val="22"/>
        </w:rPr>
        <w:t>O</w:t>
      </w:r>
      <w:r w:rsidR="00FB55B1" w:rsidRPr="00B5380E">
        <w:rPr>
          <w:sz w:val="22"/>
        </w:rPr>
        <w:t xml:space="preserve">B. </w:t>
      </w:r>
      <w:r w:rsidR="00754B33" w:rsidRPr="00B5380E">
        <w:rPr>
          <w:sz w:val="22"/>
        </w:rPr>
        <w:t>The</w:t>
      </w:r>
      <w:r w:rsidR="003F1AC8" w:rsidRPr="00B5380E">
        <w:rPr>
          <w:sz w:val="22"/>
        </w:rPr>
        <w:t xml:space="preserve"> county also prepare</w:t>
      </w:r>
      <w:r w:rsidR="00FF162D" w:rsidRPr="00B5380E">
        <w:rPr>
          <w:sz w:val="22"/>
        </w:rPr>
        <w:t>s</w:t>
      </w:r>
      <w:r w:rsidR="003F1AC8" w:rsidRPr="00B5380E">
        <w:rPr>
          <w:sz w:val="22"/>
        </w:rPr>
        <w:t xml:space="preserve"> the CB</w:t>
      </w:r>
      <w:r w:rsidR="00F44AF0" w:rsidRPr="00B5380E">
        <w:rPr>
          <w:sz w:val="22"/>
        </w:rPr>
        <w:t>R</w:t>
      </w:r>
      <w:r w:rsidR="003F1AC8" w:rsidRPr="00B5380E">
        <w:rPr>
          <w:sz w:val="22"/>
        </w:rPr>
        <w:t xml:space="preserve">OP and the CFSP. </w:t>
      </w:r>
      <w:r w:rsidR="0043151B">
        <w:rPr>
          <w:sz w:val="22"/>
        </w:rPr>
        <w:t>However, t</w:t>
      </w:r>
      <w:r w:rsidR="00F44AF0" w:rsidRPr="00B5380E">
        <w:rPr>
          <w:sz w:val="22"/>
        </w:rPr>
        <w:t xml:space="preserve">he CBROP does not provide a breakdown of budget execution to enable comparison with the original budget according to economic classification. </w:t>
      </w:r>
      <w:r w:rsidR="00EB6CFF" w:rsidRPr="00B5380E">
        <w:rPr>
          <w:sz w:val="22"/>
        </w:rPr>
        <w:t xml:space="preserve">The CFSP presents budget execution according to the functional/administrative classification and not </w:t>
      </w:r>
      <w:r w:rsidR="00F44AF0" w:rsidRPr="00B5380E">
        <w:rPr>
          <w:sz w:val="22"/>
        </w:rPr>
        <w:t>the</w:t>
      </w:r>
      <w:r w:rsidR="00EB6CFF" w:rsidRPr="00B5380E">
        <w:rPr>
          <w:sz w:val="22"/>
        </w:rPr>
        <w:t xml:space="preserve"> economic classification</w:t>
      </w:r>
      <w:r w:rsidR="003E1C86" w:rsidRPr="00B5380E">
        <w:rPr>
          <w:sz w:val="22"/>
        </w:rPr>
        <w:t>.</w:t>
      </w:r>
    </w:p>
    <w:p w14:paraId="40F84BB6" w14:textId="2F6CDE4E" w:rsidR="006F0846" w:rsidRPr="00B5380E" w:rsidRDefault="00F5429C" w:rsidP="00B5380E">
      <w:pPr>
        <w:spacing w:after="240"/>
        <w:rPr>
          <w:sz w:val="22"/>
        </w:rPr>
      </w:pPr>
      <w:r w:rsidRPr="00B5380E">
        <w:rPr>
          <w:sz w:val="22"/>
        </w:rPr>
        <w:t>In summary, b</w:t>
      </w:r>
      <w:r w:rsidR="00893B4A" w:rsidRPr="00B5380E">
        <w:rPr>
          <w:sz w:val="22"/>
        </w:rPr>
        <w:t>udget reports are prepared quarterly</w:t>
      </w:r>
      <w:r w:rsidR="007A1A8D" w:rsidRPr="00B5380E">
        <w:rPr>
          <w:sz w:val="22"/>
        </w:rPr>
        <w:t xml:space="preserve">. </w:t>
      </w:r>
      <w:r w:rsidR="0024028A" w:rsidRPr="00B5380E">
        <w:rPr>
          <w:sz w:val="22"/>
        </w:rPr>
        <w:t>The BIRRs show actual quarterly expenditure against the original budget, except for the last quarter, which compares to the revised budget only. However, comparison can be made by referring to other reports that show the original budget.</w:t>
      </w:r>
      <w:r w:rsidR="00893B4A" w:rsidRPr="00B5380E">
        <w:rPr>
          <w:sz w:val="22"/>
        </w:rPr>
        <w:t xml:space="preserve"> </w:t>
      </w:r>
    </w:p>
    <w:p w14:paraId="0AE3925A" w14:textId="7E99198B" w:rsidR="006F0846" w:rsidRPr="009C39DF" w:rsidRDefault="006F0846" w:rsidP="00B5380E">
      <w:pPr>
        <w:spacing w:after="240"/>
        <w:rPr>
          <w:b/>
          <w:sz w:val="22"/>
        </w:rPr>
      </w:pPr>
      <w:r w:rsidRPr="009C39DF">
        <w:rPr>
          <w:b/>
          <w:sz w:val="22"/>
        </w:rPr>
        <w:t>Dimension rating = C</w:t>
      </w:r>
    </w:p>
    <w:p w14:paraId="0CFED566" w14:textId="77777777" w:rsidR="0004546D" w:rsidRPr="00890A84" w:rsidRDefault="00033A33" w:rsidP="00BA6B2B">
      <w:pPr>
        <w:pStyle w:val="Heading5"/>
      </w:pPr>
      <w:r w:rsidRPr="00890A84">
        <w:t>PI-</w:t>
      </w:r>
      <w:r w:rsidR="0004546D" w:rsidRPr="00890A84">
        <w:t xml:space="preserve">28.2. Timing of in-year budget reports </w:t>
      </w:r>
    </w:p>
    <w:p w14:paraId="274D5EBB" w14:textId="5381ACEB" w:rsidR="0080684C" w:rsidRPr="00B5380E" w:rsidRDefault="007806B6" w:rsidP="00B5380E">
      <w:pPr>
        <w:spacing w:after="240"/>
        <w:rPr>
          <w:sz w:val="22"/>
        </w:rPr>
      </w:pPr>
      <w:r w:rsidRPr="00B5380E">
        <w:rPr>
          <w:sz w:val="22"/>
        </w:rPr>
        <w:t>PFM Act 166, 2012</w:t>
      </w:r>
      <w:r w:rsidR="0043151B">
        <w:rPr>
          <w:sz w:val="22"/>
        </w:rPr>
        <w:t>,</w:t>
      </w:r>
      <w:r w:rsidRPr="00B5380E">
        <w:rPr>
          <w:sz w:val="22"/>
        </w:rPr>
        <w:t xml:space="preserve"> requires counties to prepare quarterly reports and deliver copies to the National Treasury, COB</w:t>
      </w:r>
      <w:r w:rsidR="0043151B">
        <w:rPr>
          <w:sz w:val="22"/>
        </w:rPr>
        <w:t>,</w:t>
      </w:r>
      <w:r w:rsidRPr="00B5380E">
        <w:rPr>
          <w:sz w:val="22"/>
        </w:rPr>
        <w:t xml:space="preserve"> and CRA while County Treasury Circular requires preparation of reports of performance of the entire budget during the implementation phase. Annual Expenditure Appropriation Accounts are prepared annually and submitted by September</w:t>
      </w:r>
      <w:r w:rsidR="0043151B">
        <w:rPr>
          <w:sz w:val="22"/>
        </w:rPr>
        <w:t xml:space="preserve"> 30</w:t>
      </w:r>
      <w:r w:rsidRPr="00B5380E">
        <w:rPr>
          <w:sz w:val="22"/>
        </w:rPr>
        <w:t xml:space="preserve">. </w:t>
      </w:r>
      <w:r w:rsidR="0080684C" w:rsidRPr="00B5380E">
        <w:rPr>
          <w:sz w:val="22"/>
        </w:rPr>
        <w:t xml:space="preserve">Budget execution reports are prepared quarterly and within one month from the end of that quarter. </w:t>
      </w:r>
      <w:r w:rsidR="00F44AF0" w:rsidRPr="00B5380E">
        <w:rPr>
          <w:sz w:val="22"/>
        </w:rPr>
        <w:t>Table 3.</w:t>
      </w:r>
      <w:r w:rsidR="0043151B">
        <w:rPr>
          <w:sz w:val="22"/>
        </w:rPr>
        <w:t>2</w:t>
      </w:r>
      <w:r w:rsidR="000B4EB8">
        <w:rPr>
          <w:sz w:val="22"/>
        </w:rPr>
        <w:t>5</w:t>
      </w:r>
      <w:r w:rsidR="00F44AF0" w:rsidRPr="00B5380E">
        <w:rPr>
          <w:sz w:val="22"/>
        </w:rPr>
        <w:t xml:space="preserve"> presents </w:t>
      </w:r>
      <w:r w:rsidR="0043151B">
        <w:rPr>
          <w:sz w:val="22"/>
        </w:rPr>
        <w:t xml:space="preserve">the </w:t>
      </w:r>
      <w:r w:rsidR="00F44AF0" w:rsidRPr="00B5380E">
        <w:rPr>
          <w:sz w:val="22"/>
        </w:rPr>
        <w:t xml:space="preserve">timing </w:t>
      </w:r>
      <w:r w:rsidR="0043151B">
        <w:rPr>
          <w:sz w:val="22"/>
        </w:rPr>
        <w:t>of</w:t>
      </w:r>
      <w:r w:rsidR="0043151B" w:rsidRPr="00B5380E">
        <w:rPr>
          <w:sz w:val="22"/>
        </w:rPr>
        <w:t xml:space="preserve"> </w:t>
      </w:r>
      <w:r w:rsidR="00F44AF0" w:rsidRPr="00B5380E">
        <w:rPr>
          <w:sz w:val="22"/>
        </w:rPr>
        <w:t>various in-year budget reports for FY2014/15.</w:t>
      </w:r>
    </w:p>
    <w:p w14:paraId="247F02E8" w14:textId="30D39DFF" w:rsidR="00FE07C0" w:rsidRPr="00890A84" w:rsidRDefault="004B6441" w:rsidP="00590C8E">
      <w:pPr>
        <w:pStyle w:val="TableStyle"/>
      </w:pPr>
      <w:bookmarkStart w:id="115" w:name="_Toc530420894"/>
      <w:bookmarkStart w:id="116" w:name="_Toc532426112"/>
      <w:r>
        <w:t>Table</w:t>
      </w:r>
      <w:r w:rsidR="0043151B">
        <w:t xml:space="preserv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25</w:t>
      </w:r>
      <w:r w:rsidR="008B59A7">
        <w:rPr>
          <w:noProof/>
        </w:rPr>
        <w:fldChar w:fldCharType="end"/>
      </w:r>
      <w:r w:rsidR="00FE07C0" w:rsidRPr="00890A84">
        <w:t>: Timing of in-year budget reports FY2014/15</w:t>
      </w:r>
      <w:bookmarkEnd w:id="115"/>
      <w:bookmarkEnd w:id="116"/>
    </w:p>
    <w:tbl>
      <w:tblPr>
        <w:tblStyle w:val="GridTable4-Accent11"/>
        <w:tblW w:w="5320" w:type="dxa"/>
        <w:tblLook w:val="0620" w:firstRow="1" w:lastRow="0" w:firstColumn="0" w:lastColumn="0" w:noHBand="1" w:noVBand="1"/>
      </w:tblPr>
      <w:tblGrid>
        <w:gridCol w:w="2680"/>
        <w:gridCol w:w="2640"/>
      </w:tblGrid>
      <w:tr w:rsidR="00E84376" w:rsidRPr="009C39DF" w14:paraId="317F9A6A" w14:textId="77777777" w:rsidTr="009C39DF">
        <w:trPr>
          <w:cnfStyle w:val="100000000000" w:firstRow="1" w:lastRow="0" w:firstColumn="0" w:lastColumn="0" w:oddVBand="0" w:evenVBand="0" w:oddHBand="0" w:evenHBand="0" w:firstRowFirstColumn="0" w:firstRowLastColumn="0" w:lastRowFirstColumn="0" w:lastRowLastColumn="0"/>
          <w:trHeight w:val="78"/>
        </w:trPr>
        <w:tc>
          <w:tcPr>
            <w:tcW w:w="26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379F5280" w14:textId="77777777" w:rsidR="00E84376" w:rsidRPr="009C39DF" w:rsidRDefault="00E84376" w:rsidP="009C39DF">
            <w:pPr>
              <w:jc w:val="center"/>
              <w:rPr>
                <w:color w:val="FFFFFF" w:themeColor="background1"/>
                <w:sz w:val="20"/>
                <w:szCs w:val="20"/>
              </w:rPr>
            </w:pPr>
            <w:r w:rsidRPr="009C39DF">
              <w:rPr>
                <w:color w:val="FFFFFF" w:themeColor="background1"/>
                <w:sz w:val="20"/>
                <w:szCs w:val="20"/>
              </w:rPr>
              <w:t>End of quarter</w:t>
            </w:r>
          </w:p>
        </w:tc>
        <w:tc>
          <w:tcPr>
            <w:tcW w:w="2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14:paraId="762CD8A1" w14:textId="77777777" w:rsidR="00E84376" w:rsidRPr="009C39DF" w:rsidRDefault="00E84376" w:rsidP="009C39DF">
            <w:pPr>
              <w:jc w:val="center"/>
              <w:rPr>
                <w:color w:val="FFFFFF" w:themeColor="background1"/>
                <w:sz w:val="20"/>
                <w:szCs w:val="20"/>
              </w:rPr>
            </w:pPr>
            <w:r w:rsidRPr="009C39DF">
              <w:rPr>
                <w:color w:val="FFFFFF" w:themeColor="background1"/>
                <w:sz w:val="20"/>
                <w:szCs w:val="20"/>
              </w:rPr>
              <w:t>Date of report</w:t>
            </w:r>
          </w:p>
        </w:tc>
      </w:tr>
      <w:tr w:rsidR="00E84376" w:rsidRPr="009C39DF" w14:paraId="2CF78AE6" w14:textId="77777777" w:rsidTr="009C39DF">
        <w:trPr>
          <w:trHeight w:val="58"/>
        </w:trPr>
        <w:tc>
          <w:tcPr>
            <w:tcW w:w="2680" w:type="dxa"/>
            <w:tcBorders>
              <w:top w:val="single" w:sz="4" w:space="0" w:color="5B9BD5" w:themeColor="accent1"/>
            </w:tcBorders>
            <w:noWrap/>
            <w:hideMark/>
          </w:tcPr>
          <w:p w14:paraId="059B2819" w14:textId="558CF558" w:rsidR="00E84376" w:rsidRPr="009C39DF" w:rsidRDefault="00E84376" w:rsidP="009C39DF">
            <w:pPr>
              <w:ind w:left="0"/>
              <w:jc w:val="left"/>
              <w:rPr>
                <w:sz w:val="20"/>
                <w:szCs w:val="20"/>
              </w:rPr>
            </w:pPr>
            <w:r w:rsidRPr="009C39DF">
              <w:rPr>
                <w:sz w:val="20"/>
                <w:szCs w:val="20"/>
              </w:rPr>
              <w:t>July</w:t>
            </w:r>
            <w:r w:rsidR="0043151B">
              <w:rPr>
                <w:sz w:val="20"/>
                <w:szCs w:val="20"/>
              </w:rPr>
              <w:t>–</w:t>
            </w:r>
            <w:r w:rsidRPr="009C39DF">
              <w:rPr>
                <w:sz w:val="20"/>
                <w:szCs w:val="20"/>
              </w:rPr>
              <w:t>September 2014</w:t>
            </w:r>
          </w:p>
        </w:tc>
        <w:tc>
          <w:tcPr>
            <w:tcW w:w="2640" w:type="dxa"/>
            <w:tcBorders>
              <w:top w:val="single" w:sz="4" w:space="0" w:color="5B9BD5" w:themeColor="accent1"/>
            </w:tcBorders>
            <w:noWrap/>
            <w:hideMark/>
          </w:tcPr>
          <w:p w14:paraId="2C5DFE75" w14:textId="0267006E" w:rsidR="00E84376" w:rsidRPr="009C39DF" w:rsidRDefault="00E84376" w:rsidP="009C39DF">
            <w:pPr>
              <w:ind w:left="0"/>
              <w:jc w:val="left"/>
              <w:rPr>
                <w:sz w:val="20"/>
                <w:szCs w:val="20"/>
              </w:rPr>
            </w:pPr>
            <w:r w:rsidRPr="009C39DF">
              <w:rPr>
                <w:sz w:val="20"/>
                <w:szCs w:val="20"/>
              </w:rPr>
              <w:t>November</w:t>
            </w:r>
            <w:r w:rsidR="0043151B">
              <w:rPr>
                <w:sz w:val="20"/>
                <w:szCs w:val="20"/>
              </w:rPr>
              <w:t xml:space="preserve"> 20</w:t>
            </w:r>
            <w:r w:rsidR="002969B1" w:rsidRPr="009C39DF">
              <w:rPr>
                <w:sz w:val="20"/>
                <w:szCs w:val="20"/>
              </w:rPr>
              <w:t>,</w:t>
            </w:r>
            <w:r w:rsidRPr="009C39DF">
              <w:rPr>
                <w:sz w:val="20"/>
                <w:szCs w:val="20"/>
              </w:rPr>
              <w:t xml:space="preserve"> 2014</w:t>
            </w:r>
          </w:p>
        </w:tc>
      </w:tr>
      <w:tr w:rsidR="009D53B1" w:rsidRPr="009C39DF" w14:paraId="483AF071" w14:textId="77777777" w:rsidTr="009A6E06">
        <w:trPr>
          <w:trHeight w:val="61"/>
        </w:trPr>
        <w:tc>
          <w:tcPr>
            <w:tcW w:w="2680" w:type="dxa"/>
            <w:noWrap/>
            <w:hideMark/>
          </w:tcPr>
          <w:p w14:paraId="46598F54" w14:textId="359C83DE" w:rsidR="009D53B1" w:rsidRPr="009C39DF" w:rsidRDefault="009D53B1" w:rsidP="009C39DF">
            <w:pPr>
              <w:ind w:left="0"/>
              <w:jc w:val="left"/>
              <w:rPr>
                <w:sz w:val="20"/>
                <w:szCs w:val="20"/>
              </w:rPr>
            </w:pPr>
            <w:r w:rsidRPr="009C39DF">
              <w:rPr>
                <w:sz w:val="20"/>
                <w:szCs w:val="20"/>
              </w:rPr>
              <w:t>October</w:t>
            </w:r>
            <w:r w:rsidR="0043151B">
              <w:rPr>
                <w:sz w:val="20"/>
                <w:szCs w:val="20"/>
              </w:rPr>
              <w:t>–</w:t>
            </w:r>
            <w:r w:rsidRPr="009C39DF">
              <w:rPr>
                <w:sz w:val="20"/>
                <w:szCs w:val="20"/>
              </w:rPr>
              <w:t>Dec</w:t>
            </w:r>
            <w:r w:rsidR="0043151B">
              <w:rPr>
                <w:sz w:val="20"/>
                <w:szCs w:val="20"/>
              </w:rPr>
              <w:t>ember</w:t>
            </w:r>
            <w:r w:rsidRPr="009C39DF">
              <w:rPr>
                <w:sz w:val="20"/>
                <w:szCs w:val="20"/>
              </w:rPr>
              <w:t xml:space="preserve"> 2014</w:t>
            </w:r>
          </w:p>
        </w:tc>
        <w:tc>
          <w:tcPr>
            <w:tcW w:w="2640" w:type="dxa"/>
            <w:noWrap/>
            <w:hideMark/>
          </w:tcPr>
          <w:p w14:paraId="74DC7329" w14:textId="41B7B35D" w:rsidR="009D53B1" w:rsidRPr="009C39DF" w:rsidRDefault="009D53B1" w:rsidP="009C39DF">
            <w:pPr>
              <w:ind w:left="0"/>
              <w:jc w:val="left"/>
              <w:rPr>
                <w:sz w:val="20"/>
                <w:szCs w:val="20"/>
              </w:rPr>
            </w:pPr>
            <w:r w:rsidRPr="009C39DF">
              <w:rPr>
                <w:sz w:val="20"/>
                <w:szCs w:val="20"/>
              </w:rPr>
              <w:t>January</w:t>
            </w:r>
            <w:r w:rsidR="0043151B">
              <w:rPr>
                <w:sz w:val="20"/>
                <w:szCs w:val="20"/>
              </w:rPr>
              <w:t xml:space="preserve"> 22</w:t>
            </w:r>
            <w:r w:rsidRPr="009C39DF">
              <w:rPr>
                <w:sz w:val="20"/>
                <w:szCs w:val="20"/>
              </w:rPr>
              <w:t>, 2015</w:t>
            </w:r>
          </w:p>
        </w:tc>
      </w:tr>
      <w:tr w:rsidR="009D53B1" w:rsidRPr="009C39DF" w14:paraId="04FD9D68" w14:textId="77777777" w:rsidTr="009D53B1">
        <w:trPr>
          <w:trHeight w:val="53"/>
        </w:trPr>
        <w:tc>
          <w:tcPr>
            <w:tcW w:w="2680" w:type="dxa"/>
            <w:noWrap/>
            <w:hideMark/>
          </w:tcPr>
          <w:p w14:paraId="5D93D6C3" w14:textId="3F68D439" w:rsidR="009D53B1" w:rsidRPr="009C39DF" w:rsidRDefault="009D53B1" w:rsidP="009C39DF">
            <w:pPr>
              <w:ind w:left="0"/>
              <w:jc w:val="left"/>
              <w:rPr>
                <w:sz w:val="20"/>
                <w:szCs w:val="20"/>
              </w:rPr>
            </w:pPr>
            <w:r w:rsidRPr="009C39DF">
              <w:rPr>
                <w:sz w:val="20"/>
                <w:szCs w:val="20"/>
              </w:rPr>
              <w:t>Jan</w:t>
            </w:r>
            <w:r w:rsidR="0043151B">
              <w:rPr>
                <w:sz w:val="20"/>
                <w:szCs w:val="20"/>
              </w:rPr>
              <w:t>uary–</w:t>
            </w:r>
            <w:r w:rsidRPr="009C39DF">
              <w:rPr>
                <w:sz w:val="20"/>
                <w:szCs w:val="20"/>
              </w:rPr>
              <w:t>March 2015</w:t>
            </w:r>
          </w:p>
        </w:tc>
        <w:tc>
          <w:tcPr>
            <w:tcW w:w="2640" w:type="dxa"/>
            <w:noWrap/>
            <w:hideMark/>
          </w:tcPr>
          <w:p w14:paraId="0BA2F0D4" w14:textId="08655876" w:rsidR="009D53B1" w:rsidRPr="009C39DF" w:rsidRDefault="009D53B1" w:rsidP="009C39DF">
            <w:pPr>
              <w:ind w:left="0"/>
              <w:jc w:val="left"/>
              <w:rPr>
                <w:sz w:val="20"/>
                <w:szCs w:val="20"/>
              </w:rPr>
            </w:pPr>
            <w:r w:rsidRPr="009C39DF">
              <w:rPr>
                <w:sz w:val="20"/>
                <w:szCs w:val="20"/>
              </w:rPr>
              <w:t>April</w:t>
            </w:r>
            <w:r w:rsidR="0043151B">
              <w:rPr>
                <w:sz w:val="20"/>
                <w:szCs w:val="20"/>
              </w:rPr>
              <w:t xml:space="preserve"> 20</w:t>
            </w:r>
            <w:r w:rsidRPr="009C39DF">
              <w:rPr>
                <w:sz w:val="20"/>
                <w:szCs w:val="20"/>
              </w:rPr>
              <w:t>, 2015</w:t>
            </w:r>
          </w:p>
        </w:tc>
      </w:tr>
      <w:tr w:rsidR="009D53B1" w:rsidRPr="009C39DF" w14:paraId="7A7F980C" w14:textId="77777777" w:rsidTr="009D53B1">
        <w:trPr>
          <w:trHeight w:val="58"/>
        </w:trPr>
        <w:tc>
          <w:tcPr>
            <w:tcW w:w="2680" w:type="dxa"/>
            <w:noWrap/>
            <w:hideMark/>
          </w:tcPr>
          <w:p w14:paraId="108C4E97" w14:textId="0A8724A4" w:rsidR="009D53B1" w:rsidRPr="009C39DF" w:rsidRDefault="009D53B1" w:rsidP="009C39DF">
            <w:pPr>
              <w:ind w:left="0"/>
              <w:jc w:val="left"/>
              <w:rPr>
                <w:sz w:val="20"/>
                <w:szCs w:val="20"/>
              </w:rPr>
            </w:pPr>
            <w:r w:rsidRPr="009C39DF">
              <w:rPr>
                <w:sz w:val="20"/>
                <w:szCs w:val="20"/>
              </w:rPr>
              <w:t>April</w:t>
            </w:r>
            <w:r w:rsidR="0043151B">
              <w:rPr>
                <w:sz w:val="20"/>
                <w:szCs w:val="20"/>
              </w:rPr>
              <w:t>–</w:t>
            </w:r>
            <w:r w:rsidRPr="009C39DF">
              <w:rPr>
                <w:sz w:val="20"/>
                <w:szCs w:val="20"/>
              </w:rPr>
              <w:t>June 2015</w:t>
            </w:r>
          </w:p>
        </w:tc>
        <w:tc>
          <w:tcPr>
            <w:tcW w:w="2640" w:type="dxa"/>
            <w:noWrap/>
            <w:hideMark/>
          </w:tcPr>
          <w:p w14:paraId="71AFA5FC" w14:textId="38080F59" w:rsidR="009D53B1" w:rsidRPr="009C39DF" w:rsidRDefault="009D53B1" w:rsidP="009C39DF">
            <w:pPr>
              <w:ind w:left="0"/>
              <w:jc w:val="left"/>
              <w:rPr>
                <w:sz w:val="20"/>
                <w:szCs w:val="20"/>
              </w:rPr>
            </w:pPr>
            <w:r w:rsidRPr="009C39DF">
              <w:rPr>
                <w:sz w:val="20"/>
                <w:szCs w:val="20"/>
              </w:rPr>
              <w:t xml:space="preserve">July </w:t>
            </w:r>
            <w:r w:rsidR="0043151B">
              <w:rPr>
                <w:sz w:val="20"/>
                <w:szCs w:val="20"/>
              </w:rPr>
              <w:t xml:space="preserve">20, </w:t>
            </w:r>
            <w:r w:rsidRPr="009C39DF">
              <w:rPr>
                <w:sz w:val="20"/>
                <w:szCs w:val="20"/>
              </w:rPr>
              <w:t>2015</w:t>
            </w:r>
          </w:p>
        </w:tc>
      </w:tr>
    </w:tbl>
    <w:p w14:paraId="45558687" w14:textId="6C6F73F5" w:rsidR="00E84376" w:rsidRPr="009C39DF" w:rsidRDefault="00754B33" w:rsidP="009C39DF">
      <w:pPr>
        <w:pStyle w:val="Italic"/>
        <w:spacing w:after="240"/>
        <w:rPr>
          <w:i w:val="0"/>
          <w:sz w:val="20"/>
        </w:rPr>
      </w:pPr>
      <w:r w:rsidRPr="009C39DF">
        <w:rPr>
          <w:sz w:val="20"/>
        </w:rPr>
        <w:t xml:space="preserve">Source: </w:t>
      </w:r>
      <w:r w:rsidRPr="009C39DF">
        <w:rPr>
          <w:i w:val="0"/>
          <w:sz w:val="20"/>
        </w:rPr>
        <w:t>County</w:t>
      </w:r>
      <w:r w:rsidR="002969B1" w:rsidRPr="009C39DF">
        <w:rPr>
          <w:i w:val="0"/>
          <w:sz w:val="20"/>
        </w:rPr>
        <w:t xml:space="preserve"> E</w:t>
      </w:r>
      <w:r w:rsidR="00331248" w:rsidRPr="009C39DF">
        <w:rPr>
          <w:i w:val="0"/>
          <w:sz w:val="20"/>
        </w:rPr>
        <w:t>xecutive</w:t>
      </w:r>
      <w:r w:rsidR="0043151B">
        <w:rPr>
          <w:i w:val="0"/>
          <w:sz w:val="20"/>
        </w:rPr>
        <w:t>.</w:t>
      </w:r>
    </w:p>
    <w:p w14:paraId="3B6C9E04" w14:textId="77777777" w:rsidR="006F0846" w:rsidRPr="00B5380E" w:rsidRDefault="00F5429C" w:rsidP="00B5380E">
      <w:pPr>
        <w:spacing w:after="240"/>
        <w:rPr>
          <w:sz w:val="22"/>
        </w:rPr>
      </w:pPr>
      <w:r w:rsidRPr="00B5380E">
        <w:rPr>
          <w:sz w:val="22"/>
        </w:rPr>
        <w:t>In summary, b</w:t>
      </w:r>
      <w:r w:rsidR="00893B4A" w:rsidRPr="00B5380E">
        <w:rPr>
          <w:sz w:val="22"/>
        </w:rPr>
        <w:t xml:space="preserve">udget execution reports are prepared quarterly and within one month from the end of that quarter. </w:t>
      </w:r>
    </w:p>
    <w:p w14:paraId="61225DD4" w14:textId="2841899F" w:rsidR="006F0846" w:rsidRPr="009C39DF" w:rsidRDefault="006F0846" w:rsidP="00B5380E">
      <w:pPr>
        <w:spacing w:after="240"/>
        <w:rPr>
          <w:b/>
          <w:sz w:val="22"/>
        </w:rPr>
      </w:pPr>
      <w:r w:rsidRPr="009C39DF">
        <w:rPr>
          <w:b/>
          <w:sz w:val="22"/>
        </w:rPr>
        <w:t>Dimension rating = B</w:t>
      </w:r>
    </w:p>
    <w:p w14:paraId="6F19466D" w14:textId="77777777" w:rsidR="00A845DF" w:rsidRPr="00890A84" w:rsidRDefault="0004546D" w:rsidP="00BA6B2B">
      <w:pPr>
        <w:pStyle w:val="Heading5"/>
      </w:pPr>
      <w:r w:rsidRPr="00890A84">
        <w:t>28.3. Accuracy of in-year budget reports</w:t>
      </w:r>
    </w:p>
    <w:p w14:paraId="37AFB9C3" w14:textId="0ECBCD3E" w:rsidR="007416BB" w:rsidRPr="00B5380E" w:rsidRDefault="0080684C" w:rsidP="00B5380E">
      <w:pPr>
        <w:spacing w:after="240"/>
        <w:rPr>
          <w:sz w:val="22"/>
        </w:rPr>
      </w:pPr>
      <w:r w:rsidRPr="00B5380E">
        <w:rPr>
          <w:sz w:val="22"/>
        </w:rPr>
        <w:t>The in</w:t>
      </w:r>
      <w:r w:rsidR="00754B33" w:rsidRPr="00B5380E">
        <w:rPr>
          <w:sz w:val="22"/>
        </w:rPr>
        <w:t>-</w:t>
      </w:r>
      <w:r w:rsidRPr="00B5380E">
        <w:rPr>
          <w:sz w:val="22"/>
        </w:rPr>
        <w:t>year quarterly reports are prepared mainly on actual payments</w:t>
      </w:r>
      <w:r w:rsidR="00F44AF0" w:rsidRPr="00B5380E">
        <w:rPr>
          <w:sz w:val="22"/>
        </w:rPr>
        <w:t xml:space="preserve">, </w:t>
      </w:r>
      <w:r w:rsidR="0043151B">
        <w:rPr>
          <w:sz w:val="22"/>
        </w:rPr>
        <w:t xml:space="preserve">and </w:t>
      </w:r>
      <w:r w:rsidR="00F44AF0" w:rsidRPr="00B5380E">
        <w:rPr>
          <w:sz w:val="22"/>
        </w:rPr>
        <w:t xml:space="preserve">commitments are also </w:t>
      </w:r>
      <w:r w:rsidRPr="00B5380E">
        <w:rPr>
          <w:sz w:val="22"/>
        </w:rPr>
        <w:t xml:space="preserve">included. The reports are prepared by </w:t>
      </w:r>
      <w:r w:rsidR="0043151B">
        <w:rPr>
          <w:sz w:val="22"/>
        </w:rPr>
        <w:t xml:space="preserve">the </w:t>
      </w:r>
      <w:r w:rsidR="00F44AF0" w:rsidRPr="00B5380E">
        <w:rPr>
          <w:sz w:val="22"/>
        </w:rPr>
        <w:t>County T</w:t>
      </w:r>
      <w:r w:rsidRPr="00B5380E">
        <w:rPr>
          <w:sz w:val="22"/>
        </w:rPr>
        <w:t>reasury, reviewed</w:t>
      </w:r>
      <w:r w:rsidR="0043151B">
        <w:rPr>
          <w:sz w:val="22"/>
        </w:rPr>
        <w:t>,</w:t>
      </w:r>
      <w:r w:rsidRPr="00B5380E">
        <w:rPr>
          <w:sz w:val="22"/>
        </w:rPr>
        <w:t xml:space="preserve"> and sent to v</w:t>
      </w:r>
      <w:r w:rsidR="00F44AF0" w:rsidRPr="00B5380E">
        <w:rPr>
          <w:sz w:val="22"/>
        </w:rPr>
        <w:t xml:space="preserve">arious bodies including </w:t>
      </w:r>
      <w:r w:rsidR="0043151B">
        <w:rPr>
          <w:sz w:val="22"/>
        </w:rPr>
        <w:t xml:space="preserve">the </w:t>
      </w:r>
      <w:r w:rsidR="00F44AF0" w:rsidRPr="00B5380E">
        <w:rPr>
          <w:sz w:val="22"/>
        </w:rPr>
        <w:t>County Executive, National T</w:t>
      </w:r>
      <w:r w:rsidRPr="00B5380E">
        <w:rPr>
          <w:sz w:val="22"/>
        </w:rPr>
        <w:t>reasury</w:t>
      </w:r>
      <w:r w:rsidR="0043151B">
        <w:rPr>
          <w:sz w:val="22"/>
        </w:rPr>
        <w:t>,</w:t>
      </w:r>
      <w:r w:rsidRPr="00B5380E">
        <w:rPr>
          <w:sz w:val="22"/>
        </w:rPr>
        <w:t xml:space="preserve"> and </w:t>
      </w:r>
      <w:r w:rsidR="00F44AF0" w:rsidRPr="00B5380E">
        <w:rPr>
          <w:sz w:val="22"/>
        </w:rPr>
        <w:t>the C</w:t>
      </w:r>
      <w:r w:rsidR="0043151B">
        <w:rPr>
          <w:sz w:val="22"/>
        </w:rPr>
        <w:t>O</w:t>
      </w:r>
      <w:r w:rsidR="00F44AF0" w:rsidRPr="00B5380E">
        <w:rPr>
          <w:sz w:val="22"/>
        </w:rPr>
        <w:t>B</w:t>
      </w:r>
      <w:r w:rsidRPr="00B5380E">
        <w:rPr>
          <w:sz w:val="22"/>
        </w:rPr>
        <w:t xml:space="preserve">. </w:t>
      </w:r>
      <w:r w:rsidR="009C1912" w:rsidRPr="00B5380E">
        <w:rPr>
          <w:sz w:val="22"/>
        </w:rPr>
        <w:t xml:space="preserve">The level of review ensures that these reports are accurate. </w:t>
      </w:r>
    </w:p>
    <w:p w14:paraId="25C029C6" w14:textId="758D9EC5" w:rsidR="006F0846" w:rsidRPr="00B5380E" w:rsidRDefault="00F5429C" w:rsidP="00B5380E">
      <w:pPr>
        <w:spacing w:after="240"/>
        <w:rPr>
          <w:sz w:val="22"/>
        </w:rPr>
      </w:pPr>
      <w:r w:rsidRPr="00B5380E">
        <w:rPr>
          <w:sz w:val="22"/>
        </w:rPr>
        <w:t>In summary, d</w:t>
      </w:r>
      <w:r w:rsidR="00893B4A" w:rsidRPr="00B5380E">
        <w:rPr>
          <w:sz w:val="22"/>
        </w:rPr>
        <w:t xml:space="preserve">ata is consistent and useful for analysis of budget execution, but no analysis of the budget execution is provided on at least a half-yearly basis. Expenditure is captured at </w:t>
      </w:r>
      <w:r w:rsidR="0043151B">
        <w:rPr>
          <w:sz w:val="22"/>
        </w:rPr>
        <w:t xml:space="preserve">the </w:t>
      </w:r>
      <w:r w:rsidR="00893B4A" w:rsidRPr="00B5380E">
        <w:rPr>
          <w:sz w:val="22"/>
        </w:rPr>
        <w:t xml:space="preserve">payment stage. </w:t>
      </w:r>
    </w:p>
    <w:p w14:paraId="4893CBA2" w14:textId="3B8D6A0A" w:rsidR="006F0846" w:rsidRPr="009C39DF" w:rsidRDefault="006F0846" w:rsidP="00B5380E">
      <w:pPr>
        <w:spacing w:after="240"/>
        <w:rPr>
          <w:b/>
          <w:sz w:val="22"/>
        </w:rPr>
      </w:pPr>
      <w:r w:rsidRPr="009C39DF">
        <w:rPr>
          <w:b/>
          <w:sz w:val="22"/>
        </w:rPr>
        <w:t>Dimension rating = C</w:t>
      </w:r>
    </w:p>
    <w:p w14:paraId="532F08F0" w14:textId="3B29C30C" w:rsidR="003E1C86" w:rsidRDefault="003E1C86" w:rsidP="00BA6B2B">
      <w:pPr>
        <w:pStyle w:val="Heading5"/>
      </w:pPr>
      <w:r>
        <w:t>Ongoing reforms</w:t>
      </w:r>
    </w:p>
    <w:p w14:paraId="3BDE90A1" w14:textId="26A35067" w:rsidR="003E1C86" w:rsidRPr="00B5380E" w:rsidRDefault="003E1C86" w:rsidP="00B5380E">
      <w:pPr>
        <w:spacing w:after="240"/>
        <w:rPr>
          <w:sz w:val="22"/>
        </w:rPr>
      </w:pPr>
      <w:r w:rsidRPr="00B5380E">
        <w:rPr>
          <w:sz w:val="22"/>
        </w:rPr>
        <w:t xml:space="preserve">The National </w:t>
      </w:r>
      <w:r w:rsidR="0043151B">
        <w:rPr>
          <w:sz w:val="22"/>
        </w:rPr>
        <w:t>T</w:t>
      </w:r>
      <w:r w:rsidRPr="00B5380E">
        <w:rPr>
          <w:sz w:val="22"/>
        </w:rPr>
        <w:t xml:space="preserve">reasury, through </w:t>
      </w:r>
      <w:r w:rsidRPr="00747EB2">
        <w:rPr>
          <w:sz w:val="22"/>
        </w:rPr>
        <w:t>Price</w:t>
      </w:r>
      <w:r w:rsidR="00747EB2">
        <w:rPr>
          <w:sz w:val="22"/>
        </w:rPr>
        <w:t>w</w:t>
      </w:r>
      <w:r w:rsidRPr="00747EB2">
        <w:rPr>
          <w:sz w:val="22"/>
        </w:rPr>
        <w:t>aterhouseCoopers (P</w:t>
      </w:r>
      <w:r w:rsidR="0043151B" w:rsidRPr="00747EB2">
        <w:rPr>
          <w:sz w:val="22"/>
        </w:rPr>
        <w:t>w</w:t>
      </w:r>
      <w:r w:rsidRPr="00747EB2">
        <w:rPr>
          <w:sz w:val="22"/>
        </w:rPr>
        <w:t>C</w:t>
      </w:r>
      <w:r w:rsidRPr="00B5380E">
        <w:rPr>
          <w:sz w:val="22"/>
        </w:rPr>
        <w:t xml:space="preserve">), has been assisting in preparation of the quarterly reports. Recently </w:t>
      </w:r>
      <w:r w:rsidR="00747EB2">
        <w:rPr>
          <w:sz w:val="22"/>
        </w:rPr>
        <w:t xml:space="preserve">the </w:t>
      </w:r>
      <w:r w:rsidRPr="00B5380E">
        <w:rPr>
          <w:sz w:val="22"/>
        </w:rPr>
        <w:t>Public</w:t>
      </w:r>
      <w:r w:rsidR="00187B82">
        <w:rPr>
          <w:sz w:val="22"/>
        </w:rPr>
        <w:t xml:space="preserve"> </w:t>
      </w:r>
      <w:r w:rsidRPr="00B5380E">
        <w:rPr>
          <w:sz w:val="22"/>
        </w:rPr>
        <w:t xml:space="preserve">Sector Accounting Standards Board </w:t>
      </w:r>
      <w:r w:rsidR="00747EB2">
        <w:rPr>
          <w:sz w:val="22"/>
        </w:rPr>
        <w:t xml:space="preserve">(PSASB) </w:t>
      </w:r>
      <w:r w:rsidRPr="00B5380E">
        <w:rPr>
          <w:sz w:val="22"/>
        </w:rPr>
        <w:t xml:space="preserve">issued another template for preparation of quarterly reports and </w:t>
      </w:r>
      <w:r w:rsidR="00747EB2">
        <w:rPr>
          <w:sz w:val="22"/>
        </w:rPr>
        <w:t>that</w:t>
      </w:r>
      <w:r w:rsidR="00747EB2" w:rsidRPr="00B5380E">
        <w:rPr>
          <w:sz w:val="22"/>
        </w:rPr>
        <w:t xml:space="preserve"> </w:t>
      </w:r>
      <w:r w:rsidRPr="00B5380E">
        <w:rPr>
          <w:sz w:val="22"/>
        </w:rPr>
        <w:t>has been adopted. The report has its own format</w:t>
      </w:r>
      <w:r w:rsidR="00187B82">
        <w:rPr>
          <w:sz w:val="22"/>
        </w:rPr>
        <w:t>.</w:t>
      </w:r>
    </w:p>
    <w:p w14:paraId="14ABB896" w14:textId="77777777" w:rsidR="00BB1084" w:rsidRPr="00890A84" w:rsidRDefault="00BB1084" w:rsidP="00590C8E">
      <w:pPr>
        <w:pStyle w:val="Heading4"/>
      </w:pPr>
      <w:r w:rsidRPr="00890A84">
        <w:t xml:space="preserve">PI-29. Annual financial reports </w:t>
      </w:r>
    </w:p>
    <w:p w14:paraId="3FC5303D" w14:textId="77777777" w:rsidR="003E5B0C" w:rsidRPr="00890A84" w:rsidRDefault="003E5B0C" w:rsidP="00BA6B2B">
      <w:pPr>
        <w:pStyle w:val="Heading5"/>
      </w:pPr>
      <w:r w:rsidRPr="00890A84">
        <w:t>Summary of scores and performance table</w:t>
      </w:r>
    </w:p>
    <w:tbl>
      <w:tblPr>
        <w:tblW w:w="924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340"/>
        <w:gridCol w:w="540"/>
        <w:gridCol w:w="6363"/>
      </w:tblGrid>
      <w:tr w:rsidR="003E5B0C" w:rsidRPr="009C39DF" w14:paraId="33608875" w14:textId="77777777" w:rsidTr="009C39DF">
        <w:trPr>
          <w:tblHeader/>
        </w:trPr>
        <w:tc>
          <w:tcPr>
            <w:tcW w:w="2340" w:type="dxa"/>
            <w:shd w:val="clear" w:color="auto" w:fill="5B9BD5"/>
          </w:tcPr>
          <w:p w14:paraId="0AD864B6" w14:textId="3492D80F" w:rsidR="003E5B0C" w:rsidRPr="009C39DF" w:rsidRDefault="003E5B0C" w:rsidP="009C39DF">
            <w:pPr>
              <w:jc w:val="center"/>
              <w:rPr>
                <w:b/>
                <w:color w:val="FFFFFF" w:themeColor="background1"/>
                <w:sz w:val="20"/>
              </w:rPr>
            </w:pPr>
            <w:r w:rsidRPr="009C39DF">
              <w:rPr>
                <w:b/>
                <w:color w:val="FFFFFF" w:themeColor="background1"/>
                <w:sz w:val="20"/>
              </w:rPr>
              <w:t>PI-29</w:t>
            </w:r>
            <w:r w:rsidR="00187B82">
              <w:rPr>
                <w:b/>
                <w:color w:val="FFFFFF" w:themeColor="background1"/>
                <w:sz w:val="20"/>
              </w:rPr>
              <w:t>.</w:t>
            </w:r>
            <w:r w:rsidRPr="009C39DF">
              <w:rPr>
                <w:b/>
                <w:color w:val="FFFFFF" w:themeColor="background1"/>
                <w:sz w:val="20"/>
              </w:rPr>
              <w:t xml:space="preserve"> Annual financial reports (M1)</w:t>
            </w:r>
          </w:p>
        </w:tc>
        <w:tc>
          <w:tcPr>
            <w:tcW w:w="540" w:type="dxa"/>
            <w:shd w:val="clear" w:color="auto" w:fill="5B9BD5"/>
          </w:tcPr>
          <w:p w14:paraId="2A9C57B6" w14:textId="77777777" w:rsidR="003E5B0C" w:rsidRPr="009C39DF" w:rsidRDefault="003E5B0C" w:rsidP="009C39DF">
            <w:pPr>
              <w:jc w:val="center"/>
              <w:rPr>
                <w:b/>
                <w:color w:val="FFFFFF" w:themeColor="background1"/>
                <w:sz w:val="20"/>
              </w:rPr>
            </w:pPr>
            <w:r w:rsidRPr="009C39DF">
              <w:rPr>
                <w:b/>
                <w:color w:val="FFFFFF" w:themeColor="background1"/>
                <w:sz w:val="20"/>
              </w:rPr>
              <w:t>D+</w:t>
            </w:r>
          </w:p>
        </w:tc>
        <w:tc>
          <w:tcPr>
            <w:tcW w:w="6363" w:type="dxa"/>
            <w:shd w:val="clear" w:color="auto" w:fill="5B9BD5"/>
          </w:tcPr>
          <w:p w14:paraId="4ADDA06E" w14:textId="77777777" w:rsidR="003E5B0C" w:rsidRPr="009C39DF" w:rsidRDefault="003E5B0C" w:rsidP="009C39DF">
            <w:pPr>
              <w:jc w:val="center"/>
              <w:rPr>
                <w:b/>
                <w:color w:val="FFFFFF" w:themeColor="background1"/>
                <w:sz w:val="20"/>
              </w:rPr>
            </w:pPr>
            <w:r w:rsidRPr="009C39DF">
              <w:rPr>
                <w:b/>
                <w:color w:val="FFFFFF" w:themeColor="background1"/>
                <w:sz w:val="20"/>
              </w:rPr>
              <w:t>Brief justification for score</w:t>
            </w:r>
          </w:p>
        </w:tc>
      </w:tr>
      <w:tr w:rsidR="003E5B0C" w:rsidRPr="009C39DF" w14:paraId="2C0B70F1" w14:textId="77777777" w:rsidTr="009C39DF">
        <w:tc>
          <w:tcPr>
            <w:tcW w:w="2340" w:type="dxa"/>
            <w:shd w:val="clear" w:color="auto" w:fill="auto"/>
          </w:tcPr>
          <w:p w14:paraId="195FCAF2" w14:textId="77777777" w:rsidR="003E5B0C" w:rsidRPr="009C39DF" w:rsidRDefault="003E5B0C" w:rsidP="009C39DF">
            <w:pPr>
              <w:jc w:val="left"/>
              <w:rPr>
                <w:sz w:val="20"/>
              </w:rPr>
            </w:pPr>
            <w:r w:rsidRPr="009C39DF">
              <w:rPr>
                <w:sz w:val="20"/>
              </w:rPr>
              <w:t xml:space="preserve">29.1 Completeness of annual financial reports </w:t>
            </w:r>
          </w:p>
        </w:tc>
        <w:tc>
          <w:tcPr>
            <w:tcW w:w="540" w:type="dxa"/>
            <w:shd w:val="clear" w:color="auto" w:fill="auto"/>
          </w:tcPr>
          <w:p w14:paraId="0AF9629C" w14:textId="77777777" w:rsidR="003E5B0C" w:rsidRPr="009C39DF" w:rsidRDefault="003E5B0C" w:rsidP="009C39DF">
            <w:pPr>
              <w:jc w:val="center"/>
              <w:rPr>
                <w:sz w:val="20"/>
              </w:rPr>
            </w:pPr>
            <w:r w:rsidRPr="009C39DF">
              <w:rPr>
                <w:sz w:val="20"/>
              </w:rPr>
              <w:t>B</w:t>
            </w:r>
          </w:p>
        </w:tc>
        <w:tc>
          <w:tcPr>
            <w:tcW w:w="6363" w:type="dxa"/>
            <w:shd w:val="clear" w:color="auto" w:fill="auto"/>
          </w:tcPr>
          <w:p w14:paraId="1C48B318" w14:textId="6250416E" w:rsidR="003E5B0C" w:rsidRPr="009C39DF" w:rsidRDefault="003E5B0C" w:rsidP="009C39DF">
            <w:pPr>
              <w:jc w:val="left"/>
              <w:rPr>
                <w:sz w:val="20"/>
              </w:rPr>
            </w:pPr>
            <w:r w:rsidRPr="009C39DF">
              <w:rPr>
                <w:sz w:val="20"/>
              </w:rPr>
              <w:t xml:space="preserve">Financial reports for budgetary </w:t>
            </w:r>
            <w:r w:rsidR="00DC03DB">
              <w:rPr>
                <w:sz w:val="20"/>
              </w:rPr>
              <w:t>c</w:t>
            </w:r>
            <w:r w:rsidRPr="009C39DF">
              <w:rPr>
                <w:sz w:val="20"/>
              </w:rPr>
              <w:t xml:space="preserve">ounty government are prepared annually. They include information on revenue, expenditures, and cash balances. They are comparable with the approved budget. </w:t>
            </w:r>
          </w:p>
        </w:tc>
      </w:tr>
      <w:tr w:rsidR="003E5B0C" w:rsidRPr="009C39DF" w14:paraId="1ABA5603" w14:textId="77777777" w:rsidTr="009C39DF">
        <w:tc>
          <w:tcPr>
            <w:tcW w:w="2340" w:type="dxa"/>
            <w:shd w:val="clear" w:color="auto" w:fill="auto"/>
          </w:tcPr>
          <w:p w14:paraId="4DF8A37E" w14:textId="77777777" w:rsidR="003E5B0C" w:rsidRPr="009C39DF" w:rsidRDefault="003E5B0C" w:rsidP="009C39DF">
            <w:pPr>
              <w:jc w:val="left"/>
              <w:rPr>
                <w:sz w:val="20"/>
              </w:rPr>
            </w:pPr>
            <w:r w:rsidRPr="009C39DF">
              <w:rPr>
                <w:sz w:val="20"/>
              </w:rPr>
              <w:t xml:space="preserve">29.2 Submission of reports for external audit </w:t>
            </w:r>
          </w:p>
        </w:tc>
        <w:tc>
          <w:tcPr>
            <w:tcW w:w="540" w:type="dxa"/>
            <w:shd w:val="clear" w:color="auto" w:fill="auto"/>
          </w:tcPr>
          <w:p w14:paraId="56A4FFB9" w14:textId="77777777" w:rsidR="003E5B0C" w:rsidRPr="009C39DF" w:rsidRDefault="003E5B0C" w:rsidP="009C39DF">
            <w:pPr>
              <w:jc w:val="center"/>
              <w:rPr>
                <w:sz w:val="20"/>
              </w:rPr>
            </w:pPr>
            <w:r w:rsidRPr="009C39DF">
              <w:rPr>
                <w:sz w:val="20"/>
              </w:rPr>
              <w:t>D</w:t>
            </w:r>
          </w:p>
        </w:tc>
        <w:tc>
          <w:tcPr>
            <w:tcW w:w="6363" w:type="dxa"/>
            <w:shd w:val="clear" w:color="auto" w:fill="auto"/>
          </w:tcPr>
          <w:p w14:paraId="12F34C14" w14:textId="6FB8FCF4" w:rsidR="003E5B0C" w:rsidRPr="009C39DF" w:rsidRDefault="003E5B0C" w:rsidP="009C39DF">
            <w:pPr>
              <w:jc w:val="left"/>
              <w:rPr>
                <w:sz w:val="20"/>
              </w:rPr>
            </w:pPr>
            <w:r w:rsidRPr="009C39DF">
              <w:rPr>
                <w:sz w:val="20"/>
              </w:rPr>
              <w:t xml:space="preserve">The </w:t>
            </w:r>
            <w:r w:rsidR="00DC03DB">
              <w:rPr>
                <w:sz w:val="20"/>
              </w:rPr>
              <w:t>AFS</w:t>
            </w:r>
            <w:r w:rsidR="00EF6C7A" w:rsidRPr="009C39DF">
              <w:rPr>
                <w:sz w:val="20"/>
              </w:rPr>
              <w:t>s</w:t>
            </w:r>
            <w:r w:rsidRPr="009C39DF">
              <w:rPr>
                <w:sz w:val="20"/>
              </w:rPr>
              <w:t xml:space="preserve"> were presented </w:t>
            </w:r>
            <w:r w:rsidR="00DC03DB">
              <w:rPr>
                <w:sz w:val="20"/>
              </w:rPr>
              <w:t xml:space="preserve">for </w:t>
            </w:r>
            <w:r w:rsidRPr="009C39DF">
              <w:rPr>
                <w:sz w:val="20"/>
              </w:rPr>
              <w:t xml:space="preserve">external audit on September </w:t>
            </w:r>
            <w:r w:rsidR="00DC03DB">
              <w:rPr>
                <w:sz w:val="20"/>
              </w:rPr>
              <w:t xml:space="preserve">30, </w:t>
            </w:r>
            <w:r w:rsidRPr="009C39DF">
              <w:rPr>
                <w:sz w:val="20"/>
              </w:rPr>
              <w:t>2016, but were complete only by June 8</w:t>
            </w:r>
            <w:r w:rsidR="00DC03DB">
              <w:rPr>
                <w:sz w:val="20"/>
              </w:rPr>
              <w:t>,</w:t>
            </w:r>
            <w:r w:rsidRPr="009C39DF">
              <w:rPr>
                <w:sz w:val="20"/>
              </w:rPr>
              <w:t xml:space="preserve"> 2017, </w:t>
            </w:r>
            <w:r w:rsidR="00DC03DB">
              <w:rPr>
                <w:sz w:val="20"/>
              </w:rPr>
              <w:t>which was</w:t>
            </w:r>
            <w:r w:rsidR="00DC03DB" w:rsidRPr="009C39DF">
              <w:rPr>
                <w:sz w:val="20"/>
              </w:rPr>
              <w:t xml:space="preserve"> </w:t>
            </w:r>
            <w:r w:rsidRPr="009C39DF">
              <w:rPr>
                <w:sz w:val="20"/>
              </w:rPr>
              <w:t xml:space="preserve">within </w:t>
            </w:r>
            <w:r w:rsidR="00DC03DB">
              <w:rPr>
                <w:sz w:val="20"/>
              </w:rPr>
              <w:t>12</w:t>
            </w:r>
            <w:r w:rsidR="00DC03DB" w:rsidRPr="009C39DF">
              <w:rPr>
                <w:sz w:val="20"/>
              </w:rPr>
              <w:t xml:space="preserve"> </w:t>
            </w:r>
            <w:r w:rsidRPr="009C39DF">
              <w:rPr>
                <w:sz w:val="20"/>
              </w:rPr>
              <w:t>months after the end of the year.</w:t>
            </w:r>
          </w:p>
        </w:tc>
      </w:tr>
      <w:tr w:rsidR="003E5B0C" w:rsidRPr="009C39DF" w14:paraId="71D46459" w14:textId="77777777" w:rsidTr="009C39DF">
        <w:tc>
          <w:tcPr>
            <w:tcW w:w="2340" w:type="dxa"/>
            <w:shd w:val="clear" w:color="auto" w:fill="auto"/>
          </w:tcPr>
          <w:p w14:paraId="79827426" w14:textId="77777777" w:rsidR="003E5B0C" w:rsidRPr="009C39DF" w:rsidRDefault="003E5B0C" w:rsidP="009C39DF">
            <w:pPr>
              <w:jc w:val="left"/>
              <w:rPr>
                <w:sz w:val="20"/>
              </w:rPr>
            </w:pPr>
            <w:r w:rsidRPr="009C39DF">
              <w:rPr>
                <w:sz w:val="20"/>
              </w:rPr>
              <w:t xml:space="preserve">29.3 Accounting standards </w:t>
            </w:r>
          </w:p>
        </w:tc>
        <w:tc>
          <w:tcPr>
            <w:tcW w:w="540" w:type="dxa"/>
            <w:shd w:val="clear" w:color="auto" w:fill="auto"/>
          </w:tcPr>
          <w:p w14:paraId="1CAEC573" w14:textId="77777777" w:rsidR="003E5B0C" w:rsidRPr="009C39DF" w:rsidRDefault="003E5B0C" w:rsidP="009C39DF">
            <w:pPr>
              <w:jc w:val="center"/>
              <w:rPr>
                <w:sz w:val="20"/>
              </w:rPr>
            </w:pPr>
            <w:r w:rsidRPr="009C39DF">
              <w:rPr>
                <w:sz w:val="20"/>
              </w:rPr>
              <w:t>C</w:t>
            </w:r>
          </w:p>
        </w:tc>
        <w:tc>
          <w:tcPr>
            <w:tcW w:w="6363" w:type="dxa"/>
            <w:shd w:val="clear" w:color="auto" w:fill="auto"/>
          </w:tcPr>
          <w:p w14:paraId="77D99920" w14:textId="1F9B396D" w:rsidR="003E5B0C" w:rsidRPr="009C39DF" w:rsidRDefault="003E5B0C" w:rsidP="009C39DF">
            <w:pPr>
              <w:jc w:val="left"/>
              <w:rPr>
                <w:sz w:val="20"/>
              </w:rPr>
            </w:pPr>
            <w:r w:rsidRPr="009C39DF">
              <w:rPr>
                <w:sz w:val="20"/>
              </w:rPr>
              <w:t xml:space="preserve">The </w:t>
            </w:r>
            <w:r w:rsidR="008B6A0A">
              <w:rPr>
                <w:sz w:val="20"/>
              </w:rPr>
              <w:t>c</w:t>
            </w:r>
            <w:r w:rsidRPr="009C39DF">
              <w:rPr>
                <w:sz w:val="20"/>
              </w:rPr>
              <w:t xml:space="preserve">ounty prepares financial statements as per the </w:t>
            </w:r>
            <w:r w:rsidR="008B6A0A">
              <w:rPr>
                <w:sz w:val="20"/>
              </w:rPr>
              <w:t>c</w:t>
            </w:r>
            <w:r w:rsidRPr="009C39DF">
              <w:rPr>
                <w:sz w:val="20"/>
              </w:rPr>
              <w:t xml:space="preserve">ash basis </w:t>
            </w:r>
            <w:r w:rsidR="008B6A0A" w:rsidRPr="008B6A0A">
              <w:rPr>
                <w:sz w:val="20"/>
              </w:rPr>
              <w:t xml:space="preserve">International Public Sector Accounting Standards </w:t>
            </w:r>
            <w:r w:rsidR="008B6A0A">
              <w:rPr>
                <w:sz w:val="20"/>
              </w:rPr>
              <w:t>(</w:t>
            </w:r>
            <w:r w:rsidRPr="009C39DF">
              <w:rPr>
                <w:sz w:val="20"/>
              </w:rPr>
              <w:t>IPSAS</w:t>
            </w:r>
            <w:r w:rsidR="005908A4">
              <w:rPr>
                <w:sz w:val="20"/>
              </w:rPr>
              <w:t>)</w:t>
            </w:r>
            <w:r w:rsidRPr="009C39DF">
              <w:rPr>
                <w:sz w:val="20"/>
              </w:rPr>
              <w:t xml:space="preserve">, but some </w:t>
            </w:r>
            <w:r w:rsidR="005908A4" w:rsidRPr="009C39DF">
              <w:rPr>
                <w:sz w:val="20"/>
              </w:rPr>
              <w:t>weaknesses</w:t>
            </w:r>
            <w:r w:rsidR="005908A4">
              <w:rPr>
                <w:sz w:val="20"/>
              </w:rPr>
              <w:t xml:space="preserve"> </w:t>
            </w:r>
            <w:r w:rsidRPr="009C39DF">
              <w:rPr>
                <w:sz w:val="20"/>
              </w:rPr>
              <w:t xml:space="preserve">are raised by the report of the </w:t>
            </w:r>
            <w:r w:rsidR="00DC03DB">
              <w:rPr>
                <w:sz w:val="20"/>
              </w:rPr>
              <w:t>A</w:t>
            </w:r>
            <w:r w:rsidRPr="009C39DF">
              <w:rPr>
                <w:sz w:val="20"/>
              </w:rPr>
              <w:t>uditor</w:t>
            </w:r>
            <w:r w:rsidR="008F1990">
              <w:rPr>
                <w:sz w:val="20"/>
              </w:rPr>
              <w:t xml:space="preserve"> </w:t>
            </w:r>
            <w:r w:rsidR="00DC03DB">
              <w:rPr>
                <w:sz w:val="20"/>
              </w:rPr>
              <w:t>G</w:t>
            </w:r>
            <w:r w:rsidRPr="009C39DF">
              <w:rPr>
                <w:sz w:val="20"/>
              </w:rPr>
              <w:t xml:space="preserve">eneral and gaps are not explained in reports. </w:t>
            </w:r>
          </w:p>
        </w:tc>
      </w:tr>
    </w:tbl>
    <w:p w14:paraId="77D47DF6" w14:textId="77777777" w:rsidR="0004546D" w:rsidRPr="00890A84" w:rsidRDefault="00033A33" w:rsidP="00BA6B2B">
      <w:pPr>
        <w:pStyle w:val="Heading5"/>
      </w:pPr>
      <w:r w:rsidRPr="00890A84">
        <w:t>PI-</w:t>
      </w:r>
      <w:r w:rsidR="0004546D" w:rsidRPr="00890A84">
        <w:t xml:space="preserve">29.1. Completeness of annual financial reports </w:t>
      </w:r>
    </w:p>
    <w:p w14:paraId="2DF15123" w14:textId="31CD9F1E" w:rsidR="00226736" w:rsidRPr="00B5380E" w:rsidRDefault="009C1912" w:rsidP="00B5380E">
      <w:pPr>
        <w:spacing w:after="240"/>
        <w:rPr>
          <w:sz w:val="22"/>
        </w:rPr>
      </w:pPr>
      <w:r w:rsidRPr="00B5380E">
        <w:rPr>
          <w:sz w:val="22"/>
        </w:rPr>
        <w:t>Section 68 of the PFM Act, 2012</w:t>
      </w:r>
      <w:r w:rsidR="00DC03DB">
        <w:rPr>
          <w:sz w:val="22"/>
        </w:rPr>
        <w:t>,</w:t>
      </w:r>
      <w:r w:rsidRPr="00B5380E">
        <w:rPr>
          <w:sz w:val="22"/>
        </w:rPr>
        <w:t xml:space="preserve"> requires that all entities should prepare </w:t>
      </w:r>
      <w:r w:rsidR="00DC03DB">
        <w:rPr>
          <w:sz w:val="22"/>
        </w:rPr>
        <w:t>AFS</w:t>
      </w:r>
      <w:r w:rsidRPr="00B5380E">
        <w:rPr>
          <w:sz w:val="22"/>
        </w:rPr>
        <w:t>s for each financial year within three months after the end of the financial year and submit them to the C</w:t>
      </w:r>
      <w:r w:rsidR="00DC03DB">
        <w:rPr>
          <w:sz w:val="22"/>
        </w:rPr>
        <w:t>O</w:t>
      </w:r>
      <w:r w:rsidRPr="00B5380E">
        <w:rPr>
          <w:sz w:val="22"/>
        </w:rPr>
        <w:t xml:space="preserve">B and the OAG for audit. </w:t>
      </w:r>
    </w:p>
    <w:p w14:paraId="1DC26E7A" w14:textId="642050E1" w:rsidR="009B6449" w:rsidRPr="00B5380E" w:rsidRDefault="009C1912" w:rsidP="00B5380E">
      <w:pPr>
        <w:spacing w:after="240"/>
        <w:rPr>
          <w:sz w:val="22"/>
        </w:rPr>
      </w:pPr>
      <w:r w:rsidRPr="00B5380E">
        <w:rPr>
          <w:sz w:val="22"/>
        </w:rPr>
        <w:t xml:space="preserve">The financial statements are prepared annually and submitted by September </w:t>
      </w:r>
      <w:r w:rsidR="00DC03DB">
        <w:rPr>
          <w:sz w:val="22"/>
        </w:rPr>
        <w:t xml:space="preserve">30 </w:t>
      </w:r>
      <w:r w:rsidRPr="00B5380E">
        <w:rPr>
          <w:sz w:val="22"/>
        </w:rPr>
        <w:t>every year. The c</w:t>
      </w:r>
      <w:r w:rsidR="005B25FA" w:rsidRPr="00B5380E">
        <w:rPr>
          <w:sz w:val="22"/>
        </w:rPr>
        <w:t xml:space="preserve">ounty prepares financial statements as per the IPSAS </w:t>
      </w:r>
      <w:r w:rsidR="00747EB2">
        <w:rPr>
          <w:sz w:val="22"/>
        </w:rPr>
        <w:t>c</w:t>
      </w:r>
      <w:r w:rsidRPr="00B5380E">
        <w:rPr>
          <w:sz w:val="22"/>
        </w:rPr>
        <w:t xml:space="preserve">ash </w:t>
      </w:r>
      <w:r w:rsidR="00747EB2">
        <w:rPr>
          <w:sz w:val="22"/>
        </w:rPr>
        <w:t xml:space="preserve">basis, </w:t>
      </w:r>
      <w:r w:rsidRPr="00B5380E">
        <w:rPr>
          <w:sz w:val="22"/>
        </w:rPr>
        <w:t xml:space="preserve">as required by the </w:t>
      </w:r>
      <w:r w:rsidR="00FB6314" w:rsidRPr="009D494D">
        <w:rPr>
          <w:sz w:val="22"/>
        </w:rPr>
        <w:t>PSASB</w:t>
      </w:r>
      <w:r w:rsidR="005B25FA" w:rsidRPr="00B5380E">
        <w:rPr>
          <w:sz w:val="22"/>
        </w:rPr>
        <w:t xml:space="preserve">. </w:t>
      </w:r>
      <w:r w:rsidR="009B6449" w:rsidRPr="00B5380E">
        <w:rPr>
          <w:sz w:val="22"/>
        </w:rPr>
        <w:t xml:space="preserve">The </w:t>
      </w:r>
      <w:r w:rsidRPr="00B5380E">
        <w:rPr>
          <w:sz w:val="22"/>
        </w:rPr>
        <w:t xml:space="preserve">AFS </w:t>
      </w:r>
      <w:r w:rsidR="003D0343" w:rsidRPr="00B5380E">
        <w:rPr>
          <w:sz w:val="22"/>
        </w:rPr>
        <w:t>2015</w:t>
      </w:r>
      <w:r w:rsidR="00747EB2">
        <w:rPr>
          <w:sz w:val="22"/>
        </w:rPr>
        <w:t>–</w:t>
      </w:r>
      <w:r w:rsidR="003D0343" w:rsidRPr="00B5380E">
        <w:rPr>
          <w:sz w:val="22"/>
        </w:rPr>
        <w:t xml:space="preserve">16 </w:t>
      </w:r>
      <w:r w:rsidR="009B6449" w:rsidRPr="00B5380E">
        <w:rPr>
          <w:sz w:val="22"/>
        </w:rPr>
        <w:t>compar</w:t>
      </w:r>
      <w:r w:rsidRPr="00B5380E">
        <w:rPr>
          <w:sz w:val="22"/>
        </w:rPr>
        <w:t>es the</w:t>
      </w:r>
      <w:r w:rsidR="000C73E4" w:rsidRPr="00B5380E">
        <w:rPr>
          <w:sz w:val="22"/>
        </w:rPr>
        <w:t xml:space="preserve"> </w:t>
      </w:r>
      <w:r w:rsidR="009B6449" w:rsidRPr="00B5380E">
        <w:rPr>
          <w:sz w:val="22"/>
        </w:rPr>
        <w:t>actual</w:t>
      </w:r>
      <w:r w:rsidRPr="00B5380E">
        <w:rPr>
          <w:sz w:val="22"/>
        </w:rPr>
        <w:t>s</w:t>
      </w:r>
      <w:r w:rsidR="000C73E4" w:rsidRPr="00B5380E">
        <w:rPr>
          <w:sz w:val="22"/>
        </w:rPr>
        <w:t xml:space="preserve"> </w:t>
      </w:r>
      <w:r w:rsidR="00930F32" w:rsidRPr="00B5380E">
        <w:rPr>
          <w:sz w:val="22"/>
        </w:rPr>
        <w:t>with</w:t>
      </w:r>
      <w:r w:rsidR="000C73E4" w:rsidRPr="00B5380E">
        <w:rPr>
          <w:sz w:val="22"/>
        </w:rPr>
        <w:t xml:space="preserve"> </w:t>
      </w:r>
      <w:r w:rsidRPr="00B5380E">
        <w:rPr>
          <w:sz w:val="22"/>
        </w:rPr>
        <w:t>those of</w:t>
      </w:r>
      <w:r w:rsidR="00747EB2">
        <w:rPr>
          <w:sz w:val="22"/>
        </w:rPr>
        <w:t xml:space="preserve"> the</w:t>
      </w:r>
      <w:r w:rsidRPr="00B5380E">
        <w:rPr>
          <w:sz w:val="22"/>
        </w:rPr>
        <w:t xml:space="preserve"> </w:t>
      </w:r>
      <w:r w:rsidR="00930F32" w:rsidRPr="00B5380E">
        <w:rPr>
          <w:sz w:val="22"/>
        </w:rPr>
        <w:t xml:space="preserve">previous year </w:t>
      </w:r>
      <w:r w:rsidR="00226736" w:rsidRPr="00B5380E">
        <w:rPr>
          <w:sz w:val="22"/>
        </w:rPr>
        <w:t>and</w:t>
      </w:r>
      <w:r w:rsidR="00930F32" w:rsidRPr="00B5380E">
        <w:rPr>
          <w:sz w:val="22"/>
        </w:rPr>
        <w:t xml:space="preserve"> with </w:t>
      </w:r>
      <w:r w:rsidR="00747EB2">
        <w:rPr>
          <w:sz w:val="22"/>
        </w:rPr>
        <w:t xml:space="preserve">the </w:t>
      </w:r>
      <w:r w:rsidR="00930F32" w:rsidRPr="00B5380E">
        <w:rPr>
          <w:sz w:val="22"/>
        </w:rPr>
        <w:t>bu</w:t>
      </w:r>
      <w:r w:rsidR="009B6449" w:rsidRPr="00B5380E">
        <w:rPr>
          <w:sz w:val="22"/>
        </w:rPr>
        <w:t>dget</w:t>
      </w:r>
      <w:r w:rsidRPr="00B5380E">
        <w:rPr>
          <w:sz w:val="22"/>
        </w:rPr>
        <w:t>ed amount</w:t>
      </w:r>
      <w:r w:rsidR="00226736" w:rsidRPr="00B5380E">
        <w:rPr>
          <w:sz w:val="22"/>
        </w:rPr>
        <w:t xml:space="preserve"> for the last AFS</w:t>
      </w:r>
      <w:r w:rsidR="009B6449" w:rsidRPr="00B5380E">
        <w:rPr>
          <w:sz w:val="22"/>
        </w:rPr>
        <w:t xml:space="preserve">. </w:t>
      </w:r>
      <w:r w:rsidR="003D0343" w:rsidRPr="00B5380E">
        <w:rPr>
          <w:sz w:val="22"/>
        </w:rPr>
        <w:t xml:space="preserve">However, </w:t>
      </w:r>
      <w:r w:rsidR="00B55DCC" w:rsidRPr="00B5380E">
        <w:rPr>
          <w:sz w:val="22"/>
        </w:rPr>
        <w:t xml:space="preserve">it must be noted that, </w:t>
      </w:r>
      <w:r w:rsidR="003D0343" w:rsidRPr="00B5380E">
        <w:rPr>
          <w:sz w:val="22"/>
        </w:rPr>
        <w:t xml:space="preserve">for the preceding year, the report of the </w:t>
      </w:r>
      <w:r w:rsidR="00EA41A6">
        <w:rPr>
          <w:sz w:val="22"/>
        </w:rPr>
        <w:t>A</w:t>
      </w:r>
      <w:r w:rsidR="003D0343" w:rsidRPr="00B5380E">
        <w:rPr>
          <w:sz w:val="22"/>
        </w:rPr>
        <w:t>uditor</w:t>
      </w:r>
      <w:r w:rsidR="008F1990">
        <w:rPr>
          <w:sz w:val="22"/>
        </w:rPr>
        <w:t xml:space="preserve"> </w:t>
      </w:r>
      <w:r w:rsidR="00EA41A6">
        <w:rPr>
          <w:sz w:val="22"/>
        </w:rPr>
        <w:t>G</w:t>
      </w:r>
      <w:r w:rsidR="003D0343" w:rsidRPr="00B5380E">
        <w:rPr>
          <w:sz w:val="22"/>
        </w:rPr>
        <w:t xml:space="preserve">eneral </w:t>
      </w:r>
      <w:r w:rsidR="00B55DCC" w:rsidRPr="00B5380E">
        <w:rPr>
          <w:sz w:val="22"/>
        </w:rPr>
        <w:t>stated</w:t>
      </w:r>
      <w:r w:rsidR="003D0343" w:rsidRPr="00B5380E">
        <w:rPr>
          <w:sz w:val="22"/>
        </w:rPr>
        <w:t xml:space="preserve"> that “the format of the financial statements </w:t>
      </w:r>
      <w:r w:rsidR="00B55DCC" w:rsidRPr="00B5380E">
        <w:rPr>
          <w:sz w:val="22"/>
        </w:rPr>
        <w:t>and</w:t>
      </w:r>
      <w:r w:rsidR="00B55DCC" w:rsidRPr="00B5380E">
        <w:rPr>
          <w:i/>
          <w:sz w:val="22"/>
        </w:rPr>
        <w:t xml:space="preserve"> </w:t>
      </w:r>
      <w:r w:rsidR="00B55DCC" w:rsidRPr="001412E3">
        <w:rPr>
          <w:sz w:val="22"/>
        </w:rPr>
        <w:t>the format of approved budget were dissimilar and therefore it was not possible to compare the two sets of documents</w:t>
      </w:r>
      <w:r w:rsidR="00B55DCC" w:rsidRPr="00BA77EE">
        <w:rPr>
          <w:sz w:val="22"/>
        </w:rPr>
        <w:t>”</w:t>
      </w:r>
      <w:r w:rsidR="00B55DCC" w:rsidRPr="00B5380E">
        <w:rPr>
          <w:sz w:val="22"/>
        </w:rPr>
        <w:t xml:space="preserve"> </w:t>
      </w:r>
      <w:r w:rsidR="00EA41A6">
        <w:rPr>
          <w:sz w:val="22"/>
        </w:rPr>
        <w:t>a</w:t>
      </w:r>
      <w:r w:rsidR="002503C9" w:rsidRPr="00B5380E">
        <w:rPr>
          <w:sz w:val="22"/>
        </w:rPr>
        <w:t>nd did not express an opinion on AFS 2014</w:t>
      </w:r>
      <w:r w:rsidR="00747EB2">
        <w:rPr>
          <w:sz w:val="22"/>
        </w:rPr>
        <w:t>–</w:t>
      </w:r>
      <w:r w:rsidR="002503C9" w:rsidRPr="00B5380E">
        <w:rPr>
          <w:sz w:val="22"/>
        </w:rPr>
        <w:t xml:space="preserve">15. </w:t>
      </w:r>
      <w:r w:rsidR="00B55DCC" w:rsidRPr="00071A61">
        <w:rPr>
          <w:sz w:val="22"/>
        </w:rPr>
        <w:t>AFS</w:t>
      </w:r>
      <w:r w:rsidR="00EA41A6" w:rsidRPr="00071A61">
        <w:rPr>
          <w:sz w:val="22"/>
        </w:rPr>
        <w:t>s</w:t>
      </w:r>
      <w:r w:rsidR="00B55DCC" w:rsidRPr="00071A61">
        <w:rPr>
          <w:sz w:val="22"/>
        </w:rPr>
        <w:t xml:space="preserve"> have all disclosures including revenue</w:t>
      </w:r>
      <w:r w:rsidR="005908A4">
        <w:rPr>
          <w:sz w:val="22"/>
        </w:rPr>
        <w:t xml:space="preserve">, </w:t>
      </w:r>
      <w:r w:rsidR="007274DE" w:rsidRPr="00071A61">
        <w:rPr>
          <w:sz w:val="22"/>
        </w:rPr>
        <w:t>expenditure</w:t>
      </w:r>
      <w:r w:rsidR="007274DE">
        <w:rPr>
          <w:sz w:val="22"/>
        </w:rPr>
        <w:t xml:space="preserve">, </w:t>
      </w:r>
      <w:r w:rsidR="007274DE" w:rsidRPr="00071A61">
        <w:rPr>
          <w:sz w:val="22"/>
        </w:rPr>
        <w:t>assets</w:t>
      </w:r>
      <w:r w:rsidR="00B55DCC" w:rsidRPr="00071A61">
        <w:rPr>
          <w:sz w:val="22"/>
        </w:rPr>
        <w:t xml:space="preserve"> and liabilities </w:t>
      </w:r>
      <w:r w:rsidR="005908A4">
        <w:rPr>
          <w:sz w:val="22"/>
        </w:rPr>
        <w:t xml:space="preserve">which </w:t>
      </w:r>
      <w:r w:rsidR="00B55DCC" w:rsidRPr="00071A61">
        <w:rPr>
          <w:sz w:val="22"/>
        </w:rPr>
        <w:t>are accompanied by a balanced cash flow</w:t>
      </w:r>
      <w:r w:rsidR="00B55DCC" w:rsidRPr="00B5380E">
        <w:rPr>
          <w:sz w:val="22"/>
        </w:rPr>
        <w:t>.</w:t>
      </w:r>
    </w:p>
    <w:p w14:paraId="5CDDDC66" w14:textId="343EF815" w:rsidR="006F0846" w:rsidRPr="00B5380E" w:rsidRDefault="00F5429C" w:rsidP="00B5380E">
      <w:pPr>
        <w:spacing w:after="240"/>
        <w:rPr>
          <w:sz w:val="22"/>
        </w:rPr>
      </w:pPr>
      <w:r w:rsidRPr="00B5380E">
        <w:rPr>
          <w:sz w:val="22"/>
        </w:rPr>
        <w:t>In summary, f</w:t>
      </w:r>
      <w:r w:rsidR="00893B4A" w:rsidRPr="00B5380E">
        <w:rPr>
          <w:sz w:val="22"/>
        </w:rPr>
        <w:t xml:space="preserve">inancial reports for budgetary </w:t>
      </w:r>
      <w:r w:rsidR="00EA41A6">
        <w:rPr>
          <w:sz w:val="22"/>
        </w:rPr>
        <w:t>c</w:t>
      </w:r>
      <w:r w:rsidR="00893B4A" w:rsidRPr="00B5380E">
        <w:rPr>
          <w:sz w:val="22"/>
        </w:rPr>
        <w:t xml:space="preserve">ounty government are prepared annually. They include information on revenue, expenditures, and cash balances. They are comparable with the approved budget. </w:t>
      </w:r>
    </w:p>
    <w:p w14:paraId="19DEF869" w14:textId="6EC01DC2" w:rsidR="006F0846" w:rsidRPr="009C39DF" w:rsidRDefault="006F0846" w:rsidP="00B5380E">
      <w:pPr>
        <w:spacing w:after="240"/>
        <w:rPr>
          <w:b/>
          <w:sz w:val="22"/>
        </w:rPr>
      </w:pPr>
      <w:r w:rsidRPr="009C39DF">
        <w:rPr>
          <w:b/>
          <w:sz w:val="22"/>
        </w:rPr>
        <w:t>Dimension rating = B</w:t>
      </w:r>
    </w:p>
    <w:p w14:paraId="47151217" w14:textId="77777777" w:rsidR="0004546D" w:rsidRPr="00890A84" w:rsidRDefault="00033A33" w:rsidP="00BA6B2B">
      <w:pPr>
        <w:pStyle w:val="Heading5"/>
      </w:pPr>
      <w:r w:rsidRPr="00890A84">
        <w:t>PI-</w:t>
      </w:r>
      <w:r w:rsidR="0004546D" w:rsidRPr="00890A84">
        <w:t xml:space="preserve">29.2. Submission of reports for external audit </w:t>
      </w:r>
    </w:p>
    <w:p w14:paraId="0E63D90C" w14:textId="4E03AE38" w:rsidR="002C617C" w:rsidRPr="00B5380E" w:rsidRDefault="002C617C" w:rsidP="00B5380E">
      <w:pPr>
        <w:spacing w:after="240"/>
        <w:rPr>
          <w:sz w:val="22"/>
        </w:rPr>
      </w:pPr>
      <w:r w:rsidRPr="00B5380E">
        <w:rPr>
          <w:sz w:val="22"/>
        </w:rPr>
        <w:t xml:space="preserve">The first set of AFS for 2015/16 was submitted to the OAG </w:t>
      </w:r>
      <w:r w:rsidR="0047250B">
        <w:rPr>
          <w:sz w:val="22"/>
        </w:rPr>
        <w:t>three</w:t>
      </w:r>
      <w:r w:rsidRPr="00B5380E">
        <w:rPr>
          <w:sz w:val="22"/>
        </w:rPr>
        <w:t xml:space="preserve"> months after the year</w:t>
      </w:r>
      <w:r w:rsidR="00EA41A6">
        <w:rPr>
          <w:sz w:val="22"/>
        </w:rPr>
        <w:t>-</w:t>
      </w:r>
      <w:r w:rsidRPr="00B5380E">
        <w:rPr>
          <w:sz w:val="22"/>
        </w:rPr>
        <w:t>end</w:t>
      </w:r>
      <w:r w:rsidR="00EA41A6">
        <w:rPr>
          <w:sz w:val="22"/>
        </w:rPr>
        <w:t>,</w:t>
      </w:r>
      <w:r w:rsidRPr="00B5380E">
        <w:rPr>
          <w:sz w:val="22"/>
        </w:rPr>
        <w:t xml:space="preserve"> as required by the PFM Act, 2012. The executive accounts were presented </w:t>
      </w:r>
      <w:r w:rsidR="00EA41A6">
        <w:rPr>
          <w:sz w:val="22"/>
        </w:rPr>
        <w:t>for</w:t>
      </w:r>
      <w:r w:rsidRPr="00B5380E">
        <w:rPr>
          <w:sz w:val="22"/>
        </w:rPr>
        <w:t xml:space="preserve"> external audit on September </w:t>
      </w:r>
      <w:r w:rsidR="00EA41A6">
        <w:rPr>
          <w:sz w:val="22"/>
        </w:rPr>
        <w:t xml:space="preserve">30, </w:t>
      </w:r>
      <w:r w:rsidRPr="00B5380E">
        <w:rPr>
          <w:sz w:val="22"/>
        </w:rPr>
        <w:t>2016</w:t>
      </w:r>
      <w:r w:rsidR="00EA41A6">
        <w:rPr>
          <w:sz w:val="22"/>
        </w:rPr>
        <w:t>, which is</w:t>
      </w:r>
      <w:r w:rsidRPr="00B5380E">
        <w:rPr>
          <w:sz w:val="22"/>
        </w:rPr>
        <w:t xml:space="preserve"> within three months</w:t>
      </w:r>
      <w:r w:rsidR="00EA41A6">
        <w:rPr>
          <w:sz w:val="22"/>
        </w:rPr>
        <w:t>,</w:t>
      </w:r>
      <w:r w:rsidRPr="00B5380E">
        <w:rPr>
          <w:sz w:val="22"/>
        </w:rPr>
        <w:t xml:space="preserve"> as </w:t>
      </w:r>
      <w:r w:rsidR="00EA41A6">
        <w:rPr>
          <w:sz w:val="22"/>
        </w:rPr>
        <w:t xml:space="preserve">per </w:t>
      </w:r>
      <w:r w:rsidRPr="00B5380E">
        <w:rPr>
          <w:sz w:val="22"/>
        </w:rPr>
        <w:t xml:space="preserve">the PFM </w:t>
      </w:r>
      <w:r w:rsidR="00EA41A6">
        <w:rPr>
          <w:sz w:val="22"/>
        </w:rPr>
        <w:t>A</w:t>
      </w:r>
      <w:r w:rsidRPr="00B5380E">
        <w:rPr>
          <w:sz w:val="22"/>
        </w:rPr>
        <w:t xml:space="preserve">ct. However, financial accounts were considered as completed only on June </w:t>
      </w:r>
      <w:r w:rsidR="00EA41A6" w:rsidRPr="00B5380E">
        <w:rPr>
          <w:sz w:val="22"/>
        </w:rPr>
        <w:t>8</w:t>
      </w:r>
      <w:r w:rsidR="00EA41A6">
        <w:rPr>
          <w:sz w:val="22"/>
        </w:rPr>
        <w:t>,</w:t>
      </w:r>
      <w:r w:rsidR="00EA41A6" w:rsidRPr="00B5380E">
        <w:rPr>
          <w:sz w:val="22"/>
        </w:rPr>
        <w:t xml:space="preserve"> </w:t>
      </w:r>
      <w:r w:rsidRPr="00B5380E">
        <w:rPr>
          <w:sz w:val="22"/>
        </w:rPr>
        <w:t>2017.</w:t>
      </w:r>
    </w:p>
    <w:p w14:paraId="5AF5C8BF" w14:textId="1693B556" w:rsidR="006F0846" w:rsidRPr="00B5380E" w:rsidRDefault="00F5429C" w:rsidP="00B5380E">
      <w:pPr>
        <w:spacing w:after="240"/>
        <w:rPr>
          <w:sz w:val="22"/>
        </w:rPr>
      </w:pPr>
      <w:r w:rsidRPr="00B5380E">
        <w:rPr>
          <w:sz w:val="22"/>
        </w:rPr>
        <w:t>In summary, f</w:t>
      </w:r>
      <w:r w:rsidR="00893B4A" w:rsidRPr="00B5380E">
        <w:rPr>
          <w:sz w:val="22"/>
        </w:rPr>
        <w:t>inancial reports for budgetary central government are submitted for external audit within</w:t>
      </w:r>
      <w:r w:rsidR="005908A4">
        <w:rPr>
          <w:sz w:val="22"/>
        </w:rPr>
        <w:t xml:space="preserve"> </w:t>
      </w:r>
      <w:r w:rsidR="001412E3">
        <w:rPr>
          <w:sz w:val="22"/>
        </w:rPr>
        <w:t xml:space="preserve">12 </w:t>
      </w:r>
      <w:r w:rsidR="00602CCD">
        <w:rPr>
          <w:sz w:val="22"/>
        </w:rPr>
        <w:t>months at</w:t>
      </w:r>
      <w:r w:rsidR="001412E3">
        <w:rPr>
          <w:sz w:val="22"/>
        </w:rPr>
        <w:t xml:space="preserve"> </w:t>
      </w:r>
      <w:r w:rsidR="00893B4A" w:rsidRPr="00B5380E">
        <w:rPr>
          <w:sz w:val="22"/>
        </w:rPr>
        <w:t xml:space="preserve">the end of the fiscal year. </w:t>
      </w:r>
    </w:p>
    <w:p w14:paraId="16869A9C" w14:textId="7E3F7C0C" w:rsidR="006F0846" w:rsidRPr="009C39DF" w:rsidRDefault="006F0846" w:rsidP="00B5380E">
      <w:pPr>
        <w:spacing w:after="240"/>
        <w:rPr>
          <w:b/>
          <w:sz w:val="22"/>
        </w:rPr>
      </w:pPr>
      <w:r w:rsidRPr="009C39DF">
        <w:rPr>
          <w:b/>
          <w:sz w:val="22"/>
        </w:rPr>
        <w:t>Dimension rating = D</w:t>
      </w:r>
    </w:p>
    <w:p w14:paraId="278A48EC" w14:textId="77777777" w:rsidR="0004546D" w:rsidRPr="00890A84" w:rsidRDefault="00033A33" w:rsidP="00BA6B2B">
      <w:pPr>
        <w:pStyle w:val="Heading5"/>
      </w:pPr>
      <w:r w:rsidRPr="00890A84">
        <w:t>PI-</w:t>
      </w:r>
      <w:r w:rsidR="0004546D" w:rsidRPr="00890A84">
        <w:t xml:space="preserve">29.3. Accounting standards </w:t>
      </w:r>
    </w:p>
    <w:p w14:paraId="7F1C5BF9" w14:textId="31C6FC8C" w:rsidR="00E66F5E" w:rsidRPr="00B5380E" w:rsidRDefault="00E7507E" w:rsidP="00B5380E">
      <w:pPr>
        <w:spacing w:after="240"/>
        <w:rPr>
          <w:sz w:val="22"/>
        </w:rPr>
      </w:pPr>
      <w:r w:rsidRPr="00B5380E">
        <w:rPr>
          <w:sz w:val="22"/>
        </w:rPr>
        <w:t>The c</w:t>
      </w:r>
      <w:r w:rsidR="00C05E3B" w:rsidRPr="00B5380E">
        <w:rPr>
          <w:sz w:val="22"/>
        </w:rPr>
        <w:t xml:space="preserve">ounty prepares </w:t>
      </w:r>
      <w:r w:rsidRPr="00B5380E">
        <w:rPr>
          <w:sz w:val="22"/>
        </w:rPr>
        <w:t>AFS</w:t>
      </w:r>
      <w:r w:rsidR="00EA41A6">
        <w:rPr>
          <w:sz w:val="22"/>
        </w:rPr>
        <w:t>s</w:t>
      </w:r>
      <w:r w:rsidR="00C05E3B" w:rsidRPr="00B5380E">
        <w:rPr>
          <w:sz w:val="22"/>
        </w:rPr>
        <w:t xml:space="preserve"> as per the IPSAS </w:t>
      </w:r>
      <w:r w:rsidR="00EA41A6">
        <w:rPr>
          <w:sz w:val="22"/>
        </w:rPr>
        <w:t>c</w:t>
      </w:r>
      <w:r w:rsidRPr="00B5380E">
        <w:rPr>
          <w:sz w:val="22"/>
        </w:rPr>
        <w:t xml:space="preserve">ash </w:t>
      </w:r>
      <w:r w:rsidR="00EA41A6">
        <w:rPr>
          <w:sz w:val="22"/>
        </w:rPr>
        <w:t>basis in line with</w:t>
      </w:r>
      <w:r w:rsidRPr="00B5380E">
        <w:rPr>
          <w:sz w:val="22"/>
        </w:rPr>
        <w:t xml:space="preserve"> requirements of </w:t>
      </w:r>
      <w:r w:rsidR="00C05E3B" w:rsidRPr="00B5380E">
        <w:rPr>
          <w:sz w:val="22"/>
        </w:rPr>
        <w:t xml:space="preserve">the </w:t>
      </w:r>
      <w:r w:rsidR="000C73E4" w:rsidRPr="00FB6314">
        <w:rPr>
          <w:sz w:val="22"/>
        </w:rPr>
        <w:t>PS</w:t>
      </w:r>
      <w:r w:rsidRPr="00FB6314">
        <w:rPr>
          <w:sz w:val="22"/>
        </w:rPr>
        <w:t>ASB</w:t>
      </w:r>
      <w:r w:rsidR="00B3328D" w:rsidRPr="00B5380E">
        <w:rPr>
          <w:sz w:val="22"/>
        </w:rPr>
        <w:t xml:space="preserve">. </w:t>
      </w:r>
      <w:r w:rsidRPr="00B5380E">
        <w:rPr>
          <w:sz w:val="22"/>
        </w:rPr>
        <w:t>The latest audited AFS was for FY2014/</w:t>
      </w:r>
      <w:r w:rsidR="00867565" w:rsidRPr="00B5380E">
        <w:rPr>
          <w:sz w:val="22"/>
        </w:rPr>
        <w:t xml:space="preserve">15 </w:t>
      </w:r>
      <w:r w:rsidRPr="00B5380E">
        <w:rPr>
          <w:sz w:val="22"/>
        </w:rPr>
        <w:t xml:space="preserve">and </w:t>
      </w:r>
      <w:r w:rsidR="00B75EBB" w:rsidRPr="00B5380E">
        <w:rPr>
          <w:sz w:val="22"/>
        </w:rPr>
        <w:t xml:space="preserve">audit opinion </w:t>
      </w:r>
      <w:r w:rsidRPr="00B5380E">
        <w:rPr>
          <w:sz w:val="22"/>
        </w:rPr>
        <w:t>was provided where the OAG</w:t>
      </w:r>
      <w:r w:rsidR="000C73E4" w:rsidRPr="00B5380E">
        <w:rPr>
          <w:sz w:val="22"/>
        </w:rPr>
        <w:t xml:space="preserve"> </w:t>
      </w:r>
      <w:r w:rsidR="00E66F5E" w:rsidRPr="00B5380E">
        <w:rPr>
          <w:sz w:val="22"/>
        </w:rPr>
        <w:t>identified</w:t>
      </w:r>
      <w:r w:rsidR="009C0DF4" w:rsidRPr="00B5380E">
        <w:rPr>
          <w:sz w:val="22"/>
        </w:rPr>
        <w:t xml:space="preserve"> lack of complete fixed assets register, nonfinancial assets not already included in financial assets</w:t>
      </w:r>
      <w:r w:rsidR="00EA41A6">
        <w:rPr>
          <w:sz w:val="22"/>
        </w:rPr>
        <w:t>,</w:t>
      </w:r>
      <w:r w:rsidR="009C0DF4" w:rsidRPr="00B5380E">
        <w:rPr>
          <w:sz w:val="22"/>
        </w:rPr>
        <w:t xml:space="preserve"> and unsupported cash and cash equivalents.</w:t>
      </w:r>
    </w:p>
    <w:p w14:paraId="49B17884" w14:textId="77777777" w:rsidR="006F0846" w:rsidRPr="00B5380E" w:rsidRDefault="00F5429C" w:rsidP="00B5380E">
      <w:pPr>
        <w:spacing w:after="240"/>
        <w:rPr>
          <w:sz w:val="22"/>
        </w:rPr>
      </w:pPr>
      <w:r w:rsidRPr="00B5380E">
        <w:rPr>
          <w:sz w:val="22"/>
        </w:rPr>
        <w:t>In summary, a</w:t>
      </w:r>
      <w:r w:rsidR="00893B4A" w:rsidRPr="00B5380E">
        <w:rPr>
          <w:sz w:val="22"/>
        </w:rPr>
        <w:t xml:space="preserve">ccounting standards applied to all financial reports are consistent with the country’s legal framework and ensure consistency of reporting over time. The standards used in preparing annual financial reports are disclosed. </w:t>
      </w:r>
    </w:p>
    <w:p w14:paraId="539AFBF0" w14:textId="39D34CEB" w:rsidR="006F0846" w:rsidRPr="009C39DF" w:rsidRDefault="006F0846" w:rsidP="00B5380E">
      <w:pPr>
        <w:spacing w:after="240"/>
        <w:rPr>
          <w:b/>
          <w:sz w:val="22"/>
        </w:rPr>
      </w:pPr>
      <w:r w:rsidRPr="009C39DF">
        <w:rPr>
          <w:b/>
          <w:sz w:val="22"/>
        </w:rPr>
        <w:t>Dimension rating = C</w:t>
      </w:r>
    </w:p>
    <w:p w14:paraId="31EB1C42" w14:textId="77777777" w:rsidR="00A845DF" w:rsidRPr="000B4EB8" w:rsidRDefault="00BB1084" w:rsidP="00776E84">
      <w:pPr>
        <w:pStyle w:val="Heading2"/>
      </w:pPr>
      <w:bookmarkStart w:id="117" w:name="_Toc150867"/>
      <w:bookmarkStart w:id="118" w:name="_Toc532426043"/>
      <w:r w:rsidRPr="000B4EB8">
        <w:t>Pillar VII. External scrutiny and audit</w:t>
      </w:r>
      <w:bookmarkEnd w:id="117"/>
      <w:bookmarkEnd w:id="118"/>
    </w:p>
    <w:p w14:paraId="4EC2FCFE" w14:textId="77777777" w:rsidR="00BB1084" w:rsidRPr="00890A84" w:rsidRDefault="00BB1084" w:rsidP="00590C8E">
      <w:pPr>
        <w:pStyle w:val="Heading4"/>
      </w:pPr>
      <w:r w:rsidRPr="00890A84">
        <w:t>PI-30. External audit</w:t>
      </w:r>
    </w:p>
    <w:p w14:paraId="4F851118" w14:textId="77777777" w:rsidR="003E5B0C" w:rsidRPr="00890A84" w:rsidRDefault="003E5B0C" w:rsidP="00BA6B2B">
      <w:pPr>
        <w:pStyle w:val="Heading5"/>
      </w:pPr>
      <w:r>
        <w:t>Summary of scores and performance table</w:t>
      </w:r>
    </w:p>
    <w:tbl>
      <w:tblPr>
        <w:tblW w:w="94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20" w:firstRow="1" w:lastRow="0" w:firstColumn="0" w:lastColumn="0" w:noHBand="1" w:noVBand="1"/>
      </w:tblPr>
      <w:tblGrid>
        <w:gridCol w:w="2835"/>
        <w:gridCol w:w="567"/>
        <w:gridCol w:w="6096"/>
      </w:tblGrid>
      <w:tr w:rsidR="003E5B0C" w:rsidRPr="009C39DF" w14:paraId="27137D23" w14:textId="77777777" w:rsidTr="009C39DF">
        <w:trPr>
          <w:tblHeader/>
        </w:trPr>
        <w:tc>
          <w:tcPr>
            <w:tcW w:w="2835" w:type="dxa"/>
            <w:shd w:val="clear" w:color="auto" w:fill="5B9BD5"/>
          </w:tcPr>
          <w:p w14:paraId="3EED9DFC" w14:textId="27E3432A" w:rsidR="003E5B0C" w:rsidRPr="009C39DF" w:rsidRDefault="003E5B0C" w:rsidP="009C39DF">
            <w:pPr>
              <w:jc w:val="center"/>
              <w:rPr>
                <w:b/>
                <w:color w:val="FFFFFF" w:themeColor="background1"/>
                <w:sz w:val="20"/>
              </w:rPr>
            </w:pPr>
            <w:r w:rsidRPr="009C39DF">
              <w:rPr>
                <w:b/>
                <w:color w:val="FFFFFF" w:themeColor="background1"/>
                <w:sz w:val="20"/>
              </w:rPr>
              <w:t>PI-30</w:t>
            </w:r>
            <w:r w:rsidR="00EA41A6">
              <w:rPr>
                <w:b/>
                <w:color w:val="FFFFFF" w:themeColor="background1"/>
                <w:sz w:val="20"/>
              </w:rPr>
              <w:t>.</w:t>
            </w:r>
            <w:r w:rsidRPr="009C39DF">
              <w:rPr>
                <w:b/>
                <w:color w:val="FFFFFF" w:themeColor="background1"/>
                <w:sz w:val="20"/>
              </w:rPr>
              <w:t xml:space="preserve"> External audit (M1)</w:t>
            </w:r>
          </w:p>
        </w:tc>
        <w:tc>
          <w:tcPr>
            <w:tcW w:w="567" w:type="dxa"/>
            <w:shd w:val="clear" w:color="auto" w:fill="5B9BD5"/>
          </w:tcPr>
          <w:p w14:paraId="3CD2A556" w14:textId="237C25C3" w:rsidR="003E5B0C" w:rsidRPr="009C39DF" w:rsidRDefault="00042CE8" w:rsidP="009C39DF">
            <w:pPr>
              <w:jc w:val="center"/>
              <w:rPr>
                <w:b/>
                <w:color w:val="FFFFFF" w:themeColor="background1"/>
                <w:sz w:val="20"/>
              </w:rPr>
            </w:pPr>
            <w:r w:rsidRPr="009C39DF">
              <w:rPr>
                <w:b/>
                <w:color w:val="FFFFFF" w:themeColor="background1"/>
                <w:sz w:val="20"/>
              </w:rPr>
              <w:t>C</w:t>
            </w:r>
            <w:r w:rsidR="003E5B0C" w:rsidRPr="009C39DF">
              <w:rPr>
                <w:b/>
                <w:color w:val="FFFFFF" w:themeColor="background1"/>
                <w:sz w:val="20"/>
              </w:rPr>
              <w:t>+</w:t>
            </w:r>
          </w:p>
        </w:tc>
        <w:tc>
          <w:tcPr>
            <w:tcW w:w="6096" w:type="dxa"/>
            <w:shd w:val="clear" w:color="auto" w:fill="5B9BD5"/>
          </w:tcPr>
          <w:p w14:paraId="781DB772" w14:textId="77777777" w:rsidR="003E5B0C" w:rsidRPr="009C39DF" w:rsidRDefault="003E5B0C" w:rsidP="009C39DF">
            <w:pPr>
              <w:jc w:val="center"/>
              <w:rPr>
                <w:b/>
                <w:color w:val="FFFFFF" w:themeColor="background1"/>
                <w:sz w:val="20"/>
              </w:rPr>
            </w:pPr>
            <w:r w:rsidRPr="009C39DF">
              <w:rPr>
                <w:b/>
                <w:color w:val="FFFFFF" w:themeColor="background1"/>
                <w:sz w:val="20"/>
              </w:rPr>
              <w:t>Brief justification for score</w:t>
            </w:r>
          </w:p>
        </w:tc>
      </w:tr>
      <w:tr w:rsidR="003E5B0C" w:rsidRPr="009C39DF" w14:paraId="612E8607" w14:textId="77777777" w:rsidTr="009C39DF">
        <w:tc>
          <w:tcPr>
            <w:tcW w:w="2835" w:type="dxa"/>
            <w:shd w:val="clear" w:color="auto" w:fill="auto"/>
          </w:tcPr>
          <w:p w14:paraId="31B470C5" w14:textId="77777777" w:rsidR="003E5B0C" w:rsidRPr="009C39DF" w:rsidRDefault="003E5B0C" w:rsidP="009C39DF">
            <w:pPr>
              <w:jc w:val="left"/>
              <w:rPr>
                <w:sz w:val="20"/>
              </w:rPr>
            </w:pPr>
            <w:r w:rsidRPr="009C39DF">
              <w:rPr>
                <w:sz w:val="20"/>
              </w:rPr>
              <w:t xml:space="preserve">30.1 Audit coverage and standards </w:t>
            </w:r>
          </w:p>
        </w:tc>
        <w:tc>
          <w:tcPr>
            <w:tcW w:w="567" w:type="dxa"/>
            <w:shd w:val="clear" w:color="auto" w:fill="auto"/>
          </w:tcPr>
          <w:p w14:paraId="72571339" w14:textId="77777777" w:rsidR="003E5B0C" w:rsidRPr="009C39DF" w:rsidRDefault="003E5B0C" w:rsidP="009C39DF">
            <w:pPr>
              <w:jc w:val="center"/>
              <w:rPr>
                <w:sz w:val="20"/>
              </w:rPr>
            </w:pPr>
            <w:r w:rsidRPr="009C39DF">
              <w:rPr>
                <w:sz w:val="20"/>
              </w:rPr>
              <w:t>B</w:t>
            </w:r>
          </w:p>
        </w:tc>
        <w:tc>
          <w:tcPr>
            <w:tcW w:w="6096" w:type="dxa"/>
            <w:shd w:val="clear" w:color="auto" w:fill="auto"/>
          </w:tcPr>
          <w:p w14:paraId="118973DC" w14:textId="43D30C4A" w:rsidR="003E5B0C" w:rsidRPr="009C39DF" w:rsidRDefault="00EA41A6" w:rsidP="009C39DF">
            <w:pPr>
              <w:jc w:val="left"/>
              <w:rPr>
                <w:sz w:val="20"/>
              </w:rPr>
            </w:pPr>
            <w:r>
              <w:rPr>
                <w:sz w:val="20"/>
              </w:rPr>
              <w:t xml:space="preserve">The </w:t>
            </w:r>
            <w:r w:rsidR="00BA77EE">
              <w:rPr>
                <w:sz w:val="20"/>
              </w:rPr>
              <w:t>OAG</w:t>
            </w:r>
            <w:r w:rsidR="003E5B0C" w:rsidRPr="009C39DF">
              <w:rPr>
                <w:sz w:val="20"/>
              </w:rPr>
              <w:t xml:space="preserve"> </w:t>
            </w:r>
            <w:r w:rsidR="00893B4A" w:rsidRPr="009C39DF">
              <w:rPr>
                <w:sz w:val="20"/>
              </w:rPr>
              <w:t>is using</w:t>
            </w:r>
            <w:r w:rsidR="003E5B0C" w:rsidRPr="009C39DF">
              <w:rPr>
                <w:sz w:val="20"/>
              </w:rPr>
              <w:t xml:space="preserve"> </w:t>
            </w:r>
            <w:r w:rsidR="008B6A0A" w:rsidRPr="008B6A0A">
              <w:rPr>
                <w:sz w:val="20"/>
              </w:rPr>
              <w:t xml:space="preserve">International Standards on Supreme Audit Institutions </w:t>
            </w:r>
            <w:r w:rsidR="008B6A0A">
              <w:rPr>
                <w:sz w:val="20"/>
              </w:rPr>
              <w:t>(</w:t>
            </w:r>
            <w:r w:rsidR="003E5B0C" w:rsidRPr="009C39DF">
              <w:rPr>
                <w:sz w:val="20"/>
              </w:rPr>
              <w:t>ISSAIs</w:t>
            </w:r>
            <w:r w:rsidR="008B6A0A">
              <w:rPr>
                <w:sz w:val="20"/>
              </w:rPr>
              <w:t>)</w:t>
            </w:r>
            <w:r w:rsidR="003E5B0C" w:rsidRPr="009C39DF">
              <w:rPr>
                <w:sz w:val="20"/>
              </w:rPr>
              <w:t xml:space="preserve"> on all external audits of </w:t>
            </w:r>
            <w:r>
              <w:rPr>
                <w:sz w:val="20"/>
              </w:rPr>
              <w:t>n</w:t>
            </w:r>
            <w:r w:rsidR="003E5B0C" w:rsidRPr="009C39DF">
              <w:rPr>
                <w:sz w:val="20"/>
              </w:rPr>
              <w:t xml:space="preserve">ational and </w:t>
            </w:r>
            <w:r>
              <w:rPr>
                <w:sz w:val="20"/>
              </w:rPr>
              <w:t>c</w:t>
            </w:r>
            <w:r w:rsidR="003E5B0C" w:rsidRPr="009C39DF">
              <w:rPr>
                <w:sz w:val="20"/>
              </w:rPr>
              <w:t xml:space="preserve">ounty </w:t>
            </w:r>
            <w:r>
              <w:rPr>
                <w:sz w:val="20"/>
              </w:rPr>
              <w:t>g</w:t>
            </w:r>
            <w:r w:rsidR="003E5B0C" w:rsidRPr="009C39DF">
              <w:rPr>
                <w:sz w:val="20"/>
              </w:rPr>
              <w:t>overnments</w:t>
            </w:r>
            <w:r w:rsidR="00893B4A" w:rsidRPr="009C39DF">
              <w:rPr>
                <w:sz w:val="20"/>
              </w:rPr>
              <w:t>, but p</w:t>
            </w:r>
            <w:r w:rsidR="003E5B0C" w:rsidRPr="009C39DF">
              <w:rPr>
                <w:sz w:val="20"/>
              </w:rPr>
              <w:t>ublic establishments are not regularly audited</w:t>
            </w:r>
            <w:r w:rsidR="00893B4A" w:rsidRPr="009C39DF">
              <w:rPr>
                <w:sz w:val="20"/>
              </w:rPr>
              <w:t>.</w:t>
            </w:r>
            <w:r w:rsidR="003E5B0C" w:rsidRPr="009C39DF">
              <w:rPr>
                <w:sz w:val="20"/>
              </w:rPr>
              <w:t xml:space="preserve"> </w:t>
            </w:r>
          </w:p>
        </w:tc>
      </w:tr>
      <w:tr w:rsidR="003E5B0C" w:rsidRPr="009C39DF" w14:paraId="7FA328A5" w14:textId="77777777" w:rsidTr="009C39DF">
        <w:tc>
          <w:tcPr>
            <w:tcW w:w="2835" w:type="dxa"/>
            <w:shd w:val="clear" w:color="auto" w:fill="auto"/>
          </w:tcPr>
          <w:p w14:paraId="50D8A2D8" w14:textId="77777777" w:rsidR="003E5B0C" w:rsidRPr="009C39DF" w:rsidRDefault="003E5B0C" w:rsidP="009C39DF">
            <w:pPr>
              <w:jc w:val="left"/>
              <w:rPr>
                <w:sz w:val="20"/>
              </w:rPr>
            </w:pPr>
            <w:r w:rsidRPr="009C39DF">
              <w:rPr>
                <w:sz w:val="20"/>
              </w:rPr>
              <w:t xml:space="preserve">30.2 Submission of audit reports to the legislature </w:t>
            </w:r>
          </w:p>
        </w:tc>
        <w:tc>
          <w:tcPr>
            <w:tcW w:w="567" w:type="dxa"/>
            <w:shd w:val="clear" w:color="auto" w:fill="auto"/>
          </w:tcPr>
          <w:p w14:paraId="21EC0C51" w14:textId="77777777" w:rsidR="003E5B0C" w:rsidRPr="009C39DF" w:rsidRDefault="003E5B0C" w:rsidP="009C39DF">
            <w:pPr>
              <w:jc w:val="center"/>
              <w:rPr>
                <w:sz w:val="20"/>
              </w:rPr>
            </w:pPr>
            <w:r w:rsidRPr="009C39DF">
              <w:rPr>
                <w:sz w:val="20"/>
              </w:rPr>
              <w:t>A</w:t>
            </w:r>
          </w:p>
        </w:tc>
        <w:tc>
          <w:tcPr>
            <w:tcW w:w="6096" w:type="dxa"/>
            <w:shd w:val="clear" w:color="auto" w:fill="auto"/>
          </w:tcPr>
          <w:p w14:paraId="77A13CB7" w14:textId="77777777" w:rsidR="003E5B0C" w:rsidRPr="009C39DF" w:rsidRDefault="003E5B0C" w:rsidP="009C39DF">
            <w:pPr>
              <w:jc w:val="left"/>
              <w:rPr>
                <w:sz w:val="20"/>
              </w:rPr>
            </w:pPr>
            <w:r w:rsidRPr="009C39DF">
              <w:rPr>
                <w:sz w:val="20"/>
              </w:rPr>
              <w:t>Audit report of AFS 2015/16 was submitted to the legislature within three months from receipt of the financial reports.</w:t>
            </w:r>
          </w:p>
        </w:tc>
      </w:tr>
      <w:tr w:rsidR="003E5B0C" w:rsidRPr="009C39DF" w14:paraId="3CE2AFB3" w14:textId="77777777" w:rsidTr="009C39DF">
        <w:tc>
          <w:tcPr>
            <w:tcW w:w="2835" w:type="dxa"/>
            <w:shd w:val="clear" w:color="auto" w:fill="auto"/>
          </w:tcPr>
          <w:p w14:paraId="315B3EFF" w14:textId="77777777" w:rsidR="003E5B0C" w:rsidRPr="009C39DF" w:rsidRDefault="003E5B0C" w:rsidP="009C39DF">
            <w:pPr>
              <w:jc w:val="left"/>
              <w:rPr>
                <w:sz w:val="20"/>
              </w:rPr>
            </w:pPr>
            <w:r w:rsidRPr="009C39DF">
              <w:rPr>
                <w:sz w:val="20"/>
              </w:rPr>
              <w:t xml:space="preserve">30.3 External audit follow-up </w:t>
            </w:r>
          </w:p>
        </w:tc>
        <w:tc>
          <w:tcPr>
            <w:tcW w:w="567" w:type="dxa"/>
            <w:shd w:val="clear" w:color="auto" w:fill="auto"/>
          </w:tcPr>
          <w:p w14:paraId="148C9C9F" w14:textId="2BD2B566" w:rsidR="003E5B0C" w:rsidRPr="009C39DF" w:rsidRDefault="00042CE8" w:rsidP="009C39DF">
            <w:pPr>
              <w:jc w:val="center"/>
              <w:rPr>
                <w:sz w:val="20"/>
              </w:rPr>
            </w:pPr>
            <w:r w:rsidRPr="009C39DF">
              <w:rPr>
                <w:sz w:val="20"/>
              </w:rPr>
              <w:t>C</w:t>
            </w:r>
          </w:p>
        </w:tc>
        <w:tc>
          <w:tcPr>
            <w:tcW w:w="6096" w:type="dxa"/>
            <w:shd w:val="clear" w:color="auto" w:fill="auto"/>
          </w:tcPr>
          <w:p w14:paraId="71614D62" w14:textId="06EE1128" w:rsidR="003E5B0C" w:rsidRPr="009C39DF" w:rsidRDefault="003E5B0C" w:rsidP="009C39DF">
            <w:pPr>
              <w:jc w:val="left"/>
              <w:rPr>
                <w:sz w:val="20"/>
              </w:rPr>
            </w:pPr>
            <w:r w:rsidRPr="009C39DF">
              <w:rPr>
                <w:sz w:val="20"/>
              </w:rPr>
              <w:t xml:space="preserve">A progress report on the issues raised during the 2014/15 financial year is put in </w:t>
            </w:r>
            <w:r w:rsidR="00EA41A6">
              <w:rPr>
                <w:sz w:val="20"/>
              </w:rPr>
              <w:t xml:space="preserve">the </w:t>
            </w:r>
            <w:r w:rsidRPr="009C39DF">
              <w:rPr>
                <w:sz w:val="20"/>
              </w:rPr>
              <w:t>annex of the audit report for FY2015/16.</w:t>
            </w:r>
            <w:r w:rsidR="00042CE8" w:rsidRPr="009C39DF">
              <w:rPr>
                <w:sz w:val="20"/>
              </w:rPr>
              <w:t xml:space="preserve"> Audited </w:t>
            </w:r>
            <w:r w:rsidR="00CB1BF0" w:rsidRPr="009C39DF">
              <w:rPr>
                <w:sz w:val="20"/>
              </w:rPr>
              <w:t>entities</w:t>
            </w:r>
            <w:r w:rsidR="00042CE8" w:rsidRPr="009C39DF">
              <w:rPr>
                <w:sz w:val="20"/>
              </w:rPr>
              <w:t xml:space="preserve"> provide a formal response to audit findings, but it is not necessarily comprehensive </w:t>
            </w:r>
            <w:r w:rsidR="00EA41A6">
              <w:rPr>
                <w:sz w:val="20"/>
              </w:rPr>
              <w:t>and</w:t>
            </w:r>
            <w:r w:rsidR="00EA41A6" w:rsidRPr="009C39DF">
              <w:rPr>
                <w:sz w:val="20"/>
              </w:rPr>
              <w:t xml:space="preserve"> </w:t>
            </w:r>
            <w:r w:rsidR="00042CE8" w:rsidRPr="009C39DF">
              <w:rPr>
                <w:sz w:val="20"/>
              </w:rPr>
              <w:t xml:space="preserve">timely. </w:t>
            </w:r>
          </w:p>
        </w:tc>
      </w:tr>
      <w:tr w:rsidR="003E5B0C" w:rsidRPr="009C39DF" w14:paraId="3D24B707" w14:textId="77777777" w:rsidTr="009C39DF">
        <w:tc>
          <w:tcPr>
            <w:tcW w:w="2835" w:type="dxa"/>
            <w:shd w:val="clear" w:color="auto" w:fill="auto"/>
          </w:tcPr>
          <w:p w14:paraId="5F7B2CAF" w14:textId="77777777" w:rsidR="003E5B0C" w:rsidRPr="009C39DF" w:rsidRDefault="003E5B0C" w:rsidP="009C39DF">
            <w:pPr>
              <w:jc w:val="left"/>
              <w:rPr>
                <w:sz w:val="20"/>
              </w:rPr>
            </w:pPr>
            <w:r w:rsidRPr="009C39DF">
              <w:rPr>
                <w:sz w:val="20"/>
              </w:rPr>
              <w:t xml:space="preserve">30.4 Supreme Audit Institution (SAI) independence </w:t>
            </w:r>
          </w:p>
        </w:tc>
        <w:tc>
          <w:tcPr>
            <w:tcW w:w="567" w:type="dxa"/>
            <w:shd w:val="clear" w:color="auto" w:fill="auto"/>
          </w:tcPr>
          <w:p w14:paraId="136E1A6E" w14:textId="77777777" w:rsidR="003E5B0C" w:rsidRPr="009C39DF" w:rsidRDefault="003E5B0C" w:rsidP="009C39DF">
            <w:pPr>
              <w:jc w:val="center"/>
              <w:rPr>
                <w:sz w:val="20"/>
              </w:rPr>
            </w:pPr>
            <w:r w:rsidRPr="009C39DF">
              <w:rPr>
                <w:sz w:val="20"/>
              </w:rPr>
              <w:t>A</w:t>
            </w:r>
          </w:p>
        </w:tc>
        <w:tc>
          <w:tcPr>
            <w:tcW w:w="6096" w:type="dxa"/>
            <w:shd w:val="clear" w:color="auto" w:fill="auto"/>
          </w:tcPr>
          <w:p w14:paraId="01F8B42C" w14:textId="7519B6B9" w:rsidR="003E5B0C" w:rsidRPr="009C39DF" w:rsidRDefault="003E5B0C" w:rsidP="009C39DF">
            <w:pPr>
              <w:jc w:val="left"/>
              <w:rPr>
                <w:sz w:val="20"/>
              </w:rPr>
            </w:pPr>
            <w:r w:rsidRPr="009C39DF">
              <w:rPr>
                <w:sz w:val="20"/>
              </w:rPr>
              <w:t xml:space="preserve">The </w:t>
            </w:r>
            <w:r w:rsidR="005908A4">
              <w:rPr>
                <w:sz w:val="20"/>
              </w:rPr>
              <w:t xml:space="preserve">SAI </w:t>
            </w:r>
            <w:r w:rsidRPr="009C39DF">
              <w:rPr>
                <w:sz w:val="20"/>
              </w:rPr>
              <w:t xml:space="preserve">operates independently from the </w:t>
            </w:r>
            <w:r w:rsidR="00EA41A6">
              <w:rPr>
                <w:sz w:val="20"/>
              </w:rPr>
              <w:t>E</w:t>
            </w:r>
            <w:r w:rsidRPr="009C39DF">
              <w:rPr>
                <w:sz w:val="20"/>
              </w:rPr>
              <w:t xml:space="preserve">xecutive with respect to procedures for appointment and removal of the Head of the </w:t>
            </w:r>
            <w:r w:rsidR="00AA1C73">
              <w:rPr>
                <w:sz w:val="20"/>
              </w:rPr>
              <w:t>SAI</w:t>
            </w:r>
            <w:r w:rsidRPr="009C39DF">
              <w:rPr>
                <w:sz w:val="20"/>
              </w:rPr>
              <w:t xml:space="preserve">, the planning of audit engagements, arrangements for publicizing reports, and the approval and execution of </w:t>
            </w:r>
            <w:r w:rsidR="00AA1C73">
              <w:rPr>
                <w:sz w:val="20"/>
              </w:rPr>
              <w:t>the SAI’s</w:t>
            </w:r>
            <w:r w:rsidR="00AA1C73" w:rsidRPr="009C39DF">
              <w:rPr>
                <w:sz w:val="20"/>
              </w:rPr>
              <w:t xml:space="preserve"> </w:t>
            </w:r>
            <w:r w:rsidRPr="009C39DF">
              <w:rPr>
                <w:sz w:val="20"/>
              </w:rPr>
              <w:t>budget. This independence is assured by law. The SAI has unrestricted and timely access to records, documentation</w:t>
            </w:r>
            <w:r w:rsidR="00EA41A6">
              <w:rPr>
                <w:sz w:val="20"/>
              </w:rPr>
              <w:t>,</w:t>
            </w:r>
            <w:r w:rsidRPr="009C39DF">
              <w:rPr>
                <w:sz w:val="20"/>
              </w:rPr>
              <w:t xml:space="preserve"> and information.</w:t>
            </w:r>
          </w:p>
        </w:tc>
      </w:tr>
    </w:tbl>
    <w:p w14:paraId="5C97EF60" w14:textId="77777777" w:rsidR="00F23E7D" w:rsidRPr="00890A84" w:rsidRDefault="00033A33" w:rsidP="00BA6B2B">
      <w:pPr>
        <w:pStyle w:val="Heading5"/>
      </w:pPr>
      <w:r w:rsidRPr="00890A84">
        <w:t>PI-</w:t>
      </w:r>
      <w:r w:rsidR="00F23E7D" w:rsidRPr="00890A84">
        <w:t xml:space="preserve">30.1. Audit coverage and standards </w:t>
      </w:r>
    </w:p>
    <w:p w14:paraId="4BC71DA6" w14:textId="66F9CF92" w:rsidR="003D0A20" w:rsidRPr="00B5380E" w:rsidRDefault="003D0A20" w:rsidP="00B5380E">
      <w:pPr>
        <w:spacing w:after="240"/>
        <w:rPr>
          <w:sz w:val="22"/>
        </w:rPr>
      </w:pPr>
      <w:r w:rsidRPr="00B5380E">
        <w:rPr>
          <w:sz w:val="22"/>
        </w:rPr>
        <w:t>The OAG, headed by the Auditor</w:t>
      </w:r>
      <w:r w:rsidR="008F1990">
        <w:rPr>
          <w:sz w:val="22"/>
        </w:rPr>
        <w:t xml:space="preserve"> </w:t>
      </w:r>
      <w:r w:rsidRPr="00B5380E">
        <w:rPr>
          <w:sz w:val="22"/>
        </w:rPr>
        <w:t>General, has the primary oversight role of ensuring accountability in the use of public resources. The OAG may audit the accounts of any entity that is funded from public funds (including SAGAs, as discussed under PI-10). The Constitution and Public Audit Act, 2015</w:t>
      </w:r>
      <w:r w:rsidR="00A315D2">
        <w:rPr>
          <w:sz w:val="22"/>
        </w:rPr>
        <w:t>,</w:t>
      </w:r>
      <w:r w:rsidRPr="00B5380E">
        <w:rPr>
          <w:sz w:val="22"/>
        </w:rPr>
        <w:t xml:space="preserve"> specify that </w:t>
      </w:r>
      <w:r w:rsidR="00A315D2">
        <w:rPr>
          <w:sz w:val="22"/>
        </w:rPr>
        <w:t xml:space="preserve">the </w:t>
      </w:r>
      <w:r w:rsidRPr="00B5380E">
        <w:rPr>
          <w:sz w:val="22"/>
        </w:rPr>
        <w:t xml:space="preserve">OAG must, within 6 months of the end of the FY, audit and report on the accounts of all </w:t>
      </w:r>
      <w:r w:rsidR="00A315D2">
        <w:rPr>
          <w:sz w:val="22"/>
        </w:rPr>
        <w:t>c</w:t>
      </w:r>
      <w:r w:rsidRPr="00B5380E">
        <w:rPr>
          <w:sz w:val="22"/>
        </w:rPr>
        <w:t xml:space="preserve">ounty </w:t>
      </w:r>
      <w:r w:rsidR="00A315D2">
        <w:rPr>
          <w:sz w:val="22"/>
        </w:rPr>
        <w:t>g</w:t>
      </w:r>
      <w:r w:rsidRPr="00B5380E">
        <w:rPr>
          <w:sz w:val="22"/>
        </w:rPr>
        <w:t>overnment entities, covering revenue, expenditure, assets, and liabilities, using ISSAIs or consistent national auditing standards. The audit reports should highlight relevant material issues</w:t>
      </w:r>
      <w:r w:rsidR="00A315D2">
        <w:rPr>
          <w:sz w:val="22"/>
        </w:rPr>
        <w:t xml:space="preserve"> and</w:t>
      </w:r>
      <w:r w:rsidRPr="00B5380E">
        <w:rPr>
          <w:sz w:val="22"/>
        </w:rPr>
        <w:t xml:space="preserve"> systemic and control risks. In</w:t>
      </w:r>
      <w:r w:rsidR="00A315D2">
        <w:rPr>
          <w:sz w:val="22"/>
        </w:rPr>
        <w:t>-</w:t>
      </w:r>
      <w:r w:rsidRPr="00B5380E">
        <w:rPr>
          <w:sz w:val="22"/>
        </w:rPr>
        <w:t>depth audits should be carried out on the basis of risk analysis methods. More emphasis is given to performance audits (value for money) forensic audits and procurement/asset disposal than under the previous law (sections 34</w:t>
      </w:r>
      <w:r w:rsidR="00A315D2">
        <w:rPr>
          <w:sz w:val="22"/>
        </w:rPr>
        <w:t>–</w:t>
      </w:r>
      <w:r w:rsidRPr="00B5380E">
        <w:rPr>
          <w:sz w:val="22"/>
        </w:rPr>
        <w:t>38 of the Public Audit Act, 2015).</w:t>
      </w:r>
      <w:r w:rsidR="000C73E4" w:rsidRPr="00B5380E">
        <w:rPr>
          <w:sz w:val="22"/>
        </w:rPr>
        <w:t xml:space="preserve"> </w:t>
      </w:r>
      <w:r w:rsidRPr="00B5380E">
        <w:rPr>
          <w:sz w:val="22"/>
        </w:rPr>
        <w:t xml:space="preserve">The OAG annually audits all county government MDAs that are linked to IFMIS. </w:t>
      </w:r>
      <w:r w:rsidR="00E23AE3" w:rsidRPr="00B5380E">
        <w:rPr>
          <w:sz w:val="22"/>
        </w:rPr>
        <w:t>Public establishments</w:t>
      </w:r>
      <w:r w:rsidR="00210254" w:rsidRPr="00B5380E">
        <w:rPr>
          <w:sz w:val="22"/>
        </w:rPr>
        <w:t xml:space="preserve"> are not </w:t>
      </w:r>
      <w:r w:rsidR="004F5FBA" w:rsidRPr="00B5380E">
        <w:rPr>
          <w:sz w:val="22"/>
        </w:rPr>
        <w:t>regularly audited</w:t>
      </w:r>
      <w:r w:rsidR="00E23AE3" w:rsidRPr="00B5380E">
        <w:rPr>
          <w:sz w:val="22"/>
        </w:rPr>
        <w:t>,</w:t>
      </w:r>
      <w:r w:rsidR="00210254" w:rsidRPr="00B5380E">
        <w:rPr>
          <w:sz w:val="22"/>
        </w:rPr>
        <w:t xml:space="preserve"> as they are not connected to IFMIS. </w:t>
      </w:r>
      <w:r w:rsidR="00E23AE3" w:rsidRPr="00B5380E">
        <w:rPr>
          <w:sz w:val="22"/>
        </w:rPr>
        <w:t xml:space="preserve">Very few </w:t>
      </w:r>
      <w:r w:rsidR="00210254" w:rsidRPr="00B5380E">
        <w:rPr>
          <w:sz w:val="22"/>
        </w:rPr>
        <w:t xml:space="preserve">specific </w:t>
      </w:r>
      <w:r w:rsidR="00E23AE3" w:rsidRPr="00B5380E">
        <w:rPr>
          <w:sz w:val="22"/>
        </w:rPr>
        <w:t>audits</w:t>
      </w:r>
      <w:r w:rsidR="00210254" w:rsidRPr="00B5380E">
        <w:rPr>
          <w:sz w:val="22"/>
        </w:rPr>
        <w:t xml:space="preserve"> </w:t>
      </w:r>
      <w:r w:rsidR="00E23AE3" w:rsidRPr="00B5380E">
        <w:rPr>
          <w:sz w:val="22"/>
        </w:rPr>
        <w:t>have</w:t>
      </w:r>
      <w:r w:rsidR="00210254" w:rsidRPr="00B5380E">
        <w:rPr>
          <w:sz w:val="22"/>
        </w:rPr>
        <w:t xml:space="preserve"> been conducted on them during the last three completed FYs.</w:t>
      </w:r>
    </w:p>
    <w:p w14:paraId="376BEE39" w14:textId="59BD271F" w:rsidR="00F23E7D" w:rsidRPr="00B5380E" w:rsidRDefault="00794A56" w:rsidP="00B5380E">
      <w:pPr>
        <w:spacing w:after="240"/>
        <w:rPr>
          <w:sz w:val="22"/>
        </w:rPr>
      </w:pPr>
      <w:r w:rsidRPr="00B5380E">
        <w:rPr>
          <w:sz w:val="22"/>
        </w:rPr>
        <w:t>A</w:t>
      </w:r>
      <w:r w:rsidR="00F23E7D" w:rsidRPr="00B5380E">
        <w:rPr>
          <w:sz w:val="22"/>
        </w:rPr>
        <w:t>udits</w:t>
      </w:r>
      <w:r w:rsidR="000C73E4" w:rsidRPr="00B5380E">
        <w:rPr>
          <w:sz w:val="22"/>
        </w:rPr>
        <w:t xml:space="preserve"> </w:t>
      </w:r>
      <w:r w:rsidR="003D0A20" w:rsidRPr="00B5380E">
        <w:rPr>
          <w:sz w:val="22"/>
        </w:rPr>
        <w:t xml:space="preserve">for </w:t>
      </w:r>
      <w:r w:rsidR="00E07DF0" w:rsidRPr="00B5380E">
        <w:rPr>
          <w:sz w:val="22"/>
        </w:rPr>
        <w:t>the last three fiscal years</w:t>
      </w:r>
      <w:r w:rsidRPr="00B5380E">
        <w:rPr>
          <w:sz w:val="22"/>
        </w:rPr>
        <w:t xml:space="preserve"> were </w:t>
      </w:r>
      <w:r w:rsidR="00B3328D" w:rsidRPr="00B5380E">
        <w:rPr>
          <w:sz w:val="22"/>
        </w:rPr>
        <w:t>provided</w:t>
      </w:r>
      <w:r w:rsidR="003D0A20" w:rsidRPr="00B5380E">
        <w:rPr>
          <w:sz w:val="22"/>
        </w:rPr>
        <w:t xml:space="preserve">. </w:t>
      </w:r>
      <w:r w:rsidR="00B3328D" w:rsidRPr="00B5380E">
        <w:rPr>
          <w:sz w:val="22"/>
        </w:rPr>
        <w:t>These</w:t>
      </w:r>
      <w:r w:rsidR="00F23E7D" w:rsidRPr="00B5380E">
        <w:rPr>
          <w:sz w:val="22"/>
        </w:rPr>
        <w:t xml:space="preserve"> audits were undertaken to assess the adequacy and reliability of the systems of management and financial controls instituted by the management of the </w:t>
      </w:r>
      <w:r w:rsidR="00A315D2">
        <w:rPr>
          <w:sz w:val="22"/>
        </w:rPr>
        <w:t>c</w:t>
      </w:r>
      <w:r w:rsidR="00F23E7D" w:rsidRPr="00B5380E">
        <w:rPr>
          <w:sz w:val="22"/>
        </w:rPr>
        <w:t xml:space="preserve">ounty </w:t>
      </w:r>
      <w:r w:rsidR="00A315D2">
        <w:rPr>
          <w:sz w:val="22"/>
        </w:rPr>
        <w:t>g</w:t>
      </w:r>
      <w:r w:rsidR="00F23E7D" w:rsidRPr="00B5380E">
        <w:rPr>
          <w:sz w:val="22"/>
        </w:rPr>
        <w:t>overnment in running its affairs with emphasis on the utilization of public resources. The audit coverage was</w:t>
      </w:r>
      <w:r w:rsidR="00A315D2">
        <w:rPr>
          <w:sz w:val="22"/>
        </w:rPr>
        <w:t xml:space="preserve"> the following</w:t>
      </w:r>
      <w:r w:rsidR="00F23E7D" w:rsidRPr="00B5380E">
        <w:rPr>
          <w:sz w:val="22"/>
        </w:rPr>
        <w:t>:</w:t>
      </w:r>
    </w:p>
    <w:p w14:paraId="429EC7E4" w14:textId="4892B677" w:rsidR="00F23E7D" w:rsidRPr="009C39DF" w:rsidRDefault="00F23E7D" w:rsidP="000B4EB8">
      <w:pPr>
        <w:pStyle w:val="ListParagraph"/>
        <w:numPr>
          <w:ilvl w:val="0"/>
          <w:numId w:val="13"/>
        </w:numPr>
        <w:spacing w:after="240"/>
        <w:contextualSpacing w:val="0"/>
        <w:rPr>
          <w:sz w:val="22"/>
        </w:rPr>
      </w:pPr>
      <w:r w:rsidRPr="009C39DF">
        <w:rPr>
          <w:sz w:val="22"/>
        </w:rPr>
        <w:t>Assessment of controls over management of cash and bank accounts</w:t>
      </w:r>
    </w:p>
    <w:p w14:paraId="60673EBB" w14:textId="618C8F90" w:rsidR="00F23E7D" w:rsidRPr="009C39DF" w:rsidRDefault="00F23E7D" w:rsidP="000B4EB8">
      <w:pPr>
        <w:pStyle w:val="ListParagraph"/>
        <w:numPr>
          <w:ilvl w:val="0"/>
          <w:numId w:val="13"/>
        </w:numPr>
        <w:spacing w:after="240"/>
        <w:contextualSpacing w:val="0"/>
        <w:rPr>
          <w:sz w:val="22"/>
        </w:rPr>
      </w:pPr>
      <w:r w:rsidRPr="009C39DF">
        <w:rPr>
          <w:sz w:val="22"/>
        </w:rPr>
        <w:t xml:space="preserve">Assessment of controls over management of assets under the control of the </w:t>
      </w:r>
      <w:r w:rsidR="00CC4B34">
        <w:rPr>
          <w:sz w:val="22"/>
        </w:rPr>
        <w:t>c</w:t>
      </w:r>
      <w:r w:rsidRPr="009C39DF">
        <w:rPr>
          <w:sz w:val="22"/>
        </w:rPr>
        <w:t xml:space="preserve">ounty </w:t>
      </w:r>
      <w:r w:rsidR="00CC4B34">
        <w:rPr>
          <w:sz w:val="22"/>
        </w:rPr>
        <w:t>g</w:t>
      </w:r>
      <w:r w:rsidRPr="009C39DF">
        <w:rPr>
          <w:sz w:val="22"/>
        </w:rPr>
        <w:t>overnment</w:t>
      </w:r>
    </w:p>
    <w:p w14:paraId="73DE8205" w14:textId="23A3A6A4" w:rsidR="00F23E7D" w:rsidRPr="009C39DF" w:rsidRDefault="00F23E7D" w:rsidP="000B4EB8">
      <w:pPr>
        <w:pStyle w:val="ListParagraph"/>
        <w:numPr>
          <w:ilvl w:val="0"/>
          <w:numId w:val="13"/>
        </w:numPr>
        <w:spacing w:after="240"/>
        <w:contextualSpacing w:val="0"/>
        <w:rPr>
          <w:sz w:val="22"/>
        </w:rPr>
      </w:pPr>
      <w:r w:rsidRPr="009C39DF">
        <w:rPr>
          <w:sz w:val="22"/>
        </w:rPr>
        <w:t>Assessment of compliance with the procurement laws in acquisition of goods or services</w:t>
      </w:r>
    </w:p>
    <w:p w14:paraId="3A2EDDD9" w14:textId="28909BDA" w:rsidR="00F23E7D" w:rsidRPr="009C39DF" w:rsidRDefault="00F23E7D" w:rsidP="000B4EB8">
      <w:pPr>
        <w:pStyle w:val="ListParagraph"/>
        <w:numPr>
          <w:ilvl w:val="0"/>
          <w:numId w:val="13"/>
        </w:numPr>
        <w:spacing w:after="240"/>
        <w:contextualSpacing w:val="0"/>
        <w:rPr>
          <w:sz w:val="22"/>
        </w:rPr>
      </w:pPr>
      <w:r w:rsidRPr="009C39DF">
        <w:rPr>
          <w:sz w:val="22"/>
        </w:rPr>
        <w:t xml:space="preserve">Assessment of compliance with </w:t>
      </w:r>
      <w:r w:rsidR="00CC4B34">
        <w:rPr>
          <w:sz w:val="22"/>
        </w:rPr>
        <w:t xml:space="preserve">the </w:t>
      </w:r>
      <w:r w:rsidR="00FB6314">
        <w:rPr>
          <w:sz w:val="22"/>
        </w:rPr>
        <w:t xml:space="preserve">PFM </w:t>
      </w:r>
      <w:r w:rsidRPr="009C39DF">
        <w:rPr>
          <w:sz w:val="22"/>
        </w:rPr>
        <w:t>Act, 2012</w:t>
      </w:r>
      <w:r w:rsidR="00FB6314">
        <w:rPr>
          <w:sz w:val="22"/>
        </w:rPr>
        <w:t>,</w:t>
      </w:r>
      <w:r w:rsidRPr="009C39DF">
        <w:rPr>
          <w:sz w:val="22"/>
        </w:rPr>
        <w:t xml:space="preserve"> in the utilization of public funds</w:t>
      </w:r>
    </w:p>
    <w:p w14:paraId="33019431" w14:textId="4EB7CB6B" w:rsidR="00F23E7D" w:rsidRPr="009C39DF" w:rsidRDefault="00F23E7D" w:rsidP="000B4EB8">
      <w:pPr>
        <w:pStyle w:val="ListParagraph"/>
        <w:numPr>
          <w:ilvl w:val="0"/>
          <w:numId w:val="13"/>
        </w:numPr>
        <w:spacing w:after="240"/>
        <w:contextualSpacing w:val="0"/>
        <w:rPr>
          <w:sz w:val="22"/>
        </w:rPr>
      </w:pPr>
      <w:r w:rsidRPr="009C39DF">
        <w:rPr>
          <w:sz w:val="22"/>
        </w:rPr>
        <w:t>Compliance with other relevant laws and regulations</w:t>
      </w:r>
    </w:p>
    <w:p w14:paraId="5E9EE4C8" w14:textId="7C039DCF" w:rsidR="00F23E7D" w:rsidRPr="009C39DF" w:rsidRDefault="00F23E7D" w:rsidP="000B4EB8">
      <w:pPr>
        <w:pStyle w:val="ListParagraph"/>
        <w:numPr>
          <w:ilvl w:val="0"/>
          <w:numId w:val="13"/>
        </w:numPr>
        <w:spacing w:after="240"/>
        <w:contextualSpacing w:val="0"/>
        <w:rPr>
          <w:sz w:val="22"/>
        </w:rPr>
      </w:pPr>
      <w:r w:rsidRPr="009C39DF">
        <w:rPr>
          <w:sz w:val="22"/>
        </w:rPr>
        <w:t>To ascertain the integrity and reliability of financial and other information used by management in the utilization of public funds</w:t>
      </w:r>
    </w:p>
    <w:p w14:paraId="1F49AA2F" w14:textId="4255DAB5" w:rsidR="00F23E7D" w:rsidRPr="009C39DF" w:rsidRDefault="00F23E7D" w:rsidP="000B4EB8">
      <w:pPr>
        <w:pStyle w:val="ListParagraph"/>
        <w:numPr>
          <w:ilvl w:val="0"/>
          <w:numId w:val="13"/>
        </w:numPr>
        <w:spacing w:after="240"/>
        <w:contextualSpacing w:val="0"/>
        <w:rPr>
          <w:sz w:val="22"/>
        </w:rPr>
      </w:pPr>
      <w:r w:rsidRPr="009C39DF">
        <w:rPr>
          <w:sz w:val="22"/>
        </w:rPr>
        <w:t>To confirm that all necessary supporting documents, records</w:t>
      </w:r>
      <w:r w:rsidR="00CC4B34">
        <w:rPr>
          <w:sz w:val="22"/>
        </w:rPr>
        <w:t>,</w:t>
      </w:r>
      <w:r w:rsidRPr="009C39DF">
        <w:rPr>
          <w:sz w:val="22"/>
        </w:rPr>
        <w:t xml:space="preserve"> and accounts have been kept </w:t>
      </w:r>
      <w:r w:rsidR="00CC4B34">
        <w:rPr>
          <w:sz w:val="22"/>
        </w:rPr>
        <w:t>with</w:t>
      </w:r>
      <w:r w:rsidR="00CC4B34" w:rsidRPr="009C39DF">
        <w:rPr>
          <w:sz w:val="22"/>
        </w:rPr>
        <w:t xml:space="preserve"> </w:t>
      </w:r>
      <w:r w:rsidRPr="009C39DF">
        <w:rPr>
          <w:sz w:val="22"/>
        </w:rPr>
        <w:t xml:space="preserve">respect </w:t>
      </w:r>
      <w:r w:rsidR="00CC4B34">
        <w:rPr>
          <w:sz w:val="22"/>
        </w:rPr>
        <w:t>to</w:t>
      </w:r>
      <w:r w:rsidR="00CC4B34" w:rsidRPr="009C39DF">
        <w:rPr>
          <w:sz w:val="22"/>
        </w:rPr>
        <w:t xml:space="preserve"> </w:t>
      </w:r>
      <w:r w:rsidRPr="009C39DF">
        <w:rPr>
          <w:sz w:val="22"/>
        </w:rPr>
        <w:t>all transactions</w:t>
      </w:r>
    </w:p>
    <w:p w14:paraId="2A80FFE3" w14:textId="164B02B9" w:rsidR="00E07DF0" w:rsidRPr="00893B4A" w:rsidRDefault="00E07DF0" w:rsidP="00B5380E">
      <w:pPr>
        <w:spacing w:after="240"/>
        <w:rPr>
          <w:sz w:val="22"/>
        </w:rPr>
      </w:pPr>
      <w:r w:rsidRPr="00B5380E">
        <w:rPr>
          <w:sz w:val="22"/>
        </w:rPr>
        <w:t xml:space="preserve">The </w:t>
      </w:r>
      <w:r w:rsidR="00CC4B34" w:rsidRPr="00B5380E">
        <w:rPr>
          <w:sz w:val="22"/>
        </w:rPr>
        <w:t xml:space="preserve">FY2013/14 </w:t>
      </w:r>
      <w:r w:rsidRPr="00B5380E">
        <w:rPr>
          <w:sz w:val="22"/>
        </w:rPr>
        <w:t xml:space="preserve">audit report of the OAG did not highlight any relevant material issues, but no opinion was given, the OAG expressed a non-qualified opinion in its audit report </w:t>
      </w:r>
      <w:r w:rsidR="00CC4B34">
        <w:rPr>
          <w:sz w:val="22"/>
        </w:rPr>
        <w:t>i</w:t>
      </w:r>
      <w:r w:rsidRPr="00B5380E">
        <w:rPr>
          <w:sz w:val="22"/>
        </w:rPr>
        <w:t>n FY2014/15</w:t>
      </w:r>
      <w:r w:rsidR="00CC4B34">
        <w:rPr>
          <w:sz w:val="22"/>
        </w:rPr>
        <w:t>,</w:t>
      </w:r>
      <w:r w:rsidRPr="00B5380E">
        <w:rPr>
          <w:sz w:val="22"/>
        </w:rPr>
        <w:t xml:space="preserve"> and the audit report </w:t>
      </w:r>
      <w:r w:rsidR="00CC4B34">
        <w:rPr>
          <w:sz w:val="22"/>
        </w:rPr>
        <w:t>in</w:t>
      </w:r>
      <w:r w:rsidR="00CC4B34" w:rsidRPr="00B5380E">
        <w:rPr>
          <w:sz w:val="22"/>
        </w:rPr>
        <w:t xml:space="preserve"> </w:t>
      </w:r>
      <w:r w:rsidRPr="00B5380E">
        <w:rPr>
          <w:sz w:val="22"/>
        </w:rPr>
        <w:t>FY2015/16 provided a positive opinion.</w:t>
      </w:r>
    </w:p>
    <w:p w14:paraId="59855288" w14:textId="738C53F1" w:rsidR="006F0846" w:rsidRDefault="00F5429C" w:rsidP="00B5380E">
      <w:pPr>
        <w:spacing w:after="240"/>
        <w:rPr>
          <w:sz w:val="22"/>
        </w:rPr>
      </w:pPr>
      <w:r w:rsidRPr="00B5380E">
        <w:rPr>
          <w:sz w:val="22"/>
        </w:rPr>
        <w:t xml:space="preserve">In summary, </w:t>
      </w:r>
      <w:r w:rsidR="00BA77EE">
        <w:rPr>
          <w:sz w:val="22"/>
        </w:rPr>
        <w:t xml:space="preserve">the </w:t>
      </w:r>
      <w:r w:rsidR="00893B4A" w:rsidRPr="00893B4A">
        <w:rPr>
          <w:sz w:val="22"/>
        </w:rPr>
        <w:t>OA</w:t>
      </w:r>
      <w:r w:rsidR="00BA77EE">
        <w:rPr>
          <w:sz w:val="22"/>
        </w:rPr>
        <w:t>G</w:t>
      </w:r>
      <w:r w:rsidR="00893B4A" w:rsidRPr="00893B4A">
        <w:rPr>
          <w:sz w:val="22"/>
        </w:rPr>
        <w:t xml:space="preserve"> is using ISSAIs on all external audits of </w:t>
      </w:r>
      <w:r w:rsidR="00CC4B34">
        <w:rPr>
          <w:sz w:val="22"/>
        </w:rPr>
        <w:t>n</w:t>
      </w:r>
      <w:r w:rsidR="00893B4A" w:rsidRPr="00893B4A">
        <w:rPr>
          <w:sz w:val="22"/>
        </w:rPr>
        <w:t xml:space="preserve">ational and </w:t>
      </w:r>
      <w:r w:rsidR="00CC4B34">
        <w:rPr>
          <w:sz w:val="22"/>
        </w:rPr>
        <w:t>c</w:t>
      </w:r>
      <w:r w:rsidR="00893B4A" w:rsidRPr="00893B4A">
        <w:rPr>
          <w:sz w:val="22"/>
        </w:rPr>
        <w:t xml:space="preserve">ounty </w:t>
      </w:r>
      <w:r w:rsidR="00CC4B34">
        <w:rPr>
          <w:sz w:val="22"/>
        </w:rPr>
        <w:t>g</w:t>
      </w:r>
      <w:r w:rsidR="00893B4A" w:rsidRPr="00893B4A">
        <w:rPr>
          <w:sz w:val="22"/>
        </w:rPr>
        <w:t>overnments, but public establishments are not regularly audited, as they are not connected to</w:t>
      </w:r>
      <w:r w:rsidR="00CC4B34">
        <w:rPr>
          <w:sz w:val="22"/>
        </w:rPr>
        <w:t xml:space="preserve"> the</w:t>
      </w:r>
      <w:r w:rsidR="00893B4A" w:rsidRPr="00893B4A">
        <w:rPr>
          <w:sz w:val="22"/>
        </w:rPr>
        <w:t xml:space="preserve"> IFMIS.</w:t>
      </w:r>
      <w:r w:rsidR="00893B4A">
        <w:rPr>
          <w:sz w:val="22"/>
        </w:rPr>
        <w:t xml:space="preserve"> </w:t>
      </w:r>
    </w:p>
    <w:p w14:paraId="33EE9017" w14:textId="697D28BA" w:rsidR="006F0846" w:rsidRPr="009C39DF" w:rsidRDefault="006F0846" w:rsidP="00B5380E">
      <w:pPr>
        <w:spacing w:after="240"/>
        <w:rPr>
          <w:b/>
          <w:sz w:val="22"/>
        </w:rPr>
      </w:pPr>
      <w:r w:rsidRPr="009C39DF">
        <w:rPr>
          <w:b/>
          <w:sz w:val="22"/>
        </w:rPr>
        <w:t>Dimension rating = B</w:t>
      </w:r>
    </w:p>
    <w:p w14:paraId="31E56282" w14:textId="77777777" w:rsidR="00F23E7D" w:rsidRPr="00890A84" w:rsidRDefault="00033A33" w:rsidP="00BA6B2B">
      <w:pPr>
        <w:pStyle w:val="Heading5"/>
      </w:pPr>
      <w:r w:rsidRPr="00890A84">
        <w:t>PI-</w:t>
      </w:r>
      <w:r w:rsidR="00F23E7D" w:rsidRPr="00890A84">
        <w:t xml:space="preserve">30.2. Submission of audit reports to the legislature </w:t>
      </w:r>
    </w:p>
    <w:p w14:paraId="4800F429" w14:textId="6AB7F184" w:rsidR="002857DD" w:rsidRPr="00B5380E" w:rsidRDefault="00432F14" w:rsidP="00B5380E">
      <w:pPr>
        <w:spacing w:after="240"/>
        <w:rPr>
          <w:sz w:val="22"/>
        </w:rPr>
      </w:pPr>
      <w:r w:rsidRPr="00B5380E">
        <w:rPr>
          <w:sz w:val="22"/>
        </w:rPr>
        <w:t>According to the PFM Act, 2012, it is not the responsibility of the County Executive to forward audit reports to the County Assembly. This is done directly by the OAG. Table 3.</w:t>
      </w:r>
      <w:r w:rsidR="00CC4B34">
        <w:rPr>
          <w:sz w:val="22"/>
        </w:rPr>
        <w:t>2</w:t>
      </w:r>
      <w:r w:rsidR="000B4EB8">
        <w:rPr>
          <w:sz w:val="22"/>
        </w:rPr>
        <w:t>6</w:t>
      </w:r>
      <w:r w:rsidR="00CC4B34" w:rsidRPr="00B5380E">
        <w:rPr>
          <w:sz w:val="22"/>
        </w:rPr>
        <w:t xml:space="preserve"> </w:t>
      </w:r>
      <w:r w:rsidRPr="00B5380E">
        <w:rPr>
          <w:sz w:val="22"/>
        </w:rPr>
        <w:t>presents dates for the submission of audit reports to the legislature (Senate and the County Assembly)</w:t>
      </w:r>
      <w:r w:rsidR="00F23E7D" w:rsidRPr="00B5380E">
        <w:rPr>
          <w:sz w:val="22"/>
        </w:rPr>
        <w:t>.</w:t>
      </w:r>
      <w:r w:rsidR="0030208C" w:rsidRPr="00B5380E">
        <w:rPr>
          <w:sz w:val="22"/>
        </w:rPr>
        <w:t xml:space="preserve"> The scoring has been based on the last </w:t>
      </w:r>
      <w:r w:rsidR="00DE7E80" w:rsidRPr="00B5380E">
        <w:rPr>
          <w:sz w:val="22"/>
        </w:rPr>
        <w:t>submission of AFS, to avoid scoring the same situation twice.</w:t>
      </w:r>
    </w:p>
    <w:p w14:paraId="0C72EECA" w14:textId="2DB938FC" w:rsidR="0048397F" w:rsidRPr="00890A84" w:rsidRDefault="004B6441" w:rsidP="00590C8E">
      <w:pPr>
        <w:pStyle w:val="TableStyle"/>
      </w:pPr>
      <w:bookmarkStart w:id="119" w:name="_Toc530420895"/>
      <w:bookmarkStart w:id="120" w:name="_Toc532426113"/>
      <w:r>
        <w:t>Table</w:t>
      </w:r>
      <w:r w:rsidR="00CC4B34">
        <w:t xml:space="preserv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26</w:t>
      </w:r>
      <w:r w:rsidR="008B59A7">
        <w:rPr>
          <w:noProof/>
        </w:rPr>
        <w:fldChar w:fldCharType="end"/>
      </w:r>
      <w:r w:rsidR="0048397F" w:rsidRPr="00890A84">
        <w:t>: Submission of audit reports to the legislature</w:t>
      </w:r>
      <w:r w:rsidR="009D53B1">
        <w:t xml:space="preserve"> for the last </w:t>
      </w:r>
      <w:r w:rsidR="00F677C9">
        <w:t xml:space="preserve">three </w:t>
      </w:r>
      <w:r w:rsidR="009D53B1">
        <w:t>FY</w:t>
      </w:r>
      <w:bookmarkEnd w:id="119"/>
      <w:r w:rsidR="00F677C9">
        <w:t>s</w:t>
      </w:r>
      <w:bookmarkEnd w:id="120"/>
    </w:p>
    <w:tbl>
      <w:tblPr>
        <w:tblW w:w="90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316"/>
        <w:gridCol w:w="2512"/>
        <w:gridCol w:w="2544"/>
        <w:gridCol w:w="2700"/>
      </w:tblGrid>
      <w:tr w:rsidR="00E07DF0" w:rsidRPr="009C39DF" w14:paraId="3D73F792" w14:textId="77777777" w:rsidTr="00CC4B34">
        <w:trPr>
          <w:tblHeader/>
        </w:trPr>
        <w:tc>
          <w:tcPr>
            <w:tcW w:w="1316" w:type="dxa"/>
            <w:shd w:val="clear" w:color="auto" w:fill="5B9BD5"/>
          </w:tcPr>
          <w:p w14:paraId="303F7CB9" w14:textId="77777777" w:rsidR="00E07DF0" w:rsidRPr="009C39DF" w:rsidRDefault="00E07DF0" w:rsidP="00852716">
            <w:pPr>
              <w:keepNext/>
              <w:jc w:val="center"/>
              <w:rPr>
                <w:b/>
                <w:color w:val="FFFFFF" w:themeColor="background1"/>
                <w:sz w:val="20"/>
              </w:rPr>
            </w:pPr>
            <w:r w:rsidRPr="009C39DF">
              <w:rPr>
                <w:b/>
                <w:color w:val="FFFFFF" w:themeColor="background1"/>
                <w:sz w:val="20"/>
              </w:rPr>
              <w:t>Year</w:t>
            </w:r>
          </w:p>
        </w:tc>
        <w:tc>
          <w:tcPr>
            <w:tcW w:w="2512" w:type="dxa"/>
            <w:shd w:val="clear" w:color="auto" w:fill="5B9BD5"/>
          </w:tcPr>
          <w:p w14:paraId="0EA087AC" w14:textId="77777777" w:rsidR="00E07DF0" w:rsidRPr="009C39DF" w:rsidRDefault="00E07DF0" w:rsidP="00852716">
            <w:pPr>
              <w:keepNext/>
              <w:jc w:val="center"/>
              <w:rPr>
                <w:rFonts w:ascii="Arial" w:hAnsi="Arial"/>
                <w:b/>
                <w:color w:val="FFFFFF" w:themeColor="background1"/>
                <w:sz w:val="20"/>
                <w:lang w:val="nl-NL"/>
              </w:rPr>
            </w:pPr>
            <w:r w:rsidRPr="009C39DF">
              <w:rPr>
                <w:b/>
                <w:color w:val="FFFFFF" w:themeColor="background1"/>
                <w:sz w:val="20"/>
              </w:rPr>
              <w:t xml:space="preserve">Date </w:t>
            </w:r>
            <w:r w:rsidR="00C3128D" w:rsidRPr="009C39DF">
              <w:rPr>
                <w:b/>
                <w:color w:val="FFFFFF" w:themeColor="background1"/>
                <w:sz w:val="20"/>
              </w:rPr>
              <w:t>AFS</w:t>
            </w:r>
            <w:r w:rsidRPr="009C39DF">
              <w:rPr>
                <w:b/>
                <w:color w:val="FFFFFF" w:themeColor="background1"/>
                <w:sz w:val="20"/>
              </w:rPr>
              <w:t xml:space="preserve"> signed by CE</w:t>
            </w:r>
          </w:p>
        </w:tc>
        <w:tc>
          <w:tcPr>
            <w:tcW w:w="2544" w:type="dxa"/>
            <w:shd w:val="clear" w:color="auto" w:fill="5B9BD5"/>
          </w:tcPr>
          <w:p w14:paraId="3F818962" w14:textId="545CFC8A" w:rsidR="00E07DF0" w:rsidRPr="009C39DF" w:rsidRDefault="00E07DF0" w:rsidP="00852716">
            <w:pPr>
              <w:keepNext/>
              <w:jc w:val="center"/>
              <w:rPr>
                <w:b/>
                <w:color w:val="FFFFFF" w:themeColor="background1"/>
                <w:sz w:val="20"/>
              </w:rPr>
            </w:pPr>
            <w:r w:rsidRPr="009C39DF">
              <w:rPr>
                <w:b/>
                <w:color w:val="FFFFFF" w:themeColor="background1"/>
                <w:sz w:val="20"/>
              </w:rPr>
              <w:t xml:space="preserve">Date </w:t>
            </w:r>
            <w:r w:rsidR="00BB3C2C" w:rsidRPr="009C39DF">
              <w:rPr>
                <w:b/>
                <w:color w:val="FFFFFF" w:themeColor="background1"/>
                <w:sz w:val="20"/>
              </w:rPr>
              <w:t xml:space="preserve">of </w:t>
            </w:r>
            <w:r w:rsidR="00920059" w:rsidRPr="009C39DF">
              <w:rPr>
                <w:b/>
                <w:color w:val="FFFFFF" w:themeColor="background1"/>
                <w:sz w:val="20"/>
              </w:rPr>
              <w:t>OAG report</w:t>
            </w:r>
          </w:p>
        </w:tc>
        <w:tc>
          <w:tcPr>
            <w:tcW w:w="2700" w:type="dxa"/>
            <w:shd w:val="clear" w:color="auto" w:fill="5B9BD5"/>
          </w:tcPr>
          <w:p w14:paraId="67803B68" w14:textId="26803DCE" w:rsidR="00E07DF0" w:rsidRPr="009C39DF" w:rsidRDefault="00E07DF0" w:rsidP="00852716">
            <w:pPr>
              <w:keepNext/>
              <w:jc w:val="center"/>
              <w:rPr>
                <w:b/>
                <w:color w:val="FFFFFF" w:themeColor="background1"/>
                <w:sz w:val="20"/>
              </w:rPr>
            </w:pPr>
            <w:r w:rsidRPr="009C39DF">
              <w:rPr>
                <w:b/>
                <w:color w:val="FFFFFF" w:themeColor="background1"/>
                <w:sz w:val="20"/>
              </w:rPr>
              <w:t xml:space="preserve">Date </w:t>
            </w:r>
            <w:r w:rsidR="006F0846" w:rsidRPr="009C39DF">
              <w:rPr>
                <w:b/>
                <w:color w:val="FFFFFF" w:themeColor="background1"/>
                <w:sz w:val="20"/>
              </w:rPr>
              <w:t>AFS submitted</w:t>
            </w:r>
            <w:r w:rsidRPr="009C39DF">
              <w:rPr>
                <w:b/>
                <w:color w:val="FFFFFF" w:themeColor="background1"/>
                <w:sz w:val="20"/>
              </w:rPr>
              <w:t xml:space="preserve"> to </w:t>
            </w:r>
            <w:r w:rsidR="004F5FBA" w:rsidRPr="009C39DF">
              <w:rPr>
                <w:b/>
                <w:color w:val="FFFFFF" w:themeColor="background1"/>
                <w:sz w:val="20"/>
              </w:rPr>
              <w:t>the l</w:t>
            </w:r>
            <w:r w:rsidRPr="009C39DF">
              <w:rPr>
                <w:b/>
                <w:color w:val="FFFFFF" w:themeColor="background1"/>
                <w:sz w:val="20"/>
              </w:rPr>
              <w:t>egislature</w:t>
            </w:r>
          </w:p>
        </w:tc>
      </w:tr>
      <w:tr w:rsidR="00E07DF0" w:rsidRPr="009C39DF" w14:paraId="3534DA0D" w14:textId="77777777" w:rsidTr="009C39DF">
        <w:tc>
          <w:tcPr>
            <w:tcW w:w="1316" w:type="dxa"/>
            <w:shd w:val="clear" w:color="auto" w:fill="auto"/>
          </w:tcPr>
          <w:p w14:paraId="24ED805F" w14:textId="77777777" w:rsidR="00E07DF0" w:rsidRPr="009C39DF" w:rsidRDefault="00E07DF0" w:rsidP="00852716">
            <w:pPr>
              <w:keepNext/>
              <w:jc w:val="center"/>
              <w:rPr>
                <w:sz w:val="20"/>
              </w:rPr>
            </w:pPr>
            <w:r w:rsidRPr="009C39DF">
              <w:rPr>
                <w:sz w:val="20"/>
              </w:rPr>
              <w:t>2013/14</w:t>
            </w:r>
          </w:p>
        </w:tc>
        <w:tc>
          <w:tcPr>
            <w:tcW w:w="2512" w:type="dxa"/>
            <w:shd w:val="clear" w:color="auto" w:fill="auto"/>
          </w:tcPr>
          <w:p w14:paraId="4662784E" w14:textId="181630C0" w:rsidR="00E07DF0" w:rsidRPr="009C39DF" w:rsidRDefault="00E07DF0" w:rsidP="00852716">
            <w:pPr>
              <w:keepNext/>
              <w:rPr>
                <w:rFonts w:ascii="Arial" w:hAnsi="Arial"/>
                <w:sz w:val="20"/>
                <w:lang w:val="nl-NL"/>
              </w:rPr>
            </w:pPr>
            <w:r w:rsidRPr="009C39DF">
              <w:rPr>
                <w:sz w:val="20"/>
              </w:rPr>
              <w:t xml:space="preserve">September </w:t>
            </w:r>
            <w:r w:rsidR="00CC4B34" w:rsidRPr="009C39DF">
              <w:rPr>
                <w:sz w:val="20"/>
              </w:rPr>
              <w:t>30</w:t>
            </w:r>
            <w:r w:rsidR="00CC4B34">
              <w:rPr>
                <w:sz w:val="20"/>
              </w:rPr>
              <w:t>,</w:t>
            </w:r>
            <w:r w:rsidR="00CC4B34" w:rsidRPr="009C39DF">
              <w:rPr>
                <w:sz w:val="20"/>
              </w:rPr>
              <w:t xml:space="preserve"> </w:t>
            </w:r>
            <w:r w:rsidRPr="009C39DF">
              <w:rPr>
                <w:sz w:val="20"/>
              </w:rPr>
              <w:t>2014</w:t>
            </w:r>
          </w:p>
        </w:tc>
        <w:tc>
          <w:tcPr>
            <w:tcW w:w="2544" w:type="dxa"/>
            <w:shd w:val="clear" w:color="auto" w:fill="auto"/>
          </w:tcPr>
          <w:p w14:paraId="4AAE203A" w14:textId="2658ECAD" w:rsidR="00E07DF0" w:rsidRPr="009C39DF" w:rsidRDefault="00920059" w:rsidP="00852716">
            <w:pPr>
              <w:keepNext/>
              <w:rPr>
                <w:sz w:val="20"/>
              </w:rPr>
            </w:pPr>
            <w:r w:rsidRPr="009C39DF">
              <w:rPr>
                <w:sz w:val="20"/>
              </w:rPr>
              <w:t xml:space="preserve">May </w:t>
            </w:r>
            <w:r w:rsidR="00CC4B34" w:rsidRPr="009C39DF">
              <w:rPr>
                <w:sz w:val="20"/>
              </w:rPr>
              <w:t>25</w:t>
            </w:r>
            <w:r w:rsidR="00CC4B34">
              <w:rPr>
                <w:sz w:val="20"/>
              </w:rPr>
              <w:t xml:space="preserve">, </w:t>
            </w:r>
            <w:r w:rsidRPr="009C39DF">
              <w:rPr>
                <w:sz w:val="20"/>
              </w:rPr>
              <w:t>2015</w:t>
            </w:r>
          </w:p>
        </w:tc>
        <w:tc>
          <w:tcPr>
            <w:tcW w:w="2700" w:type="dxa"/>
            <w:shd w:val="clear" w:color="auto" w:fill="auto"/>
          </w:tcPr>
          <w:p w14:paraId="15172D63" w14:textId="3C7C61CB" w:rsidR="00E07DF0" w:rsidRPr="009C39DF" w:rsidRDefault="00E07DF0" w:rsidP="00852716">
            <w:pPr>
              <w:keepNext/>
              <w:rPr>
                <w:sz w:val="20"/>
              </w:rPr>
            </w:pPr>
            <w:r w:rsidRPr="009C39DF">
              <w:rPr>
                <w:sz w:val="20"/>
              </w:rPr>
              <w:t xml:space="preserve">July </w:t>
            </w:r>
            <w:r w:rsidR="00CC4B34" w:rsidRPr="009C39DF">
              <w:rPr>
                <w:sz w:val="20"/>
              </w:rPr>
              <w:t>10</w:t>
            </w:r>
            <w:r w:rsidR="00CC4B34">
              <w:rPr>
                <w:sz w:val="20"/>
              </w:rPr>
              <w:t xml:space="preserve">, </w:t>
            </w:r>
            <w:r w:rsidRPr="009C39DF">
              <w:rPr>
                <w:sz w:val="20"/>
              </w:rPr>
              <w:t>2015</w:t>
            </w:r>
          </w:p>
        </w:tc>
      </w:tr>
      <w:tr w:rsidR="00E07DF0" w:rsidRPr="009C39DF" w14:paraId="62AD4E18" w14:textId="77777777" w:rsidTr="009C39DF">
        <w:tc>
          <w:tcPr>
            <w:tcW w:w="1316" w:type="dxa"/>
            <w:shd w:val="clear" w:color="auto" w:fill="auto"/>
          </w:tcPr>
          <w:p w14:paraId="479DE935" w14:textId="77777777" w:rsidR="00E07DF0" w:rsidRPr="009C39DF" w:rsidRDefault="00E07DF0" w:rsidP="00852716">
            <w:pPr>
              <w:keepNext/>
              <w:jc w:val="center"/>
              <w:rPr>
                <w:sz w:val="20"/>
              </w:rPr>
            </w:pPr>
            <w:r w:rsidRPr="009C39DF">
              <w:rPr>
                <w:sz w:val="20"/>
              </w:rPr>
              <w:t>2014/15</w:t>
            </w:r>
          </w:p>
        </w:tc>
        <w:tc>
          <w:tcPr>
            <w:tcW w:w="2512" w:type="dxa"/>
            <w:shd w:val="clear" w:color="auto" w:fill="auto"/>
          </w:tcPr>
          <w:p w14:paraId="100870D8" w14:textId="0AC08463" w:rsidR="00E07DF0" w:rsidRPr="009C39DF" w:rsidRDefault="00E07DF0" w:rsidP="00852716">
            <w:pPr>
              <w:keepNext/>
              <w:rPr>
                <w:rFonts w:ascii="Arial" w:hAnsi="Arial"/>
                <w:sz w:val="20"/>
                <w:lang w:val="nl-NL"/>
              </w:rPr>
            </w:pPr>
            <w:r w:rsidRPr="009C39DF">
              <w:rPr>
                <w:sz w:val="20"/>
              </w:rPr>
              <w:t xml:space="preserve">September </w:t>
            </w:r>
            <w:r w:rsidR="00CC4B34" w:rsidRPr="009C39DF">
              <w:rPr>
                <w:sz w:val="20"/>
              </w:rPr>
              <w:t>30</w:t>
            </w:r>
            <w:r w:rsidR="00CC4B34">
              <w:rPr>
                <w:sz w:val="20"/>
              </w:rPr>
              <w:t>,</w:t>
            </w:r>
            <w:r w:rsidR="00CC4B34" w:rsidRPr="009C39DF">
              <w:rPr>
                <w:sz w:val="20"/>
              </w:rPr>
              <w:t xml:space="preserve"> </w:t>
            </w:r>
            <w:r w:rsidRPr="009C39DF">
              <w:rPr>
                <w:sz w:val="20"/>
              </w:rPr>
              <w:t>2015</w:t>
            </w:r>
          </w:p>
        </w:tc>
        <w:tc>
          <w:tcPr>
            <w:tcW w:w="2544" w:type="dxa"/>
            <w:shd w:val="clear" w:color="auto" w:fill="auto"/>
          </w:tcPr>
          <w:p w14:paraId="2EDDD919" w14:textId="16A38310" w:rsidR="00E07DF0" w:rsidRPr="009C39DF" w:rsidRDefault="00026156" w:rsidP="00852716">
            <w:pPr>
              <w:keepNext/>
              <w:rPr>
                <w:sz w:val="20"/>
              </w:rPr>
            </w:pPr>
            <w:r w:rsidRPr="009C39DF">
              <w:rPr>
                <w:sz w:val="20"/>
              </w:rPr>
              <w:t xml:space="preserve">September </w:t>
            </w:r>
            <w:r w:rsidR="00CC4B34" w:rsidRPr="009C39DF">
              <w:rPr>
                <w:sz w:val="20"/>
              </w:rPr>
              <w:t>27</w:t>
            </w:r>
            <w:r w:rsidR="00CC4B34">
              <w:rPr>
                <w:sz w:val="20"/>
              </w:rPr>
              <w:t>,</w:t>
            </w:r>
            <w:r w:rsidR="00CC4B34" w:rsidRPr="009C39DF">
              <w:rPr>
                <w:sz w:val="20"/>
              </w:rPr>
              <w:t xml:space="preserve"> </w:t>
            </w:r>
            <w:r w:rsidRPr="009C39DF">
              <w:rPr>
                <w:sz w:val="20"/>
              </w:rPr>
              <w:t>2016</w:t>
            </w:r>
          </w:p>
        </w:tc>
        <w:tc>
          <w:tcPr>
            <w:tcW w:w="2700" w:type="dxa"/>
            <w:shd w:val="clear" w:color="auto" w:fill="auto"/>
          </w:tcPr>
          <w:p w14:paraId="0FDE6AA1" w14:textId="19E7C007" w:rsidR="00E07DF0" w:rsidRPr="009C39DF" w:rsidRDefault="007348EC" w:rsidP="00852716">
            <w:pPr>
              <w:keepNext/>
              <w:rPr>
                <w:sz w:val="20"/>
              </w:rPr>
            </w:pPr>
            <w:r w:rsidRPr="009C39DF">
              <w:rPr>
                <w:sz w:val="20"/>
              </w:rPr>
              <w:t xml:space="preserve">October </w:t>
            </w:r>
            <w:r w:rsidR="00CC4B34" w:rsidRPr="009C39DF">
              <w:rPr>
                <w:sz w:val="20"/>
              </w:rPr>
              <w:t>17</w:t>
            </w:r>
            <w:r w:rsidR="00CC4B34">
              <w:rPr>
                <w:sz w:val="20"/>
              </w:rPr>
              <w:t xml:space="preserve">, </w:t>
            </w:r>
            <w:r w:rsidR="00E07DF0" w:rsidRPr="009C39DF">
              <w:rPr>
                <w:sz w:val="20"/>
              </w:rPr>
              <w:t>2016</w:t>
            </w:r>
          </w:p>
        </w:tc>
      </w:tr>
      <w:tr w:rsidR="00E07DF0" w:rsidRPr="009C39DF" w14:paraId="75E67D7E" w14:textId="77777777" w:rsidTr="009C39DF">
        <w:tc>
          <w:tcPr>
            <w:tcW w:w="1316" w:type="dxa"/>
            <w:shd w:val="clear" w:color="auto" w:fill="auto"/>
          </w:tcPr>
          <w:p w14:paraId="2D99E3FC" w14:textId="77777777" w:rsidR="00E07DF0" w:rsidRPr="009C39DF" w:rsidRDefault="00E07DF0" w:rsidP="00852716">
            <w:pPr>
              <w:keepNext/>
              <w:jc w:val="center"/>
              <w:rPr>
                <w:sz w:val="20"/>
              </w:rPr>
            </w:pPr>
            <w:r w:rsidRPr="009C39DF">
              <w:rPr>
                <w:sz w:val="20"/>
              </w:rPr>
              <w:t>2015/16</w:t>
            </w:r>
          </w:p>
        </w:tc>
        <w:tc>
          <w:tcPr>
            <w:tcW w:w="2512" w:type="dxa"/>
            <w:shd w:val="clear" w:color="auto" w:fill="auto"/>
          </w:tcPr>
          <w:p w14:paraId="03CBF84B" w14:textId="6ABE7D65" w:rsidR="00E07DF0" w:rsidRPr="009C39DF" w:rsidRDefault="00E07DF0" w:rsidP="00852716">
            <w:pPr>
              <w:keepNext/>
              <w:rPr>
                <w:rFonts w:ascii="Arial" w:hAnsi="Arial"/>
                <w:sz w:val="20"/>
                <w:lang w:val="nl-NL"/>
              </w:rPr>
            </w:pPr>
            <w:r w:rsidRPr="009C39DF">
              <w:rPr>
                <w:sz w:val="20"/>
              </w:rPr>
              <w:t xml:space="preserve">September </w:t>
            </w:r>
            <w:r w:rsidR="00CC4B34" w:rsidRPr="009C39DF">
              <w:rPr>
                <w:sz w:val="20"/>
              </w:rPr>
              <w:t>30</w:t>
            </w:r>
            <w:r w:rsidR="00CC4B34">
              <w:rPr>
                <w:sz w:val="20"/>
              </w:rPr>
              <w:t>,</w:t>
            </w:r>
            <w:r w:rsidR="00CC4B34" w:rsidRPr="009C39DF">
              <w:rPr>
                <w:sz w:val="20"/>
              </w:rPr>
              <w:t xml:space="preserve"> </w:t>
            </w:r>
            <w:r w:rsidRPr="009C39DF">
              <w:rPr>
                <w:sz w:val="20"/>
              </w:rPr>
              <w:t>2016</w:t>
            </w:r>
          </w:p>
        </w:tc>
        <w:tc>
          <w:tcPr>
            <w:tcW w:w="2544" w:type="dxa"/>
            <w:shd w:val="clear" w:color="auto" w:fill="auto"/>
          </w:tcPr>
          <w:p w14:paraId="4300FC22" w14:textId="28DD7604" w:rsidR="00E07DF0" w:rsidRPr="009C39DF" w:rsidRDefault="00E07DF0" w:rsidP="00852716">
            <w:pPr>
              <w:keepNext/>
              <w:rPr>
                <w:sz w:val="20"/>
              </w:rPr>
            </w:pPr>
            <w:r w:rsidRPr="009C39DF">
              <w:rPr>
                <w:sz w:val="20"/>
              </w:rPr>
              <w:t xml:space="preserve">June </w:t>
            </w:r>
            <w:r w:rsidR="00CC4B34" w:rsidRPr="009C39DF">
              <w:rPr>
                <w:sz w:val="20"/>
              </w:rPr>
              <w:t>8</w:t>
            </w:r>
            <w:r w:rsidR="00CC4B34">
              <w:rPr>
                <w:sz w:val="20"/>
              </w:rPr>
              <w:t>,</w:t>
            </w:r>
            <w:r w:rsidR="00CC4B34" w:rsidRPr="009C39DF">
              <w:rPr>
                <w:sz w:val="20"/>
              </w:rPr>
              <w:t xml:space="preserve"> </w:t>
            </w:r>
            <w:r w:rsidRPr="009C39DF">
              <w:rPr>
                <w:sz w:val="20"/>
              </w:rPr>
              <w:t>2017</w:t>
            </w:r>
          </w:p>
        </w:tc>
        <w:tc>
          <w:tcPr>
            <w:tcW w:w="2700" w:type="dxa"/>
            <w:shd w:val="clear" w:color="auto" w:fill="auto"/>
          </w:tcPr>
          <w:p w14:paraId="17D5889C" w14:textId="530547A0" w:rsidR="00E07DF0" w:rsidRPr="009C39DF" w:rsidRDefault="00E07DF0" w:rsidP="00852716">
            <w:pPr>
              <w:keepNext/>
              <w:rPr>
                <w:sz w:val="20"/>
              </w:rPr>
            </w:pPr>
            <w:r w:rsidRPr="009C39DF">
              <w:rPr>
                <w:sz w:val="20"/>
              </w:rPr>
              <w:t xml:space="preserve">August </w:t>
            </w:r>
            <w:r w:rsidR="00CC4B34" w:rsidRPr="009C39DF">
              <w:rPr>
                <w:sz w:val="20"/>
              </w:rPr>
              <w:t>30</w:t>
            </w:r>
            <w:r w:rsidR="00CC4B34">
              <w:rPr>
                <w:sz w:val="20"/>
              </w:rPr>
              <w:t xml:space="preserve">, </w:t>
            </w:r>
            <w:r w:rsidRPr="009C39DF">
              <w:rPr>
                <w:sz w:val="20"/>
              </w:rPr>
              <w:t>2017</w:t>
            </w:r>
          </w:p>
        </w:tc>
      </w:tr>
    </w:tbl>
    <w:p w14:paraId="26694D27" w14:textId="71A93278" w:rsidR="009E3EF3" w:rsidRPr="009C39DF" w:rsidRDefault="009E3EF3" w:rsidP="009C39DF">
      <w:pPr>
        <w:pStyle w:val="Italic"/>
        <w:spacing w:after="240"/>
        <w:rPr>
          <w:i w:val="0"/>
          <w:sz w:val="20"/>
        </w:rPr>
      </w:pPr>
      <w:r w:rsidRPr="009C39DF">
        <w:rPr>
          <w:sz w:val="20"/>
        </w:rPr>
        <w:t xml:space="preserve">Source: </w:t>
      </w:r>
      <w:r w:rsidR="00A569E4" w:rsidRPr="009C39DF">
        <w:rPr>
          <w:i w:val="0"/>
          <w:sz w:val="20"/>
        </w:rPr>
        <w:t>OAG</w:t>
      </w:r>
      <w:r w:rsidR="009C39DF">
        <w:rPr>
          <w:i w:val="0"/>
          <w:sz w:val="20"/>
        </w:rPr>
        <w:t>.</w:t>
      </w:r>
    </w:p>
    <w:p w14:paraId="20CFDC48" w14:textId="22C0F06E" w:rsidR="006F0846" w:rsidRPr="00B5380E" w:rsidRDefault="00F5429C" w:rsidP="00B5380E">
      <w:pPr>
        <w:spacing w:after="240"/>
        <w:rPr>
          <w:sz w:val="22"/>
        </w:rPr>
      </w:pPr>
      <w:r w:rsidRPr="00B5380E">
        <w:rPr>
          <w:sz w:val="22"/>
        </w:rPr>
        <w:t xml:space="preserve">In summary, </w:t>
      </w:r>
      <w:r w:rsidR="00852716">
        <w:rPr>
          <w:sz w:val="22"/>
        </w:rPr>
        <w:t xml:space="preserve">the </w:t>
      </w:r>
      <w:r w:rsidRPr="00B5380E">
        <w:rPr>
          <w:sz w:val="22"/>
        </w:rPr>
        <w:t>a</w:t>
      </w:r>
      <w:r w:rsidR="00893B4A" w:rsidRPr="00B5380E">
        <w:rPr>
          <w:sz w:val="22"/>
        </w:rPr>
        <w:t xml:space="preserve">udit report of AFS 2015/16 was submitted to the legislature within three months </w:t>
      </w:r>
      <w:r w:rsidR="00026156" w:rsidRPr="00B5380E">
        <w:rPr>
          <w:sz w:val="22"/>
        </w:rPr>
        <w:t>after</w:t>
      </w:r>
      <w:r w:rsidR="00893B4A" w:rsidRPr="00B5380E">
        <w:rPr>
          <w:sz w:val="22"/>
        </w:rPr>
        <w:t xml:space="preserve"> the financial reports</w:t>
      </w:r>
      <w:r w:rsidR="00026156" w:rsidRPr="00B5380E">
        <w:rPr>
          <w:sz w:val="22"/>
        </w:rPr>
        <w:t xml:space="preserve"> were considered complete</w:t>
      </w:r>
      <w:r w:rsidR="00893B4A" w:rsidRPr="00B5380E">
        <w:rPr>
          <w:sz w:val="22"/>
        </w:rPr>
        <w:t xml:space="preserve">. </w:t>
      </w:r>
    </w:p>
    <w:p w14:paraId="12AC3D62" w14:textId="0C99AC9B" w:rsidR="006F0846" w:rsidRPr="00B5380E" w:rsidRDefault="006F0846" w:rsidP="00B5380E">
      <w:pPr>
        <w:spacing w:after="240"/>
        <w:ind w:left="360" w:hanging="360"/>
        <w:rPr>
          <w:b/>
          <w:sz w:val="22"/>
        </w:rPr>
      </w:pPr>
      <w:r w:rsidRPr="00B5380E">
        <w:rPr>
          <w:b/>
          <w:sz w:val="22"/>
        </w:rPr>
        <w:t>Dimension rating = A</w:t>
      </w:r>
    </w:p>
    <w:p w14:paraId="30C186BE" w14:textId="77777777" w:rsidR="00F23E7D" w:rsidRPr="00890A84" w:rsidRDefault="00033A33" w:rsidP="00BA6B2B">
      <w:pPr>
        <w:pStyle w:val="Heading5"/>
      </w:pPr>
      <w:r w:rsidRPr="00890A84">
        <w:t>PI-</w:t>
      </w:r>
      <w:r w:rsidR="00F23E7D" w:rsidRPr="00890A84">
        <w:t xml:space="preserve">30.3. External audit follow-up </w:t>
      </w:r>
    </w:p>
    <w:p w14:paraId="61D462C2" w14:textId="7E8C4893" w:rsidR="00042CE8" w:rsidRPr="009C39DF" w:rsidRDefault="00432F14" w:rsidP="009C39DF">
      <w:pPr>
        <w:spacing w:after="240"/>
        <w:rPr>
          <w:sz w:val="22"/>
        </w:rPr>
      </w:pPr>
      <w:r w:rsidRPr="009C39DF">
        <w:rPr>
          <w:sz w:val="22"/>
        </w:rPr>
        <w:t>The Public Audit Act, 2015</w:t>
      </w:r>
      <w:r w:rsidR="00852716">
        <w:rPr>
          <w:sz w:val="22"/>
        </w:rPr>
        <w:t>,</w:t>
      </w:r>
      <w:r w:rsidRPr="009C39DF">
        <w:rPr>
          <w:sz w:val="22"/>
        </w:rPr>
        <w:t xml:space="preserve"> explicitly covers the audit process, including response and follow-up. The </w:t>
      </w:r>
      <w:r w:rsidR="000C73E4" w:rsidRPr="009C39DF">
        <w:rPr>
          <w:sz w:val="22"/>
        </w:rPr>
        <w:t>PS</w:t>
      </w:r>
      <w:r w:rsidRPr="009C39DF">
        <w:rPr>
          <w:sz w:val="22"/>
        </w:rPr>
        <w:t>ASB has prepared a template for this. The audit process is prescribed in Section 31 of Part IV of the Public Audit Act</w:t>
      </w:r>
      <w:r w:rsidR="00852716">
        <w:rPr>
          <w:sz w:val="22"/>
        </w:rPr>
        <w:t>,</w:t>
      </w:r>
      <w:r w:rsidRPr="009C39DF">
        <w:rPr>
          <w:sz w:val="22"/>
        </w:rPr>
        <w:t xml:space="preserve"> 2015</w:t>
      </w:r>
      <w:r w:rsidR="00852716">
        <w:rPr>
          <w:sz w:val="22"/>
        </w:rPr>
        <w:t>,</w:t>
      </w:r>
      <w:r w:rsidRPr="009C39DF">
        <w:rPr>
          <w:sz w:val="22"/>
        </w:rPr>
        <w:t xml:space="preserve"> on the ‘Audit Process and Types of Audit’. </w:t>
      </w:r>
      <w:r w:rsidR="00E26385" w:rsidRPr="009C39DF">
        <w:rPr>
          <w:sz w:val="22"/>
        </w:rPr>
        <w:t>The audit opinion</w:t>
      </w:r>
      <w:r w:rsidR="00F23E7D" w:rsidRPr="009C39DF">
        <w:rPr>
          <w:sz w:val="22"/>
        </w:rPr>
        <w:t xml:space="preserve"> and summary findings of the external audits of both 2013/14 and 2014/15 have been received. </w:t>
      </w:r>
    </w:p>
    <w:p w14:paraId="3B293B75" w14:textId="07BFFDEA" w:rsidR="00042CE8" w:rsidRPr="009C39DF" w:rsidRDefault="00042CE8" w:rsidP="009C39DF">
      <w:pPr>
        <w:spacing w:after="240"/>
        <w:rPr>
          <w:sz w:val="22"/>
        </w:rPr>
      </w:pPr>
      <w:r w:rsidRPr="009C39DF">
        <w:rPr>
          <w:sz w:val="22"/>
        </w:rPr>
        <w:t>A</w:t>
      </w:r>
      <w:r w:rsidR="00DF53B2" w:rsidRPr="009C39DF">
        <w:rPr>
          <w:sz w:val="22"/>
        </w:rPr>
        <w:t xml:space="preserve"> progress report on the issues raised during </w:t>
      </w:r>
      <w:r w:rsidR="00852716">
        <w:rPr>
          <w:sz w:val="22"/>
        </w:rPr>
        <w:t>FY</w:t>
      </w:r>
      <w:r w:rsidR="00DF53B2" w:rsidRPr="009C39DF">
        <w:rPr>
          <w:sz w:val="22"/>
        </w:rPr>
        <w:t xml:space="preserve">2014/15 is </w:t>
      </w:r>
      <w:r w:rsidR="00852716">
        <w:rPr>
          <w:sz w:val="22"/>
        </w:rPr>
        <w:t>provided</w:t>
      </w:r>
      <w:r w:rsidR="00852716" w:rsidRPr="009C39DF">
        <w:rPr>
          <w:sz w:val="22"/>
        </w:rPr>
        <w:t xml:space="preserve"> </w:t>
      </w:r>
      <w:r w:rsidR="00DF53B2" w:rsidRPr="009C39DF">
        <w:rPr>
          <w:sz w:val="22"/>
        </w:rPr>
        <w:t xml:space="preserve">in </w:t>
      </w:r>
      <w:r w:rsidR="00852716">
        <w:rPr>
          <w:sz w:val="22"/>
        </w:rPr>
        <w:t xml:space="preserve">the </w:t>
      </w:r>
      <w:r w:rsidR="00DF53B2" w:rsidRPr="009C39DF">
        <w:rPr>
          <w:sz w:val="22"/>
        </w:rPr>
        <w:t xml:space="preserve">annex of the audit report for FY2015/16. </w:t>
      </w:r>
      <w:r w:rsidRPr="009C39DF">
        <w:rPr>
          <w:sz w:val="22"/>
        </w:rPr>
        <w:t xml:space="preserve">Audited MDAs provide a formal response to audit findings, but it is not necessarily comprehensive </w:t>
      </w:r>
      <w:r w:rsidR="00852716">
        <w:rPr>
          <w:sz w:val="22"/>
        </w:rPr>
        <w:t>and</w:t>
      </w:r>
      <w:r w:rsidR="00852716" w:rsidRPr="009C39DF">
        <w:rPr>
          <w:sz w:val="22"/>
        </w:rPr>
        <w:t xml:space="preserve"> </w:t>
      </w:r>
      <w:r w:rsidRPr="009C39DF">
        <w:rPr>
          <w:sz w:val="22"/>
        </w:rPr>
        <w:t>timely. The 2009 Public Audit Act did not provide for this.</w:t>
      </w:r>
    </w:p>
    <w:p w14:paraId="20BF30E1" w14:textId="6B7CB679" w:rsidR="006F0846" w:rsidRPr="009C39DF" w:rsidRDefault="00CB1BF0" w:rsidP="009C39DF">
      <w:pPr>
        <w:spacing w:after="240"/>
        <w:rPr>
          <w:sz w:val="22"/>
        </w:rPr>
      </w:pPr>
      <w:r w:rsidRPr="009C39DF">
        <w:rPr>
          <w:sz w:val="22"/>
        </w:rPr>
        <w:t xml:space="preserve">In summary, audited entities provide a formal response to audit findings, but it is not necessarily comprehensive </w:t>
      </w:r>
      <w:r w:rsidR="00852716">
        <w:rPr>
          <w:sz w:val="22"/>
        </w:rPr>
        <w:t>and</w:t>
      </w:r>
      <w:r w:rsidR="00852716" w:rsidRPr="009C39DF">
        <w:rPr>
          <w:sz w:val="22"/>
        </w:rPr>
        <w:t xml:space="preserve"> </w:t>
      </w:r>
      <w:r w:rsidRPr="009C39DF">
        <w:rPr>
          <w:sz w:val="22"/>
        </w:rPr>
        <w:t xml:space="preserve">timely. </w:t>
      </w:r>
      <w:r w:rsidR="00042CE8" w:rsidRPr="009C39DF">
        <w:rPr>
          <w:sz w:val="22"/>
        </w:rPr>
        <w:t xml:space="preserve">It is too early to assess </w:t>
      </w:r>
      <w:r w:rsidRPr="009C39DF">
        <w:rPr>
          <w:sz w:val="22"/>
        </w:rPr>
        <w:t>follow-up</w:t>
      </w:r>
      <w:r w:rsidR="00042CE8" w:rsidRPr="009C39DF">
        <w:rPr>
          <w:sz w:val="22"/>
        </w:rPr>
        <w:t xml:space="preserve"> effectiveness.</w:t>
      </w:r>
      <w:r w:rsidRPr="009C39DF">
        <w:rPr>
          <w:sz w:val="22"/>
        </w:rPr>
        <w:t xml:space="preserve"> </w:t>
      </w:r>
    </w:p>
    <w:p w14:paraId="55A6B817" w14:textId="2A713034" w:rsidR="006F0846" w:rsidRPr="009C39DF" w:rsidRDefault="006F0846" w:rsidP="009C39DF">
      <w:pPr>
        <w:spacing w:after="240"/>
        <w:ind w:left="360" w:hanging="360"/>
        <w:rPr>
          <w:b/>
          <w:sz w:val="22"/>
        </w:rPr>
      </w:pPr>
      <w:r w:rsidRPr="009C39DF">
        <w:rPr>
          <w:b/>
          <w:sz w:val="22"/>
        </w:rPr>
        <w:t>Dimension rating = C</w:t>
      </w:r>
    </w:p>
    <w:p w14:paraId="3C82185D" w14:textId="77777777" w:rsidR="00F23E7D" w:rsidRPr="00890A84" w:rsidRDefault="00033A33" w:rsidP="00BA6B2B">
      <w:pPr>
        <w:pStyle w:val="Heading5"/>
      </w:pPr>
      <w:r w:rsidRPr="00890A84">
        <w:t>PI-</w:t>
      </w:r>
      <w:r w:rsidR="00F23E7D" w:rsidRPr="00890A84">
        <w:t xml:space="preserve">30.4. Supreme Audit Institution (SAI) independence </w:t>
      </w:r>
    </w:p>
    <w:p w14:paraId="65ED8080" w14:textId="285C7AA1" w:rsidR="00432F14" w:rsidRPr="009C39DF" w:rsidRDefault="00432F14" w:rsidP="009C39DF">
      <w:pPr>
        <w:spacing w:after="240"/>
        <w:rPr>
          <w:sz w:val="22"/>
        </w:rPr>
      </w:pPr>
      <w:r w:rsidRPr="009C39DF">
        <w:rPr>
          <w:sz w:val="22"/>
        </w:rPr>
        <w:t>The OAG is established as an independent office under Articles 229, 248</w:t>
      </w:r>
      <w:r w:rsidR="00852716">
        <w:rPr>
          <w:sz w:val="22"/>
        </w:rPr>
        <w:t>,</w:t>
      </w:r>
      <w:r w:rsidRPr="009C39DF">
        <w:rPr>
          <w:sz w:val="22"/>
        </w:rPr>
        <w:t xml:space="preserve"> and 253 of the Constitution. In accordance with the Constitution, the Auditor</w:t>
      </w:r>
      <w:r w:rsidR="008F1990">
        <w:rPr>
          <w:sz w:val="22"/>
        </w:rPr>
        <w:t xml:space="preserve"> </w:t>
      </w:r>
      <w:r w:rsidRPr="009C39DF">
        <w:rPr>
          <w:sz w:val="22"/>
        </w:rPr>
        <w:t xml:space="preserve">General is nominated and appointed by the President with the approval of the National Assembly. The statutory duties and responsibilities of the position are provided in Article 229 of the Constitution and in the Public Audit Act, 2015. The OAG operates independently from the </w:t>
      </w:r>
      <w:r w:rsidR="00852716">
        <w:rPr>
          <w:sz w:val="22"/>
        </w:rPr>
        <w:t>E</w:t>
      </w:r>
      <w:r w:rsidRPr="009C39DF">
        <w:rPr>
          <w:sz w:val="22"/>
        </w:rPr>
        <w:t xml:space="preserve">xecutive with respect to procedures for </w:t>
      </w:r>
      <w:r w:rsidR="004F5FBA" w:rsidRPr="009C39DF">
        <w:rPr>
          <w:sz w:val="22"/>
        </w:rPr>
        <w:t>the a</w:t>
      </w:r>
      <w:r w:rsidRPr="009C39DF">
        <w:rPr>
          <w:sz w:val="22"/>
        </w:rPr>
        <w:t>ppointment and removal of the head of the OAG, the planning of audit engagements, arrangements for publici</w:t>
      </w:r>
      <w:r w:rsidR="00852716">
        <w:rPr>
          <w:sz w:val="22"/>
        </w:rPr>
        <w:t>z</w:t>
      </w:r>
      <w:r w:rsidRPr="009C39DF">
        <w:rPr>
          <w:sz w:val="22"/>
        </w:rPr>
        <w:t>ing reports, and the approval and execution of the OAG’s budget. This independence assures unrestricted and timely access to records, documentation</w:t>
      </w:r>
      <w:r w:rsidR="00852716">
        <w:rPr>
          <w:sz w:val="22"/>
        </w:rPr>
        <w:t>,</w:t>
      </w:r>
      <w:r w:rsidRPr="009C39DF">
        <w:rPr>
          <w:sz w:val="22"/>
        </w:rPr>
        <w:t xml:space="preserve"> and information. The Public Audit Act, 2015</w:t>
      </w:r>
      <w:r w:rsidR="00852716">
        <w:rPr>
          <w:sz w:val="22"/>
        </w:rPr>
        <w:t>,</w:t>
      </w:r>
      <w:r w:rsidRPr="009C39DF">
        <w:rPr>
          <w:sz w:val="22"/>
        </w:rPr>
        <w:t xml:space="preserve"> confirms </w:t>
      </w:r>
      <w:r w:rsidR="00852716">
        <w:rPr>
          <w:sz w:val="22"/>
        </w:rPr>
        <w:t xml:space="preserve">the </w:t>
      </w:r>
      <w:r w:rsidRPr="009C39DF">
        <w:rPr>
          <w:sz w:val="22"/>
        </w:rPr>
        <w:t xml:space="preserve">OAG’s independence from the executive branch of the </w:t>
      </w:r>
      <w:r w:rsidR="00852716">
        <w:rPr>
          <w:sz w:val="22"/>
        </w:rPr>
        <w:t>n</w:t>
      </w:r>
      <w:r w:rsidR="00607B97" w:rsidRPr="009C39DF">
        <w:rPr>
          <w:sz w:val="22"/>
        </w:rPr>
        <w:t xml:space="preserve">ational </w:t>
      </w:r>
      <w:r w:rsidR="00852716">
        <w:rPr>
          <w:sz w:val="22"/>
        </w:rPr>
        <w:t>g</w:t>
      </w:r>
      <w:r w:rsidR="00607B97" w:rsidRPr="009C39DF">
        <w:rPr>
          <w:sz w:val="22"/>
        </w:rPr>
        <w:t>overnment</w:t>
      </w:r>
      <w:r w:rsidRPr="009C39DF">
        <w:rPr>
          <w:sz w:val="22"/>
        </w:rPr>
        <w:t>. Thus, OAG independence is assured by the Constitution and law.</w:t>
      </w:r>
    </w:p>
    <w:p w14:paraId="129F66D8" w14:textId="59B248E3" w:rsidR="00DF53B2" w:rsidRPr="009C39DF" w:rsidRDefault="00432F14" w:rsidP="009C39DF">
      <w:pPr>
        <w:spacing w:after="240"/>
        <w:rPr>
          <w:sz w:val="22"/>
        </w:rPr>
      </w:pPr>
      <w:r w:rsidRPr="009C39DF">
        <w:rPr>
          <w:sz w:val="22"/>
        </w:rPr>
        <w:t>Since the Public Audit Act, 2015</w:t>
      </w:r>
      <w:r w:rsidR="00852716">
        <w:rPr>
          <w:sz w:val="22"/>
        </w:rPr>
        <w:t>,</w:t>
      </w:r>
      <w:r w:rsidRPr="009C39DF">
        <w:rPr>
          <w:sz w:val="22"/>
        </w:rPr>
        <w:t xml:space="preserve"> came into force in January 2016, the follow-up process has become more formali</w:t>
      </w:r>
      <w:r w:rsidR="00ED5A95">
        <w:rPr>
          <w:sz w:val="22"/>
        </w:rPr>
        <w:t>z</w:t>
      </w:r>
      <w:r w:rsidRPr="009C39DF">
        <w:rPr>
          <w:sz w:val="22"/>
        </w:rPr>
        <w:t xml:space="preserve">ed. The </w:t>
      </w:r>
      <w:r w:rsidR="000C73E4" w:rsidRPr="009C39DF">
        <w:rPr>
          <w:sz w:val="22"/>
        </w:rPr>
        <w:t>PS</w:t>
      </w:r>
      <w:r w:rsidRPr="009C39DF">
        <w:rPr>
          <w:sz w:val="22"/>
        </w:rPr>
        <w:t>ASB</w:t>
      </w:r>
      <w:r w:rsidR="0012710A">
        <w:rPr>
          <w:sz w:val="22"/>
        </w:rPr>
        <w:t xml:space="preserve">  is </w:t>
      </w:r>
      <w:r w:rsidRPr="009C39DF">
        <w:rPr>
          <w:sz w:val="22"/>
        </w:rPr>
        <w:t>established in sections 192</w:t>
      </w:r>
      <w:r w:rsidR="00852716">
        <w:rPr>
          <w:sz w:val="22"/>
        </w:rPr>
        <w:t>–</w:t>
      </w:r>
      <w:r w:rsidR="0012710A">
        <w:rPr>
          <w:sz w:val="22"/>
        </w:rPr>
        <w:t>195 of the PFM Act, 2012</w:t>
      </w:r>
      <w:r w:rsidRPr="009C39DF">
        <w:rPr>
          <w:sz w:val="22"/>
        </w:rPr>
        <w:t xml:space="preserve"> and elaborated on under Financial Regulation 111 of 2015. The Board</w:t>
      </w:r>
      <w:r w:rsidR="00852716">
        <w:rPr>
          <w:sz w:val="22"/>
        </w:rPr>
        <w:t>, which</w:t>
      </w:r>
      <w:r w:rsidRPr="009C39DF">
        <w:rPr>
          <w:sz w:val="22"/>
        </w:rPr>
        <w:t xml:space="preserve"> is located in the National Treasury</w:t>
      </w:r>
      <w:r w:rsidR="00852716">
        <w:rPr>
          <w:sz w:val="22"/>
        </w:rPr>
        <w:t>,</w:t>
      </w:r>
      <w:r w:rsidRPr="009C39DF">
        <w:rPr>
          <w:sz w:val="22"/>
        </w:rPr>
        <w:t xml:space="preserve"> prepared a template in FY2015/16 for preparing </w:t>
      </w:r>
      <w:r w:rsidR="00852716">
        <w:rPr>
          <w:sz w:val="22"/>
        </w:rPr>
        <w:t>AFS</w:t>
      </w:r>
      <w:r w:rsidRPr="009C39DF">
        <w:rPr>
          <w:sz w:val="22"/>
        </w:rPr>
        <w:t xml:space="preserve">s. Section 27 of the template (available on </w:t>
      </w:r>
      <w:r w:rsidR="00852716">
        <w:rPr>
          <w:sz w:val="22"/>
        </w:rPr>
        <w:t xml:space="preserve">the </w:t>
      </w:r>
      <w:r w:rsidRPr="009C39DF">
        <w:rPr>
          <w:sz w:val="22"/>
        </w:rPr>
        <w:t xml:space="preserve">National Treasury’s website) provides for monitoring the actions taken by an MDA in response to the recommendations of audit reports. A matrix contains the following in column form: list of issues raised by </w:t>
      </w:r>
      <w:r w:rsidR="00852716">
        <w:rPr>
          <w:sz w:val="22"/>
        </w:rPr>
        <w:t xml:space="preserve">the </w:t>
      </w:r>
      <w:r w:rsidRPr="009C39DF">
        <w:rPr>
          <w:sz w:val="22"/>
        </w:rPr>
        <w:t xml:space="preserve">OAG in its </w:t>
      </w:r>
      <w:r w:rsidR="008155C4">
        <w:rPr>
          <w:sz w:val="22"/>
        </w:rPr>
        <w:t>m</w:t>
      </w:r>
      <w:r w:rsidRPr="009C39DF">
        <w:rPr>
          <w:sz w:val="22"/>
        </w:rPr>
        <w:t xml:space="preserve">anagement </w:t>
      </w:r>
      <w:r w:rsidR="008155C4">
        <w:rPr>
          <w:sz w:val="22"/>
        </w:rPr>
        <w:t>l</w:t>
      </w:r>
      <w:r w:rsidRPr="009C39DF">
        <w:rPr>
          <w:sz w:val="22"/>
        </w:rPr>
        <w:t>etter to the respective MDA</w:t>
      </w:r>
      <w:r w:rsidR="00852716">
        <w:rPr>
          <w:sz w:val="22"/>
        </w:rPr>
        <w:t>,</w:t>
      </w:r>
      <w:r w:rsidRPr="009C39DF">
        <w:rPr>
          <w:sz w:val="22"/>
        </w:rPr>
        <w:t xml:space="preserve"> Management comments</w:t>
      </w:r>
      <w:r w:rsidR="00852716">
        <w:rPr>
          <w:sz w:val="22"/>
        </w:rPr>
        <w:t>,</w:t>
      </w:r>
      <w:r w:rsidRPr="009C39DF">
        <w:rPr>
          <w:sz w:val="22"/>
        </w:rPr>
        <w:t xml:space="preserve"> name of MDA staff person in charge of resolving the issue</w:t>
      </w:r>
      <w:r w:rsidR="00852716">
        <w:rPr>
          <w:sz w:val="22"/>
        </w:rPr>
        <w:t>,</w:t>
      </w:r>
      <w:r w:rsidRPr="009C39DF">
        <w:rPr>
          <w:sz w:val="22"/>
        </w:rPr>
        <w:t xml:space="preserve"> status of resolving the issue</w:t>
      </w:r>
      <w:r w:rsidR="00852716">
        <w:rPr>
          <w:sz w:val="22"/>
        </w:rPr>
        <w:t>,</w:t>
      </w:r>
      <w:r w:rsidRPr="009C39DF">
        <w:rPr>
          <w:sz w:val="22"/>
        </w:rPr>
        <w:t xml:space="preserve"> and expected date for resolving the issue. The template came into effect for FY2016/17. The audit process is still ongoing, so it is not possible to assess how well this new process has worked. </w:t>
      </w:r>
    </w:p>
    <w:p w14:paraId="2075944C" w14:textId="25EA208C" w:rsidR="006F0846" w:rsidRPr="009C39DF" w:rsidRDefault="00F5429C" w:rsidP="009C39DF">
      <w:pPr>
        <w:spacing w:after="240"/>
        <w:rPr>
          <w:sz w:val="22"/>
        </w:rPr>
      </w:pPr>
      <w:r w:rsidRPr="009C39DF">
        <w:rPr>
          <w:sz w:val="22"/>
        </w:rPr>
        <w:t>In summary, t</w:t>
      </w:r>
      <w:r w:rsidR="00DF53B2" w:rsidRPr="009C39DF">
        <w:rPr>
          <w:sz w:val="22"/>
        </w:rPr>
        <w:t>he Auditor</w:t>
      </w:r>
      <w:r w:rsidR="008F1990">
        <w:rPr>
          <w:sz w:val="22"/>
        </w:rPr>
        <w:t xml:space="preserve"> </w:t>
      </w:r>
      <w:r w:rsidR="00852716">
        <w:rPr>
          <w:sz w:val="22"/>
        </w:rPr>
        <w:t>G</w:t>
      </w:r>
      <w:r w:rsidR="00DF53B2" w:rsidRPr="009C39DF">
        <w:rPr>
          <w:sz w:val="22"/>
        </w:rPr>
        <w:t xml:space="preserve">eneral operates independently from the </w:t>
      </w:r>
      <w:r w:rsidR="00852716">
        <w:rPr>
          <w:sz w:val="22"/>
        </w:rPr>
        <w:t>E</w:t>
      </w:r>
      <w:r w:rsidR="00DF53B2" w:rsidRPr="009C39DF">
        <w:rPr>
          <w:sz w:val="22"/>
        </w:rPr>
        <w:t xml:space="preserve">xecutive with respect to procedures for appointment and removal of the </w:t>
      </w:r>
      <w:r w:rsidR="00852716">
        <w:rPr>
          <w:sz w:val="22"/>
        </w:rPr>
        <w:t>h</w:t>
      </w:r>
      <w:r w:rsidR="00DF53B2" w:rsidRPr="009C39DF">
        <w:rPr>
          <w:sz w:val="22"/>
        </w:rPr>
        <w:t>ead of the institution, the planning of audit engagements, arrangements for publicizing reports, and the approval and execution of its budget. This independence is assured by law. The SAI has unrestricted and timely access to records, documentation</w:t>
      </w:r>
      <w:r w:rsidR="00852716">
        <w:rPr>
          <w:sz w:val="22"/>
        </w:rPr>
        <w:t>,</w:t>
      </w:r>
      <w:r w:rsidR="00DF53B2" w:rsidRPr="009C39DF">
        <w:rPr>
          <w:sz w:val="22"/>
        </w:rPr>
        <w:t xml:space="preserve"> and information. </w:t>
      </w:r>
    </w:p>
    <w:p w14:paraId="75EFC5C7" w14:textId="21EF5F6C" w:rsidR="006F0846" w:rsidRPr="009C39DF" w:rsidRDefault="006F0846" w:rsidP="009C39DF">
      <w:pPr>
        <w:spacing w:after="240"/>
        <w:rPr>
          <w:b/>
          <w:sz w:val="22"/>
        </w:rPr>
      </w:pPr>
      <w:r w:rsidRPr="009C39DF">
        <w:rPr>
          <w:b/>
          <w:sz w:val="22"/>
        </w:rPr>
        <w:t>Dimension rating = A</w:t>
      </w:r>
    </w:p>
    <w:p w14:paraId="3D762873" w14:textId="77777777" w:rsidR="00BB1084" w:rsidRPr="00890A84" w:rsidRDefault="00BB1084" w:rsidP="00590C8E">
      <w:pPr>
        <w:pStyle w:val="Heading4"/>
      </w:pPr>
      <w:r w:rsidRPr="00890A84">
        <w:t>PI-31. Legislative scrutiny of audit reports</w:t>
      </w:r>
    </w:p>
    <w:p w14:paraId="0EDC1E17" w14:textId="77777777" w:rsidR="003E5B0C" w:rsidRPr="00890A84" w:rsidRDefault="003E5B0C" w:rsidP="00BA6B2B">
      <w:pPr>
        <w:pStyle w:val="Heading5"/>
      </w:pPr>
      <w:r>
        <w:t>Summary of scores and performance table</w:t>
      </w:r>
    </w:p>
    <w:tbl>
      <w:tblPr>
        <w:tblW w:w="936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620" w:firstRow="1" w:lastRow="0" w:firstColumn="0" w:lastColumn="0" w:noHBand="1" w:noVBand="1"/>
      </w:tblPr>
      <w:tblGrid>
        <w:gridCol w:w="2842"/>
        <w:gridCol w:w="488"/>
        <w:gridCol w:w="6030"/>
      </w:tblGrid>
      <w:tr w:rsidR="003E5B0C" w:rsidRPr="009C39DF" w14:paraId="4ED2FA4D" w14:textId="77777777" w:rsidTr="009C39DF">
        <w:trPr>
          <w:tblHeader/>
        </w:trPr>
        <w:tc>
          <w:tcPr>
            <w:tcW w:w="2842" w:type="dxa"/>
            <w:shd w:val="clear" w:color="auto" w:fill="5B9BD5"/>
          </w:tcPr>
          <w:p w14:paraId="2D7B0A2F" w14:textId="2CDE8085" w:rsidR="003E5B0C" w:rsidRPr="009C39DF" w:rsidRDefault="003E5B0C" w:rsidP="009C39DF">
            <w:pPr>
              <w:jc w:val="center"/>
              <w:rPr>
                <w:b/>
                <w:color w:val="FFFFFF" w:themeColor="background1"/>
                <w:sz w:val="20"/>
              </w:rPr>
            </w:pPr>
            <w:r w:rsidRPr="009C39DF">
              <w:rPr>
                <w:b/>
                <w:color w:val="FFFFFF" w:themeColor="background1"/>
                <w:sz w:val="20"/>
              </w:rPr>
              <w:t>PI-31</w:t>
            </w:r>
            <w:r w:rsidR="00CB08E3">
              <w:rPr>
                <w:b/>
                <w:color w:val="FFFFFF" w:themeColor="background1"/>
                <w:sz w:val="20"/>
              </w:rPr>
              <w:t>.</w:t>
            </w:r>
            <w:r w:rsidRPr="009C39DF">
              <w:rPr>
                <w:b/>
                <w:color w:val="FFFFFF" w:themeColor="background1"/>
                <w:sz w:val="20"/>
              </w:rPr>
              <w:t xml:space="preserve"> Legislative scrutiny of audit reports (M2)</w:t>
            </w:r>
          </w:p>
        </w:tc>
        <w:tc>
          <w:tcPr>
            <w:tcW w:w="488" w:type="dxa"/>
            <w:shd w:val="clear" w:color="auto" w:fill="5B9BD5"/>
          </w:tcPr>
          <w:p w14:paraId="64427EE5" w14:textId="77777777" w:rsidR="003E5B0C" w:rsidRPr="009C39DF" w:rsidRDefault="003E5B0C" w:rsidP="009C39DF">
            <w:pPr>
              <w:jc w:val="center"/>
              <w:rPr>
                <w:b/>
                <w:color w:val="FFFFFF" w:themeColor="background1"/>
                <w:sz w:val="20"/>
              </w:rPr>
            </w:pPr>
            <w:r w:rsidRPr="009C39DF">
              <w:rPr>
                <w:b/>
                <w:color w:val="FFFFFF" w:themeColor="background1"/>
                <w:sz w:val="20"/>
              </w:rPr>
              <w:t>D</w:t>
            </w:r>
          </w:p>
        </w:tc>
        <w:tc>
          <w:tcPr>
            <w:tcW w:w="6030" w:type="dxa"/>
            <w:shd w:val="clear" w:color="auto" w:fill="5B9BD5"/>
          </w:tcPr>
          <w:p w14:paraId="660AFE84" w14:textId="77777777" w:rsidR="003E5B0C" w:rsidRPr="009C39DF" w:rsidRDefault="003E5B0C" w:rsidP="009C39DF">
            <w:pPr>
              <w:jc w:val="center"/>
              <w:rPr>
                <w:b/>
                <w:color w:val="FFFFFF" w:themeColor="background1"/>
                <w:sz w:val="20"/>
              </w:rPr>
            </w:pPr>
            <w:r w:rsidRPr="009C39DF">
              <w:rPr>
                <w:b/>
                <w:color w:val="FFFFFF" w:themeColor="background1"/>
                <w:sz w:val="20"/>
              </w:rPr>
              <w:t>Brief justification for score</w:t>
            </w:r>
          </w:p>
        </w:tc>
      </w:tr>
      <w:tr w:rsidR="003E5B0C" w:rsidRPr="009C39DF" w14:paraId="21D60493" w14:textId="77777777" w:rsidTr="009C39DF">
        <w:tc>
          <w:tcPr>
            <w:tcW w:w="2842" w:type="dxa"/>
            <w:shd w:val="clear" w:color="auto" w:fill="auto"/>
          </w:tcPr>
          <w:p w14:paraId="0ED9287A" w14:textId="77777777" w:rsidR="003E5B0C" w:rsidRPr="009C39DF" w:rsidRDefault="003E5B0C" w:rsidP="009C39DF">
            <w:pPr>
              <w:jc w:val="left"/>
              <w:rPr>
                <w:sz w:val="20"/>
              </w:rPr>
            </w:pPr>
            <w:r w:rsidRPr="009C39DF">
              <w:rPr>
                <w:sz w:val="20"/>
              </w:rPr>
              <w:t xml:space="preserve">31.1 Timing of audit report scrutiny </w:t>
            </w:r>
          </w:p>
        </w:tc>
        <w:tc>
          <w:tcPr>
            <w:tcW w:w="488" w:type="dxa"/>
            <w:shd w:val="clear" w:color="auto" w:fill="auto"/>
          </w:tcPr>
          <w:p w14:paraId="3BF29541" w14:textId="6CB81B15" w:rsidR="003E5B0C" w:rsidRPr="009C39DF" w:rsidRDefault="003E5B0C" w:rsidP="009C39DF">
            <w:pPr>
              <w:jc w:val="center"/>
              <w:rPr>
                <w:sz w:val="20"/>
              </w:rPr>
            </w:pPr>
            <w:r w:rsidRPr="009C39DF">
              <w:rPr>
                <w:sz w:val="20"/>
              </w:rPr>
              <w:t>D*</w:t>
            </w:r>
          </w:p>
        </w:tc>
        <w:tc>
          <w:tcPr>
            <w:tcW w:w="6030" w:type="dxa"/>
            <w:shd w:val="clear" w:color="auto" w:fill="auto"/>
          </w:tcPr>
          <w:p w14:paraId="6454BCA5" w14:textId="77777777" w:rsidR="003E5B0C" w:rsidRPr="009C39DF" w:rsidRDefault="003E5B0C" w:rsidP="009C39DF">
            <w:pPr>
              <w:jc w:val="left"/>
              <w:rPr>
                <w:sz w:val="20"/>
              </w:rPr>
            </w:pPr>
            <w:r w:rsidRPr="009C39DF">
              <w:rPr>
                <w:sz w:val="20"/>
              </w:rPr>
              <w:t xml:space="preserve">Scrutiny of audit reports is completed within 12 months in most instances. However, this could not be verified due to lack of supporting documentation. </w:t>
            </w:r>
          </w:p>
        </w:tc>
      </w:tr>
      <w:tr w:rsidR="003E5B0C" w:rsidRPr="009C39DF" w14:paraId="20768B28" w14:textId="77777777" w:rsidTr="009C39DF">
        <w:tc>
          <w:tcPr>
            <w:tcW w:w="2842" w:type="dxa"/>
            <w:shd w:val="clear" w:color="auto" w:fill="auto"/>
          </w:tcPr>
          <w:p w14:paraId="2A7A2DD5" w14:textId="77777777" w:rsidR="003E5B0C" w:rsidRPr="009C39DF" w:rsidRDefault="003E5B0C" w:rsidP="009C39DF">
            <w:pPr>
              <w:jc w:val="left"/>
              <w:rPr>
                <w:sz w:val="20"/>
              </w:rPr>
            </w:pPr>
            <w:r w:rsidRPr="009C39DF">
              <w:rPr>
                <w:sz w:val="20"/>
              </w:rPr>
              <w:t xml:space="preserve">31.2 Hearings on audit findings </w:t>
            </w:r>
          </w:p>
        </w:tc>
        <w:tc>
          <w:tcPr>
            <w:tcW w:w="488" w:type="dxa"/>
            <w:shd w:val="clear" w:color="auto" w:fill="auto"/>
          </w:tcPr>
          <w:p w14:paraId="2C3D0139" w14:textId="5310120D" w:rsidR="003E5B0C" w:rsidRPr="009C39DF" w:rsidRDefault="009972FE" w:rsidP="009C39DF">
            <w:pPr>
              <w:jc w:val="center"/>
              <w:rPr>
                <w:sz w:val="20"/>
              </w:rPr>
            </w:pPr>
            <w:r w:rsidRPr="009C39DF">
              <w:rPr>
                <w:sz w:val="20"/>
              </w:rPr>
              <w:t>D*</w:t>
            </w:r>
          </w:p>
        </w:tc>
        <w:tc>
          <w:tcPr>
            <w:tcW w:w="6030" w:type="dxa"/>
            <w:shd w:val="clear" w:color="auto" w:fill="auto"/>
          </w:tcPr>
          <w:p w14:paraId="3B64AE11" w14:textId="772C6D6D" w:rsidR="003E5B0C" w:rsidRPr="009C39DF" w:rsidRDefault="003E5B0C" w:rsidP="009C39DF">
            <w:pPr>
              <w:jc w:val="left"/>
              <w:rPr>
                <w:sz w:val="20"/>
              </w:rPr>
            </w:pPr>
            <w:r w:rsidRPr="009C39DF">
              <w:rPr>
                <w:sz w:val="20"/>
              </w:rPr>
              <w:t>Only the external audit for 2013/14 has been fully completed and discussed</w:t>
            </w:r>
            <w:r w:rsidR="009972FE" w:rsidRPr="009C39DF">
              <w:rPr>
                <w:sz w:val="20"/>
              </w:rPr>
              <w:t xml:space="preserve"> and no evidence of hearings has been provided.</w:t>
            </w:r>
          </w:p>
        </w:tc>
      </w:tr>
      <w:tr w:rsidR="003E5B0C" w:rsidRPr="009C39DF" w14:paraId="69120003" w14:textId="77777777" w:rsidTr="009C39DF">
        <w:tc>
          <w:tcPr>
            <w:tcW w:w="2842" w:type="dxa"/>
            <w:shd w:val="clear" w:color="auto" w:fill="auto"/>
          </w:tcPr>
          <w:p w14:paraId="7EC55438" w14:textId="77777777" w:rsidR="003E5B0C" w:rsidRPr="009C39DF" w:rsidRDefault="003E5B0C" w:rsidP="009C39DF">
            <w:pPr>
              <w:jc w:val="left"/>
              <w:rPr>
                <w:sz w:val="20"/>
              </w:rPr>
            </w:pPr>
            <w:r w:rsidRPr="009C39DF">
              <w:rPr>
                <w:sz w:val="20"/>
              </w:rPr>
              <w:t xml:space="preserve">31.3 Recommendations on audit by the legislature </w:t>
            </w:r>
          </w:p>
        </w:tc>
        <w:tc>
          <w:tcPr>
            <w:tcW w:w="488" w:type="dxa"/>
            <w:shd w:val="clear" w:color="auto" w:fill="auto"/>
          </w:tcPr>
          <w:p w14:paraId="733CEE9D" w14:textId="77777777" w:rsidR="003E5B0C" w:rsidRPr="009C39DF" w:rsidRDefault="003E5B0C" w:rsidP="009C39DF">
            <w:pPr>
              <w:jc w:val="center"/>
              <w:rPr>
                <w:sz w:val="20"/>
              </w:rPr>
            </w:pPr>
            <w:r w:rsidRPr="009C39DF">
              <w:rPr>
                <w:sz w:val="20"/>
              </w:rPr>
              <w:t>D*</w:t>
            </w:r>
          </w:p>
        </w:tc>
        <w:tc>
          <w:tcPr>
            <w:tcW w:w="6030" w:type="dxa"/>
            <w:shd w:val="clear" w:color="auto" w:fill="auto"/>
          </w:tcPr>
          <w:p w14:paraId="039AEA0F" w14:textId="7E6EDB77" w:rsidR="003E5B0C" w:rsidRPr="009C39DF" w:rsidRDefault="003E5B0C" w:rsidP="009C39DF">
            <w:pPr>
              <w:jc w:val="left"/>
              <w:rPr>
                <w:sz w:val="20"/>
              </w:rPr>
            </w:pPr>
            <w:r w:rsidRPr="009C39DF">
              <w:rPr>
                <w:sz w:val="20"/>
              </w:rPr>
              <w:t xml:space="preserve">The assembly has a process for monitoring implementation of audit recommendations. However, no record of recommendations by the legislatures for actions to be taken up by the </w:t>
            </w:r>
            <w:r w:rsidR="00AA1C73">
              <w:rPr>
                <w:sz w:val="20"/>
              </w:rPr>
              <w:t>E</w:t>
            </w:r>
            <w:r w:rsidRPr="009C39DF">
              <w:rPr>
                <w:sz w:val="20"/>
              </w:rPr>
              <w:t>xecutive was provided.</w:t>
            </w:r>
          </w:p>
        </w:tc>
      </w:tr>
      <w:tr w:rsidR="003E5B0C" w:rsidRPr="009C39DF" w14:paraId="42A801AB" w14:textId="77777777" w:rsidTr="009C39DF">
        <w:tc>
          <w:tcPr>
            <w:tcW w:w="2842" w:type="dxa"/>
            <w:shd w:val="clear" w:color="auto" w:fill="auto"/>
          </w:tcPr>
          <w:p w14:paraId="729766A0" w14:textId="77777777" w:rsidR="003E5B0C" w:rsidRPr="009C39DF" w:rsidRDefault="003E5B0C" w:rsidP="009C39DF">
            <w:pPr>
              <w:jc w:val="left"/>
              <w:rPr>
                <w:sz w:val="20"/>
              </w:rPr>
            </w:pPr>
            <w:r w:rsidRPr="009C39DF">
              <w:rPr>
                <w:sz w:val="20"/>
              </w:rPr>
              <w:t xml:space="preserve">31.4 Transparency of legislative scrutiny of audit reports </w:t>
            </w:r>
          </w:p>
        </w:tc>
        <w:tc>
          <w:tcPr>
            <w:tcW w:w="488" w:type="dxa"/>
            <w:shd w:val="clear" w:color="auto" w:fill="auto"/>
          </w:tcPr>
          <w:p w14:paraId="35490BC6" w14:textId="77777777" w:rsidR="003E5B0C" w:rsidRPr="009C39DF" w:rsidRDefault="003E5B0C" w:rsidP="009C39DF">
            <w:pPr>
              <w:jc w:val="center"/>
              <w:rPr>
                <w:sz w:val="20"/>
              </w:rPr>
            </w:pPr>
            <w:r w:rsidRPr="009C39DF">
              <w:rPr>
                <w:sz w:val="20"/>
              </w:rPr>
              <w:t>D*</w:t>
            </w:r>
          </w:p>
        </w:tc>
        <w:tc>
          <w:tcPr>
            <w:tcW w:w="6030" w:type="dxa"/>
            <w:shd w:val="clear" w:color="auto" w:fill="auto"/>
          </w:tcPr>
          <w:p w14:paraId="4E558A50" w14:textId="7977AF74" w:rsidR="003E5B0C" w:rsidRPr="009C39DF" w:rsidRDefault="003E5B0C" w:rsidP="009C39DF">
            <w:pPr>
              <w:jc w:val="left"/>
              <w:rPr>
                <w:sz w:val="20"/>
              </w:rPr>
            </w:pPr>
            <w:r w:rsidRPr="009C39DF">
              <w:rPr>
                <w:sz w:val="20"/>
              </w:rPr>
              <w:t>Committee reports have not been provided.</w:t>
            </w:r>
          </w:p>
        </w:tc>
      </w:tr>
    </w:tbl>
    <w:p w14:paraId="3F8C3E72" w14:textId="77777777" w:rsidR="0004546D" w:rsidRPr="00890A84" w:rsidRDefault="00033A33" w:rsidP="00BA6B2B">
      <w:pPr>
        <w:pStyle w:val="Heading5"/>
      </w:pPr>
      <w:r w:rsidRPr="00890A84">
        <w:t>PI-</w:t>
      </w:r>
      <w:r w:rsidR="0004546D" w:rsidRPr="00890A84">
        <w:t xml:space="preserve">31.1. Timing of audit report scrutiny </w:t>
      </w:r>
    </w:p>
    <w:p w14:paraId="024464EC" w14:textId="5A99C3E5" w:rsidR="006A1F6D" w:rsidRPr="009C39DF" w:rsidRDefault="006A1F6D" w:rsidP="009C39DF">
      <w:pPr>
        <w:spacing w:after="240"/>
        <w:rPr>
          <w:sz w:val="22"/>
        </w:rPr>
      </w:pPr>
      <w:r w:rsidRPr="009C39DF">
        <w:rPr>
          <w:sz w:val="22"/>
        </w:rPr>
        <w:t>T</w:t>
      </w:r>
      <w:r w:rsidR="00372EBA" w:rsidRPr="009C39DF">
        <w:rPr>
          <w:sz w:val="22"/>
        </w:rPr>
        <w:t xml:space="preserve">able </w:t>
      </w:r>
      <w:r w:rsidRPr="009C39DF">
        <w:rPr>
          <w:sz w:val="22"/>
        </w:rPr>
        <w:t>3.</w:t>
      </w:r>
      <w:r w:rsidR="000B4EB8">
        <w:rPr>
          <w:sz w:val="22"/>
        </w:rPr>
        <w:t>27</w:t>
      </w:r>
      <w:r w:rsidR="00CB08E3" w:rsidRPr="009C39DF">
        <w:rPr>
          <w:sz w:val="22"/>
        </w:rPr>
        <w:t xml:space="preserve"> </w:t>
      </w:r>
      <w:r w:rsidR="00372EBA" w:rsidRPr="009C39DF">
        <w:rPr>
          <w:sz w:val="22"/>
        </w:rPr>
        <w:t>summari</w:t>
      </w:r>
      <w:r w:rsidR="00ED5A95">
        <w:rPr>
          <w:sz w:val="22"/>
        </w:rPr>
        <w:t>z</w:t>
      </w:r>
      <w:r w:rsidR="00372EBA" w:rsidRPr="009C39DF">
        <w:rPr>
          <w:sz w:val="22"/>
        </w:rPr>
        <w:t>es the dates when the external audit reports were</w:t>
      </w:r>
      <w:r w:rsidRPr="009C39DF">
        <w:rPr>
          <w:sz w:val="22"/>
        </w:rPr>
        <w:t xml:space="preserve"> received and discussed by the County A</w:t>
      </w:r>
      <w:r w:rsidR="00372EBA" w:rsidRPr="009C39DF">
        <w:rPr>
          <w:sz w:val="22"/>
        </w:rPr>
        <w:t>ssembly.</w:t>
      </w:r>
      <w:r w:rsidRPr="009C39DF">
        <w:rPr>
          <w:sz w:val="22"/>
        </w:rPr>
        <w:t xml:space="preserve"> There is no specific timeline to scrutinize audit reports by the County Assembly. The time for scrutiny depends on the program of the committee. It has been said during meetings that the scrutiny was completed over a maximum </w:t>
      </w:r>
      <w:r w:rsidR="00CB08E3">
        <w:rPr>
          <w:sz w:val="22"/>
        </w:rPr>
        <w:t xml:space="preserve">of </w:t>
      </w:r>
      <w:r w:rsidRPr="009C39DF">
        <w:rPr>
          <w:sz w:val="22"/>
        </w:rPr>
        <w:t>two months but no evidence has been provided.</w:t>
      </w:r>
    </w:p>
    <w:p w14:paraId="00AE6DC0" w14:textId="132A8562" w:rsidR="0048397F" w:rsidRPr="00890A84" w:rsidRDefault="004B6441" w:rsidP="00590C8E">
      <w:pPr>
        <w:pStyle w:val="TableStyle"/>
      </w:pPr>
      <w:bookmarkStart w:id="121" w:name="_Toc530420896"/>
      <w:bookmarkStart w:id="122" w:name="_Toc532426114"/>
      <w:r>
        <w:t>Table</w:t>
      </w:r>
      <w:r w:rsidR="00CB08E3">
        <w:t xml:space="preserve"> </w:t>
      </w:r>
      <w:r w:rsidR="008B59A7">
        <w:rPr>
          <w:noProof/>
        </w:rPr>
        <w:fldChar w:fldCharType="begin"/>
      </w:r>
      <w:r w:rsidR="008B59A7">
        <w:rPr>
          <w:noProof/>
        </w:rPr>
        <w:instrText xml:space="preserve"> STYLEREF 1 \s </w:instrText>
      </w:r>
      <w:r w:rsidR="008B59A7">
        <w:rPr>
          <w:noProof/>
        </w:rPr>
        <w:fldChar w:fldCharType="separate"/>
      </w:r>
      <w:r w:rsidR="00F677C9">
        <w:rPr>
          <w:noProof/>
        </w:rPr>
        <w:t>3</w:t>
      </w:r>
      <w:r w:rsidR="008B59A7">
        <w:rPr>
          <w:noProof/>
        </w:rPr>
        <w:fldChar w:fldCharType="end"/>
      </w:r>
      <w:r w:rsidR="00F677C9">
        <w:t>.</w:t>
      </w:r>
      <w:r w:rsidR="008B59A7">
        <w:rPr>
          <w:noProof/>
        </w:rPr>
        <w:fldChar w:fldCharType="begin"/>
      </w:r>
      <w:r w:rsidR="008B59A7">
        <w:rPr>
          <w:noProof/>
        </w:rPr>
        <w:instrText xml:space="preserve"> SEQ Table \* ARABIC \s 1 </w:instrText>
      </w:r>
      <w:r w:rsidR="008B59A7">
        <w:rPr>
          <w:noProof/>
        </w:rPr>
        <w:fldChar w:fldCharType="separate"/>
      </w:r>
      <w:r w:rsidR="00F677C9">
        <w:rPr>
          <w:noProof/>
        </w:rPr>
        <w:t>27</w:t>
      </w:r>
      <w:r w:rsidR="008B59A7">
        <w:rPr>
          <w:noProof/>
        </w:rPr>
        <w:fldChar w:fldCharType="end"/>
      </w:r>
      <w:r w:rsidR="0048397F" w:rsidRPr="00890A84">
        <w:t xml:space="preserve">: </w:t>
      </w:r>
      <w:r w:rsidR="0026221B">
        <w:t>Timing of a</w:t>
      </w:r>
      <w:r w:rsidR="0026221B" w:rsidRPr="00A357D0">
        <w:t xml:space="preserve">udit </w:t>
      </w:r>
      <w:r w:rsidR="0026221B">
        <w:t>reports</w:t>
      </w:r>
      <w:bookmarkEnd w:id="121"/>
      <w:bookmarkEnd w:id="122"/>
    </w:p>
    <w:tbl>
      <w:tblPr>
        <w:tblW w:w="4695"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20" w:firstRow="1" w:lastRow="0" w:firstColumn="0" w:lastColumn="0" w:noHBand="1" w:noVBand="1"/>
      </w:tblPr>
      <w:tblGrid>
        <w:gridCol w:w="1523"/>
        <w:gridCol w:w="2192"/>
        <w:gridCol w:w="1806"/>
        <w:gridCol w:w="3259"/>
      </w:tblGrid>
      <w:tr w:rsidR="0030208C" w:rsidRPr="009C39DF" w14:paraId="22DB290E" w14:textId="77777777" w:rsidTr="009C39DF">
        <w:trPr>
          <w:tblHeader/>
        </w:trPr>
        <w:tc>
          <w:tcPr>
            <w:tcW w:w="867" w:type="pct"/>
            <w:shd w:val="clear" w:color="auto" w:fill="5B9BD5"/>
            <w:noWrap/>
            <w:hideMark/>
          </w:tcPr>
          <w:p w14:paraId="3EB518AC" w14:textId="77777777" w:rsidR="0030208C" w:rsidRPr="009C39DF" w:rsidRDefault="0030208C" w:rsidP="009C39DF">
            <w:pPr>
              <w:jc w:val="center"/>
              <w:rPr>
                <w:b/>
                <w:color w:val="FFFFFF" w:themeColor="background1"/>
                <w:sz w:val="20"/>
                <w:szCs w:val="20"/>
              </w:rPr>
            </w:pPr>
            <w:r w:rsidRPr="009C39DF">
              <w:rPr>
                <w:b/>
                <w:color w:val="FFFFFF" w:themeColor="background1"/>
                <w:sz w:val="20"/>
                <w:szCs w:val="20"/>
              </w:rPr>
              <w:t>Financial year</w:t>
            </w:r>
          </w:p>
        </w:tc>
        <w:tc>
          <w:tcPr>
            <w:tcW w:w="1248" w:type="pct"/>
            <w:shd w:val="clear" w:color="auto" w:fill="5B9BD5"/>
            <w:noWrap/>
            <w:hideMark/>
          </w:tcPr>
          <w:p w14:paraId="4480419F" w14:textId="19EE7981" w:rsidR="0030208C" w:rsidRPr="009C39DF" w:rsidRDefault="0030208C" w:rsidP="009C39DF">
            <w:pPr>
              <w:jc w:val="center"/>
              <w:rPr>
                <w:b/>
                <w:color w:val="FFFFFF" w:themeColor="background1"/>
                <w:sz w:val="20"/>
                <w:szCs w:val="20"/>
              </w:rPr>
            </w:pPr>
            <w:r w:rsidRPr="009C39DF">
              <w:rPr>
                <w:b/>
                <w:color w:val="FFFFFF" w:themeColor="background1"/>
                <w:sz w:val="20"/>
                <w:szCs w:val="20"/>
              </w:rPr>
              <w:t>Date received</w:t>
            </w:r>
          </w:p>
        </w:tc>
        <w:tc>
          <w:tcPr>
            <w:tcW w:w="1028" w:type="pct"/>
            <w:shd w:val="clear" w:color="auto" w:fill="5B9BD5"/>
            <w:hideMark/>
          </w:tcPr>
          <w:p w14:paraId="07624C7A" w14:textId="77777777" w:rsidR="0030208C" w:rsidRPr="009C39DF" w:rsidRDefault="0030208C" w:rsidP="009C39DF">
            <w:pPr>
              <w:jc w:val="center"/>
              <w:rPr>
                <w:b/>
                <w:color w:val="FFFFFF" w:themeColor="background1"/>
                <w:sz w:val="20"/>
                <w:szCs w:val="20"/>
              </w:rPr>
            </w:pPr>
            <w:r w:rsidRPr="009C39DF">
              <w:rPr>
                <w:b/>
                <w:color w:val="FFFFFF" w:themeColor="background1"/>
                <w:sz w:val="20"/>
                <w:szCs w:val="20"/>
              </w:rPr>
              <w:t>Date when discussed and approved</w:t>
            </w:r>
          </w:p>
        </w:tc>
        <w:tc>
          <w:tcPr>
            <w:tcW w:w="1856" w:type="pct"/>
            <w:shd w:val="clear" w:color="auto" w:fill="5B9BD5"/>
            <w:noWrap/>
            <w:hideMark/>
          </w:tcPr>
          <w:p w14:paraId="611CA462" w14:textId="77777777" w:rsidR="0030208C" w:rsidRPr="009C39DF" w:rsidRDefault="0030208C" w:rsidP="009C39DF">
            <w:pPr>
              <w:jc w:val="center"/>
              <w:rPr>
                <w:b/>
                <w:color w:val="FFFFFF" w:themeColor="background1"/>
                <w:sz w:val="20"/>
                <w:szCs w:val="20"/>
              </w:rPr>
            </w:pPr>
            <w:r w:rsidRPr="009C39DF">
              <w:rPr>
                <w:b/>
                <w:color w:val="FFFFFF" w:themeColor="background1"/>
                <w:sz w:val="20"/>
                <w:szCs w:val="20"/>
              </w:rPr>
              <w:t>Type of audit report</w:t>
            </w:r>
          </w:p>
        </w:tc>
      </w:tr>
      <w:tr w:rsidR="0030208C" w:rsidRPr="009C39DF" w14:paraId="158DB51F" w14:textId="77777777" w:rsidTr="009C39DF">
        <w:tc>
          <w:tcPr>
            <w:tcW w:w="867" w:type="pct"/>
            <w:shd w:val="clear" w:color="auto" w:fill="auto"/>
            <w:noWrap/>
            <w:hideMark/>
          </w:tcPr>
          <w:p w14:paraId="4CC2D5AD" w14:textId="77777777" w:rsidR="0030208C" w:rsidRPr="009C39DF" w:rsidRDefault="0030208C" w:rsidP="00CB08E3">
            <w:pPr>
              <w:jc w:val="center"/>
              <w:rPr>
                <w:sz w:val="20"/>
                <w:szCs w:val="20"/>
              </w:rPr>
            </w:pPr>
            <w:r w:rsidRPr="009C39DF">
              <w:rPr>
                <w:sz w:val="20"/>
                <w:szCs w:val="20"/>
              </w:rPr>
              <w:t>2015/16</w:t>
            </w:r>
          </w:p>
        </w:tc>
        <w:tc>
          <w:tcPr>
            <w:tcW w:w="1248" w:type="pct"/>
            <w:shd w:val="clear" w:color="auto" w:fill="auto"/>
            <w:noWrap/>
            <w:hideMark/>
          </w:tcPr>
          <w:p w14:paraId="698C34A6" w14:textId="57FD13CA" w:rsidR="0030208C" w:rsidRPr="009C39DF" w:rsidRDefault="0030208C" w:rsidP="006D24AF">
            <w:pPr>
              <w:rPr>
                <w:sz w:val="20"/>
                <w:szCs w:val="20"/>
              </w:rPr>
            </w:pPr>
            <w:r w:rsidRPr="009C39DF">
              <w:rPr>
                <w:sz w:val="20"/>
                <w:szCs w:val="20"/>
              </w:rPr>
              <w:t xml:space="preserve">August </w:t>
            </w:r>
            <w:r w:rsidR="00CB08E3" w:rsidRPr="009C39DF">
              <w:rPr>
                <w:sz w:val="20"/>
                <w:szCs w:val="20"/>
              </w:rPr>
              <w:t>30</w:t>
            </w:r>
            <w:r w:rsidR="00CB08E3">
              <w:rPr>
                <w:sz w:val="20"/>
                <w:szCs w:val="20"/>
              </w:rPr>
              <w:t xml:space="preserve">, </w:t>
            </w:r>
            <w:r w:rsidRPr="009C39DF">
              <w:rPr>
                <w:sz w:val="20"/>
                <w:szCs w:val="20"/>
              </w:rPr>
              <w:t>2017</w:t>
            </w:r>
          </w:p>
        </w:tc>
        <w:tc>
          <w:tcPr>
            <w:tcW w:w="1028" w:type="pct"/>
            <w:shd w:val="clear" w:color="auto" w:fill="auto"/>
            <w:noWrap/>
            <w:hideMark/>
          </w:tcPr>
          <w:p w14:paraId="42CCA63C" w14:textId="00E39DE0" w:rsidR="0030208C" w:rsidRPr="009C39DF" w:rsidRDefault="00EB09D7" w:rsidP="0091086E">
            <w:pPr>
              <w:jc w:val="center"/>
              <w:rPr>
                <w:sz w:val="20"/>
                <w:szCs w:val="20"/>
              </w:rPr>
            </w:pPr>
            <w:r>
              <w:rPr>
                <w:rFonts w:asciiTheme="minorHAnsi" w:hAnsiTheme="minorHAnsi"/>
                <w:sz w:val="20"/>
                <w:szCs w:val="20"/>
              </w:rPr>
              <w:t>N/A</w:t>
            </w:r>
          </w:p>
        </w:tc>
        <w:tc>
          <w:tcPr>
            <w:tcW w:w="1856" w:type="pct"/>
            <w:shd w:val="clear" w:color="auto" w:fill="auto"/>
            <w:hideMark/>
          </w:tcPr>
          <w:p w14:paraId="40123525" w14:textId="77777777" w:rsidR="0030208C" w:rsidRPr="009C39DF" w:rsidRDefault="0030208C" w:rsidP="00D52523">
            <w:pPr>
              <w:rPr>
                <w:sz w:val="20"/>
                <w:szCs w:val="20"/>
              </w:rPr>
            </w:pPr>
            <w:r w:rsidRPr="009C39DF">
              <w:rPr>
                <w:sz w:val="20"/>
                <w:szCs w:val="20"/>
              </w:rPr>
              <w:t>Financial statements</w:t>
            </w:r>
          </w:p>
        </w:tc>
      </w:tr>
      <w:tr w:rsidR="009C39DF" w:rsidRPr="009C39DF" w14:paraId="11E9EF08" w14:textId="77777777" w:rsidTr="009C39DF">
        <w:tc>
          <w:tcPr>
            <w:tcW w:w="867" w:type="pct"/>
            <w:shd w:val="clear" w:color="auto" w:fill="auto"/>
            <w:noWrap/>
            <w:hideMark/>
          </w:tcPr>
          <w:p w14:paraId="786A1038" w14:textId="77777777" w:rsidR="009C39DF" w:rsidRPr="009C39DF" w:rsidRDefault="009C39DF" w:rsidP="00CB08E3">
            <w:pPr>
              <w:jc w:val="center"/>
              <w:rPr>
                <w:sz w:val="20"/>
                <w:szCs w:val="20"/>
              </w:rPr>
            </w:pPr>
            <w:r w:rsidRPr="009C39DF">
              <w:rPr>
                <w:sz w:val="20"/>
                <w:szCs w:val="20"/>
              </w:rPr>
              <w:t>2014/15</w:t>
            </w:r>
          </w:p>
        </w:tc>
        <w:tc>
          <w:tcPr>
            <w:tcW w:w="1248" w:type="pct"/>
            <w:shd w:val="clear" w:color="auto" w:fill="auto"/>
            <w:noWrap/>
          </w:tcPr>
          <w:p w14:paraId="17FD29C2" w14:textId="22ECFFEE" w:rsidR="009C39DF" w:rsidRPr="009C39DF" w:rsidRDefault="009C39DF" w:rsidP="009C39DF">
            <w:pPr>
              <w:rPr>
                <w:sz w:val="20"/>
                <w:szCs w:val="20"/>
              </w:rPr>
            </w:pPr>
            <w:r w:rsidRPr="009C39DF">
              <w:rPr>
                <w:sz w:val="20"/>
                <w:szCs w:val="20"/>
              </w:rPr>
              <w:t xml:space="preserve">October </w:t>
            </w:r>
            <w:r w:rsidR="00CB08E3" w:rsidRPr="009C39DF">
              <w:rPr>
                <w:sz w:val="20"/>
                <w:szCs w:val="20"/>
              </w:rPr>
              <w:t>17</w:t>
            </w:r>
            <w:r w:rsidR="00CB08E3">
              <w:rPr>
                <w:sz w:val="20"/>
                <w:szCs w:val="20"/>
              </w:rPr>
              <w:t>,</w:t>
            </w:r>
            <w:r w:rsidR="00CB08E3" w:rsidRPr="009C39DF">
              <w:rPr>
                <w:sz w:val="20"/>
                <w:szCs w:val="20"/>
              </w:rPr>
              <w:t xml:space="preserve"> </w:t>
            </w:r>
            <w:r w:rsidRPr="009C39DF">
              <w:rPr>
                <w:sz w:val="20"/>
                <w:szCs w:val="20"/>
              </w:rPr>
              <w:t>2016</w:t>
            </w:r>
          </w:p>
        </w:tc>
        <w:tc>
          <w:tcPr>
            <w:tcW w:w="1028" w:type="pct"/>
            <w:shd w:val="clear" w:color="auto" w:fill="auto"/>
          </w:tcPr>
          <w:p w14:paraId="6637C33A" w14:textId="3799EE0E" w:rsidR="009C39DF" w:rsidRPr="009C39DF" w:rsidRDefault="00EB09D7" w:rsidP="009C39DF">
            <w:pPr>
              <w:jc w:val="center"/>
              <w:rPr>
                <w:sz w:val="20"/>
                <w:szCs w:val="20"/>
              </w:rPr>
            </w:pPr>
            <w:r>
              <w:rPr>
                <w:rFonts w:asciiTheme="minorHAnsi" w:hAnsiTheme="minorHAnsi"/>
                <w:sz w:val="20"/>
                <w:szCs w:val="20"/>
              </w:rPr>
              <w:t>N/A</w:t>
            </w:r>
          </w:p>
        </w:tc>
        <w:tc>
          <w:tcPr>
            <w:tcW w:w="1856" w:type="pct"/>
            <w:shd w:val="clear" w:color="auto" w:fill="auto"/>
            <w:hideMark/>
          </w:tcPr>
          <w:p w14:paraId="04497A6A" w14:textId="77777777" w:rsidR="009C39DF" w:rsidRPr="009C39DF" w:rsidRDefault="009C39DF" w:rsidP="009C39DF">
            <w:pPr>
              <w:rPr>
                <w:sz w:val="20"/>
                <w:szCs w:val="20"/>
              </w:rPr>
            </w:pPr>
            <w:r w:rsidRPr="009C39DF">
              <w:rPr>
                <w:sz w:val="20"/>
                <w:szCs w:val="20"/>
              </w:rPr>
              <w:t>Financial statements</w:t>
            </w:r>
          </w:p>
        </w:tc>
      </w:tr>
      <w:tr w:rsidR="009C39DF" w:rsidRPr="009C39DF" w14:paraId="78195A81" w14:textId="77777777" w:rsidTr="009C39DF">
        <w:tc>
          <w:tcPr>
            <w:tcW w:w="867" w:type="pct"/>
            <w:shd w:val="clear" w:color="auto" w:fill="auto"/>
            <w:noWrap/>
            <w:hideMark/>
          </w:tcPr>
          <w:p w14:paraId="5683B410" w14:textId="77777777" w:rsidR="009C39DF" w:rsidRPr="009C39DF" w:rsidRDefault="009C39DF" w:rsidP="00CB08E3">
            <w:pPr>
              <w:jc w:val="center"/>
              <w:rPr>
                <w:sz w:val="20"/>
                <w:szCs w:val="20"/>
              </w:rPr>
            </w:pPr>
            <w:r w:rsidRPr="009C39DF">
              <w:rPr>
                <w:sz w:val="20"/>
                <w:szCs w:val="20"/>
              </w:rPr>
              <w:t>2013/14</w:t>
            </w:r>
          </w:p>
        </w:tc>
        <w:tc>
          <w:tcPr>
            <w:tcW w:w="1248" w:type="pct"/>
            <w:shd w:val="clear" w:color="auto" w:fill="auto"/>
            <w:noWrap/>
          </w:tcPr>
          <w:p w14:paraId="159F9F75" w14:textId="7923153D" w:rsidR="009C39DF" w:rsidRPr="009C39DF" w:rsidRDefault="009C39DF" w:rsidP="009C39DF">
            <w:pPr>
              <w:rPr>
                <w:sz w:val="20"/>
                <w:szCs w:val="20"/>
              </w:rPr>
            </w:pPr>
            <w:r w:rsidRPr="009C39DF">
              <w:rPr>
                <w:sz w:val="20"/>
                <w:szCs w:val="20"/>
              </w:rPr>
              <w:t xml:space="preserve">August </w:t>
            </w:r>
            <w:r w:rsidR="00CB08E3" w:rsidRPr="009C39DF">
              <w:rPr>
                <w:sz w:val="20"/>
                <w:szCs w:val="20"/>
              </w:rPr>
              <w:t>30</w:t>
            </w:r>
            <w:r w:rsidR="00CB08E3">
              <w:rPr>
                <w:sz w:val="20"/>
                <w:szCs w:val="20"/>
              </w:rPr>
              <w:t xml:space="preserve">, </w:t>
            </w:r>
            <w:r w:rsidRPr="009C39DF">
              <w:rPr>
                <w:sz w:val="20"/>
                <w:szCs w:val="20"/>
              </w:rPr>
              <w:t>2017</w:t>
            </w:r>
          </w:p>
        </w:tc>
        <w:tc>
          <w:tcPr>
            <w:tcW w:w="1028" w:type="pct"/>
            <w:shd w:val="clear" w:color="auto" w:fill="auto"/>
            <w:noWrap/>
          </w:tcPr>
          <w:p w14:paraId="27B51695" w14:textId="02844728" w:rsidR="009C39DF" w:rsidRPr="009C39DF" w:rsidRDefault="00EB09D7" w:rsidP="009C39DF">
            <w:pPr>
              <w:jc w:val="center"/>
              <w:rPr>
                <w:sz w:val="20"/>
                <w:szCs w:val="20"/>
              </w:rPr>
            </w:pPr>
            <w:r>
              <w:rPr>
                <w:rFonts w:asciiTheme="minorHAnsi" w:hAnsiTheme="minorHAnsi"/>
                <w:sz w:val="20"/>
                <w:szCs w:val="20"/>
              </w:rPr>
              <w:t>N/A</w:t>
            </w:r>
          </w:p>
        </w:tc>
        <w:tc>
          <w:tcPr>
            <w:tcW w:w="1856" w:type="pct"/>
            <w:shd w:val="clear" w:color="auto" w:fill="auto"/>
            <w:noWrap/>
            <w:hideMark/>
          </w:tcPr>
          <w:p w14:paraId="69302C1E" w14:textId="77777777" w:rsidR="009C39DF" w:rsidRPr="009C39DF" w:rsidRDefault="009C39DF" w:rsidP="009C39DF">
            <w:pPr>
              <w:rPr>
                <w:sz w:val="20"/>
                <w:szCs w:val="20"/>
              </w:rPr>
            </w:pPr>
            <w:r w:rsidRPr="009C39DF">
              <w:rPr>
                <w:sz w:val="20"/>
                <w:szCs w:val="20"/>
              </w:rPr>
              <w:t xml:space="preserve">Financial statements </w:t>
            </w:r>
          </w:p>
        </w:tc>
      </w:tr>
    </w:tbl>
    <w:p w14:paraId="7FB1FE5F" w14:textId="66B2A939" w:rsidR="009E3EF3" w:rsidRPr="00CB08E3" w:rsidRDefault="009E3EF3" w:rsidP="009C39DF">
      <w:pPr>
        <w:pStyle w:val="italic0"/>
        <w:spacing w:after="240"/>
        <w:rPr>
          <w:rStyle w:val="SubtleEmphasis"/>
          <w:color w:val="auto"/>
          <w:sz w:val="20"/>
        </w:rPr>
      </w:pPr>
      <w:r w:rsidRPr="00CB08E3">
        <w:rPr>
          <w:rStyle w:val="SubtleEmphasis"/>
          <w:i/>
          <w:color w:val="auto"/>
          <w:sz w:val="20"/>
        </w:rPr>
        <w:t xml:space="preserve">Source: </w:t>
      </w:r>
      <w:r w:rsidR="00434CFA" w:rsidRPr="00CB08E3">
        <w:rPr>
          <w:rStyle w:val="SubtleEmphasis"/>
          <w:color w:val="auto"/>
          <w:sz w:val="20"/>
        </w:rPr>
        <w:t>County E</w:t>
      </w:r>
      <w:r w:rsidR="00331248" w:rsidRPr="00CB08E3">
        <w:rPr>
          <w:rStyle w:val="SubtleEmphasis"/>
          <w:color w:val="auto"/>
          <w:sz w:val="20"/>
        </w:rPr>
        <w:t>xecutive</w:t>
      </w:r>
      <w:r w:rsidR="00CB08E3" w:rsidRPr="00CB08E3">
        <w:rPr>
          <w:rStyle w:val="SubtleEmphasis"/>
          <w:color w:val="auto"/>
          <w:sz w:val="20"/>
        </w:rPr>
        <w:t>.</w:t>
      </w:r>
    </w:p>
    <w:p w14:paraId="2A9D8ADA" w14:textId="699B91C1" w:rsidR="00F7473B" w:rsidRPr="009C39DF" w:rsidRDefault="006A1F6D" w:rsidP="009C39DF">
      <w:pPr>
        <w:spacing w:after="240"/>
        <w:rPr>
          <w:sz w:val="22"/>
        </w:rPr>
      </w:pPr>
      <w:r w:rsidRPr="009C39DF">
        <w:rPr>
          <w:sz w:val="22"/>
        </w:rPr>
        <w:t xml:space="preserve">It was reported </w:t>
      </w:r>
      <w:r w:rsidR="00F23E7D" w:rsidRPr="009C39DF">
        <w:rPr>
          <w:sz w:val="22"/>
        </w:rPr>
        <w:t>that it takes an average of 3</w:t>
      </w:r>
      <w:r w:rsidR="00CB08E3">
        <w:rPr>
          <w:sz w:val="22"/>
        </w:rPr>
        <w:t xml:space="preserve"> to </w:t>
      </w:r>
      <w:r w:rsidR="00F23E7D" w:rsidRPr="009C39DF">
        <w:rPr>
          <w:sz w:val="22"/>
        </w:rPr>
        <w:t xml:space="preserve">6 months to complete the scrutiny of audit reports on </w:t>
      </w:r>
      <w:r w:rsidR="00CB08E3">
        <w:rPr>
          <w:sz w:val="22"/>
        </w:rPr>
        <w:t>AFS</w:t>
      </w:r>
      <w:r w:rsidR="00F23E7D" w:rsidRPr="009C39DF">
        <w:rPr>
          <w:sz w:val="22"/>
        </w:rPr>
        <w:t xml:space="preserve">s after their receipt. </w:t>
      </w:r>
    </w:p>
    <w:p w14:paraId="49D9A728" w14:textId="77777777" w:rsidR="006F0846" w:rsidRPr="009C39DF" w:rsidRDefault="00F5429C" w:rsidP="009C39DF">
      <w:pPr>
        <w:spacing w:after="240"/>
        <w:rPr>
          <w:sz w:val="22"/>
        </w:rPr>
      </w:pPr>
      <w:r w:rsidRPr="009C39DF">
        <w:rPr>
          <w:sz w:val="22"/>
        </w:rPr>
        <w:t>In summary, s</w:t>
      </w:r>
      <w:r w:rsidR="00DF53B2" w:rsidRPr="009C39DF">
        <w:rPr>
          <w:sz w:val="22"/>
        </w:rPr>
        <w:t xml:space="preserve">crutiny of audit reports is completed within 12 months in most instances. However, this could not be verified due to lack of supporting documentation. </w:t>
      </w:r>
    </w:p>
    <w:p w14:paraId="1AF3772D" w14:textId="1033871C" w:rsidR="006F0846" w:rsidRPr="009C39DF" w:rsidRDefault="006F0846" w:rsidP="009C39DF">
      <w:pPr>
        <w:spacing w:after="240"/>
        <w:rPr>
          <w:b/>
          <w:sz w:val="22"/>
        </w:rPr>
      </w:pPr>
      <w:r w:rsidRPr="009C39DF">
        <w:rPr>
          <w:b/>
          <w:sz w:val="22"/>
        </w:rPr>
        <w:t>Dimension rating = D*</w:t>
      </w:r>
    </w:p>
    <w:p w14:paraId="78E4992B" w14:textId="77777777" w:rsidR="0004546D" w:rsidRPr="00890A84" w:rsidRDefault="00033A33" w:rsidP="00BA6B2B">
      <w:pPr>
        <w:pStyle w:val="Heading5"/>
      </w:pPr>
      <w:r w:rsidRPr="00890A84">
        <w:t>PI-</w:t>
      </w:r>
      <w:r w:rsidR="0004546D" w:rsidRPr="00890A84">
        <w:t xml:space="preserve">31.2. Hearings on audit findings </w:t>
      </w:r>
    </w:p>
    <w:p w14:paraId="74D50DDD" w14:textId="23D30987" w:rsidR="006A1F6D" w:rsidRPr="009C39DF" w:rsidRDefault="006A1F6D" w:rsidP="009C39DF">
      <w:pPr>
        <w:spacing w:after="240"/>
        <w:rPr>
          <w:sz w:val="22"/>
        </w:rPr>
      </w:pPr>
      <w:r w:rsidRPr="009C39DF">
        <w:rPr>
          <w:sz w:val="22"/>
        </w:rPr>
        <w:t>Article 96 (3) of the Constitution states that “the Senate determines the allocation of national revenue among counties, as provided in Article 217, and exercises oversight over national revenue allocated to the county governments</w:t>
      </w:r>
      <w:r w:rsidR="00CB08E3">
        <w:rPr>
          <w:sz w:val="22"/>
        </w:rPr>
        <w:t>.</w:t>
      </w:r>
      <w:r w:rsidRPr="009C39DF">
        <w:rPr>
          <w:sz w:val="22"/>
        </w:rPr>
        <w:t xml:space="preserve">” In </w:t>
      </w:r>
      <w:r w:rsidR="000C73E4" w:rsidRPr="009C39DF">
        <w:rPr>
          <w:sz w:val="22"/>
        </w:rPr>
        <w:t>addition,</w:t>
      </w:r>
      <w:r w:rsidRPr="009C39DF">
        <w:rPr>
          <w:sz w:val="22"/>
        </w:rPr>
        <w:t xml:space="preserve"> Article 185 (3) gives the County Assembly </w:t>
      </w:r>
      <w:r w:rsidR="00CB08E3">
        <w:rPr>
          <w:sz w:val="22"/>
        </w:rPr>
        <w:t xml:space="preserve">an </w:t>
      </w:r>
      <w:r w:rsidRPr="009C39DF">
        <w:rPr>
          <w:sz w:val="22"/>
        </w:rPr>
        <w:t xml:space="preserve">oversight role over the County Executive. </w:t>
      </w:r>
    </w:p>
    <w:p w14:paraId="0B6B7137" w14:textId="3D17A23C" w:rsidR="00643A6B" w:rsidRPr="009C39DF" w:rsidRDefault="00F23E7D" w:rsidP="009C39DF">
      <w:pPr>
        <w:spacing w:after="240"/>
        <w:rPr>
          <w:sz w:val="22"/>
        </w:rPr>
      </w:pPr>
      <w:r w:rsidRPr="009C39DF">
        <w:rPr>
          <w:sz w:val="22"/>
        </w:rPr>
        <w:t xml:space="preserve">The county confirmed that in-depth hearings on key findings of audit reports </w:t>
      </w:r>
      <w:r w:rsidR="009972FE" w:rsidRPr="009C39DF">
        <w:rPr>
          <w:sz w:val="22"/>
        </w:rPr>
        <w:t xml:space="preserve">should </w:t>
      </w:r>
      <w:r w:rsidRPr="009C39DF">
        <w:rPr>
          <w:sz w:val="22"/>
        </w:rPr>
        <w:t>take place regularly with responsible officers from all audited entities</w:t>
      </w:r>
      <w:r w:rsidR="006A1F6D" w:rsidRPr="009C39DF">
        <w:rPr>
          <w:sz w:val="22"/>
        </w:rPr>
        <w:t>.</w:t>
      </w:r>
      <w:r w:rsidR="000C73E4" w:rsidRPr="009C39DF">
        <w:rPr>
          <w:sz w:val="22"/>
        </w:rPr>
        <w:t xml:space="preserve"> </w:t>
      </w:r>
      <w:r w:rsidR="00794A56" w:rsidRPr="009C39DF">
        <w:rPr>
          <w:sz w:val="22"/>
        </w:rPr>
        <w:t>O</w:t>
      </w:r>
      <w:r w:rsidRPr="009C39DF">
        <w:rPr>
          <w:sz w:val="22"/>
        </w:rPr>
        <w:t xml:space="preserve">nce the report is received from the </w:t>
      </w:r>
      <w:r w:rsidR="006A1F6D" w:rsidRPr="009C39DF">
        <w:rPr>
          <w:sz w:val="22"/>
        </w:rPr>
        <w:t>OAG</w:t>
      </w:r>
      <w:r w:rsidRPr="009C39DF">
        <w:rPr>
          <w:sz w:val="22"/>
        </w:rPr>
        <w:t xml:space="preserve">, it is tabled in the </w:t>
      </w:r>
      <w:r w:rsidR="006A1F6D" w:rsidRPr="009C39DF">
        <w:rPr>
          <w:sz w:val="22"/>
        </w:rPr>
        <w:t>County A</w:t>
      </w:r>
      <w:r w:rsidRPr="009C39DF">
        <w:rPr>
          <w:sz w:val="22"/>
        </w:rPr>
        <w:t>ssembly and submitted to the relevant committees</w:t>
      </w:r>
      <w:r w:rsidR="006A1F6D" w:rsidRPr="009C39DF">
        <w:rPr>
          <w:sz w:val="22"/>
        </w:rPr>
        <w:t xml:space="preserve"> which</w:t>
      </w:r>
      <w:r w:rsidRPr="009C39DF">
        <w:rPr>
          <w:sz w:val="22"/>
        </w:rPr>
        <w:t xml:space="preserve"> summon</w:t>
      </w:r>
      <w:r w:rsidR="006A1F6D" w:rsidRPr="009C39DF">
        <w:rPr>
          <w:sz w:val="22"/>
        </w:rPr>
        <w:t xml:space="preserve"> the relevant parties. </w:t>
      </w:r>
      <w:r w:rsidR="00D47B45" w:rsidRPr="009C39DF">
        <w:rPr>
          <w:sz w:val="22"/>
        </w:rPr>
        <w:t xml:space="preserve">The relevant committees </w:t>
      </w:r>
      <w:r w:rsidR="009972FE" w:rsidRPr="009C39DF">
        <w:rPr>
          <w:sz w:val="22"/>
        </w:rPr>
        <w:t xml:space="preserve">should </w:t>
      </w:r>
      <w:r w:rsidR="00D47B45" w:rsidRPr="009C39DF">
        <w:rPr>
          <w:sz w:val="22"/>
        </w:rPr>
        <w:t>follow up and prepare a final report w</w:t>
      </w:r>
      <w:r w:rsidRPr="009C39DF">
        <w:rPr>
          <w:sz w:val="22"/>
        </w:rPr>
        <w:t>ithin 2</w:t>
      </w:r>
      <w:r w:rsidR="00CB08E3">
        <w:rPr>
          <w:sz w:val="22"/>
        </w:rPr>
        <w:t xml:space="preserve"> to </w:t>
      </w:r>
      <w:r w:rsidRPr="009C39DF">
        <w:rPr>
          <w:sz w:val="22"/>
        </w:rPr>
        <w:t xml:space="preserve">4 weeks </w:t>
      </w:r>
      <w:r w:rsidR="00D47B45" w:rsidRPr="009C39DF">
        <w:rPr>
          <w:sz w:val="22"/>
        </w:rPr>
        <w:t xml:space="preserve">for submission </w:t>
      </w:r>
      <w:r w:rsidRPr="009C39DF">
        <w:rPr>
          <w:sz w:val="22"/>
        </w:rPr>
        <w:t xml:space="preserve">to the </w:t>
      </w:r>
      <w:r w:rsidR="006A1F6D" w:rsidRPr="009C39DF">
        <w:rPr>
          <w:sz w:val="22"/>
        </w:rPr>
        <w:t>County A</w:t>
      </w:r>
      <w:r w:rsidRPr="009C39DF">
        <w:rPr>
          <w:sz w:val="22"/>
        </w:rPr>
        <w:t xml:space="preserve">ssembly. Nevertheless, the </w:t>
      </w:r>
      <w:r w:rsidR="00D47B45" w:rsidRPr="009C39DF">
        <w:rPr>
          <w:sz w:val="22"/>
        </w:rPr>
        <w:t>exact</w:t>
      </w:r>
      <w:r w:rsidRPr="009C39DF">
        <w:rPr>
          <w:sz w:val="22"/>
        </w:rPr>
        <w:t xml:space="preserve"> timing of the audit report scrutiny </w:t>
      </w:r>
      <w:r w:rsidR="00643A6B" w:rsidRPr="009C39DF">
        <w:rPr>
          <w:sz w:val="22"/>
        </w:rPr>
        <w:t xml:space="preserve">could not be verified </w:t>
      </w:r>
      <w:r w:rsidRPr="009C39DF">
        <w:rPr>
          <w:sz w:val="22"/>
        </w:rPr>
        <w:t>because</w:t>
      </w:r>
      <w:r w:rsidR="00D47B45" w:rsidRPr="009C39DF">
        <w:rPr>
          <w:sz w:val="22"/>
        </w:rPr>
        <w:t xml:space="preserve"> no </w:t>
      </w:r>
      <w:r w:rsidR="005A612A" w:rsidRPr="009C39DF">
        <w:rPr>
          <w:sz w:val="22"/>
        </w:rPr>
        <w:t>documenta</w:t>
      </w:r>
      <w:r w:rsidR="00D47B45" w:rsidRPr="009C39DF">
        <w:rPr>
          <w:sz w:val="22"/>
        </w:rPr>
        <w:t>ry evidence</w:t>
      </w:r>
      <w:r w:rsidR="005A612A" w:rsidRPr="009C39DF">
        <w:rPr>
          <w:sz w:val="22"/>
        </w:rPr>
        <w:t xml:space="preserve"> was</w:t>
      </w:r>
      <w:r w:rsidRPr="009C39DF">
        <w:rPr>
          <w:sz w:val="22"/>
        </w:rPr>
        <w:t xml:space="preserve"> provided. </w:t>
      </w:r>
      <w:r w:rsidR="009972FE" w:rsidRPr="009C39DF">
        <w:rPr>
          <w:sz w:val="22"/>
        </w:rPr>
        <w:t>Only the external audit for 2013/14 has been fully completed and discussed.</w:t>
      </w:r>
    </w:p>
    <w:p w14:paraId="092FB2AC" w14:textId="5D891293" w:rsidR="006F0846" w:rsidRPr="009C39DF" w:rsidRDefault="00F5429C" w:rsidP="009C39DF">
      <w:pPr>
        <w:spacing w:after="240"/>
        <w:rPr>
          <w:sz w:val="22"/>
        </w:rPr>
      </w:pPr>
      <w:r w:rsidRPr="009C39DF">
        <w:rPr>
          <w:sz w:val="22"/>
        </w:rPr>
        <w:t>In summary, i</w:t>
      </w:r>
      <w:r w:rsidR="00DF53B2" w:rsidRPr="009C39DF">
        <w:rPr>
          <w:sz w:val="22"/>
        </w:rPr>
        <w:t>n-depth hearings on key findings of audit reports take place occasionally, covering a few audited entities</w:t>
      </w:r>
      <w:r w:rsidR="00CB08E3">
        <w:rPr>
          <w:sz w:val="22"/>
        </w:rPr>
        <w:t>,</w:t>
      </w:r>
      <w:r w:rsidR="009972FE" w:rsidRPr="009C39DF">
        <w:rPr>
          <w:sz w:val="22"/>
        </w:rPr>
        <w:t xml:space="preserve"> but no evidence was provided</w:t>
      </w:r>
      <w:r w:rsidR="00DF53B2" w:rsidRPr="009C39DF">
        <w:rPr>
          <w:sz w:val="22"/>
        </w:rPr>
        <w:t xml:space="preserve"> </w:t>
      </w:r>
    </w:p>
    <w:p w14:paraId="1A49E38A" w14:textId="4EB7BEAC" w:rsidR="006F0846" w:rsidRPr="009C39DF" w:rsidRDefault="006F0846" w:rsidP="009C39DF">
      <w:pPr>
        <w:spacing w:after="240"/>
        <w:rPr>
          <w:b/>
          <w:sz w:val="22"/>
        </w:rPr>
      </w:pPr>
      <w:r w:rsidRPr="009C39DF">
        <w:rPr>
          <w:b/>
          <w:sz w:val="22"/>
        </w:rPr>
        <w:t>Dimension rating = D*</w:t>
      </w:r>
    </w:p>
    <w:p w14:paraId="33E2F28B" w14:textId="77777777" w:rsidR="0004546D" w:rsidRPr="00890A84" w:rsidRDefault="00033A33" w:rsidP="00BA6B2B">
      <w:pPr>
        <w:pStyle w:val="Heading5"/>
      </w:pPr>
      <w:r w:rsidRPr="00890A84">
        <w:t>PI-</w:t>
      </w:r>
      <w:r w:rsidR="0004546D" w:rsidRPr="00890A84">
        <w:t xml:space="preserve">31.3. Recommendations on audit by the legislature </w:t>
      </w:r>
    </w:p>
    <w:p w14:paraId="4803FB10" w14:textId="2DC28F24" w:rsidR="00DF53B2" w:rsidRPr="009C39DF" w:rsidRDefault="00D47B45" w:rsidP="009C39DF">
      <w:pPr>
        <w:spacing w:after="240"/>
        <w:rPr>
          <w:sz w:val="22"/>
        </w:rPr>
      </w:pPr>
      <w:r w:rsidRPr="009C39DF">
        <w:rPr>
          <w:sz w:val="22"/>
        </w:rPr>
        <w:t>The</w:t>
      </w:r>
      <w:r w:rsidR="00F23E7D" w:rsidRPr="009C39DF">
        <w:rPr>
          <w:sz w:val="22"/>
        </w:rPr>
        <w:t xml:space="preserve"> audit reports are </w:t>
      </w:r>
      <w:r w:rsidRPr="009C39DF">
        <w:rPr>
          <w:sz w:val="22"/>
        </w:rPr>
        <w:t>submitted to the Public Accounts C</w:t>
      </w:r>
      <w:r w:rsidR="00F23E7D" w:rsidRPr="009C39DF">
        <w:rPr>
          <w:sz w:val="22"/>
        </w:rPr>
        <w:t>ommittee</w:t>
      </w:r>
      <w:r w:rsidR="00467922" w:rsidRPr="009C39DF">
        <w:rPr>
          <w:sz w:val="22"/>
        </w:rPr>
        <w:t xml:space="preserve"> (PAC)</w:t>
      </w:r>
      <w:r w:rsidRPr="009C39DF">
        <w:rPr>
          <w:sz w:val="22"/>
        </w:rPr>
        <w:t xml:space="preserve"> of the County Assembly</w:t>
      </w:r>
      <w:r w:rsidR="00CB08E3">
        <w:rPr>
          <w:sz w:val="22"/>
        </w:rPr>
        <w:t>,</w:t>
      </w:r>
      <w:r w:rsidRPr="009C39DF">
        <w:rPr>
          <w:sz w:val="22"/>
        </w:rPr>
        <w:t xml:space="preserve"> which in turn seeks guidance from </w:t>
      </w:r>
      <w:r w:rsidR="00F23E7D" w:rsidRPr="009C39DF">
        <w:rPr>
          <w:sz w:val="22"/>
        </w:rPr>
        <w:t xml:space="preserve">the OAG on the findings. The </w:t>
      </w:r>
      <w:r w:rsidRPr="009C39DF">
        <w:rPr>
          <w:sz w:val="22"/>
        </w:rPr>
        <w:t>County A</w:t>
      </w:r>
      <w:r w:rsidR="00F23E7D" w:rsidRPr="009C39DF">
        <w:rPr>
          <w:sz w:val="22"/>
        </w:rPr>
        <w:t>sse</w:t>
      </w:r>
      <w:r w:rsidRPr="009C39DF">
        <w:rPr>
          <w:sz w:val="22"/>
        </w:rPr>
        <w:t>mbly then writes to the County S</w:t>
      </w:r>
      <w:r w:rsidR="00F23E7D" w:rsidRPr="009C39DF">
        <w:rPr>
          <w:sz w:val="22"/>
        </w:rPr>
        <w:t xml:space="preserve">ecretary requesting </w:t>
      </w:r>
      <w:r w:rsidRPr="009C39DF">
        <w:rPr>
          <w:sz w:val="22"/>
        </w:rPr>
        <w:t>for</w:t>
      </w:r>
      <w:r w:rsidR="00F23E7D" w:rsidRPr="009C39DF">
        <w:rPr>
          <w:sz w:val="22"/>
        </w:rPr>
        <w:t xml:space="preserve"> information and setting </w:t>
      </w:r>
      <w:r w:rsidRPr="009C39DF">
        <w:rPr>
          <w:sz w:val="22"/>
        </w:rPr>
        <w:t>a</w:t>
      </w:r>
      <w:r w:rsidR="00F23E7D" w:rsidRPr="009C39DF">
        <w:rPr>
          <w:sz w:val="22"/>
        </w:rPr>
        <w:t xml:space="preserve"> date for </w:t>
      </w:r>
      <w:r w:rsidRPr="009C39DF">
        <w:rPr>
          <w:sz w:val="22"/>
        </w:rPr>
        <w:t>interrogation</w:t>
      </w:r>
      <w:r w:rsidR="00F23E7D" w:rsidRPr="009C39DF">
        <w:rPr>
          <w:sz w:val="22"/>
        </w:rPr>
        <w:t>. The interrogation is held and a report including observations, findings</w:t>
      </w:r>
      <w:r w:rsidR="00CB08E3">
        <w:rPr>
          <w:sz w:val="22"/>
        </w:rPr>
        <w:t>,</w:t>
      </w:r>
      <w:r w:rsidR="00F23E7D" w:rsidRPr="009C39DF">
        <w:rPr>
          <w:sz w:val="22"/>
        </w:rPr>
        <w:t xml:space="preserve"> and recommendations is prepared and tabled in the</w:t>
      </w:r>
      <w:r w:rsidR="00467922" w:rsidRPr="009C39DF">
        <w:rPr>
          <w:sz w:val="22"/>
        </w:rPr>
        <w:t xml:space="preserve"> County Assembly</w:t>
      </w:r>
      <w:r w:rsidR="00F23E7D" w:rsidRPr="009C39DF">
        <w:rPr>
          <w:sz w:val="22"/>
        </w:rPr>
        <w:t xml:space="preserve">. Once </w:t>
      </w:r>
      <w:r w:rsidR="00467922" w:rsidRPr="009C39DF">
        <w:rPr>
          <w:sz w:val="22"/>
        </w:rPr>
        <w:t xml:space="preserve">the report is </w:t>
      </w:r>
      <w:r w:rsidR="00F23E7D" w:rsidRPr="009C39DF">
        <w:rPr>
          <w:sz w:val="22"/>
        </w:rPr>
        <w:t>adopted</w:t>
      </w:r>
      <w:r w:rsidR="00467922" w:rsidRPr="009C39DF">
        <w:rPr>
          <w:sz w:val="22"/>
        </w:rPr>
        <w:t>, it</w:t>
      </w:r>
      <w:r w:rsidR="00F23E7D" w:rsidRPr="009C39DF">
        <w:rPr>
          <w:sz w:val="22"/>
        </w:rPr>
        <w:t xml:space="preserve"> is forwarded to the Governor for </w:t>
      </w:r>
      <w:r w:rsidR="004F5FBA" w:rsidRPr="009C39DF">
        <w:rPr>
          <w:sz w:val="22"/>
        </w:rPr>
        <w:t>i</w:t>
      </w:r>
      <w:r w:rsidR="00F23E7D" w:rsidRPr="009C39DF">
        <w:rPr>
          <w:sz w:val="22"/>
        </w:rPr>
        <w:t>mplementation</w:t>
      </w:r>
      <w:r w:rsidR="00CB08E3" w:rsidRPr="00CB08E3">
        <w:rPr>
          <w:sz w:val="22"/>
        </w:rPr>
        <w:t xml:space="preserve"> </w:t>
      </w:r>
      <w:r w:rsidR="00CB08E3" w:rsidRPr="009C39DF">
        <w:rPr>
          <w:sz w:val="22"/>
        </w:rPr>
        <w:t>of the recommendations</w:t>
      </w:r>
      <w:r w:rsidR="00CB08E3">
        <w:rPr>
          <w:sz w:val="22"/>
        </w:rPr>
        <w:t>,</w:t>
      </w:r>
      <w:r w:rsidR="00F23E7D" w:rsidRPr="009C39DF">
        <w:rPr>
          <w:sz w:val="22"/>
        </w:rPr>
        <w:t xml:space="preserve"> </w:t>
      </w:r>
      <w:r w:rsidR="00CB08E3">
        <w:rPr>
          <w:sz w:val="22"/>
        </w:rPr>
        <w:t>with</w:t>
      </w:r>
      <w:r w:rsidR="00CB08E3" w:rsidRPr="009C39DF">
        <w:rPr>
          <w:sz w:val="22"/>
        </w:rPr>
        <w:t xml:space="preserve"> </w:t>
      </w:r>
      <w:r w:rsidR="00467922" w:rsidRPr="009C39DF">
        <w:rPr>
          <w:sz w:val="22"/>
        </w:rPr>
        <w:t xml:space="preserve">a copy to </w:t>
      </w:r>
      <w:r w:rsidR="00F23E7D" w:rsidRPr="009C39DF">
        <w:rPr>
          <w:sz w:val="22"/>
        </w:rPr>
        <w:t xml:space="preserve">the </w:t>
      </w:r>
      <w:r w:rsidR="00467922" w:rsidRPr="009C39DF">
        <w:rPr>
          <w:sz w:val="22"/>
        </w:rPr>
        <w:t>O</w:t>
      </w:r>
      <w:r w:rsidR="00F23E7D" w:rsidRPr="009C39DF">
        <w:rPr>
          <w:sz w:val="22"/>
        </w:rPr>
        <w:t>A</w:t>
      </w:r>
      <w:r w:rsidR="00467922" w:rsidRPr="009C39DF">
        <w:rPr>
          <w:sz w:val="22"/>
        </w:rPr>
        <w:t>G</w:t>
      </w:r>
      <w:r w:rsidR="00F23E7D" w:rsidRPr="009C39DF">
        <w:rPr>
          <w:sz w:val="22"/>
        </w:rPr>
        <w:t>. The implementation of the recommendations is monitored by the i</w:t>
      </w:r>
      <w:r w:rsidR="00467922" w:rsidRPr="009C39DF">
        <w:rPr>
          <w:sz w:val="22"/>
        </w:rPr>
        <w:t>mplementation committee or the PAC</w:t>
      </w:r>
      <w:r w:rsidR="00F23E7D" w:rsidRPr="009C39DF">
        <w:rPr>
          <w:sz w:val="22"/>
        </w:rPr>
        <w:t>.</w:t>
      </w:r>
      <w:r w:rsidR="00DF53B2" w:rsidRPr="009C39DF">
        <w:rPr>
          <w:sz w:val="22"/>
        </w:rPr>
        <w:t xml:space="preserve"> </w:t>
      </w:r>
    </w:p>
    <w:p w14:paraId="1FAAEABE" w14:textId="77777777" w:rsidR="006F0846" w:rsidRPr="009C39DF" w:rsidRDefault="00F5429C" w:rsidP="009C39DF">
      <w:pPr>
        <w:spacing w:after="240"/>
        <w:rPr>
          <w:sz w:val="22"/>
        </w:rPr>
      </w:pPr>
      <w:r w:rsidRPr="009C39DF">
        <w:rPr>
          <w:sz w:val="22"/>
        </w:rPr>
        <w:t>In summary, a</w:t>
      </w:r>
      <w:r w:rsidR="00DF53B2" w:rsidRPr="009C39DF">
        <w:rPr>
          <w:sz w:val="22"/>
        </w:rPr>
        <w:t xml:space="preserve">ccording to the County Assembly, there is a systematic follow-up of audit findings but no evidence of the responses was provided. </w:t>
      </w:r>
    </w:p>
    <w:p w14:paraId="647527CA" w14:textId="1BFA2BED" w:rsidR="006F0846" w:rsidRPr="009C39DF" w:rsidRDefault="006F0846" w:rsidP="009C39DF">
      <w:pPr>
        <w:spacing w:after="240"/>
        <w:rPr>
          <w:b/>
          <w:sz w:val="22"/>
        </w:rPr>
      </w:pPr>
      <w:r w:rsidRPr="009C39DF">
        <w:rPr>
          <w:b/>
          <w:sz w:val="22"/>
        </w:rPr>
        <w:t>Dimension rating = D*</w:t>
      </w:r>
    </w:p>
    <w:p w14:paraId="4D79F31F" w14:textId="77777777" w:rsidR="0004546D" w:rsidRPr="00890A84" w:rsidRDefault="00033A33" w:rsidP="00BA6B2B">
      <w:pPr>
        <w:pStyle w:val="Heading5"/>
      </w:pPr>
      <w:r w:rsidRPr="00890A84">
        <w:t>PI-</w:t>
      </w:r>
      <w:r w:rsidR="0004546D" w:rsidRPr="00890A84">
        <w:t xml:space="preserve">31.4. Transparency of legislative scrutiny of audit reports </w:t>
      </w:r>
    </w:p>
    <w:p w14:paraId="0E7F9628" w14:textId="79E7BCF7" w:rsidR="00DF53B2" w:rsidRPr="009C39DF" w:rsidRDefault="00467922" w:rsidP="009C39DF">
      <w:pPr>
        <w:spacing w:after="240"/>
        <w:rPr>
          <w:sz w:val="22"/>
        </w:rPr>
      </w:pPr>
      <w:r w:rsidRPr="009C39DF">
        <w:rPr>
          <w:sz w:val="22"/>
        </w:rPr>
        <w:t>Articles 196 and 201 of the Constitution and Section 115 of the County Government Act, 2012</w:t>
      </w:r>
      <w:r w:rsidR="00CB08E3">
        <w:rPr>
          <w:sz w:val="22"/>
        </w:rPr>
        <w:t>,</w:t>
      </w:r>
      <w:r w:rsidRPr="009C39DF">
        <w:rPr>
          <w:sz w:val="22"/>
        </w:rPr>
        <w:t xml:space="preserve"> state that there shall be openness and accountability, including public participation in financial matters</w:t>
      </w:r>
      <w:r w:rsidR="00CB08E3">
        <w:rPr>
          <w:sz w:val="22"/>
        </w:rPr>
        <w:t>.</w:t>
      </w:r>
      <w:r w:rsidRPr="009C39DF">
        <w:rPr>
          <w:sz w:val="22"/>
        </w:rPr>
        <w:t xml:space="preserve"> </w:t>
      </w:r>
      <w:r w:rsidR="00CB08E3">
        <w:rPr>
          <w:sz w:val="22"/>
        </w:rPr>
        <w:t>A</w:t>
      </w:r>
      <w:r w:rsidRPr="009C39DF">
        <w:rPr>
          <w:sz w:val="22"/>
        </w:rPr>
        <w:t xml:space="preserve"> County Assembly shall conduct its business in an open manner and hold its sittings and those of its committees in public and facilitate public participation and involvement in the legislative and business of the Assembly and its committees. </w:t>
      </w:r>
      <w:r w:rsidR="00F23E7D" w:rsidRPr="009C39DF">
        <w:rPr>
          <w:sz w:val="22"/>
        </w:rPr>
        <w:t xml:space="preserve">The </w:t>
      </w:r>
      <w:r w:rsidRPr="009C39DF">
        <w:rPr>
          <w:sz w:val="22"/>
        </w:rPr>
        <w:t>PAC</w:t>
      </w:r>
      <w:r w:rsidR="00F23E7D" w:rsidRPr="009C39DF">
        <w:rPr>
          <w:sz w:val="22"/>
        </w:rPr>
        <w:t xml:space="preserve"> proceedings are open to the public </w:t>
      </w:r>
      <w:r w:rsidRPr="009C39DF">
        <w:rPr>
          <w:sz w:val="22"/>
        </w:rPr>
        <w:t>except under special</w:t>
      </w:r>
      <w:r w:rsidR="00F23E7D" w:rsidRPr="009C39DF">
        <w:rPr>
          <w:sz w:val="22"/>
        </w:rPr>
        <w:t xml:space="preserve"> circumstances </w:t>
      </w:r>
      <w:r w:rsidRPr="009C39DF">
        <w:rPr>
          <w:sz w:val="22"/>
        </w:rPr>
        <w:t xml:space="preserve">that </w:t>
      </w:r>
      <w:r w:rsidR="00F23E7D" w:rsidRPr="009C39DF">
        <w:rPr>
          <w:sz w:val="22"/>
        </w:rPr>
        <w:t>the</w:t>
      </w:r>
      <w:r w:rsidRPr="009C39DF">
        <w:rPr>
          <w:sz w:val="22"/>
        </w:rPr>
        <w:t xml:space="preserve"> County A</w:t>
      </w:r>
      <w:r w:rsidR="00F23E7D" w:rsidRPr="009C39DF">
        <w:rPr>
          <w:sz w:val="22"/>
        </w:rPr>
        <w:t xml:space="preserve">ssembly </w:t>
      </w:r>
      <w:r w:rsidRPr="009C39DF">
        <w:rPr>
          <w:sz w:val="22"/>
        </w:rPr>
        <w:t>determines</w:t>
      </w:r>
      <w:r w:rsidR="00F23E7D" w:rsidRPr="009C39DF">
        <w:rPr>
          <w:sz w:val="22"/>
        </w:rPr>
        <w:t xml:space="preserve">. Further, audit reports are discussed in the full chamber of the house. </w:t>
      </w:r>
    </w:p>
    <w:p w14:paraId="7D846139" w14:textId="77777777" w:rsidR="006F0846" w:rsidRPr="009C39DF" w:rsidRDefault="00DF53B2" w:rsidP="009C39DF">
      <w:pPr>
        <w:spacing w:after="240"/>
        <w:rPr>
          <w:sz w:val="22"/>
        </w:rPr>
      </w:pPr>
      <w:r w:rsidRPr="009C39DF">
        <w:rPr>
          <w:sz w:val="22"/>
        </w:rPr>
        <w:t>In summary, t</w:t>
      </w:r>
      <w:r w:rsidR="00F23E7D" w:rsidRPr="009C39DF">
        <w:rPr>
          <w:sz w:val="22"/>
        </w:rPr>
        <w:t>he committee reports are</w:t>
      </w:r>
      <w:r w:rsidRPr="009C39DF">
        <w:rPr>
          <w:sz w:val="22"/>
        </w:rPr>
        <w:t xml:space="preserve"> </w:t>
      </w:r>
      <w:r w:rsidR="00F23E7D" w:rsidRPr="009C39DF">
        <w:rPr>
          <w:sz w:val="22"/>
        </w:rPr>
        <w:t xml:space="preserve">not published on </w:t>
      </w:r>
      <w:r w:rsidR="00467922" w:rsidRPr="009C39DF">
        <w:rPr>
          <w:sz w:val="22"/>
        </w:rPr>
        <w:t>the</w:t>
      </w:r>
      <w:r w:rsidR="000C73E4" w:rsidRPr="009C39DF">
        <w:rPr>
          <w:sz w:val="22"/>
        </w:rPr>
        <w:t xml:space="preserve"> </w:t>
      </w:r>
      <w:r w:rsidR="00467922" w:rsidRPr="009C39DF">
        <w:rPr>
          <w:sz w:val="22"/>
        </w:rPr>
        <w:t xml:space="preserve">County Assembly </w:t>
      </w:r>
      <w:r w:rsidR="00F23E7D" w:rsidRPr="009C39DF">
        <w:rPr>
          <w:sz w:val="22"/>
        </w:rPr>
        <w:t xml:space="preserve">website. </w:t>
      </w:r>
    </w:p>
    <w:p w14:paraId="714144D5" w14:textId="4A494F09" w:rsidR="006F0846" w:rsidRPr="009C39DF" w:rsidRDefault="006F0846" w:rsidP="009C39DF">
      <w:pPr>
        <w:spacing w:after="240"/>
        <w:rPr>
          <w:b/>
          <w:sz w:val="22"/>
        </w:rPr>
      </w:pPr>
      <w:r w:rsidRPr="009C39DF">
        <w:rPr>
          <w:b/>
          <w:sz w:val="22"/>
        </w:rPr>
        <w:t>Dimension rating = D*</w:t>
      </w:r>
    </w:p>
    <w:p w14:paraId="0CC5B9B8" w14:textId="14D12967" w:rsidR="00CA52CE" w:rsidRPr="00196FAE" w:rsidRDefault="00CA52CE" w:rsidP="00671E8A">
      <w:pPr>
        <w:pStyle w:val="Heading1"/>
        <w:rPr>
          <w:smallCaps w:val="0"/>
        </w:rPr>
      </w:pPr>
      <w:bookmarkStart w:id="123" w:name="_Toc150873"/>
      <w:bookmarkStart w:id="124" w:name="_Toc532426044"/>
      <w:r w:rsidRPr="00196FAE">
        <w:rPr>
          <w:smallCaps w:val="0"/>
        </w:rPr>
        <w:t xml:space="preserve">Conclusions of the </w:t>
      </w:r>
      <w:r w:rsidR="00785C64">
        <w:rPr>
          <w:smallCaps w:val="0"/>
        </w:rPr>
        <w:t>Analysis of PFM S</w:t>
      </w:r>
      <w:r w:rsidRPr="00196FAE">
        <w:rPr>
          <w:smallCaps w:val="0"/>
        </w:rPr>
        <w:t>ystems</w:t>
      </w:r>
      <w:bookmarkEnd w:id="123"/>
      <w:bookmarkEnd w:id="124"/>
    </w:p>
    <w:p w14:paraId="7E4D43CA" w14:textId="77777777" w:rsidR="00CA52CE" w:rsidRPr="00890A84" w:rsidRDefault="00CA52CE" w:rsidP="00776E84">
      <w:pPr>
        <w:pStyle w:val="Heading2"/>
      </w:pPr>
      <w:bookmarkStart w:id="125" w:name="_Toc532426045"/>
      <w:r w:rsidRPr="00890A84">
        <w:t>Integrated assessment of PFM performance</w:t>
      </w:r>
      <w:bookmarkEnd w:id="125"/>
    </w:p>
    <w:p w14:paraId="177960D5" w14:textId="77777777" w:rsidR="00EE5FFC" w:rsidRPr="008876BE" w:rsidRDefault="00EE5FFC" w:rsidP="00BA6B2B">
      <w:pPr>
        <w:pStyle w:val="Heading5"/>
      </w:pPr>
      <w:r w:rsidRPr="008876BE">
        <w:t>Budget Reliability</w:t>
      </w:r>
    </w:p>
    <w:p w14:paraId="2684860D" w14:textId="7BC5E17B" w:rsidR="000F2DC8" w:rsidRPr="009C39DF" w:rsidRDefault="00E56D81" w:rsidP="009C39DF">
      <w:pPr>
        <w:spacing w:after="240"/>
        <w:rPr>
          <w:sz w:val="22"/>
        </w:rPr>
      </w:pPr>
      <w:r w:rsidRPr="009C39DF">
        <w:rPr>
          <w:sz w:val="22"/>
        </w:rPr>
        <w:t>Actual revenues were</w:t>
      </w:r>
      <w:r w:rsidR="000F2DC8" w:rsidRPr="009C39DF">
        <w:rPr>
          <w:sz w:val="22"/>
        </w:rPr>
        <w:t xml:space="preserve"> short of budgeted amounts in all 3 years</w:t>
      </w:r>
      <w:r w:rsidR="00EC301B" w:rsidRPr="009C39DF">
        <w:rPr>
          <w:sz w:val="22"/>
        </w:rPr>
        <w:t xml:space="preserve">. </w:t>
      </w:r>
      <w:r w:rsidR="009E37D1" w:rsidRPr="009C39DF">
        <w:rPr>
          <w:sz w:val="22"/>
        </w:rPr>
        <w:t>A</w:t>
      </w:r>
      <w:r w:rsidR="00CB17B2" w:rsidRPr="009C39DF">
        <w:rPr>
          <w:sz w:val="22"/>
        </w:rPr>
        <w:t>ctual revenue was below 92</w:t>
      </w:r>
      <w:r w:rsidR="00FB5D79">
        <w:rPr>
          <w:sz w:val="22"/>
        </w:rPr>
        <w:t xml:space="preserve"> percent</w:t>
      </w:r>
      <w:r w:rsidR="00CB17B2" w:rsidRPr="009C39DF">
        <w:rPr>
          <w:sz w:val="22"/>
        </w:rPr>
        <w:t xml:space="preserve"> of budgeted revenue </w:t>
      </w:r>
      <w:r w:rsidR="009E37D1" w:rsidRPr="009C39DF">
        <w:rPr>
          <w:sz w:val="22"/>
        </w:rPr>
        <w:t>and variance in revenue composition was more than 15</w:t>
      </w:r>
      <w:r w:rsidR="00FB5D79">
        <w:rPr>
          <w:sz w:val="22"/>
        </w:rPr>
        <w:t xml:space="preserve"> percent</w:t>
      </w:r>
      <w:r w:rsidR="009E37D1" w:rsidRPr="009C39DF">
        <w:rPr>
          <w:sz w:val="22"/>
        </w:rPr>
        <w:t xml:space="preserve"> </w:t>
      </w:r>
      <w:r w:rsidR="00CB17B2" w:rsidRPr="009C39DF">
        <w:rPr>
          <w:sz w:val="22"/>
        </w:rPr>
        <w:t>in</w:t>
      </w:r>
      <w:r w:rsidR="007829BC" w:rsidRPr="009C39DF">
        <w:rPr>
          <w:sz w:val="22"/>
        </w:rPr>
        <w:t xml:space="preserve"> </w:t>
      </w:r>
      <w:r w:rsidR="00C67ED1">
        <w:rPr>
          <w:sz w:val="22"/>
        </w:rPr>
        <w:t xml:space="preserve">the </w:t>
      </w:r>
      <w:r w:rsidR="007829BC" w:rsidRPr="009C39DF">
        <w:rPr>
          <w:sz w:val="22"/>
        </w:rPr>
        <w:t xml:space="preserve">last two </w:t>
      </w:r>
      <w:r w:rsidR="00C67ED1">
        <w:rPr>
          <w:sz w:val="22"/>
        </w:rPr>
        <w:t>FY</w:t>
      </w:r>
      <w:r w:rsidR="007829BC" w:rsidRPr="009C39DF">
        <w:rPr>
          <w:sz w:val="22"/>
        </w:rPr>
        <w:t xml:space="preserve">s because of </w:t>
      </w:r>
      <w:r w:rsidR="000F2DC8" w:rsidRPr="009C39DF">
        <w:rPr>
          <w:sz w:val="22"/>
        </w:rPr>
        <w:t>over-estimate of local revenues.</w:t>
      </w:r>
    </w:p>
    <w:p w14:paraId="2C508B54" w14:textId="20B4E2B5" w:rsidR="00AB7A1E" w:rsidRPr="009C39DF" w:rsidRDefault="000F2DC8" w:rsidP="009C39DF">
      <w:pPr>
        <w:spacing w:after="240"/>
        <w:rPr>
          <w:sz w:val="22"/>
        </w:rPr>
      </w:pPr>
      <w:r w:rsidRPr="009C39DF">
        <w:rPr>
          <w:sz w:val="22"/>
        </w:rPr>
        <w:t xml:space="preserve">On the expenditure side, </w:t>
      </w:r>
      <w:r w:rsidR="007829BC" w:rsidRPr="009C39DF">
        <w:rPr>
          <w:sz w:val="22"/>
        </w:rPr>
        <w:t>a</w:t>
      </w:r>
      <w:r w:rsidR="00CB17B2" w:rsidRPr="009C39DF">
        <w:rPr>
          <w:sz w:val="22"/>
        </w:rPr>
        <w:t>ggregate expenditure outturn was below 85</w:t>
      </w:r>
      <w:r w:rsidR="00C67ED1">
        <w:rPr>
          <w:sz w:val="22"/>
        </w:rPr>
        <w:t xml:space="preserve"> percent</w:t>
      </w:r>
      <w:r w:rsidR="00CB17B2" w:rsidRPr="009C39DF">
        <w:rPr>
          <w:sz w:val="22"/>
        </w:rPr>
        <w:t xml:space="preserve"> of the approved aggregate budgeted expenditure in all of the last three years</w:t>
      </w:r>
      <w:r w:rsidR="00E42EA9" w:rsidRPr="009C39DF">
        <w:rPr>
          <w:sz w:val="22"/>
        </w:rPr>
        <w:t>, while variance in expenditure was more than 15</w:t>
      </w:r>
      <w:r w:rsidR="00C67ED1">
        <w:rPr>
          <w:sz w:val="22"/>
        </w:rPr>
        <w:t xml:space="preserve"> percent</w:t>
      </w:r>
      <w:r w:rsidR="008876BE" w:rsidRPr="009C39DF">
        <w:rPr>
          <w:sz w:val="22"/>
        </w:rPr>
        <w:t>. Extensive</w:t>
      </w:r>
      <w:r w:rsidR="00796593" w:rsidRPr="009C39DF">
        <w:rPr>
          <w:sz w:val="22"/>
        </w:rPr>
        <w:t xml:space="preserve"> administrative reallocations may be permitted and have been used. </w:t>
      </w:r>
      <w:r w:rsidR="00E42EA9" w:rsidRPr="009C39DF">
        <w:rPr>
          <w:sz w:val="22"/>
        </w:rPr>
        <w:t xml:space="preserve">The adjustments focused </w:t>
      </w:r>
      <w:r w:rsidR="00796593" w:rsidRPr="009C39DF">
        <w:rPr>
          <w:sz w:val="22"/>
        </w:rPr>
        <w:t xml:space="preserve">mainly </w:t>
      </w:r>
      <w:r w:rsidR="00E42EA9" w:rsidRPr="009C39DF">
        <w:rPr>
          <w:sz w:val="22"/>
        </w:rPr>
        <w:t xml:space="preserve">on the development budget. </w:t>
      </w:r>
      <w:r w:rsidR="009E37D1" w:rsidRPr="009C39DF">
        <w:rPr>
          <w:sz w:val="22"/>
        </w:rPr>
        <w:t>Nevertheless</w:t>
      </w:r>
      <w:r w:rsidR="00E42EA9" w:rsidRPr="009C39DF">
        <w:rPr>
          <w:sz w:val="22"/>
        </w:rPr>
        <w:t>, a</w:t>
      </w:r>
      <w:r w:rsidR="00EE5FFC" w:rsidRPr="009C39DF">
        <w:rPr>
          <w:sz w:val="22"/>
        </w:rPr>
        <w:t xml:space="preserve">ctual expenditure charged to a contingency vote </w:t>
      </w:r>
      <w:r w:rsidR="00E42EA9" w:rsidRPr="009C39DF">
        <w:rPr>
          <w:sz w:val="22"/>
        </w:rPr>
        <w:t>represented less than 1</w:t>
      </w:r>
      <w:r w:rsidR="00C67ED1">
        <w:rPr>
          <w:sz w:val="22"/>
        </w:rPr>
        <w:t xml:space="preserve"> percent</w:t>
      </w:r>
      <w:r w:rsidR="00E42EA9" w:rsidRPr="009C39DF">
        <w:rPr>
          <w:sz w:val="22"/>
        </w:rPr>
        <w:t xml:space="preserve"> of </w:t>
      </w:r>
      <w:r w:rsidR="00EE5FFC" w:rsidRPr="009C39DF">
        <w:rPr>
          <w:sz w:val="22"/>
        </w:rPr>
        <w:t xml:space="preserve">the </w:t>
      </w:r>
      <w:r w:rsidR="00E42EA9" w:rsidRPr="009C39DF">
        <w:rPr>
          <w:sz w:val="22"/>
        </w:rPr>
        <w:t>budget.</w:t>
      </w:r>
    </w:p>
    <w:p w14:paraId="28FDE158" w14:textId="77777777" w:rsidR="00EE5FFC" w:rsidRPr="00890A84" w:rsidRDefault="00EE5FFC" w:rsidP="00BA6B2B">
      <w:pPr>
        <w:pStyle w:val="Heading5"/>
      </w:pPr>
      <w:r w:rsidRPr="00890A84">
        <w:t>Transparency of public finances</w:t>
      </w:r>
    </w:p>
    <w:p w14:paraId="2EBABFEA" w14:textId="5D75B966" w:rsidR="00076ADC" w:rsidRPr="009C39DF" w:rsidRDefault="00771A94" w:rsidP="009C39DF">
      <w:pPr>
        <w:spacing w:after="240"/>
        <w:rPr>
          <w:sz w:val="22"/>
        </w:rPr>
      </w:pPr>
      <w:r w:rsidRPr="009C39DF">
        <w:rPr>
          <w:sz w:val="22"/>
        </w:rPr>
        <w:t>Budget formulation, execution, and reporting are based on administrative and economic classification (at level 2 of the GFS standard for the economic classification).</w:t>
      </w:r>
      <w:r w:rsidR="003D11A0" w:rsidRPr="009C39DF">
        <w:rPr>
          <w:sz w:val="22"/>
        </w:rPr>
        <w:t xml:space="preserve"> </w:t>
      </w:r>
      <w:r w:rsidRPr="009C39DF">
        <w:rPr>
          <w:sz w:val="22"/>
        </w:rPr>
        <w:t>Due to the adoption of a</w:t>
      </w:r>
      <w:r w:rsidR="00862F8C">
        <w:rPr>
          <w:sz w:val="22"/>
        </w:rPr>
        <w:t>n</w:t>
      </w:r>
      <w:r w:rsidRPr="009C39DF">
        <w:rPr>
          <w:sz w:val="22"/>
        </w:rPr>
        <w:t xml:space="preserve"> SCOA in FY2012/13 at the national level and the use of </w:t>
      </w:r>
      <w:r w:rsidR="00C67ED1">
        <w:rPr>
          <w:sz w:val="22"/>
        </w:rPr>
        <w:t xml:space="preserve">the </w:t>
      </w:r>
      <w:r w:rsidRPr="009C39DF">
        <w:rPr>
          <w:sz w:val="22"/>
        </w:rPr>
        <w:t>IFMIS, codes for budgets, budget execution, reports</w:t>
      </w:r>
      <w:r w:rsidR="00C67ED1">
        <w:rPr>
          <w:sz w:val="22"/>
        </w:rPr>
        <w:t>,</w:t>
      </w:r>
      <w:r w:rsidRPr="009C39DF">
        <w:rPr>
          <w:sz w:val="22"/>
        </w:rPr>
        <w:t xml:space="preserve"> and accounts are the same.</w:t>
      </w:r>
    </w:p>
    <w:p w14:paraId="29646A76" w14:textId="60993001" w:rsidR="00076ADC" w:rsidRPr="009C39DF" w:rsidRDefault="00771A94" w:rsidP="009C39DF">
      <w:pPr>
        <w:spacing w:after="240"/>
        <w:rPr>
          <w:sz w:val="22"/>
        </w:rPr>
      </w:pPr>
      <w:r w:rsidRPr="009C39DF">
        <w:rPr>
          <w:sz w:val="22"/>
        </w:rPr>
        <w:t xml:space="preserve">Information on the activities performed for the majority of budget users is published annually in the </w:t>
      </w:r>
      <w:r w:rsidR="00C67ED1">
        <w:rPr>
          <w:sz w:val="22"/>
        </w:rPr>
        <w:t>BIRR</w:t>
      </w:r>
      <w:r w:rsidRPr="009C39DF">
        <w:rPr>
          <w:sz w:val="22"/>
        </w:rPr>
        <w:t>s (CBROP and CFS</w:t>
      </w:r>
      <w:r w:rsidR="00862F8C">
        <w:rPr>
          <w:sz w:val="22"/>
        </w:rPr>
        <w:t>P</w:t>
      </w:r>
      <w:r w:rsidRPr="009C39DF">
        <w:rPr>
          <w:sz w:val="22"/>
        </w:rPr>
        <w:t>).</w:t>
      </w:r>
      <w:r w:rsidR="000C73E4" w:rsidRPr="009C39DF">
        <w:rPr>
          <w:sz w:val="22"/>
        </w:rPr>
        <w:t xml:space="preserve"> </w:t>
      </w:r>
      <w:r w:rsidR="00EE5FFC" w:rsidRPr="009C39DF">
        <w:rPr>
          <w:sz w:val="22"/>
        </w:rPr>
        <w:t xml:space="preserve">Information on resources received by frontline service delivery units is collected and recorded in the </w:t>
      </w:r>
      <w:r w:rsidR="00C67ED1">
        <w:rPr>
          <w:sz w:val="22"/>
        </w:rPr>
        <w:t>BIRR</w:t>
      </w:r>
      <w:r w:rsidR="00EE5FFC" w:rsidRPr="009C39DF">
        <w:rPr>
          <w:sz w:val="22"/>
        </w:rPr>
        <w:t>s, but the source of funds is not included and no survey has been carried out in one of the last three years.</w:t>
      </w:r>
    </w:p>
    <w:p w14:paraId="346080BF" w14:textId="746ACBD3" w:rsidR="00AB7A1E" w:rsidRPr="009C39DF" w:rsidRDefault="00771A94" w:rsidP="009C39DF">
      <w:pPr>
        <w:spacing w:after="240"/>
        <w:rPr>
          <w:sz w:val="22"/>
        </w:rPr>
      </w:pPr>
      <w:r w:rsidRPr="009C39DF">
        <w:rPr>
          <w:sz w:val="22"/>
        </w:rPr>
        <w:t xml:space="preserve">Annual executive budget proposal documentation, enacted budget, in-year budget execution reports, </w:t>
      </w:r>
      <w:r w:rsidR="00C67ED1">
        <w:rPr>
          <w:sz w:val="22"/>
        </w:rPr>
        <w:t xml:space="preserve">and </w:t>
      </w:r>
      <w:r w:rsidRPr="009C39DF">
        <w:rPr>
          <w:sz w:val="22"/>
        </w:rPr>
        <w:t xml:space="preserve">annual budget execution report have been produced by the </w:t>
      </w:r>
      <w:r w:rsidR="00C67ED1">
        <w:rPr>
          <w:sz w:val="22"/>
        </w:rPr>
        <w:t>c</w:t>
      </w:r>
      <w:r w:rsidRPr="009C39DF">
        <w:rPr>
          <w:sz w:val="22"/>
        </w:rPr>
        <w:t xml:space="preserve">ounty government, but they are not put at the disposal of the public </w:t>
      </w:r>
      <w:r w:rsidR="00C67ED1">
        <w:rPr>
          <w:sz w:val="22"/>
        </w:rPr>
        <w:t>o</w:t>
      </w:r>
      <w:r w:rsidRPr="009C39DF">
        <w:rPr>
          <w:sz w:val="22"/>
        </w:rPr>
        <w:t xml:space="preserve">n timely. </w:t>
      </w:r>
      <w:r w:rsidR="00EE5FFC" w:rsidRPr="009C39DF">
        <w:rPr>
          <w:sz w:val="22"/>
        </w:rPr>
        <w:t xml:space="preserve">The </w:t>
      </w:r>
      <w:r w:rsidRPr="009C39DF">
        <w:rPr>
          <w:sz w:val="22"/>
        </w:rPr>
        <w:t xml:space="preserve">lowest performance in this section is that </w:t>
      </w:r>
      <w:r w:rsidR="00EE5FFC" w:rsidRPr="009C39DF">
        <w:rPr>
          <w:sz w:val="22"/>
        </w:rPr>
        <w:t>financial reports of the extra</w:t>
      </w:r>
      <w:r w:rsidR="00C67ED1">
        <w:rPr>
          <w:sz w:val="22"/>
        </w:rPr>
        <w:t xml:space="preserve"> </w:t>
      </w:r>
      <w:r w:rsidR="00EE5FFC" w:rsidRPr="009C39DF">
        <w:rPr>
          <w:sz w:val="22"/>
        </w:rPr>
        <w:t xml:space="preserve">budgetary units </w:t>
      </w:r>
      <w:r w:rsidRPr="009C39DF">
        <w:rPr>
          <w:sz w:val="22"/>
        </w:rPr>
        <w:t>are</w:t>
      </w:r>
      <w:r w:rsidR="005A05B8" w:rsidRPr="009C39DF">
        <w:rPr>
          <w:sz w:val="22"/>
        </w:rPr>
        <w:t xml:space="preserve"> not avail</w:t>
      </w:r>
      <w:r w:rsidR="005B0A9A">
        <w:rPr>
          <w:sz w:val="22"/>
        </w:rPr>
        <w:t>able</w:t>
      </w:r>
      <w:r w:rsidR="005A05B8" w:rsidRPr="009C39DF">
        <w:rPr>
          <w:sz w:val="22"/>
        </w:rPr>
        <w:t xml:space="preserve">, the </w:t>
      </w:r>
      <w:r w:rsidR="00C67ED1">
        <w:rPr>
          <w:sz w:val="22"/>
        </w:rPr>
        <w:t>‘</w:t>
      </w:r>
      <w:r w:rsidRPr="009C39DF">
        <w:rPr>
          <w:sz w:val="22"/>
        </w:rPr>
        <w:t>citizens’ budget</w:t>
      </w:r>
      <w:r w:rsidR="00C67ED1">
        <w:rPr>
          <w:sz w:val="22"/>
        </w:rPr>
        <w:t>’</w:t>
      </w:r>
      <w:r w:rsidRPr="009C39DF">
        <w:rPr>
          <w:sz w:val="22"/>
        </w:rPr>
        <w:t xml:space="preserve">, translated </w:t>
      </w:r>
      <w:r w:rsidRPr="00C25896">
        <w:rPr>
          <w:sz w:val="22"/>
        </w:rPr>
        <w:t>into spoken local language</w:t>
      </w:r>
      <w:r w:rsidRPr="009C39DF">
        <w:rPr>
          <w:sz w:val="22"/>
        </w:rPr>
        <w:t xml:space="preserve">, is </w:t>
      </w:r>
      <w:r w:rsidR="005A05B8" w:rsidRPr="009C39DF">
        <w:rPr>
          <w:sz w:val="22"/>
        </w:rPr>
        <w:t xml:space="preserve">not produced </w:t>
      </w:r>
      <w:r w:rsidR="00C67ED1">
        <w:rPr>
          <w:sz w:val="22"/>
        </w:rPr>
        <w:t>nor are the</w:t>
      </w:r>
      <w:r w:rsidR="005A05B8" w:rsidRPr="009C39DF">
        <w:rPr>
          <w:sz w:val="22"/>
        </w:rPr>
        <w:t xml:space="preserve"> m</w:t>
      </w:r>
      <w:r w:rsidRPr="009C39DF">
        <w:rPr>
          <w:sz w:val="22"/>
        </w:rPr>
        <w:t>acroeconomic forecasts</w:t>
      </w:r>
      <w:r w:rsidR="005A05B8" w:rsidRPr="009C39DF">
        <w:rPr>
          <w:sz w:val="22"/>
        </w:rPr>
        <w:t xml:space="preserve"> at the </w:t>
      </w:r>
      <w:r w:rsidR="00C67ED1">
        <w:rPr>
          <w:sz w:val="22"/>
        </w:rPr>
        <w:t>c</w:t>
      </w:r>
      <w:r w:rsidR="005A05B8" w:rsidRPr="009C39DF">
        <w:rPr>
          <w:sz w:val="22"/>
        </w:rPr>
        <w:t xml:space="preserve">ounty </w:t>
      </w:r>
      <w:r w:rsidR="001A77A7" w:rsidRPr="009C39DF">
        <w:rPr>
          <w:sz w:val="22"/>
        </w:rPr>
        <w:t>level (national</w:t>
      </w:r>
      <w:r w:rsidR="005A05B8" w:rsidRPr="009C39DF">
        <w:rPr>
          <w:sz w:val="22"/>
        </w:rPr>
        <w:t xml:space="preserve"> economic forecast</w:t>
      </w:r>
      <w:r w:rsidR="005074B1" w:rsidRPr="009C39DF">
        <w:rPr>
          <w:sz w:val="22"/>
        </w:rPr>
        <w:t>s</w:t>
      </w:r>
      <w:r w:rsidR="005A05B8" w:rsidRPr="009C39DF">
        <w:rPr>
          <w:sz w:val="22"/>
        </w:rPr>
        <w:t xml:space="preserve"> are used instead)</w:t>
      </w:r>
      <w:r w:rsidRPr="009C39DF">
        <w:rPr>
          <w:sz w:val="22"/>
        </w:rPr>
        <w:t>.</w:t>
      </w:r>
    </w:p>
    <w:p w14:paraId="7537FB3F" w14:textId="77777777" w:rsidR="00EE5FFC" w:rsidRPr="00890A84" w:rsidRDefault="00EE5FFC" w:rsidP="00BA6B2B">
      <w:pPr>
        <w:pStyle w:val="Heading5"/>
      </w:pPr>
      <w:r w:rsidRPr="00890A84">
        <w:t>Management of assets and liabilities</w:t>
      </w:r>
    </w:p>
    <w:p w14:paraId="7FAE943F" w14:textId="77777777" w:rsidR="001A77A7" w:rsidRPr="009C39DF" w:rsidRDefault="001A77A7" w:rsidP="009C39DF">
      <w:pPr>
        <w:spacing w:after="240"/>
        <w:rPr>
          <w:sz w:val="22"/>
        </w:rPr>
      </w:pPr>
      <w:r w:rsidRPr="009C39DF">
        <w:rPr>
          <w:sz w:val="22"/>
        </w:rPr>
        <w:t>The government maintains a record of its holdings in major categories of financial assets, which are mainly composed of cash at hand. Information is contained in the bank reconciliation statement.</w:t>
      </w:r>
      <w:r w:rsidR="003D11A0" w:rsidRPr="009C39DF">
        <w:rPr>
          <w:sz w:val="22"/>
        </w:rPr>
        <w:t xml:space="preserve"> </w:t>
      </w:r>
      <w:r w:rsidRPr="009C39DF">
        <w:rPr>
          <w:sz w:val="22"/>
        </w:rPr>
        <w:t>The government maintains a register of its holdings of fixed assets, which is not complete and collects partial information on their usage and age.</w:t>
      </w:r>
      <w:r w:rsidR="003D11A0" w:rsidRPr="009C39DF">
        <w:rPr>
          <w:sz w:val="22"/>
        </w:rPr>
        <w:t xml:space="preserve"> </w:t>
      </w:r>
    </w:p>
    <w:p w14:paraId="56D7BF27" w14:textId="1E10E08F" w:rsidR="001A77A7" w:rsidRPr="009C39DF" w:rsidRDefault="005A05B8" w:rsidP="009C39DF">
      <w:pPr>
        <w:spacing w:after="240"/>
        <w:rPr>
          <w:sz w:val="22"/>
        </w:rPr>
      </w:pPr>
      <w:r w:rsidRPr="009C39DF">
        <w:rPr>
          <w:sz w:val="22"/>
        </w:rPr>
        <w:t>Assets mainly cons</w:t>
      </w:r>
      <w:r w:rsidR="00A4152D">
        <w:rPr>
          <w:sz w:val="22"/>
        </w:rPr>
        <w:t>ist</w:t>
      </w:r>
      <w:r w:rsidRPr="009C39DF">
        <w:rPr>
          <w:sz w:val="22"/>
        </w:rPr>
        <w:t xml:space="preserve"> of cash</w:t>
      </w:r>
      <w:r w:rsidR="00A4152D">
        <w:rPr>
          <w:sz w:val="22"/>
        </w:rPr>
        <w:t xml:space="preserve"> </w:t>
      </w:r>
      <w:r w:rsidRPr="009C39DF">
        <w:rPr>
          <w:sz w:val="22"/>
        </w:rPr>
        <w:t>in hand and t</w:t>
      </w:r>
      <w:r w:rsidR="00EE5FFC" w:rsidRPr="009C39DF">
        <w:rPr>
          <w:sz w:val="22"/>
        </w:rPr>
        <w:t>he county is yet to constitute any public corporations.</w:t>
      </w:r>
      <w:r w:rsidR="00E0683A" w:rsidRPr="009C39DF">
        <w:rPr>
          <w:sz w:val="22"/>
        </w:rPr>
        <w:t xml:space="preserve"> </w:t>
      </w:r>
      <w:r w:rsidR="001A77A7" w:rsidRPr="009C39DF">
        <w:rPr>
          <w:sz w:val="22"/>
        </w:rPr>
        <w:t>Partial information on transfers and disposals is included in budget reports. However, procedures and rules for the transfer or disposal of nonfinancial assets are not established yet.</w:t>
      </w:r>
    </w:p>
    <w:p w14:paraId="30FC1045" w14:textId="2ACF244C" w:rsidR="00EE5FFC" w:rsidRPr="009C39DF" w:rsidRDefault="001A77A7" w:rsidP="009C39DF">
      <w:pPr>
        <w:spacing w:after="240"/>
        <w:rPr>
          <w:sz w:val="22"/>
        </w:rPr>
      </w:pPr>
      <w:r w:rsidRPr="009C39DF">
        <w:rPr>
          <w:sz w:val="22"/>
        </w:rPr>
        <w:t xml:space="preserve">Though the </w:t>
      </w:r>
      <w:r w:rsidR="00A4152D">
        <w:rPr>
          <w:sz w:val="22"/>
        </w:rPr>
        <w:t>c</w:t>
      </w:r>
      <w:r w:rsidRPr="009C39DF">
        <w:rPr>
          <w:sz w:val="22"/>
        </w:rPr>
        <w:t>ounties are not authori</w:t>
      </w:r>
      <w:r w:rsidR="00ED5A95">
        <w:rPr>
          <w:sz w:val="22"/>
        </w:rPr>
        <w:t>z</w:t>
      </w:r>
      <w:r w:rsidRPr="009C39DF">
        <w:rPr>
          <w:sz w:val="22"/>
        </w:rPr>
        <w:t xml:space="preserve">ed to incur debt, there was a pre-existing debt inherited from </w:t>
      </w:r>
      <w:r w:rsidR="00A4152D" w:rsidRPr="00552A7E">
        <w:rPr>
          <w:sz w:val="22"/>
        </w:rPr>
        <w:t>OlKejuado</w:t>
      </w:r>
      <w:r w:rsidRPr="009C39DF">
        <w:rPr>
          <w:sz w:val="22"/>
        </w:rPr>
        <w:t xml:space="preserve"> County Council. This debt has been serviced and records are maintained annually. </w:t>
      </w:r>
      <w:r w:rsidR="00EE5FFC" w:rsidRPr="009C39DF">
        <w:rPr>
          <w:sz w:val="22"/>
        </w:rPr>
        <w:t xml:space="preserve">The </w:t>
      </w:r>
      <w:r w:rsidR="00552A7E">
        <w:rPr>
          <w:sz w:val="22"/>
        </w:rPr>
        <w:t>DMS</w:t>
      </w:r>
      <w:r w:rsidR="00EE5FFC" w:rsidRPr="009C39DF">
        <w:rPr>
          <w:sz w:val="22"/>
        </w:rPr>
        <w:t xml:space="preserve"> </w:t>
      </w:r>
      <w:r w:rsidRPr="009C39DF">
        <w:rPr>
          <w:sz w:val="22"/>
        </w:rPr>
        <w:t>had established</w:t>
      </w:r>
      <w:r w:rsidR="00EE5FFC" w:rsidRPr="009C39DF">
        <w:rPr>
          <w:sz w:val="22"/>
        </w:rPr>
        <w:t xml:space="preserve"> an allocation for debt servicing</w:t>
      </w:r>
      <w:r w:rsidRPr="009C39DF">
        <w:rPr>
          <w:sz w:val="22"/>
        </w:rPr>
        <w:t xml:space="preserve"> inherited from the defunct authority</w:t>
      </w:r>
      <w:r w:rsidR="00EE5FFC" w:rsidRPr="009C39DF">
        <w:rPr>
          <w:sz w:val="22"/>
        </w:rPr>
        <w:t xml:space="preserve">, but no </w:t>
      </w:r>
      <w:r w:rsidRPr="009C39DF">
        <w:rPr>
          <w:sz w:val="22"/>
        </w:rPr>
        <w:t>information is being published</w:t>
      </w:r>
      <w:r w:rsidR="00EE5FFC" w:rsidRPr="009C39DF">
        <w:rPr>
          <w:sz w:val="22"/>
        </w:rPr>
        <w:t>.</w:t>
      </w:r>
      <w:r w:rsidR="003D11A0" w:rsidRPr="009C39DF">
        <w:rPr>
          <w:sz w:val="22"/>
        </w:rPr>
        <w:t xml:space="preserve"> </w:t>
      </w:r>
      <w:r w:rsidRPr="009C39DF">
        <w:rPr>
          <w:sz w:val="22"/>
        </w:rPr>
        <w:t>A debt strategy has nevertheless been put in place.</w:t>
      </w:r>
      <w:r w:rsidR="000C73E4" w:rsidRPr="009C39DF">
        <w:rPr>
          <w:sz w:val="22"/>
        </w:rPr>
        <w:t xml:space="preserve"> </w:t>
      </w:r>
      <w:r w:rsidR="00EE5FFC" w:rsidRPr="009C39DF">
        <w:rPr>
          <w:sz w:val="22"/>
        </w:rPr>
        <w:t xml:space="preserve">Contingent liabilities and other fiscal risks have been outlined </w:t>
      </w:r>
      <w:r w:rsidRPr="009C39DF">
        <w:rPr>
          <w:sz w:val="22"/>
        </w:rPr>
        <w:t xml:space="preserve">qualitatively </w:t>
      </w:r>
      <w:r w:rsidR="00EE5FFC" w:rsidRPr="009C39DF">
        <w:rPr>
          <w:sz w:val="22"/>
        </w:rPr>
        <w:t xml:space="preserve">in the </w:t>
      </w:r>
      <w:r w:rsidRPr="009C39DF">
        <w:rPr>
          <w:sz w:val="22"/>
        </w:rPr>
        <w:t xml:space="preserve">CBROP and the </w:t>
      </w:r>
      <w:r w:rsidR="0091086E" w:rsidRPr="009C39DF">
        <w:rPr>
          <w:sz w:val="22"/>
        </w:rPr>
        <w:t>CFSP but</w:t>
      </w:r>
      <w:r w:rsidRPr="009C39DF">
        <w:rPr>
          <w:sz w:val="22"/>
        </w:rPr>
        <w:t xml:space="preserve"> have not been specified in the budget in a quantitative manner</w:t>
      </w:r>
      <w:r w:rsidR="00EE5FFC" w:rsidRPr="009C39DF">
        <w:rPr>
          <w:sz w:val="22"/>
        </w:rPr>
        <w:t xml:space="preserve">. </w:t>
      </w:r>
    </w:p>
    <w:p w14:paraId="5E1EDC5D" w14:textId="68B7E7BB" w:rsidR="00AB7A1E" w:rsidRPr="009C39DF" w:rsidRDefault="001A77A7" w:rsidP="009C39DF">
      <w:pPr>
        <w:spacing w:after="240"/>
        <w:rPr>
          <w:sz w:val="22"/>
        </w:rPr>
      </w:pPr>
      <w:r w:rsidRPr="009C39DF">
        <w:rPr>
          <w:sz w:val="22"/>
        </w:rPr>
        <w:t>T</w:t>
      </w:r>
      <w:r w:rsidR="00EE5FFC" w:rsidRPr="009C39DF">
        <w:rPr>
          <w:sz w:val="22"/>
        </w:rPr>
        <w:t xml:space="preserve">he cost of major investment </w:t>
      </w:r>
      <w:r w:rsidR="00E56D81" w:rsidRPr="009C39DF">
        <w:rPr>
          <w:sz w:val="22"/>
        </w:rPr>
        <w:t xml:space="preserve">projects </w:t>
      </w:r>
      <w:r w:rsidR="0091086E" w:rsidRPr="009C39DF">
        <w:rPr>
          <w:sz w:val="22"/>
        </w:rPr>
        <w:t>is</w:t>
      </w:r>
      <w:r w:rsidR="00EE5FFC" w:rsidRPr="009C39DF">
        <w:rPr>
          <w:sz w:val="22"/>
        </w:rPr>
        <w:t xml:space="preserve"> i</w:t>
      </w:r>
      <w:r w:rsidRPr="009C39DF">
        <w:rPr>
          <w:sz w:val="22"/>
        </w:rPr>
        <w:t xml:space="preserve">ncluded in the budget documents, such as </w:t>
      </w:r>
      <w:r w:rsidR="00A4152D">
        <w:rPr>
          <w:sz w:val="22"/>
        </w:rPr>
        <w:t xml:space="preserve">the </w:t>
      </w:r>
      <w:r w:rsidRPr="009C39DF">
        <w:rPr>
          <w:sz w:val="22"/>
        </w:rPr>
        <w:t>CBROP and CFSP, but no rigorous economic analys</w:t>
      </w:r>
      <w:r w:rsidR="004F5FBA" w:rsidRPr="009C39DF">
        <w:rPr>
          <w:sz w:val="22"/>
        </w:rPr>
        <w:t>i</w:t>
      </w:r>
      <w:r w:rsidRPr="009C39DF">
        <w:rPr>
          <w:sz w:val="22"/>
        </w:rPr>
        <w:t xml:space="preserve">s techniques </w:t>
      </w:r>
      <w:r w:rsidR="00A4152D">
        <w:rPr>
          <w:sz w:val="22"/>
        </w:rPr>
        <w:t>are</w:t>
      </w:r>
      <w:r w:rsidR="00A4152D" w:rsidRPr="009C39DF">
        <w:rPr>
          <w:sz w:val="22"/>
        </w:rPr>
        <w:t xml:space="preserve"> </w:t>
      </w:r>
      <w:r w:rsidRPr="009C39DF">
        <w:rPr>
          <w:sz w:val="22"/>
        </w:rPr>
        <w:t xml:space="preserve">being employed for major investment projects beyond the public participation. </w:t>
      </w:r>
      <w:r w:rsidR="00EE5FFC" w:rsidRPr="009C39DF">
        <w:rPr>
          <w:sz w:val="22"/>
        </w:rPr>
        <w:t xml:space="preserve">The </w:t>
      </w:r>
      <w:r w:rsidR="00A4152D" w:rsidRPr="00A4152D">
        <w:rPr>
          <w:sz w:val="22"/>
        </w:rPr>
        <w:t>Budget and Planning Unit</w:t>
      </w:r>
      <w:r w:rsidR="00EE5FFC" w:rsidRPr="009C39DF">
        <w:rPr>
          <w:sz w:val="22"/>
        </w:rPr>
        <w:t xml:space="preserve"> is responsible for project selection</w:t>
      </w:r>
      <w:r w:rsidRPr="009C39DF">
        <w:rPr>
          <w:sz w:val="22"/>
        </w:rPr>
        <w:t xml:space="preserve"> and monitoring its implementation,</w:t>
      </w:r>
      <w:r w:rsidR="00EE5FFC" w:rsidRPr="009C39DF">
        <w:rPr>
          <w:sz w:val="22"/>
        </w:rPr>
        <w:t xml:space="preserve"> but </w:t>
      </w:r>
      <w:r w:rsidRPr="009C39DF">
        <w:rPr>
          <w:sz w:val="22"/>
        </w:rPr>
        <w:t>no</w:t>
      </w:r>
      <w:r w:rsidR="00EE5FFC" w:rsidRPr="009C39DF">
        <w:rPr>
          <w:sz w:val="22"/>
        </w:rPr>
        <w:t xml:space="preserve"> selection criteria </w:t>
      </w:r>
      <w:r w:rsidRPr="009C39DF">
        <w:rPr>
          <w:sz w:val="22"/>
        </w:rPr>
        <w:t xml:space="preserve">seem to be used. </w:t>
      </w:r>
    </w:p>
    <w:p w14:paraId="60F8B180" w14:textId="77777777" w:rsidR="00EE5FFC" w:rsidRPr="00890A84" w:rsidRDefault="0026221B" w:rsidP="00BA6B2B">
      <w:pPr>
        <w:pStyle w:val="Heading5"/>
      </w:pPr>
      <w:r>
        <w:t>Policy-</w:t>
      </w:r>
      <w:r w:rsidR="00EE5FFC" w:rsidRPr="00890A84">
        <w:t>based fiscal strategy and budgeting</w:t>
      </w:r>
    </w:p>
    <w:p w14:paraId="3FBE73E9" w14:textId="7159F9AD" w:rsidR="00EE5FFC" w:rsidRPr="009C39DF" w:rsidRDefault="00D63675" w:rsidP="009C39DF">
      <w:pPr>
        <w:spacing w:after="240"/>
        <w:rPr>
          <w:sz w:val="22"/>
        </w:rPr>
      </w:pPr>
      <w:r w:rsidRPr="009C39DF">
        <w:rPr>
          <w:sz w:val="22"/>
        </w:rPr>
        <w:t>The co</w:t>
      </w:r>
      <w:r w:rsidR="00A4152D">
        <w:rPr>
          <w:sz w:val="22"/>
        </w:rPr>
        <w:t>unty government prepares medium-</w:t>
      </w:r>
      <w:r w:rsidRPr="009C39DF">
        <w:rPr>
          <w:sz w:val="22"/>
        </w:rPr>
        <w:t>term expenditure estimates by administrative, economic</w:t>
      </w:r>
      <w:r w:rsidR="00A4152D">
        <w:rPr>
          <w:sz w:val="22"/>
        </w:rPr>
        <w:t>,</w:t>
      </w:r>
      <w:r w:rsidRPr="009C39DF">
        <w:rPr>
          <w:sz w:val="22"/>
        </w:rPr>
        <w:t xml:space="preserve"> and functional classification, which are presented in both budget estimates and the </w:t>
      </w:r>
      <w:r w:rsidR="0091086E" w:rsidRPr="009C39DF">
        <w:rPr>
          <w:sz w:val="22"/>
        </w:rPr>
        <w:t>CFSP but</w:t>
      </w:r>
      <w:r w:rsidRPr="009C39DF">
        <w:rPr>
          <w:sz w:val="22"/>
        </w:rPr>
        <w:t xml:space="preserve"> </w:t>
      </w:r>
      <w:r w:rsidR="000B28CB">
        <w:rPr>
          <w:sz w:val="22"/>
        </w:rPr>
        <w:t xml:space="preserve">it </w:t>
      </w:r>
      <w:r w:rsidR="00EE5FFC" w:rsidRPr="009C39DF">
        <w:rPr>
          <w:sz w:val="22"/>
        </w:rPr>
        <w:t xml:space="preserve">does not </w:t>
      </w:r>
      <w:r w:rsidRPr="009C39DF">
        <w:rPr>
          <w:sz w:val="22"/>
        </w:rPr>
        <w:t>establish</w:t>
      </w:r>
      <w:r w:rsidR="00EE5FFC" w:rsidRPr="009C39DF">
        <w:rPr>
          <w:sz w:val="22"/>
        </w:rPr>
        <w:t xml:space="preserve"> scenario building and sensitivity analysis.</w:t>
      </w:r>
    </w:p>
    <w:p w14:paraId="06688C94" w14:textId="5AE58194" w:rsidR="00EE5FFC" w:rsidRPr="009C39DF" w:rsidRDefault="00EE5FFC" w:rsidP="009C39DF">
      <w:pPr>
        <w:spacing w:after="240"/>
        <w:rPr>
          <w:sz w:val="22"/>
        </w:rPr>
      </w:pPr>
      <w:r w:rsidRPr="009C39DF">
        <w:rPr>
          <w:sz w:val="22"/>
        </w:rPr>
        <w:t>A clear</w:t>
      </w:r>
      <w:r w:rsidR="00BE6764" w:rsidRPr="009C39DF">
        <w:rPr>
          <w:sz w:val="22"/>
        </w:rPr>
        <w:t xml:space="preserve"> annual budget calendar exists </w:t>
      </w:r>
      <w:r w:rsidRPr="009C39DF">
        <w:rPr>
          <w:sz w:val="22"/>
        </w:rPr>
        <w:t>and allows budgetary units at least four weeks from receipt of the budget circular to co</w:t>
      </w:r>
      <w:r w:rsidR="00BE6764" w:rsidRPr="009C39DF">
        <w:rPr>
          <w:sz w:val="22"/>
        </w:rPr>
        <w:t xml:space="preserve">mplete their detailed estimates. </w:t>
      </w:r>
      <w:r w:rsidRPr="009C39DF">
        <w:rPr>
          <w:sz w:val="22"/>
        </w:rPr>
        <w:t>The budget reflects ministry ceilings</w:t>
      </w:r>
      <w:r w:rsidR="00BE6764" w:rsidRPr="009C39DF">
        <w:rPr>
          <w:sz w:val="22"/>
        </w:rPr>
        <w:t>, which are</w:t>
      </w:r>
      <w:r w:rsidRPr="009C39DF">
        <w:rPr>
          <w:sz w:val="22"/>
        </w:rPr>
        <w:t xml:space="preserve"> submitted to </w:t>
      </w:r>
      <w:r w:rsidR="00BE6764" w:rsidRPr="009C39DF">
        <w:rPr>
          <w:sz w:val="22"/>
        </w:rPr>
        <w:t xml:space="preserve">the County Secretary and approved before sending the budget to the County Assembly. </w:t>
      </w:r>
      <w:r w:rsidR="000B28CB">
        <w:rPr>
          <w:sz w:val="22"/>
        </w:rPr>
        <w:t>The E</w:t>
      </w:r>
      <w:r w:rsidR="00796593" w:rsidRPr="009C39DF">
        <w:rPr>
          <w:sz w:val="22"/>
        </w:rPr>
        <w:t xml:space="preserve">xecutive has submitted the annual budget proposal to the legislature at least two months before the end of the </w:t>
      </w:r>
      <w:r w:rsidR="000B28CB">
        <w:rPr>
          <w:sz w:val="22"/>
        </w:rPr>
        <w:t>FY</w:t>
      </w:r>
      <w:r w:rsidR="00796593" w:rsidRPr="009C39DF">
        <w:rPr>
          <w:sz w:val="22"/>
        </w:rPr>
        <w:t xml:space="preserve"> and the </w:t>
      </w:r>
      <w:r w:rsidR="00BE6764" w:rsidRPr="009C39DF">
        <w:rPr>
          <w:sz w:val="22"/>
        </w:rPr>
        <w:t xml:space="preserve">budget was </w:t>
      </w:r>
      <w:r w:rsidR="00796593" w:rsidRPr="009C39DF">
        <w:rPr>
          <w:sz w:val="22"/>
        </w:rPr>
        <w:t xml:space="preserve">also </w:t>
      </w:r>
      <w:r w:rsidR="00BE6764" w:rsidRPr="009C39DF">
        <w:rPr>
          <w:sz w:val="22"/>
        </w:rPr>
        <w:t xml:space="preserve">always approved before the end of the </w:t>
      </w:r>
      <w:r w:rsidR="00796593" w:rsidRPr="009C39DF">
        <w:rPr>
          <w:sz w:val="22"/>
        </w:rPr>
        <w:t xml:space="preserve">same </w:t>
      </w:r>
      <w:r w:rsidR="00BE6764" w:rsidRPr="009C39DF">
        <w:rPr>
          <w:sz w:val="22"/>
        </w:rPr>
        <w:t>year.</w:t>
      </w:r>
    </w:p>
    <w:p w14:paraId="4DC53A46" w14:textId="4B3E4741" w:rsidR="00EE5FFC" w:rsidRPr="009C39DF" w:rsidRDefault="00BE6764" w:rsidP="009C39DF">
      <w:pPr>
        <w:spacing w:after="240"/>
        <w:rPr>
          <w:sz w:val="22"/>
        </w:rPr>
      </w:pPr>
      <w:r w:rsidRPr="009C39DF">
        <w:rPr>
          <w:sz w:val="22"/>
        </w:rPr>
        <w:t xml:space="preserve">Budget estimates are supposed to be built </w:t>
      </w:r>
      <w:r w:rsidR="0091086E" w:rsidRPr="009C39DF">
        <w:rPr>
          <w:sz w:val="22"/>
        </w:rPr>
        <w:t>based on</w:t>
      </w:r>
      <w:r w:rsidRPr="009C39DF">
        <w:rPr>
          <w:sz w:val="22"/>
        </w:rPr>
        <w:t xml:space="preserve"> </w:t>
      </w:r>
      <w:r w:rsidR="00796593" w:rsidRPr="009C39DF">
        <w:rPr>
          <w:sz w:val="22"/>
        </w:rPr>
        <w:t>ADP</w:t>
      </w:r>
      <w:r w:rsidR="008B6A0A">
        <w:rPr>
          <w:sz w:val="22"/>
        </w:rPr>
        <w:t>s</w:t>
      </w:r>
      <w:r w:rsidR="0091086E" w:rsidRPr="009C39DF">
        <w:rPr>
          <w:sz w:val="22"/>
        </w:rPr>
        <w:t xml:space="preserve"> and</w:t>
      </w:r>
      <w:r w:rsidRPr="009C39DF">
        <w:rPr>
          <w:sz w:val="22"/>
        </w:rPr>
        <w:t xml:space="preserve"> the CIDP</w:t>
      </w:r>
      <w:r w:rsidR="00EE5FFC" w:rsidRPr="000B28CB">
        <w:rPr>
          <w:sz w:val="22"/>
        </w:rPr>
        <w:t>s</w:t>
      </w:r>
      <w:r w:rsidRPr="009C39DF">
        <w:rPr>
          <w:sz w:val="22"/>
        </w:rPr>
        <w:t xml:space="preserve">, but those are prepared only for the main departments, such as </w:t>
      </w:r>
      <w:r w:rsidR="00EE5FFC" w:rsidRPr="009C39DF">
        <w:rPr>
          <w:sz w:val="22"/>
        </w:rPr>
        <w:t>ed</w:t>
      </w:r>
      <w:r w:rsidRPr="009C39DF">
        <w:rPr>
          <w:sz w:val="22"/>
        </w:rPr>
        <w:t>ucation, health</w:t>
      </w:r>
      <w:r w:rsidR="000B28CB">
        <w:rPr>
          <w:sz w:val="22"/>
        </w:rPr>
        <w:t>,</w:t>
      </w:r>
      <w:r w:rsidRPr="009C39DF">
        <w:rPr>
          <w:sz w:val="22"/>
        </w:rPr>
        <w:t xml:space="preserve"> and agriculture. Budget estimates are not aligned with the costing of these strategic</w:t>
      </w:r>
      <w:r w:rsidR="00EE5FFC" w:rsidRPr="009C39DF">
        <w:rPr>
          <w:sz w:val="22"/>
        </w:rPr>
        <w:t xml:space="preserve"> plans</w:t>
      </w:r>
      <w:r w:rsidRPr="009C39DF">
        <w:rPr>
          <w:sz w:val="22"/>
        </w:rPr>
        <w:t xml:space="preserve">. </w:t>
      </w:r>
    </w:p>
    <w:p w14:paraId="5E082CA1" w14:textId="55443FD8" w:rsidR="00EE5FFC" w:rsidRPr="009C39DF" w:rsidRDefault="00EE5FFC" w:rsidP="009C39DF">
      <w:pPr>
        <w:spacing w:after="240"/>
        <w:rPr>
          <w:sz w:val="22"/>
        </w:rPr>
      </w:pPr>
      <w:r w:rsidRPr="009C39DF">
        <w:rPr>
          <w:sz w:val="22"/>
        </w:rPr>
        <w:t xml:space="preserve">The </w:t>
      </w:r>
      <w:r w:rsidR="00796593" w:rsidRPr="009C39DF">
        <w:rPr>
          <w:sz w:val="22"/>
        </w:rPr>
        <w:t>fiscal</w:t>
      </w:r>
      <w:r w:rsidR="00BE6764" w:rsidRPr="009C39DF">
        <w:rPr>
          <w:sz w:val="22"/>
        </w:rPr>
        <w:t xml:space="preserve"> strategy is not </w:t>
      </w:r>
      <w:r w:rsidR="00796593" w:rsidRPr="009C39DF">
        <w:rPr>
          <w:sz w:val="22"/>
        </w:rPr>
        <w:t xml:space="preserve">very </w:t>
      </w:r>
      <w:r w:rsidR="00BE6764" w:rsidRPr="009C39DF">
        <w:rPr>
          <w:sz w:val="22"/>
        </w:rPr>
        <w:t>robust</w:t>
      </w:r>
      <w:r w:rsidR="00796593" w:rsidRPr="009C39DF">
        <w:rPr>
          <w:sz w:val="22"/>
        </w:rPr>
        <w:t>,</w:t>
      </w:r>
      <w:r w:rsidR="00BE6764" w:rsidRPr="009C39DF">
        <w:rPr>
          <w:sz w:val="22"/>
        </w:rPr>
        <w:t xml:space="preserve"> as the </w:t>
      </w:r>
      <w:r w:rsidRPr="009C39DF">
        <w:rPr>
          <w:sz w:val="22"/>
        </w:rPr>
        <w:t>county only provides a situational analysis of key macroeconomic indicators (growth, inflation, exchange rate, interest rates)</w:t>
      </w:r>
      <w:r w:rsidR="000B28CB" w:rsidRPr="000B28CB">
        <w:rPr>
          <w:sz w:val="22"/>
        </w:rPr>
        <w:t xml:space="preserve"> </w:t>
      </w:r>
      <w:r w:rsidR="000B28CB" w:rsidRPr="009C39DF">
        <w:rPr>
          <w:sz w:val="22"/>
        </w:rPr>
        <w:t>in the CFSP</w:t>
      </w:r>
      <w:r w:rsidR="00796593" w:rsidRPr="009C39DF">
        <w:rPr>
          <w:sz w:val="22"/>
        </w:rPr>
        <w:t>, but data concern</w:t>
      </w:r>
      <w:r w:rsidR="00552A7E">
        <w:rPr>
          <w:sz w:val="22"/>
        </w:rPr>
        <w:t>s</w:t>
      </w:r>
      <w:r w:rsidR="00796593" w:rsidRPr="009C39DF">
        <w:rPr>
          <w:sz w:val="22"/>
        </w:rPr>
        <w:t xml:space="preserve"> the </w:t>
      </w:r>
      <w:r w:rsidR="00BE6764" w:rsidRPr="009C39DF">
        <w:rPr>
          <w:sz w:val="22"/>
        </w:rPr>
        <w:t xml:space="preserve">national </w:t>
      </w:r>
      <w:r w:rsidR="00796593" w:rsidRPr="009C39DF">
        <w:rPr>
          <w:sz w:val="22"/>
        </w:rPr>
        <w:t xml:space="preserve">level </w:t>
      </w:r>
      <w:r w:rsidR="00BE6764" w:rsidRPr="009C39DF">
        <w:rPr>
          <w:sz w:val="22"/>
        </w:rPr>
        <w:t xml:space="preserve">and not the </w:t>
      </w:r>
      <w:r w:rsidR="00552A7E">
        <w:rPr>
          <w:sz w:val="22"/>
        </w:rPr>
        <w:t>c</w:t>
      </w:r>
      <w:r w:rsidR="00BE6764" w:rsidRPr="009C39DF">
        <w:rPr>
          <w:sz w:val="22"/>
        </w:rPr>
        <w:t>ounty level.</w:t>
      </w:r>
      <w:r w:rsidR="003D11A0" w:rsidRPr="009C39DF">
        <w:rPr>
          <w:sz w:val="22"/>
        </w:rPr>
        <w:t xml:space="preserve"> </w:t>
      </w:r>
    </w:p>
    <w:p w14:paraId="3C3FBC4D" w14:textId="36522A25" w:rsidR="004F5FBA" w:rsidRPr="009C39DF" w:rsidRDefault="00EE5FFC" w:rsidP="009C39DF">
      <w:pPr>
        <w:spacing w:after="240"/>
        <w:rPr>
          <w:sz w:val="22"/>
        </w:rPr>
      </w:pPr>
      <w:r w:rsidRPr="009C39DF">
        <w:rPr>
          <w:sz w:val="22"/>
        </w:rPr>
        <w:t xml:space="preserve">The government has adopted, submitted to the legislature, </w:t>
      </w:r>
      <w:r w:rsidR="00796593" w:rsidRPr="009C39DF">
        <w:rPr>
          <w:sz w:val="22"/>
        </w:rPr>
        <w:t xml:space="preserve">and published a fiscal strategy, but </w:t>
      </w:r>
      <w:r w:rsidRPr="009C39DF">
        <w:rPr>
          <w:sz w:val="22"/>
        </w:rPr>
        <w:t xml:space="preserve">this strategy does not include </w:t>
      </w:r>
      <w:r w:rsidR="004F5FBA" w:rsidRPr="009C39DF">
        <w:rPr>
          <w:sz w:val="22"/>
        </w:rPr>
        <w:t>e</w:t>
      </w:r>
      <w:r w:rsidRPr="009C39DF">
        <w:rPr>
          <w:sz w:val="22"/>
        </w:rPr>
        <w:t>xplicit time-based quantitative fiscal goals and targets together with qualitative objectives for</w:t>
      </w:r>
      <w:r w:rsidR="00796593" w:rsidRPr="009C39DF">
        <w:rPr>
          <w:sz w:val="22"/>
        </w:rPr>
        <w:t xml:space="preserve"> at least the budget year. An </w:t>
      </w:r>
      <w:r w:rsidRPr="009C39DF">
        <w:rPr>
          <w:sz w:val="22"/>
        </w:rPr>
        <w:t xml:space="preserve">internal </w:t>
      </w:r>
      <w:r w:rsidR="000B28CB">
        <w:rPr>
          <w:sz w:val="22"/>
        </w:rPr>
        <w:t xml:space="preserve">report </w:t>
      </w:r>
      <w:r w:rsidR="00796593" w:rsidRPr="009C39DF">
        <w:rPr>
          <w:sz w:val="22"/>
        </w:rPr>
        <w:t xml:space="preserve">on fiscal strategy performance is prepared annually, but no </w:t>
      </w:r>
      <w:r w:rsidRPr="009C39DF">
        <w:rPr>
          <w:sz w:val="22"/>
        </w:rPr>
        <w:t>explanation of the reasons for any deviation from the objectives and targ</w:t>
      </w:r>
      <w:r w:rsidR="00796593" w:rsidRPr="009C39DF">
        <w:rPr>
          <w:sz w:val="22"/>
        </w:rPr>
        <w:t>et is provided</w:t>
      </w:r>
      <w:r w:rsidR="004F5FBA" w:rsidRPr="009C39DF">
        <w:rPr>
          <w:sz w:val="22"/>
        </w:rPr>
        <w:t>.</w:t>
      </w:r>
    </w:p>
    <w:p w14:paraId="08A5617F" w14:textId="09279DC5" w:rsidR="00AB7A1E" w:rsidRPr="009C39DF" w:rsidRDefault="00796593" w:rsidP="009C39DF">
      <w:pPr>
        <w:spacing w:after="240"/>
        <w:rPr>
          <w:sz w:val="22"/>
        </w:rPr>
      </w:pPr>
      <w:r w:rsidRPr="009C39DF">
        <w:rPr>
          <w:sz w:val="22"/>
        </w:rPr>
        <w:t xml:space="preserve">The county assembly reviews fiscal policies, medium-term fiscal forecasts, and medium-term priorities, which </w:t>
      </w:r>
      <w:r w:rsidR="000B28CB">
        <w:rPr>
          <w:sz w:val="22"/>
        </w:rPr>
        <w:t xml:space="preserve">is </w:t>
      </w:r>
      <w:r w:rsidRPr="009C39DF">
        <w:rPr>
          <w:sz w:val="22"/>
        </w:rPr>
        <w:t>presented in the CBROP and CFSP, as well as details of expenditure and revenue presented in the budget estimates. These procedures</w:t>
      </w:r>
      <w:r w:rsidR="00EE5FFC" w:rsidRPr="009C39DF">
        <w:rPr>
          <w:sz w:val="22"/>
        </w:rPr>
        <w:t xml:space="preserve"> include speciali</w:t>
      </w:r>
      <w:r w:rsidR="00ED5A95">
        <w:rPr>
          <w:sz w:val="22"/>
        </w:rPr>
        <w:t>z</w:t>
      </w:r>
      <w:r w:rsidR="00EE5FFC" w:rsidRPr="009C39DF">
        <w:rPr>
          <w:sz w:val="22"/>
        </w:rPr>
        <w:t>ed review committees, technical support</w:t>
      </w:r>
      <w:r w:rsidR="000B28CB">
        <w:rPr>
          <w:sz w:val="22"/>
        </w:rPr>
        <w:t>,</w:t>
      </w:r>
      <w:r w:rsidRPr="009C39DF">
        <w:rPr>
          <w:sz w:val="22"/>
        </w:rPr>
        <w:t xml:space="preserve"> and </w:t>
      </w:r>
      <w:r w:rsidR="00EE5FFC" w:rsidRPr="009C39DF">
        <w:rPr>
          <w:sz w:val="22"/>
        </w:rPr>
        <w:t xml:space="preserve">public consultation. </w:t>
      </w:r>
    </w:p>
    <w:p w14:paraId="4B99FDEF" w14:textId="77777777" w:rsidR="00EE5FFC" w:rsidRPr="00890A84" w:rsidRDefault="00EE5FFC" w:rsidP="00BA6B2B">
      <w:pPr>
        <w:pStyle w:val="Heading5"/>
      </w:pPr>
      <w:r w:rsidRPr="00890A84">
        <w:t>Predictability and control in budget execution</w:t>
      </w:r>
    </w:p>
    <w:p w14:paraId="6DAF8786" w14:textId="4FDC3740" w:rsidR="004C0174" w:rsidRPr="009C39DF" w:rsidRDefault="004C0174" w:rsidP="009C39DF">
      <w:pPr>
        <w:spacing w:after="240"/>
        <w:rPr>
          <w:sz w:val="22"/>
        </w:rPr>
      </w:pPr>
      <w:r w:rsidRPr="009C39DF">
        <w:rPr>
          <w:sz w:val="22"/>
        </w:rPr>
        <w:t xml:space="preserve">Budgetary units are provided reliable information on commitment ceilings at least </w:t>
      </w:r>
      <w:r w:rsidR="000B28CB">
        <w:rPr>
          <w:sz w:val="22"/>
        </w:rPr>
        <w:t xml:space="preserve">a </w:t>
      </w:r>
      <w:r w:rsidRPr="009C39DF">
        <w:rPr>
          <w:sz w:val="22"/>
        </w:rPr>
        <w:t>quarter in advance when the</w:t>
      </w:r>
      <w:r w:rsidR="000B28CB">
        <w:rPr>
          <w:sz w:val="22"/>
        </w:rPr>
        <w:t>y</w:t>
      </w:r>
      <w:r w:rsidRPr="009C39DF">
        <w:rPr>
          <w:sz w:val="22"/>
        </w:rPr>
        <w:t xml:space="preserve"> use </w:t>
      </w:r>
      <w:r w:rsidR="000B28CB">
        <w:rPr>
          <w:sz w:val="22"/>
        </w:rPr>
        <w:t xml:space="preserve">the </w:t>
      </w:r>
      <w:r w:rsidRPr="009C39DF">
        <w:rPr>
          <w:sz w:val="22"/>
        </w:rPr>
        <w:t>IFMIS.</w:t>
      </w:r>
      <w:r w:rsidR="003D11A0" w:rsidRPr="009C39DF">
        <w:rPr>
          <w:sz w:val="22"/>
        </w:rPr>
        <w:t xml:space="preserve"> </w:t>
      </w:r>
      <w:r w:rsidRPr="009C39DF">
        <w:rPr>
          <w:sz w:val="22"/>
        </w:rPr>
        <w:t xml:space="preserve">Cash balances are consolidated on a monthly </w:t>
      </w:r>
      <w:r w:rsidR="0091086E" w:rsidRPr="009C39DF">
        <w:rPr>
          <w:sz w:val="22"/>
        </w:rPr>
        <w:t>basis,</w:t>
      </w:r>
      <w:r w:rsidRPr="009C39DF">
        <w:rPr>
          <w:sz w:val="22"/>
        </w:rPr>
        <w:t xml:space="preserve"> but no monthly forecasting cash balance has been implemented yet.</w:t>
      </w:r>
    </w:p>
    <w:p w14:paraId="49FAFD10" w14:textId="061F818C" w:rsidR="004C0174" w:rsidRPr="009C39DF" w:rsidRDefault="004C0174" w:rsidP="009C39DF">
      <w:pPr>
        <w:spacing w:after="240"/>
        <w:rPr>
          <w:sz w:val="22"/>
        </w:rPr>
      </w:pPr>
      <w:r w:rsidRPr="009C39DF">
        <w:rPr>
          <w:sz w:val="22"/>
        </w:rPr>
        <w:t xml:space="preserve">The County </w:t>
      </w:r>
      <w:r w:rsidR="000B28CB">
        <w:rPr>
          <w:sz w:val="22"/>
        </w:rPr>
        <w:t>E</w:t>
      </w:r>
      <w:r w:rsidR="00E56D81" w:rsidRPr="009C39DF">
        <w:rPr>
          <w:sz w:val="22"/>
        </w:rPr>
        <w:t>xecutive provides</w:t>
      </w:r>
      <w:r w:rsidR="00EE5FFC" w:rsidRPr="009C39DF">
        <w:rPr>
          <w:sz w:val="22"/>
        </w:rPr>
        <w:t xml:space="preserve"> payers with access to information on the main revenue obligation areas but not on redress processes and </w:t>
      </w:r>
      <w:r w:rsidR="00E56D81" w:rsidRPr="009C39DF">
        <w:rPr>
          <w:sz w:val="22"/>
        </w:rPr>
        <w:t>procedures. The</w:t>
      </w:r>
      <w:r w:rsidR="00183AEF" w:rsidRPr="009C39DF">
        <w:rPr>
          <w:sz w:val="22"/>
        </w:rPr>
        <w:t xml:space="preserve"> revenue collectors deposit most of </w:t>
      </w:r>
      <w:r w:rsidR="000B28CB">
        <w:rPr>
          <w:sz w:val="22"/>
        </w:rPr>
        <w:t xml:space="preserve">the </w:t>
      </w:r>
      <w:r w:rsidR="00183AEF" w:rsidRPr="009C39DF">
        <w:rPr>
          <w:sz w:val="22"/>
        </w:rPr>
        <w:t>collections in the revenue collection accounts held at the KCB weekly.</w:t>
      </w:r>
      <w:r w:rsidR="000C73E4" w:rsidRPr="009C39DF">
        <w:rPr>
          <w:sz w:val="22"/>
        </w:rPr>
        <w:t xml:space="preserve"> </w:t>
      </w:r>
      <w:r w:rsidRPr="009C39DF">
        <w:rPr>
          <w:sz w:val="22"/>
        </w:rPr>
        <w:t>Expenditure commitment control procedures provide only partial coverage and are partially effective. Internal audit is operational in the county government as well as in the County Assembly.</w:t>
      </w:r>
    </w:p>
    <w:p w14:paraId="598D0FB6" w14:textId="6F11B862" w:rsidR="00457A27" w:rsidRPr="009C39DF" w:rsidRDefault="00457A27" w:rsidP="009C39DF">
      <w:pPr>
        <w:spacing w:after="240"/>
        <w:rPr>
          <w:sz w:val="22"/>
        </w:rPr>
      </w:pPr>
      <w:r w:rsidRPr="009C39DF">
        <w:rPr>
          <w:sz w:val="22"/>
        </w:rPr>
        <w:t>Procurement databases are maintained for contracts</w:t>
      </w:r>
      <w:r w:rsidR="000B28CB">
        <w:rPr>
          <w:sz w:val="22"/>
        </w:rPr>
        <w:t>,</w:t>
      </w:r>
      <w:r w:rsidRPr="009C39DF">
        <w:rPr>
          <w:sz w:val="22"/>
        </w:rPr>
        <w:t xml:space="preserve"> including data on what has been procured, value of procurement</w:t>
      </w:r>
      <w:r w:rsidR="000B28CB">
        <w:rPr>
          <w:sz w:val="22"/>
        </w:rPr>
        <w:t>,</w:t>
      </w:r>
      <w:r w:rsidRPr="009C39DF">
        <w:rPr>
          <w:sz w:val="22"/>
        </w:rPr>
        <w:t xml:space="preserve"> and who has been awarded contracts. The data </w:t>
      </w:r>
      <w:r w:rsidR="000B28CB">
        <w:rPr>
          <w:sz w:val="22"/>
        </w:rPr>
        <w:t>is</w:t>
      </w:r>
      <w:r w:rsidRPr="009C39DF">
        <w:rPr>
          <w:sz w:val="22"/>
        </w:rPr>
        <w:t xml:space="preserve"> accurate and complete for most procurement methods for goods, services</w:t>
      </w:r>
      <w:r w:rsidR="000B28CB">
        <w:rPr>
          <w:sz w:val="22"/>
        </w:rPr>
        <w:t>,</w:t>
      </w:r>
      <w:r w:rsidRPr="009C39DF">
        <w:rPr>
          <w:sz w:val="22"/>
        </w:rPr>
        <w:t xml:space="preserve"> and works. However, only legal and regulatory </w:t>
      </w:r>
      <w:r w:rsidR="00E56D81" w:rsidRPr="009C39DF">
        <w:rPr>
          <w:sz w:val="22"/>
        </w:rPr>
        <w:t>framework for procurement, bidding opportunities</w:t>
      </w:r>
      <w:r w:rsidR="000B28CB">
        <w:rPr>
          <w:sz w:val="22"/>
        </w:rPr>
        <w:t>,</w:t>
      </w:r>
      <w:r w:rsidR="00E56D81" w:rsidRPr="009C39DF">
        <w:rPr>
          <w:sz w:val="22"/>
        </w:rPr>
        <w:t xml:space="preserve"> and data on resolution of procurement complaints is</w:t>
      </w:r>
      <w:r w:rsidRPr="009C39DF">
        <w:rPr>
          <w:sz w:val="22"/>
        </w:rPr>
        <w:t xml:space="preserve"> made available to the public. The total value of contracts awarded through competitive methods in FY2015/16 represents less than 60</w:t>
      </w:r>
      <w:r w:rsidR="000B28CB">
        <w:rPr>
          <w:sz w:val="22"/>
        </w:rPr>
        <w:t xml:space="preserve"> percent</w:t>
      </w:r>
      <w:r w:rsidRPr="009C39DF">
        <w:rPr>
          <w:sz w:val="22"/>
        </w:rPr>
        <w:t xml:space="preserve"> of</w:t>
      </w:r>
      <w:r w:rsidR="000B28CB">
        <w:rPr>
          <w:sz w:val="22"/>
        </w:rPr>
        <w:t xml:space="preserve"> the</w:t>
      </w:r>
      <w:r w:rsidRPr="009C39DF">
        <w:rPr>
          <w:sz w:val="22"/>
        </w:rPr>
        <w:t xml:space="preserve"> total value of contracts.</w:t>
      </w:r>
    </w:p>
    <w:p w14:paraId="1493F743" w14:textId="77777777" w:rsidR="00183AEF" w:rsidRPr="009C39DF" w:rsidRDefault="00183AEF" w:rsidP="009C39DF">
      <w:pPr>
        <w:spacing w:after="240"/>
        <w:rPr>
          <w:sz w:val="22"/>
        </w:rPr>
      </w:pPr>
      <w:r w:rsidRPr="009C39DF">
        <w:rPr>
          <w:sz w:val="22"/>
        </w:rPr>
        <w:t>Segregation of duties is prescribed throughout the expenditure process. Responsibilities are clearly laid down for most key steps while further details may be needed in a few areas.</w:t>
      </w:r>
    </w:p>
    <w:p w14:paraId="0B818110" w14:textId="75C77DA3" w:rsidR="00183AEF" w:rsidRPr="009C39DF" w:rsidRDefault="00183AEF" w:rsidP="009C39DF">
      <w:pPr>
        <w:spacing w:after="240"/>
        <w:rPr>
          <w:sz w:val="22"/>
        </w:rPr>
      </w:pPr>
      <w:r w:rsidRPr="009C39DF">
        <w:rPr>
          <w:sz w:val="22"/>
        </w:rPr>
        <w:t>Significant in-year adjustments to budget allocations take place no more than twice a year and are done in a transparent and predictable way.</w:t>
      </w:r>
      <w:r w:rsidR="000C73E4" w:rsidRPr="009C39DF">
        <w:rPr>
          <w:sz w:val="22"/>
        </w:rPr>
        <w:t xml:space="preserve"> </w:t>
      </w:r>
      <w:r w:rsidRPr="009C39DF">
        <w:rPr>
          <w:sz w:val="22"/>
        </w:rPr>
        <w:t xml:space="preserve">Sufficient controls exist to ensure integrity of the payroll data of greatest importance. </w:t>
      </w:r>
      <w:r w:rsidR="000C73E4" w:rsidRPr="009C39DF">
        <w:rPr>
          <w:sz w:val="22"/>
        </w:rPr>
        <w:t>However,</w:t>
      </w:r>
      <w:r w:rsidRPr="009C39DF">
        <w:rPr>
          <w:sz w:val="22"/>
        </w:rPr>
        <w:t xml:space="preserve"> 25</w:t>
      </w:r>
      <w:r w:rsidR="00643491">
        <w:rPr>
          <w:sz w:val="22"/>
        </w:rPr>
        <w:t xml:space="preserve"> percent</w:t>
      </w:r>
      <w:r w:rsidRPr="009C39DF">
        <w:rPr>
          <w:sz w:val="22"/>
        </w:rPr>
        <w:t xml:space="preserve"> staff is paid through manual system</w:t>
      </w:r>
      <w:r w:rsidR="00643491">
        <w:rPr>
          <w:sz w:val="22"/>
        </w:rPr>
        <w:t>;</w:t>
      </w:r>
      <w:r w:rsidRPr="009C39DF">
        <w:rPr>
          <w:sz w:val="22"/>
        </w:rPr>
        <w:t xml:space="preserve"> hence</w:t>
      </w:r>
      <w:r w:rsidR="00643491">
        <w:rPr>
          <w:sz w:val="22"/>
        </w:rPr>
        <w:t>,</w:t>
      </w:r>
      <w:r w:rsidRPr="009C39DF">
        <w:rPr>
          <w:sz w:val="22"/>
        </w:rPr>
        <w:t xml:space="preserve"> change records and payroll is not restricted.</w:t>
      </w:r>
      <w:r w:rsidR="000C73E4" w:rsidRPr="009C39DF">
        <w:rPr>
          <w:sz w:val="22"/>
        </w:rPr>
        <w:t xml:space="preserve"> </w:t>
      </w:r>
      <w:r w:rsidRPr="009C39DF">
        <w:rPr>
          <w:sz w:val="22"/>
        </w:rPr>
        <w:t>The county consolidates the revenue data into monthly reports. The information is broken down by revenue type and consolidated into monthly, quarterly</w:t>
      </w:r>
      <w:r w:rsidR="00643491">
        <w:rPr>
          <w:sz w:val="22"/>
        </w:rPr>
        <w:t>,</w:t>
      </w:r>
      <w:r w:rsidRPr="009C39DF">
        <w:rPr>
          <w:sz w:val="22"/>
        </w:rPr>
        <w:t xml:space="preserve"> and annual report</w:t>
      </w:r>
      <w:r w:rsidR="00643491">
        <w:rPr>
          <w:sz w:val="22"/>
        </w:rPr>
        <w:t>s</w:t>
      </w:r>
      <w:r w:rsidRPr="009C39DF">
        <w:rPr>
          <w:sz w:val="22"/>
        </w:rPr>
        <w:t>.</w:t>
      </w:r>
    </w:p>
    <w:p w14:paraId="0FDF35F3" w14:textId="70D4AC37" w:rsidR="00183AEF" w:rsidRPr="009C39DF" w:rsidRDefault="00EE5FFC" w:rsidP="009C39DF">
      <w:pPr>
        <w:spacing w:after="240"/>
        <w:rPr>
          <w:sz w:val="22"/>
        </w:rPr>
      </w:pPr>
      <w:r w:rsidRPr="009C39DF">
        <w:rPr>
          <w:sz w:val="22"/>
        </w:rPr>
        <w:t xml:space="preserve">Reconciliation of the payroll with personnel records takes place only annually. Staff hiring and promotion is checked against the approved budget </w:t>
      </w:r>
      <w:r w:rsidR="00643491">
        <w:rPr>
          <w:sz w:val="22"/>
        </w:rPr>
        <w:t>before</w:t>
      </w:r>
      <w:r w:rsidRPr="009C39DF">
        <w:rPr>
          <w:sz w:val="22"/>
        </w:rPr>
        <w:t xml:space="preserve"> </w:t>
      </w:r>
      <w:r w:rsidR="000C73E4" w:rsidRPr="009C39DF">
        <w:rPr>
          <w:sz w:val="22"/>
        </w:rPr>
        <w:t>authorization. Required</w:t>
      </w:r>
      <w:r w:rsidRPr="009C39DF">
        <w:rPr>
          <w:sz w:val="22"/>
        </w:rPr>
        <w:t xml:space="preserve"> changes to the personnel records and payroll are updated at least monthly, generally in time for the following month’s payments. Retroactive adjustments are rare. Data shows corrections of 3</w:t>
      </w:r>
      <w:r w:rsidR="00643491">
        <w:rPr>
          <w:sz w:val="22"/>
        </w:rPr>
        <w:t xml:space="preserve"> percent</w:t>
      </w:r>
      <w:r w:rsidRPr="009C39DF">
        <w:rPr>
          <w:sz w:val="22"/>
        </w:rPr>
        <w:t xml:space="preserve"> of salary </w:t>
      </w:r>
      <w:r w:rsidR="000C73E4" w:rsidRPr="009C39DF">
        <w:rPr>
          <w:sz w:val="22"/>
        </w:rPr>
        <w:t>payments. The</w:t>
      </w:r>
      <w:r w:rsidR="00183AEF" w:rsidRPr="009C39DF">
        <w:rPr>
          <w:sz w:val="22"/>
        </w:rPr>
        <w:t xml:space="preserve"> county has arrears but did</w:t>
      </w:r>
      <w:r w:rsidR="00643491">
        <w:rPr>
          <w:sz w:val="22"/>
        </w:rPr>
        <w:t xml:space="preserve"> </w:t>
      </w:r>
      <w:r w:rsidR="00183AEF" w:rsidRPr="009C39DF">
        <w:rPr>
          <w:sz w:val="22"/>
        </w:rPr>
        <w:t>n</w:t>
      </w:r>
      <w:r w:rsidR="00643491">
        <w:rPr>
          <w:sz w:val="22"/>
        </w:rPr>
        <w:t>o</w:t>
      </w:r>
      <w:r w:rsidR="00183AEF" w:rsidRPr="009C39DF">
        <w:rPr>
          <w:sz w:val="22"/>
        </w:rPr>
        <w:t>t provide any list of arrears. The county generates the stock of the expenditure arrears annually within three months after the end of the financial year, but no evidence has been provided.</w:t>
      </w:r>
    </w:p>
    <w:p w14:paraId="1060A9EC" w14:textId="77777777" w:rsidR="00183AEF" w:rsidRPr="009C39DF" w:rsidRDefault="00183AEF" w:rsidP="009C39DF">
      <w:pPr>
        <w:spacing w:after="240"/>
        <w:rPr>
          <w:sz w:val="22"/>
        </w:rPr>
      </w:pPr>
      <w:r w:rsidRPr="009C39DF">
        <w:rPr>
          <w:sz w:val="22"/>
        </w:rPr>
        <w:t xml:space="preserve">An internal body has been implemented both in the County executive and in the Parliament. Annual audits are programmed and most of them are completed, but a quality assurance process showing that internal audit activities are focused on evaluations of the adequacy and effectiveness of internal controls is not in place yet. No record of revenue arrears is kept. </w:t>
      </w:r>
    </w:p>
    <w:p w14:paraId="6F923D94" w14:textId="5F5D3C2F" w:rsidR="00183AEF" w:rsidRPr="009C39DF" w:rsidRDefault="00183AEF" w:rsidP="009C39DF">
      <w:pPr>
        <w:spacing w:after="240"/>
        <w:rPr>
          <w:sz w:val="22"/>
        </w:rPr>
      </w:pPr>
      <w:r w:rsidRPr="009C39DF">
        <w:rPr>
          <w:sz w:val="22"/>
        </w:rPr>
        <w:t xml:space="preserve">Audits and fraud investigations are </w:t>
      </w:r>
      <w:r w:rsidR="0091086E" w:rsidRPr="009C39DF">
        <w:rPr>
          <w:sz w:val="22"/>
        </w:rPr>
        <w:t>undertaken,</w:t>
      </w:r>
      <w:r w:rsidRPr="009C39DF">
        <w:rPr>
          <w:sz w:val="22"/>
        </w:rPr>
        <w:t xml:space="preserve"> and the majority of planned audits and investigations is completed, but no risk analysis methodology and no compliance improvement plan </w:t>
      </w:r>
      <w:r w:rsidR="00643491">
        <w:rPr>
          <w:sz w:val="22"/>
        </w:rPr>
        <w:t>are</w:t>
      </w:r>
      <w:r w:rsidR="00643491" w:rsidRPr="009C39DF">
        <w:rPr>
          <w:sz w:val="22"/>
        </w:rPr>
        <w:t xml:space="preserve"> </w:t>
      </w:r>
      <w:r w:rsidRPr="009C39DF">
        <w:rPr>
          <w:sz w:val="22"/>
        </w:rPr>
        <w:t>used. The county does</w:t>
      </w:r>
      <w:r w:rsidR="00643491">
        <w:rPr>
          <w:sz w:val="22"/>
        </w:rPr>
        <w:t xml:space="preserve"> </w:t>
      </w:r>
      <w:r w:rsidRPr="009C39DF">
        <w:rPr>
          <w:sz w:val="22"/>
        </w:rPr>
        <w:t>n</w:t>
      </w:r>
      <w:r w:rsidR="00643491">
        <w:rPr>
          <w:sz w:val="22"/>
        </w:rPr>
        <w:t>o</w:t>
      </w:r>
      <w:r w:rsidRPr="009C39DF">
        <w:rPr>
          <w:sz w:val="22"/>
        </w:rPr>
        <w:t xml:space="preserve">t have a risk assessment framework in place for assessing and prioritizing risks. These audits nevertheless reveal that less than the majority of payments are compliant with regular payment procedures. Further, the management letter from the </w:t>
      </w:r>
      <w:r w:rsidR="007634D7">
        <w:rPr>
          <w:sz w:val="22"/>
        </w:rPr>
        <w:t>A</w:t>
      </w:r>
      <w:r w:rsidRPr="009C39DF">
        <w:rPr>
          <w:sz w:val="22"/>
        </w:rPr>
        <w:t>uditor</w:t>
      </w:r>
      <w:r w:rsidR="008F1990">
        <w:rPr>
          <w:sz w:val="22"/>
        </w:rPr>
        <w:t xml:space="preserve"> </w:t>
      </w:r>
      <w:r w:rsidR="007634D7">
        <w:rPr>
          <w:sz w:val="22"/>
        </w:rPr>
        <w:t>G</w:t>
      </w:r>
      <w:r w:rsidRPr="009C39DF">
        <w:rPr>
          <w:sz w:val="22"/>
        </w:rPr>
        <w:t>eneral indicated that the county did not adhere to budgetary allocations in personnel emoluments. It was said that management provides a partial response to audit recommendations for most entities audited but no evidence was provided.</w:t>
      </w:r>
    </w:p>
    <w:p w14:paraId="58514D73" w14:textId="77777777" w:rsidR="00EE5FFC" w:rsidRPr="00890A84" w:rsidRDefault="00EE5FFC" w:rsidP="00BA6B2B">
      <w:pPr>
        <w:pStyle w:val="Heading5"/>
      </w:pPr>
      <w:r w:rsidRPr="00890A84">
        <w:t>Accounting and reporting</w:t>
      </w:r>
    </w:p>
    <w:p w14:paraId="42152A31" w14:textId="15B63DC0" w:rsidR="009B31F5" w:rsidRPr="009C39DF" w:rsidRDefault="009B31F5" w:rsidP="009C39DF">
      <w:pPr>
        <w:spacing w:after="240"/>
        <w:rPr>
          <w:sz w:val="22"/>
        </w:rPr>
      </w:pPr>
      <w:r w:rsidRPr="009C39DF">
        <w:rPr>
          <w:sz w:val="22"/>
        </w:rPr>
        <w:t>The computerized system</w:t>
      </w:r>
      <w:r w:rsidR="007634D7">
        <w:rPr>
          <w:sz w:val="22"/>
        </w:rPr>
        <w:t>,</w:t>
      </w:r>
      <w:r w:rsidRPr="009C39DF">
        <w:rPr>
          <w:sz w:val="22"/>
        </w:rPr>
        <w:t xml:space="preserve"> IFMIS</w:t>
      </w:r>
      <w:r w:rsidR="007634D7">
        <w:rPr>
          <w:sz w:val="22"/>
        </w:rPr>
        <w:t>,</w:t>
      </w:r>
      <w:r w:rsidRPr="009C39DF">
        <w:rPr>
          <w:sz w:val="22"/>
        </w:rPr>
        <w:t xml:space="preserve"> is used for recording and processing budget data. Expenditure is captured at payment stage. An examination unit ensures data integrity before they are passed into the system, but it is not in charge of verifying financial data integrity.</w:t>
      </w:r>
      <w:r w:rsidR="003D11A0" w:rsidRPr="009C39DF">
        <w:rPr>
          <w:sz w:val="22"/>
        </w:rPr>
        <w:t xml:space="preserve"> </w:t>
      </w:r>
      <w:r w:rsidRPr="009C39DF">
        <w:rPr>
          <w:sz w:val="22"/>
        </w:rPr>
        <w:t xml:space="preserve">No analysis of the budget execution is provided on at least a half-yearly </w:t>
      </w:r>
      <w:r w:rsidR="000C73E4" w:rsidRPr="009C39DF">
        <w:rPr>
          <w:sz w:val="22"/>
        </w:rPr>
        <w:t>basis. As</w:t>
      </w:r>
      <w:r w:rsidRPr="009C39DF">
        <w:rPr>
          <w:sz w:val="22"/>
        </w:rPr>
        <w:t xml:space="preserve"> requested by law, budget reports are prepared quarterly, but budget items are not easily comparable to the initial budget. </w:t>
      </w:r>
    </w:p>
    <w:p w14:paraId="4741E4B1" w14:textId="3061CFC5" w:rsidR="00457A27" w:rsidRPr="009C39DF" w:rsidRDefault="009B31F5" w:rsidP="009C39DF">
      <w:pPr>
        <w:spacing w:after="240"/>
        <w:rPr>
          <w:sz w:val="22"/>
        </w:rPr>
      </w:pPr>
      <w:r w:rsidRPr="009C39DF">
        <w:rPr>
          <w:sz w:val="22"/>
        </w:rPr>
        <w:t>Bank reconciliation</w:t>
      </w:r>
      <w:r w:rsidR="00E56D81" w:rsidRPr="009C39DF">
        <w:rPr>
          <w:sz w:val="22"/>
        </w:rPr>
        <w:t>s</w:t>
      </w:r>
      <w:r w:rsidRPr="009C39DF">
        <w:rPr>
          <w:sz w:val="22"/>
        </w:rPr>
        <w:t xml:space="preserve"> for all active </w:t>
      </w:r>
      <w:r w:rsidR="007634D7">
        <w:rPr>
          <w:sz w:val="22"/>
        </w:rPr>
        <w:t>c</w:t>
      </w:r>
      <w:r w:rsidRPr="009C39DF">
        <w:rPr>
          <w:sz w:val="22"/>
        </w:rPr>
        <w:t>ounty government bank accounts as well as all imprest accounts are supposed to be done monthly and all accounts to be cleared by the end of the year, but this is not done on timel</w:t>
      </w:r>
      <w:r w:rsidR="007815B0">
        <w:rPr>
          <w:sz w:val="22"/>
        </w:rPr>
        <w:t>y</w:t>
      </w:r>
      <w:r w:rsidRPr="009C39DF">
        <w:rPr>
          <w:sz w:val="22"/>
        </w:rPr>
        <w:t xml:space="preserve"> and several imprest account reconciliations are not made.</w:t>
      </w:r>
      <w:r w:rsidR="003D11A0" w:rsidRPr="009C39DF">
        <w:rPr>
          <w:sz w:val="22"/>
        </w:rPr>
        <w:t xml:space="preserve"> </w:t>
      </w:r>
      <w:r w:rsidR="00457A27" w:rsidRPr="009C39DF">
        <w:rPr>
          <w:sz w:val="22"/>
        </w:rPr>
        <w:t>In short, there is no complete reconciliation of assessments, collections, arrears</w:t>
      </w:r>
      <w:r w:rsidR="000B4EB8">
        <w:rPr>
          <w:sz w:val="22"/>
        </w:rPr>
        <w:t>,</w:t>
      </w:r>
      <w:r w:rsidR="00457A27" w:rsidRPr="009C39DF">
        <w:rPr>
          <w:sz w:val="22"/>
        </w:rPr>
        <w:t xml:space="preserve"> and transfers.</w:t>
      </w:r>
    </w:p>
    <w:p w14:paraId="065C677C" w14:textId="312B06D5" w:rsidR="00AB7A1E" w:rsidRPr="009C39DF" w:rsidRDefault="009B31F5" w:rsidP="009C39DF">
      <w:pPr>
        <w:spacing w:after="240"/>
        <w:rPr>
          <w:sz w:val="22"/>
        </w:rPr>
      </w:pPr>
      <w:r w:rsidRPr="009C39DF">
        <w:rPr>
          <w:sz w:val="22"/>
        </w:rPr>
        <w:t xml:space="preserve">Financial reports for budgetary </w:t>
      </w:r>
      <w:r w:rsidR="000B4EB8">
        <w:rPr>
          <w:sz w:val="22"/>
        </w:rPr>
        <w:t>c</w:t>
      </w:r>
      <w:r w:rsidRPr="009C39DF">
        <w:rPr>
          <w:sz w:val="22"/>
        </w:rPr>
        <w:t xml:space="preserve">ounty government are prepared </w:t>
      </w:r>
      <w:r w:rsidR="0091086E" w:rsidRPr="009C39DF">
        <w:rPr>
          <w:sz w:val="22"/>
        </w:rPr>
        <w:t>annually and</w:t>
      </w:r>
      <w:r w:rsidRPr="009C39DF">
        <w:rPr>
          <w:sz w:val="22"/>
        </w:rPr>
        <w:t xml:space="preserve"> are comparable with the approved budget. They include information on revenue, expenditure, and cash balances. These </w:t>
      </w:r>
      <w:r w:rsidR="00EE5FFC" w:rsidRPr="009C39DF">
        <w:rPr>
          <w:sz w:val="22"/>
        </w:rPr>
        <w:t xml:space="preserve">accounts </w:t>
      </w:r>
      <w:r w:rsidRPr="009C39DF">
        <w:rPr>
          <w:sz w:val="22"/>
        </w:rPr>
        <w:t>are</w:t>
      </w:r>
      <w:r w:rsidR="00EE5FFC" w:rsidRPr="009C39DF">
        <w:rPr>
          <w:sz w:val="22"/>
        </w:rPr>
        <w:t xml:space="preserve"> presented to the external audit three months, </w:t>
      </w:r>
      <w:r w:rsidRPr="009C39DF">
        <w:rPr>
          <w:sz w:val="22"/>
        </w:rPr>
        <w:t xml:space="preserve">but a </w:t>
      </w:r>
      <w:r w:rsidR="00EE5FFC" w:rsidRPr="009C39DF">
        <w:rPr>
          <w:sz w:val="22"/>
        </w:rPr>
        <w:t>consolidated set of financi</w:t>
      </w:r>
      <w:r w:rsidRPr="009C39DF">
        <w:rPr>
          <w:sz w:val="22"/>
        </w:rPr>
        <w:t>al statements for 2015/</w:t>
      </w:r>
      <w:r w:rsidR="00EE5FFC" w:rsidRPr="009C39DF">
        <w:rPr>
          <w:sz w:val="22"/>
        </w:rPr>
        <w:t xml:space="preserve">16 to assess the timeliness </w:t>
      </w:r>
      <w:r w:rsidRPr="009C39DF">
        <w:rPr>
          <w:sz w:val="22"/>
        </w:rPr>
        <w:t>was</w:t>
      </w:r>
      <w:r w:rsidR="00DF236A">
        <w:rPr>
          <w:sz w:val="22"/>
        </w:rPr>
        <w:t xml:space="preserve"> not provided</w:t>
      </w:r>
      <w:r w:rsidRPr="009C39DF">
        <w:rPr>
          <w:sz w:val="22"/>
        </w:rPr>
        <w:t xml:space="preserve">. Some </w:t>
      </w:r>
      <w:r w:rsidR="00EE5FFC" w:rsidRPr="009C39DF">
        <w:rPr>
          <w:sz w:val="22"/>
        </w:rPr>
        <w:t xml:space="preserve">weaknesses </w:t>
      </w:r>
      <w:r w:rsidRPr="009C39DF">
        <w:rPr>
          <w:sz w:val="22"/>
        </w:rPr>
        <w:t xml:space="preserve">regarding data accuracy </w:t>
      </w:r>
      <w:r w:rsidR="008155C4">
        <w:rPr>
          <w:sz w:val="22"/>
        </w:rPr>
        <w:t>were</w:t>
      </w:r>
      <w:r w:rsidR="00EE5FFC" w:rsidRPr="009C39DF">
        <w:rPr>
          <w:sz w:val="22"/>
        </w:rPr>
        <w:t xml:space="preserve"> raised by the </w:t>
      </w:r>
      <w:r w:rsidRPr="009C39DF">
        <w:rPr>
          <w:sz w:val="22"/>
        </w:rPr>
        <w:t xml:space="preserve">report of the </w:t>
      </w:r>
      <w:r w:rsidR="008155C4">
        <w:rPr>
          <w:sz w:val="22"/>
        </w:rPr>
        <w:t>A</w:t>
      </w:r>
      <w:r w:rsidRPr="009C39DF">
        <w:rPr>
          <w:sz w:val="22"/>
        </w:rPr>
        <w:t>uditor</w:t>
      </w:r>
      <w:r w:rsidR="008F1990">
        <w:rPr>
          <w:sz w:val="22"/>
        </w:rPr>
        <w:t xml:space="preserve"> </w:t>
      </w:r>
      <w:r w:rsidR="008155C4">
        <w:rPr>
          <w:sz w:val="22"/>
        </w:rPr>
        <w:t>G</w:t>
      </w:r>
      <w:r w:rsidRPr="009C39DF">
        <w:rPr>
          <w:sz w:val="22"/>
        </w:rPr>
        <w:t>eneral.</w:t>
      </w:r>
      <w:r w:rsidR="003D11A0" w:rsidRPr="009C39DF">
        <w:rPr>
          <w:sz w:val="22"/>
        </w:rPr>
        <w:t xml:space="preserve"> </w:t>
      </w:r>
      <w:r w:rsidRPr="009C39DF">
        <w:rPr>
          <w:sz w:val="22"/>
        </w:rPr>
        <w:t xml:space="preserve">Data </w:t>
      </w:r>
      <w:r w:rsidR="00EE5FFC" w:rsidRPr="009C39DF">
        <w:rPr>
          <w:sz w:val="22"/>
        </w:rPr>
        <w:t xml:space="preserve">is </w:t>
      </w:r>
      <w:r w:rsidRPr="009C39DF">
        <w:rPr>
          <w:sz w:val="22"/>
        </w:rPr>
        <w:t xml:space="preserve">nevertheless </w:t>
      </w:r>
      <w:r w:rsidR="00EE5FFC" w:rsidRPr="009C39DF">
        <w:rPr>
          <w:sz w:val="22"/>
        </w:rPr>
        <w:t>consistent and useful for analysis of budget execution</w:t>
      </w:r>
      <w:r w:rsidR="00AB7A1E" w:rsidRPr="009C39DF">
        <w:rPr>
          <w:sz w:val="22"/>
        </w:rPr>
        <w:t>.</w:t>
      </w:r>
      <w:r w:rsidR="00EE5FFC" w:rsidRPr="009C39DF">
        <w:rPr>
          <w:sz w:val="22"/>
        </w:rPr>
        <w:t xml:space="preserve"> </w:t>
      </w:r>
    </w:p>
    <w:p w14:paraId="21FAB2DA" w14:textId="77777777" w:rsidR="00EE5FFC" w:rsidRPr="00890A84" w:rsidRDefault="00EE5FFC" w:rsidP="00BA6B2B">
      <w:pPr>
        <w:pStyle w:val="Heading5"/>
      </w:pPr>
      <w:r w:rsidRPr="00890A84">
        <w:t>External scrutiny and audit</w:t>
      </w:r>
    </w:p>
    <w:p w14:paraId="29AC0E84" w14:textId="39DFBB4C" w:rsidR="00457A27" w:rsidRPr="009C39DF" w:rsidRDefault="00457A27" w:rsidP="009C39DF">
      <w:pPr>
        <w:spacing w:after="240"/>
        <w:rPr>
          <w:sz w:val="22"/>
        </w:rPr>
      </w:pPr>
      <w:r w:rsidRPr="009C39DF">
        <w:rPr>
          <w:sz w:val="22"/>
        </w:rPr>
        <w:t>External scrutiny and audit i</w:t>
      </w:r>
      <w:r w:rsidR="004F5FBA" w:rsidRPr="009C39DF">
        <w:rPr>
          <w:sz w:val="22"/>
        </w:rPr>
        <w:t>s</w:t>
      </w:r>
      <w:r w:rsidRPr="009C39DF">
        <w:rPr>
          <w:sz w:val="22"/>
        </w:rPr>
        <w:t xml:space="preserve"> done by the OA</w:t>
      </w:r>
      <w:r w:rsidR="00BA77EE">
        <w:rPr>
          <w:sz w:val="22"/>
        </w:rPr>
        <w:t>G</w:t>
      </w:r>
      <w:r w:rsidRPr="009C39DF">
        <w:rPr>
          <w:sz w:val="22"/>
        </w:rPr>
        <w:t>, which operat</w:t>
      </w:r>
      <w:r w:rsidR="00916F24" w:rsidRPr="009C39DF">
        <w:rPr>
          <w:sz w:val="22"/>
        </w:rPr>
        <w:t xml:space="preserve">es at the national level. </w:t>
      </w:r>
      <w:r w:rsidR="008155C4">
        <w:rPr>
          <w:sz w:val="22"/>
        </w:rPr>
        <w:t xml:space="preserve">The </w:t>
      </w:r>
      <w:r w:rsidR="00916F24" w:rsidRPr="009C39DF">
        <w:rPr>
          <w:sz w:val="22"/>
        </w:rPr>
        <w:t xml:space="preserve">OAG </w:t>
      </w:r>
      <w:r w:rsidR="00864D78" w:rsidRPr="009C39DF">
        <w:rPr>
          <w:sz w:val="22"/>
        </w:rPr>
        <w:t>has been</w:t>
      </w:r>
      <w:r w:rsidRPr="009C39DF">
        <w:rPr>
          <w:sz w:val="22"/>
        </w:rPr>
        <w:t xml:space="preserve"> employing ISSAIs on all external audits of </w:t>
      </w:r>
      <w:r w:rsidR="00FF1880">
        <w:rPr>
          <w:sz w:val="22"/>
        </w:rPr>
        <w:t>n</w:t>
      </w:r>
      <w:r w:rsidRPr="009C39DF">
        <w:rPr>
          <w:sz w:val="22"/>
        </w:rPr>
        <w:t xml:space="preserve">ational and </w:t>
      </w:r>
      <w:r w:rsidR="00FF1880">
        <w:rPr>
          <w:sz w:val="22"/>
        </w:rPr>
        <w:t>c</w:t>
      </w:r>
      <w:r w:rsidRPr="009C39DF">
        <w:rPr>
          <w:sz w:val="22"/>
        </w:rPr>
        <w:t xml:space="preserve">ounty </w:t>
      </w:r>
      <w:r w:rsidR="00FF1880">
        <w:rPr>
          <w:sz w:val="22"/>
        </w:rPr>
        <w:t>g</w:t>
      </w:r>
      <w:r w:rsidRPr="009C39DF">
        <w:rPr>
          <w:sz w:val="22"/>
        </w:rPr>
        <w:t xml:space="preserve">overnments since 2011. Material weaknesses are highlighted in the management letters issued. </w:t>
      </w:r>
    </w:p>
    <w:p w14:paraId="7E169B64" w14:textId="1E40213C" w:rsidR="00457A27" w:rsidRPr="009C39DF" w:rsidRDefault="00457A27" w:rsidP="009C39DF">
      <w:pPr>
        <w:spacing w:after="240"/>
        <w:rPr>
          <w:sz w:val="22"/>
        </w:rPr>
      </w:pPr>
      <w:r w:rsidRPr="009C39DF">
        <w:rPr>
          <w:sz w:val="22"/>
        </w:rPr>
        <w:t>H</w:t>
      </w:r>
      <w:r w:rsidR="00EE5FFC" w:rsidRPr="009C39DF">
        <w:rPr>
          <w:sz w:val="22"/>
        </w:rPr>
        <w:t xml:space="preserve">earings on key findings of </w:t>
      </w:r>
      <w:r w:rsidR="008155C4">
        <w:rPr>
          <w:sz w:val="22"/>
        </w:rPr>
        <w:t xml:space="preserve">the </w:t>
      </w:r>
      <w:r w:rsidR="00EE5FFC" w:rsidRPr="009C39DF">
        <w:rPr>
          <w:sz w:val="22"/>
        </w:rPr>
        <w:t xml:space="preserve">audit reports </w:t>
      </w:r>
      <w:r w:rsidRPr="009C39DF">
        <w:rPr>
          <w:sz w:val="22"/>
        </w:rPr>
        <w:t xml:space="preserve">tool were fully completed and discussed only for 2013/14. They </w:t>
      </w:r>
      <w:r w:rsidR="00EE5FFC" w:rsidRPr="009C39DF">
        <w:rPr>
          <w:sz w:val="22"/>
        </w:rPr>
        <w:t>cover</w:t>
      </w:r>
      <w:r w:rsidR="00FF1880">
        <w:rPr>
          <w:sz w:val="22"/>
        </w:rPr>
        <w:t>ed</w:t>
      </w:r>
      <w:r w:rsidR="00EE5FFC" w:rsidRPr="009C39DF">
        <w:rPr>
          <w:sz w:val="22"/>
        </w:rPr>
        <w:t xml:space="preserve"> a few audited entities. Scrutiny of audit reports is </w:t>
      </w:r>
      <w:r w:rsidRPr="009C39DF">
        <w:rPr>
          <w:sz w:val="22"/>
        </w:rPr>
        <w:t xml:space="preserve">expected to be </w:t>
      </w:r>
      <w:r w:rsidR="00EE5FFC" w:rsidRPr="009C39DF">
        <w:rPr>
          <w:sz w:val="22"/>
        </w:rPr>
        <w:t>completed within 12 months</w:t>
      </w:r>
      <w:r w:rsidRPr="009C39DF">
        <w:rPr>
          <w:sz w:val="22"/>
        </w:rPr>
        <w:t>, but reports are generally available more than one year after the end of the FY.</w:t>
      </w:r>
    </w:p>
    <w:p w14:paraId="6DC6360C" w14:textId="61725B1D" w:rsidR="00EE5FFC" w:rsidRPr="009C39DF" w:rsidRDefault="00EE5FFC" w:rsidP="009C39DF">
      <w:pPr>
        <w:spacing w:after="240"/>
        <w:rPr>
          <w:sz w:val="22"/>
        </w:rPr>
      </w:pPr>
      <w:r w:rsidRPr="009C39DF">
        <w:rPr>
          <w:sz w:val="22"/>
        </w:rPr>
        <w:t xml:space="preserve">The </w:t>
      </w:r>
      <w:r w:rsidR="008155C4">
        <w:rPr>
          <w:sz w:val="22"/>
        </w:rPr>
        <w:t>County A</w:t>
      </w:r>
      <w:r w:rsidRPr="009C39DF">
        <w:rPr>
          <w:sz w:val="22"/>
        </w:rPr>
        <w:t xml:space="preserve">ssembly has a process for monitoring implementation of audit recommendations. However, no </w:t>
      </w:r>
      <w:r w:rsidR="00FF1880">
        <w:rPr>
          <w:sz w:val="22"/>
        </w:rPr>
        <w:t>c</w:t>
      </w:r>
      <w:r w:rsidR="00457A27" w:rsidRPr="009C39DF">
        <w:rPr>
          <w:sz w:val="22"/>
        </w:rPr>
        <w:t xml:space="preserve">ommittee reports and </w:t>
      </w:r>
      <w:r w:rsidRPr="009C39DF">
        <w:rPr>
          <w:sz w:val="22"/>
        </w:rPr>
        <w:t xml:space="preserve">record of recommendations by the legislatures for actions to be taken up by the </w:t>
      </w:r>
      <w:r w:rsidR="008155C4">
        <w:rPr>
          <w:sz w:val="22"/>
        </w:rPr>
        <w:t>E</w:t>
      </w:r>
      <w:r w:rsidRPr="009C39DF">
        <w:rPr>
          <w:sz w:val="22"/>
        </w:rPr>
        <w:t>xecutive w</w:t>
      </w:r>
      <w:r w:rsidR="008155C4">
        <w:rPr>
          <w:sz w:val="22"/>
        </w:rPr>
        <w:t>ere</w:t>
      </w:r>
      <w:r w:rsidRPr="009C39DF">
        <w:rPr>
          <w:sz w:val="22"/>
        </w:rPr>
        <w:t xml:space="preserve"> provided.</w:t>
      </w:r>
      <w:r w:rsidR="003D11A0" w:rsidRPr="009C39DF">
        <w:rPr>
          <w:sz w:val="22"/>
        </w:rPr>
        <w:t xml:space="preserve"> </w:t>
      </w:r>
    </w:p>
    <w:p w14:paraId="72E70105" w14:textId="77777777" w:rsidR="00F42347" w:rsidRPr="00890A84" w:rsidRDefault="00F42347" w:rsidP="00776E84">
      <w:pPr>
        <w:pStyle w:val="Heading2"/>
      </w:pPr>
      <w:bookmarkStart w:id="126" w:name="_Toc485300592"/>
      <w:bookmarkStart w:id="127" w:name="_Toc532426046"/>
      <w:r w:rsidRPr="00890A84">
        <w:t>Effectiveness of the internal control framework</w:t>
      </w:r>
      <w:bookmarkEnd w:id="126"/>
      <w:bookmarkEnd w:id="127"/>
    </w:p>
    <w:p w14:paraId="231F07AB" w14:textId="77777777" w:rsidR="00F42347" w:rsidRPr="00890A84" w:rsidRDefault="00F42347" w:rsidP="00BA6B2B">
      <w:pPr>
        <w:pStyle w:val="Heading5"/>
      </w:pPr>
      <w:r w:rsidRPr="00890A84">
        <w:t xml:space="preserve">Control environment </w:t>
      </w:r>
    </w:p>
    <w:p w14:paraId="2C2B3ED8" w14:textId="1CD819F3" w:rsidR="00F42347" w:rsidRPr="009C39DF" w:rsidRDefault="00F42347" w:rsidP="009C39DF">
      <w:pPr>
        <w:spacing w:after="240"/>
        <w:rPr>
          <w:sz w:val="22"/>
        </w:rPr>
      </w:pPr>
      <w:r w:rsidRPr="009C39DF">
        <w:rPr>
          <w:sz w:val="22"/>
        </w:rPr>
        <w:t xml:space="preserve">Based on the available information provided by the </w:t>
      </w:r>
      <w:r w:rsidR="00523B88">
        <w:rPr>
          <w:sz w:val="22"/>
        </w:rPr>
        <w:t>c</w:t>
      </w:r>
      <w:r w:rsidRPr="009C39DF">
        <w:rPr>
          <w:sz w:val="22"/>
        </w:rPr>
        <w:t xml:space="preserve">ounty, the internal control practice in place is not sufficient </w:t>
      </w:r>
      <w:r w:rsidR="0091086E" w:rsidRPr="009C39DF">
        <w:rPr>
          <w:sz w:val="22"/>
        </w:rPr>
        <w:t>to</w:t>
      </w:r>
      <w:r w:rsidRPr="009C39DF">
        <w:rPr>
          <w:sz w:val="22"/>
        </w:rPr>
        <w:t xml:space="preserve"> contribute to the achievement of the four control objectives. </w:t>
      </w:r>
      <w:r w:rsidR="007929DF">
        <w:rPr>
          <w:sz w:val="22"/>
        </w:rPr>
        <w:t>The n</w:t>
      </w:r>
      <w:r w:rsidRPr="009C39DF">
        <w:rPr>
          <w:sz w:val="22"/>
        </w:rPr>
        <w:t>ational</w:t>
      </w:r>
      <w:r w:rsidR="0025026D">
        <w:rPr>
          <w:sz w:val="22"/>
        </w:rPr>
        <w:t>-</w:t>
      </w:r>
      <w:r w:rsidRPr="009C39DF">
        <w:rPr>
          <w:sz w:val="22"/>
        </w:rPr>
        <w:t xml:space="preserve">level </w:t>
      </w:r>
      <w:r w:rsidR="007929DF">
        <w:rPr>
          <w:sz w:val="22"/>
        </w:rPr>
        <w:t>i</w:t>
      </w:r>
      <w:r w:rsidRPr="009C39DF">
        <w:rPr>
          <w:sz w:val="22"/>
        </w:rPr>
        <w:t xml:space="preserve">nternal </w:t>
      </w:r>
      <w:r w:rsidR="007929DF">
        <w:rPr>
          <w:sz w:val="22"/>
        </w:rPr>
        <w:t>c</w:t>
      </w:r>
      <w:r w:rsidRPr="009C39DF">
        <w:rPr>
          <w:sz w:val="22"/>
        </w:rPr>
        <w:t xml:space="preserve">ontrol framework is indicative to a large extent for the </w:t>
      </w:r>
      <w:r w:rsidR="007929DF">
        <w:rPr>
          <w:sz w:val="22"/>
        </w:rPr>
        <w:t>c</w:t>
      </w:r>
      <w:r w:rsidRPr="009C39DF">
        <w:rPr>
          <w:sz w:val="22"/>
        </w:rPr>
        <w:t xml:space="preserve">ounty operation </w:t>
      </w:r>
      <w:r w:rsidR="0091086E" w:rsidRPr="009C39DF">
        <w:rPr>
          <w:sz w:val="22"/>
        </w:rPr>
        <w:t>since</w:t>
      </w:r>
      <w:r w:rsidRPr="009C39DF">
        <w:rPr>
          <w:sz w:val="22"/>
        </w:rPr>
        <w:t xml:space="preserve"> the subnational functions and operations mirror</w:t>
      </w:r>
      <w:r w:rsidR="008155C4">
        <w:rPr>
          <w:sz w:val="22"/>
        </w:rPr>
        <w:t>,</w:t>
      </w:r>
      <w:r w:rsidRPr="009C39DF">
        <w:rPr>
          <w:sz w:val="22"/>
        </w:rPr>
        <w:t xml:space="preserve"> in regulation and practice</w:t>
      </w:r>
      <w:r w:rsidR="008155C4">
        <w:rPr>
          <w:sz w:val="22"/>
        </w:rPr>
        <w:t>,</w:t>
      </w:r>
      <w:r w:rsidRPr="009C39DF">
        <w:rPr>
          <w:sz w:val="22"/>
        </w:rPr>
        <w:t xml:space="preserve"> the establishment </w:t>
      </w:r>
      <w:r w:rsidR="007929DF">
        <w:rPr>
          <w:sz w:val="22"/>
        </w:rPr>
        <w:t>at</w:t>
      </w:r>
      <w:r w:rsidR="007929DF" w:rsidRPr="009C39DF">
        <w:rPr>
          <w:sz w:val="22"/>
        </w:rPr>
        <w:t xml:space="preserve"> </w:t>
      </w:r>
      <w:r w:rsidRPr="009C39DF">
        <w:rPr>
          <w:sz w:val="22"/>
        </w:rPr>
        <w:t xml:space="preserve">the </w:t>
      </w:r>
      <w:r w:rsidR="007929DF">
        <w:rPr>
          <w:sz w:val="22"/>
        </w:rPr>
        <w:t>n</w:t>
      </w:r>
      <w:r w:rsidRPr="009C39DF">
        <w:rPr>
          <w:sz w:val="22"/>
        </w:rPr>
        <w:t>ational level. The following is an overview of the internal control activities collected from the preceding sections of the report. It builds on the description of the design of internal controls and the individual assessment of specific control activities</w:t>
      </w:r>
      <w:r w:rsidR="008155C4">
        <w:rPr>
          <w:sz w:val="22"/>
        </w:rPr>
        <w:t>,</w:t>
      </w:r>
      <w:r w:rsidRPr="009C39DF">
        <w:rPr>
          <w:sz w:val="22"/>
        </w:rPr>
        <w:t xml:space="preserve"> as covered by the performance indicators (Section 3). </w:t>
      </w:r>
    </w:p>
    <w:p w14:paraId="12169EC4" w14:textId="77777777" w:rsidR="00F42347" w:rsidRPr="00890A84" w:rsidRDefault="00F42347" w:rsidP="00BA6B2B">
      <w:pPr>
        <w:pStyle w:val="Heading5"/>
      </w:pPr>
      <w:r w:rsidRPr="00890A84">
        <w:t xml:space="preserve">Risk assessment </w:t>
      </w:r>
    </w:p>
    <w:p w14:paraId="08D584D2" w14:textId="1E951A99" w:rsidR="00F42347" w:rsidRPr="009C39DF" w:rsidRDefault="00F42347" w:rsidP="009C39DF">
      <w:pPr>
        <w:spacing w:after="240"/>
        <w:rPr>
          <w:sz w:val="22"/>
        </w:rPr>
      </w:pPr>
      <w:r w:rsidRPr="009C39DF">
        <w:rPr>
          <w:sz w:val="22"/>
        </w:rPr>
        <w:t xml:space="preserve">County decisions do not appear to be driven by risk assessment and management activities. Risks are not evaluated by their significance or the degree of likelihood of occurring almost at all budget processes. Having no risk profile of the </w:t>
      </w:r>
      <w:r w:rsidR="008155C4">
        <w:rPr>
          <w:sz w:val="22"/>
        </w:rPr>
        <w:t>c</w:t>
      </w:r>
      <w:r w:rsidRPr="009C39DF">
        <w:rPr>
          <w:sz w:val="22"/>
        </w:rPr>
        <w:t xml:space="preserve">ounty functions, no risk responses are to be made to reduce the likelihood or downside outcomes for key operations. Thus, potential future events that create uncertainty are not covered. </w:t>
      </w:r>
    </w:p>
    <w:p w14:paraId="17E9C5C8" w14:textId="3E57F60D" w:rsidR="00BE1C2F" w:rsidRPr="009C39DF" w:rsidRDefault="008155C4" w:rsidP="008155C4">
      <w:pPr>
        <w:keepNext/>
        <w:spacing w:after="240"/>
        <w:rPr>
          <w:sz w:val="22"/>
        </w:rPr>
      </w:pPr>
      <w:r>
        <w:rPr>
          <w:sz w:val="22"/>
        </w:rPr>
        <w:t>The f</w:t>
      </w:r>
      <w:r w:rsidR="00F42347" w:rsidRPr="009C39DF">
        <w:rPr>
          <w:sz w:val="22"/>
        </w:rPr>
        <w:t>ollowing risk</w:t>
      </w:r>
      <w:r w:rsidR="00916F24" w:rsidRPr="009C39DF">
        <w:rPr>
          <w:sz w:val="22"/>
        </w:rPr>
        <w:t>s</w:t>
      </w:r>
      <w:r w:rsidR="00F42347" w:rsidRPr="009C39DF">
        <w:rPr>
          <w:sz w:val="22"/>
        </w:rPr>
        <w:t>, which are not provided for</w:t>
      </w:r>
      <w:r>
        <w:rPr>
          <w:sz w:val="22"/>
        </w:rPr>
        <w:t>,</w:t>
      </w:r>
      <w:r w:rsidR="00F42347" w:rsidRPr="009C39DF">
        <w:rPr>
          <w:sz w:val="22"/>
        </w:rPr>
        <w:t xml:space="preserve"> exist in all stages of </w:t>
      </w:r>
      <w:r>
        <w:rPr>
          <w:sz w:val="22"/>
        </w:rPr>
        <w:t>PFM</w:t>
      </w:r>
      <w:r w:rsidR="00F42347" w:rsidRPr="009C39DF">
        <w:rPr>
          <w:sz w:val="22"/>
        </w:rPr>
        <w:t>:</w:t>
      </w:r>
    </w:p>
    <w:p w14:paraId="7E5547D8" w14:textId="14C65CDA" w:rsidR="00F42347" w:rsidRPr="009C39DF" w:rsidRDefault="00F42347" w:rsidP="001412E3">
      <w:pPr>
        <w:pStyle w:val="ListParagraph"/>
        <w:numPr>
          <w:ilvl w:val="0"/>
          <w:numId w:val="5"/>
        </w:numPr>
        <w:spacing w:after="240"/>
        <w:ind w:left="720"/>
        <w:contextualSpacing w:val="0"/>
        <w:rPr>
          <w:sz w:val="22"/>
        </w:rPr>
      </w:pPr>
      <w:r w:rsidRPr="008155C4">
        <w:rPr>
          <w:b/>
          <w:sz w:val="22"/>
        </w:rPr>
        <w:t>Pillar 2</w:t>
      </w:r>
      <w:r w:rsidR="0026221B" w:rsidRPr="008155C4">
        <w:rPr>
          <w:b/>
          <w:sz w:val="22"/>
        </w:rPr>
        <w:t>:</w:t>
      </w:r>
      <w:r w:rsidRPr="008155C4">
        <w:rPr>
          <w:b/>
          <w:sz w:val="22"/>
        </w:rPr>
        <w:t xml:space="preserve"> Transparency of public finances</w:t>
      </w:r>
      <w:r w:rsidR="008155C4">
        <w:rPr>
          <w:b/>
          <w:sz w:val="22"/>
        </w:rPr>
        <w:t>.</w:t>
      </w:r>
      <w:r w:rsidRPr="008155C4">
        <w:rPr>
          <w:b/>
          <w:sz w:val="22"/>
        </w:rPr>
        <w:t xml:space="preserve"> </w:t>
      </w:r>
      <w:r w:rsidR="008155C4" w:rsidRPr="008155C4">
        <w:rPr>
          <w:sz w:val="22"/>
        </w:rPr>
        <w:t>The c</w:t>
      </w:r>
      <w:r w:rsidRPr="008155C4">
        <w:rPr>
          <w:sz w:val="22"/>
        </w:rPr>
        <w:t>o</w:t>
      </w:r>
      <w:r w:rsidRPr="009C39DF">
        <w:rPr>
          <w:sz w:val="22"/>
        </w:rPr>
        <w:t>unty is not able to capture expenditure and revenue outside financial reports (PI-6)</w:t>
      </w:r>
      <w:r w:rsidR="008155C4">
        <w:rPr>
          <w:sz w:val="22"/>
        </w:rPr>
        <w:t>. T</w:t>
      </w:r>
      <w:r w:rsidRPr="009C39DF">
        <w:rPr>
          <w:sz w:val="22"/>
        </w:rPr>
        <w:t>his creates the risk of having incomplete budget environment, potential misuse of funds</w:t>
      </w:r>
      <w:r w:rsidR="008155C4">
        <w:rPr>
          <w:sz w:val="22"/>
        </w:rPr>
        <w:t>,</w:t>
      </w:r>
      <w:r w:rsidRPr="009C39DF">
        <w:rPr>
          <w:sz w:val="22"/>
        </w:rPr>
        <w:t xml:space="preserve"> and poor service to the public. </w:t>
      </w:r>
    </w:p>
    <w:p w14:paraId="28B23789" w14:textId="45C02D68" w:rsidR="00BE1C2F" w:rsidRPr="009C39DF" w:rsidRDefault="00F42347" w:rsidP="001412E3">
      <w:pPr>
        <w:pStyle w:val="ListParagraph"/>
        <w:numPr>
          <w:ilvl w:val="0"/>
          <w:numId w:val="5"/>
        </w:numPr>
        <w:spacing w:after="240"/>
        <w:ind w:left="720"/>
        <w:contextualSpacing w:val="0"/>
        <w:rPr>
          <w:sz w:val="22"/>
        </w:rPr>
      </w:pPr>
      <w:r w:rsidRPr="008155C4">
        <w:rPr>
          <w:b/>
          <w:sz w:val="22"/>
        </w:rPr>
        <w:t>Pillar 3</w:t>
      </w:r>
      <w:r w:rsidR="0026221B" w:rsidRPr="008155C4">
        <w:rPr>
          <w:b/>
          <w:sz w:val="22"/>
        </w:rPr>
        <w:t>:</w:t>
      </w:r>
      <w:r w:rsidRPr="008155C4">
        <w:rPr>
          <w:b/>
          <w:sz w:val="22"/>
        </w:rPr>
        <w:t xml:space="preserve"> Management of assets and liabilities</w:t>
      </w:r>
      <w:r w:rsidR="008155C4">
        <w:rPr>
          <w:b/>
          <w:sz w:val="22"/>
        </w:rPr>
        <w:t>.</w:t>
      </w:r>
      <w:r w:rsidRPr="009C39DF">
        <w:rPr>
          <w:sz w:val="22"/>
        </w:rPr>
        <w:t xml:space="preserve"> </w:t>
      </w:r>
      <w:r w:rsidR="008155C4">
        <w:rPr>
          <w:sz w:val="22"/>
        </w:rPr>
        <w:t>W</w:t>
      </w:r>
      <w:r w:rsidRPr="009C39DF">
        <w:rPr>
          <w:sz w:val="22"/>
        </w:rPr>
        <w:t>ith no economic analysis of investment proposals (PI-11), no costing of investment</w:t>
      </w:r>
      <w:r w:rsidR="008155C4">
        <w:rPr>
          <w:sz w:val="22"/>
        </w:rPr>
        <w:t>,</w:t>
      </w:r>
      <w:r w:rsidRPr="009C39DF">
        <w:rPr>
          <w:sz w:val="22"/>
        </w:rPr>
        <w:t xml:space="preserve"> and no written procedures for monitoring of the investment performance, there is </w:t>
      </w:r>
      <w:r w:rsidR="008155C4">
        <w:rPr>
          <w:sz w:val="22"/>
        </w:rPr>
        <w:t xml:space="preserve">a </w:t>
      </w:r>
      <w:r w:rsidRPr="009C39DF">
        <w:rPr>
          <w:sz w:val="22"/>
        </w:rPr>
        <w:t>huge risk of abuse and loss of funds in loss</w:t>
      </w:r>
      <w:r w:rsidR="004F5FBA" w:rsidRPr="009C39DF">
        <w:rPr>
          <w:sz w:val="22"/>
        </w:rPr>
        <w:t>-</w:t>
      </w:r>
      <w:r w:rsidRPr="009C39DF">
        <w:rPr>
          <w:sz w:val="22"/>
        </w:rPr>
        <w:t xml:space="preserve">making investment. </w:t>
      </w:r>
      <w:r w:rsidR="008155C4">
        <w:rPr>
          <w:sz w:val="22"/>
        </w:rPr>
        <w:t>There is n</w:t>
      </w:r>
      <w:r w:rsidRPr="009C39DF">
        <w:rPr>
          <w:sz w:val="22"/>
        </w:rPr>
        <w:t>o practice of inherited debt reconciliation with creditors (PI-13).</w:t>
      </w:r>
    </w:p>
    <w:p w14:paraId="5809453B" w14:textId="76907854" w:rsidR="00F42347" w:rsidRPr="009C39DF" w:rsidRDefault="00F42347" w:rsidP="001412E3">
      <w:pPr>
        <w:pStyle w:val="ListParagraph"/>
        <w:numPr>
          <w:ilvl w:val="0"/>
          <w:numId w:val="5"/>
        </w:numPr>
        <w:spacing w:after="240"/>
        <w:ind w:left="720"/>
        <w:contextualSpacing w:val="0"/>
        <w:rPr>
          <w:sz w:val="22"/>
        </w:rPr>
      </w:pPr>
      <w:r w:rsidRPr="008155C4">
        <w:rPr>
          <w:b/>
          <w:sz w:val="22"/>
        </w:rPr>
        <w:t>Pillar 4</w:t>
      </w:r>
      <w:r w:rsidR="0026221B" w:rsidRPr="008155C4">
        <w:rPr>
          <w:b/>
          <w:sz w:val="22"/>
        </w:rPr>
        <w:t>:</w:t>
      </w:r>
      <w:r w:rsidRPr="008155C4">
        <w:rPr>
          <w:b/>
          <w:sz w:val="22"/>
        </w:rPr>
        <w:t xml:space="preserve"> Policy based fiscal strategy and budgeting</w:t>
      </w:r>
      <w:r w:rsidR="008155C4">
        <w:rPr>
          <w:b/>
          <w:sz w:val="22"/>
        </w:rPr>
        <w:t>.</w:t>
      </w:r>
      <w:r w:rsidRPr="009C39DF">
        <w:rPr>
          <w:sz w:val="22"/>
        </w:rPr>
        <w:t xml:space="preserve"> </w:t>
      </w:r>
      <w:r w:rsidR="008155C4">
        <w:rPr>
          <w:sz w:val="22"/>
        </w:rPr>
        <w:t>W</w:t>
      </w:r>
      <w:r w:rsidRPr="009C39DF">
        <w:rPr>
          <w:sz w:val="22"/>
        </w:rPr>
        <w:t xml:space="preserve">ith no practice to provide for uncertain economic events and the lack of </w:t>
      </w:r>
      <w:r w:rsidR="008155C4">
        <w:rPr>
          <w:sz w:val="22"/>
        </w:rPr>
        <w:t xml:space="preserve">a </w:t>
      </w:r>
      <w:r w:rsidRPr="009C39DF">
        <w:rPr>
          <w:sz w:val="22"/>
        </w:rPr>
        <w:t xml:space="preserve">sensitivity analysis, the </w:t>
      </w:r>
      <w:r w:rsidR="008155C4">
        <w:rPr>
          <w:sz w:val="22"/>
        </w:rPr>
        <w:t>c</w:t>
      </w:r>
      <w:r w:rsidRPr="009C39DF">
        <w:rPr>
          <w:sz w:val="22"/>
        </w:rPr>
        <w:t xml:space="preserve">ounty fails to link policy formulation and programmed activities with the budget </w:t>
      </w:r>
      <w:r w:rsidR="0026221B" w:rsidRPr="009C39DF">
        <w:rPr>
          <w:sz w:val="22"/>
        </w:rPr>
        <w:t>estimate</w:t>
      </w:r>
      <w:r w:rsidR="008155C4">
        <w:rPr>
          <w:sz w:val="22"/>
        </w:rPr>
        <w:t>. T</w:t>
      </w:r>
      <w:r w:rsidRPr="009C39DF">
        <w:rPr>
          <w:sz w:val="22"/>
        </w:rPr>
        <w:t xml:space="preserve">he risk of having </w:t>
      </w:r>
      <w:r w:rsidR="008155C4">
        <w:rPr>
          <w:sz w:val="22"/>
        </w:rPr>
        <w:t xml:space="preserve">an </w:t>
      </w:r>
      <w:r w:rsidRPr="009C39DF">
        <w:rPr>
          <w:sz w:val="22"/>
        </w:rPr>
        <w:t xml:space="preserve">inadequate </w:t>
      </w:r>
      <w:r w:rsidR="008155C4" w:rsidRPr="009C39DF">
        <w:rPr>
          <w:sz w:val="22"/>
        </w:rPr>
        <w:t xml:space="preserve">budget </w:t>
      </w:r>
      <w:r w:rsidR="008155C4">
        <w:rPr>
          <w:sz w:val="22"/>
        </w:rPr>
        <w:t>that is</w:t>
      </w:r>
      <w:r w:rsidR="008155C4" w:rsidRPr="009C39DF">
        <w:rPr>
          <w:sz w:val="22"/>
        </w:rPr>
        <w:t xml:space="preserve"> </w:t>
      </w:r>
      <w:r w:rsidRPr="009C39DF">
        <w:rPr>
          <w:sz w:val="22"/>
        </w:rPr>
        <w:t xml:space="preserve">prone to amendment is not treated. </w:t>
      </w:r>
    </w:p>
    <w:p w14:paraId="76B1C6B1" w14:textId="37C61B32" w:rsidR="00E0683A" w:rsidRPr="009C39DF" w:rsidRDefault="0026221B" w:rsidP="001412E3">
      <w:pPr>
        <w:pStyle w:val="ListParagraph"/>
        <w:numPr>
          <w:ilvl w:val="0"/>
          <w:numId w:val="5"/>
        </w:numPr>
        <w:spacing w:after="240"/>
        <w:ind w:left="720"/>
        <w:contextualSpacing w:val="0"/>
        <w:rPr>
          <w:sz w:val="22"/>
        </w:rPr>
      </w:pPr>
      <w:r w:rsidRPr="008155C4">
        <w:rPr>
          <w:b/>
          <w:sz w:val="22"/>
        </w:rPr>
        <w:t>Pillar 5:</w:t>
      </w:r>
      <w:r w:rsidR="00F42347" w:rsidRPr="008155C4">
        <w:rPr>
          <w:b/>
          <w:sz w:val="22"/>
        </w:rPr>
        <w:t xml:space="preserve"> Predictability and control in budget execution</w:t>
      </w:r>
      <w:r w:rsidR="008155C4">
        <w:rPr>
          <w:b/>
          <w:sz w:val="22"/>
        </w:rPr>
        <w:t>.</w:t>
      </w:r>
      <w:r w:rsidR="00F42347" w:rsidRPr="009C39DF">
        <w:rPr>
          <w:sz w:val="22"/>
        </w:rPr>
        <w:t xml:space="preserve"> </w:t>
      </w:r>
      <w:r w:rsidR="008155C4">
        <w:rPr>
          <w:sz w:val="22"/>
        </w:rPr>
        <w:t>T</w:t>
      </w:r>
      <w:r w:rsidR="00F42347" w:rsidRPr="009C39DF">
        <w:rPr>
          <w:sz w:val="22"/>
        </w:rPr>
        <w:t xml:space="preserve">he revenue administration practice fails to have an integrated revenue management system in place to detect and arrest potential revenue risks and to manage arrears (PI-19). The </w:t>
      </w:r>
      <w:r w:rsidR="008155C4">
        <w:rPr>
          <w:sz w:val="22"/>
        </w:rPr>
        <w:t>c</w:t>
      </w:r>
      <w:r w:rsidR="00F42347" w:rsidRPr="009C39DF">
        <w:rPr>
          <w:sz w:val="22"/>
        </w:rPr>
        <w:t>ounty fails to keep proper accounting of expenditure arrears</w:t>
      </w:r>
      <w:r w:rsidR="008155C4">
        <w:rPr>
          <w:sz w:val="22"/>
        </w:rPr>
        <w:t>,</w:t>
      </w:r>
      <w:r w:rsidR="00F42347" w:rsidRPr="009C39DF">
        <w:rPr>
          <w:sz w:val="22"/>
        </w:rPr>
        <w:t xml:space="preserve"> tolerating a risk of accumulation (PI-22). Approved staff establishment is not linked to the IPPD, which is also not linked to </w:t>
      </w:r>
      <w:r w:rsidR="008155C4">
        <w:rPr>
          <w:sz w:val="22"/>
        </w:rPr>
        <w:t xml:space="preserve">the </w:t>
      </w:r>
      <w:r w:rsidR="00F42347" w:rsidRPr="009C39DF">
        <w:rPr>
          <w:sz w:val="22"/>
        </w:rPr>
        <w:t>IFMIS. (PI-23). This creates a risk of ghost workers</w:t>
      </w:r>
      <w:r w:rsidR="008155C4">
        <w:rPr>
          <w:sz w:val="22"/>
        </w:rPr>
        <w:t>;</w:t>
      </w:r>
      <w:r w:rsidR="00F42347" w:rsidRPr="009C39DF">
        <w:rPr>
          <w:sz w:val="22"/>
        </w:rPr>
        <w:t xml:space="preserve"> otherwise the payment control </w:t>
      </w:r>
      <w:r w:rsidR="002479C0" w:rsidRPr="009C39DF">
        <w:rPr>
          <w:sz w:val="22"/>
        </w:rPr>
        <w:t>is</w:t>
      </w:r>
      <w:r w:rsidR="00F42347" w:rsidRPr="009C39DF">
        <w:rPr>
          <w:sz w:val="22"/>
        </w:rPr>
        <w:t xml:space="preserve"> well formali</w:t>
      </w:r>
      <w:r w:rsidR="00ED5A95">
        <w:rPr>
          <w:sz w:val="22"/>
        </w:rPr>
        <w:t>z</w:t>
      </w:r>
      <w:r w:rsidR="00F42347" w:rsidRPr="009C39DF">
        <w:rPr>
          <w:sz w:val="22"/>
        </w:rPr>
        <w:t xml:space="preserve">ed and applied. Procurement practice shows that </w:t>
      </w:r>
      <w:r w:rsidR="007815B0" w:rsidRPr="009C39DF">
        <w:rPr>
          <w:sz w:val="22"/>
        </w:rPr>
        <w:t>non-competitive</w:t>
      </w:r>
      <w:r w:rsidR="00F42347" w:rsidRPr="009C39DF">
        <w:rPr>
          <w:sz w:val="22"/>
        </w:rPr>
        <w:t xml:space="preserve"> selection methods are mostly applied, which creates the risk of discrimination, reduced control on the quality of procured services or works, misuse of funds</w:t>
      </w:r>
      <w:r w:rsidR="008155C4">
        <w:rPr>
          <w:sz w:val="22"/>
        </w:rPr>
        <w:t>,</w:t>
      </w:r>
      <w:r w:rsidR="00F42347" w:rsidRPr="009C39DF">
        <w:rPr>
          <w:sz w:val="22"/>
        </w:rPr>
        <w:t xml:space="preserve"> and hence poor public service delivery (PI-24). There is clear segregation of duties with non-salary expenditure</w:t>
      </w:r>
      <w:r w:rsidR="004F5FBA" w:rsidRPr="009C39DF">
        <w:rPr>
          <w:sz w:val="22"/>
        </w:rPr>
        <w:t xml:space="preserve">s </w:t>
      </w:r>
      <w:r w:rsidR="00F42347" w:rsidRPr="009C39DF">
        <w:rPr>
          <w:sz w:val="22"/>
        </w:rPr>
        <w:t xml:space="preserve">which are electronically set up in </w:t>
      </w:r>
      <w:r w:rsidR="008155C4">
        <w:rPr>
          <w:sz w:val="22"/>
        </w:rPr>
        <w:t xml:space="preserve">the </w:t>
      </w:r>
      <w:r w:rsidR="00F42347" w:rsidRPr="009C39DF">
        <w:rPr>
          <w:sz w:val="22"/>
        </w:rPr>
        <w:t xml:space="preserve">IFMIS with various authorization levels and roles assigned to different functions and operational staff. This arrangement provides for all phases of budget implementation to be executed in </w:t>
      </w:r>
      <w:r w:rsidR="008155C4">
        <w:rPr>
          <w:sz w:val="22"/>
        </w:rPr>
        <w:t xml:space="preserve">the </w:t>
      </w:r>
      <w:r w:rsidR="00F42347" w:rsidRPr="009C39DF">
        <w:rPr>
          <w:sz w:val="22"/>
        </w:rPr>
        <w:t xml:space="preserve">IFMIS (PI-25) but many operations </w:t>
      </w:r>
      <w:r w:rsidR="008155C4">
        <w:rPr>
          <w:sz w:val="22"/>
        </w:rPr>
        <w:t>are still</w:t>
      </w:r>
      <w:r w:rsidR="008155C4" w:rsidRPr="009C39DF">
        <w:rPr>
          <w:sz w:val="22"/>
        </w:rPr>
        <w:t xml:space="preserve"> </w:t>
      </w:r>
      <w:r w:rsidR="00F42347" w:rsidRPr="009C39DF">
        <w:rPr>
          <w:sz w:val="22"/>
        </w:rPr>
        <w:t xml:space="preserve">executed outside </w:t>
      </w:r>
      <w:r w:rsidR="008155C4">
        <w:rPr>
          <w:sz w:val="22"/>
        </w:rPr>
        <w:t xml:space="preserve">the </w:t>
      </w:r>
      <w:r w:rsidR="00F42347" w:rsidRPr="009C39DF">
        <w:rPr>
          <w:sz w:val="22"/>
        </w:rPr>
        <w:t>IFMIS.</w:t>
      </w:r>
    </w:p>
    <w:p w14:paraId="1D206179" w14:textId="77777777" w:rsidR="00F42347" w:rsidRPr="00890A84" w:rsidRDefault="00F42347" w:rsidP="00BA6B2B">
      <w:pPr>
        <w:pStyle w:val="Heading5"/>
      </w:pPr>
      <w:r w:rsidRPr="00890A84">
        <w:t xml:space="preserve">Control activities </w:t>
      </w:r>
    </w:p>
    <w:p w14:paraId="7E482B75" w14:textId="21912421" w:rsidR="00F42347" w:rsidRPr="009C39DF" w:rsidRDefault="00F42347" w:rsidP="009C39DF">
      <w:pPr>
        <w:spacing w:after="240"/>
        <w:rPr>
          <w:sz w:val="22"/>
        </w:rPr>
      </w:pPr>
      <w:r w:rsidRPr="009C39DF">
        <w:rPr>
          <w:sz w:val="22"/>
        </w:rPr>
        <w:t xml:space="preserve">The lack of risk profile of the </w:t>
      </w:r>
      <w:r w:rsidR="008155C4">
        <w:rPr>
          <w:sz w:val="22"/>
        </w:rPr>
        <w:t>c</w:t>
      </w:r>
      <w:r w:rsidRPr="009C39DF">
        <w:rPr>
          <w:sz w:val="22"/>
        </w:rPr>
        <w:t>ounty and the failure to define responses to the risk lead to inadequate and insufficient control activities that can treat, share, avoid</w:t>
      </w:r>
      <w:r w:rsidR="008155C4">
        <w:rPr>
          <w:sz w:val="22"/>
        </w:rPr>
        <w:t>,</w:t>
      </w:r>
      <w:r w:rsidRPr="009C39DF">
        <w:rPr>
          <w:sz w:val="22"/>
        </w:rPr>
        <w:t xml:space="preserve"> or intercept the risk. The risk</w:t>
      </w:r>
      <w:r w:rsidR="008155C4">
        <w:rPr>
          <w:sz w:val="22"/>
        </w:rPr>
        <w:t>-</w:t>
      </w:r>
      <w:r w:rsidRPr="009C39DF">
        <w:rPr>
          <w:sz w:val="22"/>
        </w:rPr>
        <w:t>related activities for both the budget process and the service delivery exist for the functions related to budget implementation which are executed in</w:t>
      </w:r>
      <w:r w:rsidR="008155C4">
        <w:rPr>
          <w:sz w:val="22"/>
        </w:rPr>
        <w:t xml:space="preserve"> the</w:t>
      </w:r>
      <w:r w:rsidRPr="009C39DF">
        <w:rPr>
          <w:sz w:val="22"/>
        </w:rPr>
        <w:t xml:space="preserve"> IFMIS with clear segregation of duties. There are risk</w:t>
      </w:r>
      <w:r w:rsidR="008155C4">
        <w:rPr>
          <w:sz w:val="22"/>
        </w:rPr>
        <w:t>s</w:t>
      </w:r>
      <w:r w:rsidRPr="009C39DF">
        <w:rPr>
          <w:sz w:val="22"/>
        </w:rPr>
        <w:t xml:space="preserve"> which are not covered for by appropriate control activities. They are in the area of transparency of public finances and are related to non-captured expenditure and revenue outside financial reports (PI-6). </w:t>
      </w:r>
      <w:r w:rsidR="00331D48">
        <w:rPr>
          <w:sz w:val="22"/>
        </w:rPr>
        <w:t>With respect to m</w:t>
      </w:r>
      <w:r w:rsidRPr="009C39DF">
        <w:rPr>
          <w:sz w:val="22"/>
        </w:rPr>
        <w:t>anagement of assets and liabilities</w:t>
      </w:r>
      <w:r w:rsidR="00331D48">
        <w:rPr>
          <w:sz w:val="22"/>
        </w:rPr>
        <w:t>, there are</w:t>
      </w:r>
      <w:r w:rsidRPr="009C39DF">
        <w:rPr>
          <w:sz w:val="22"/>
        </w:rPr>
        <w:t xml:space="preserve"> no controls for the selection of investment activities (PI-11)</w:t>
      </w:r>
      <w:r w:rsidR="00331D48">
        <w:rPr>
          <w:sz w:val="22"/>
        </w:rPr>
        <w:t xml:space="preserve"> and</w:t>
      </w:r>
      <w:r w:rsidRPr="009C39DF">
        <w:rPr>
          <w:sz w:val="22"/>
        </w:rPr>
        <w:t xml:space="preserve"> no controls on aging of nonfinancial assets (PI-12). There are control activities in place for budget execution with clear control of payment rules for all operations captured by </w:t>
      </w:r>
      <w:r w:rsidR="00331D48">
        <w:rPr>
          <w:sz w:val="22"/>
        </w:rPr>
        <w:t xml:space="preserve">the </w:t>
      </w:r>
      <w:r w:rsidRPr="009C39DF">
        <w:rPr>
          <w:sz w:val="22"/>
        </w:rPr>
        <w:t xml:space="preserve">IFMIS. However, those outside the system are not all covered. The control is not sufficient for the record of actual staff in </w:t>
      </w:r>
      <w:r w:rsidR="00331D48">
        <w:rPr>
          <w:sz w:val="22"/>
        </w:rPr>
        <w:t xml:space="preserve">the </w:t>
      </w:r>
      <w:r w:rsidRPr="009C39DF">
        <w:rPr>
          <w:sz w:val="22"/>
        </w:rPr>
        <w:t xml:space="preserve">IPPD and HR personnel records. Some staff </w:t>
      </w:r>
      <w:r w:rsidR="00331D48">
        <w:rPr>
          <w:sz w:val="22"/>
        </w:rPr>
        <w:t>are</w:t>
      </w:r>
      <w:r w:rsidR="00331D48" w:rsidRPr="009C39DF">
        <w:rPr>
          <w:sz w:val="22"/>
        </w:rPr>
        <w:t xml:space="preserve"> </w:t>
      </w:r>
      <w:r w:rsidRPr="009C39DF">
        <w:rPr>
          <w:sz w:val="22"/>
        </w:rPr>
        <w:t xml:space="preserve">paid through </w:t>
      </w:r>
      <w:r w:rsidR="00331D48">
        <w:rPr>
          <w:sz w:val="22"/>
        </w:rPr>
        <w:t xml:space="preserve">the </w:t>
      </w:r>
      <w:r w:rsidRPr="009C39DF">
        <w:rPr>
          <w:sz w:val="22"/>
        </w:rPr>
        <w:t xml:space="preserve">manual system outside the records and the payroll. </w:t>
      </w:r>
    </w:p>
    <w:p w14:paraId="7DB62081" w14:textId="30724FFF" w:rsidR="00F42347" w:rsidRPr="009C39DF" w:rsidRDefault="00331D48" w:rsidP="009C39DF">
      <w:pPr>
        <w:spacing w:after="240"/>
        <w:rPr>
          <w:sz w:val="22"/>
        </w:rPr>
      </w:pPr>
      <w:r>
        <w:rPr>
          <w:sz w:val="22"/>
        </w:rPr>
        <w:t>Over time, l</w:t>
      </w:r>
      <w:r w:rsidR="00F42347" w:rsidRPr="009C39DF">
        <w:rPr>
          <w:sz w:val="22"/>
        </w:rPr>
        <w:t xml:space="preserve">ack </w:t>
      </w:r>
      <w:r w:rsidR="00DF236A">
        <w:rPr>
          <w:sz w:val="22"/>
        </w:rPr>
        <w:t>of/weak</w:t>
      </w:r>
      <w:r w:rsidR="00F42347" w:rsidRPr="009C39DF">
        <w:rPr>
          <w:sz w:val="22"/>
        </w:rPr>
        <w:t xml:space="preserve"> internal control system leads to unreliable financial record </w:t>
      </w:r>
      <w:r>
        <w:rPr>
          <w:sz w:val="22"/>
        </w:rPr>
        <w:t>and resulting</w:t>
      </w:r>
      <w:r w:rsidR="00F42347" w:rsidRPr="009C39DF">
        <w:rPr>
          <w:sz w:val="22"/>
        </w:rPr>
        <w:t xml:space="preserve"> </w:t>
      </w:r>
      <w:r w:rsidR="00DF236A">
        <w:rPr>
          <w:sz w:val="22"/>
        </w:rPr>
        <w:t xml:space="preserve">in </w:t>
      </w:r>
      <w:r w:rsidR="00F42347" w:rsidRPr="009C39DF">
        <w:rPr>
          <w:sz w:val="22"/>
        </w:rPr>
        <w:t>loss of organizational integrity</w:t>
      </w:r>
      <w:r>
        <w:rPr>
          <w:sz w:val="22"/>
        </w:rPr>
        <w:t>.</w:t>
      </w:r>
      <w:r w:rsidR="00F42347" w:rsidRPr="009C39DF">
        <w:rPr>
          <w:sz w:val="22"/>
        </w:rPr>
        <w:t xml:space="preserve"> </w:t>
      </w:r>
      <w:r>
        <w:rPr>
          <w:sz w:val="22"/>
        </w:rPr>
        <w:t>This</w:t>
      </w:r>
      <w:r w:rsidR="00F42347" w:rsidRPr="009C39DF">
        <w:rPr>
          <w:sz w:val="22"/>
        </w:rPr>
        <w:t xml:space="preserve"> may affect </w:t>
      </w:r>
      <w:r>
        <w:rPr>
          <w:sz w:val="22"/>
        </w:rPr>
        <w:t xml:space="preserve">not </w:t>
      </w:r>
      <w:r w:rsidR="00F42347" w:rsidRPr="009C39DF">
        <w:rPr>
          <w:sz w:val="22"/>
        </w:rPr>
        <w:t xml:space="preserve">only the execution of the budget but also the implementation of projects and county priorities </w:t>
      </w:r>
      <w:r>
        <w:rPr>
          <w:sz w:val="22"/>
        </w:rPr>
        <w:t>whether they are for</w:t>
      </w:r>
      <w:r w:rsidR="00F42347" w:rsidRPr="009C39DF">
        <w:rPr>
          <w:sz w:val="22"/>
        </w:rPr>
        <w:t xml:space="preserve"> development or recurrent.</w:t>
      </w:r>
    </w:p>
    <w:p w14:paraId="4BCF01B7" w14:textId="77777777" w:rsidR="00F42347" w:rsidRPr="00890A84" w:rsidRDefault="00F42347" w:rsidP="00BA6B2B">
      <w:pPr>
        <w:pStyle w:val="Heading5"/>
      </w:pPr>
      <w:r w:rsidRPr="00890A84">
        <w:t xml:space="preserve">Information and communication </w:t>
      </w:r>
    </w:p>
    <w:p w14:paraId="5F819442" w14:textId="2C73BE9B" w:rsidR="00F42347" w:rsidRPr="009C39DF" w:rsidRDefault="00F42347" w:rsidP="009C39DF">
      <w:pPr>
        <w:spacing w:after="240"/>
        <w:rPr>
          <w:sz w:val="22"/>
        </w:rPr>
      </w:pPr>
      <w:r w:rsidRPr="009C39DF">
        <w:rPr>
          <w:sz w:val="22"/>
        </w:rPr>
        <w:t xml:space="preserve">This internal control element deals with the methods and records used to register, maintain, and report on facts and events of the entity, as well as to maintain accountability for the related assets, liabilities, and initiatives of the </w:t>
      </w:r>
      <w:r w:rsidR="00331D48">
        <w:rPr>
          <w:sz w:val="22"/>
        </w:rPr>
        <w:t>c</w:t>
      </w:r>
      <w:r w:rsidRPr="009C39DF">
        <w:rPr>
          <w:sz w:val="22"/>
        </w:rPr>
        <w:t xml:space="preserve">ounty. </w:t>
      </w:r>
    </w:p>
    <w:p w14:paraId="67162E3B" w14:textId="7D0D67E6" w:rsidR="00F42347" w:rsidRPr="009C39DF" w:rsidRDefault="00F42347" w:rsidP="009C39DF">
      <w:pPr>
        <w:spacing w:after="240"/>
        <w:rPr>
          <w:sz w:val="22"/>
        </w:rPr>
      </w:pPr>
      <w:r w:rsidRPr="009C39DF">
        <w:rPr>
          <w:sz w:val="22"/>
        </w:rPr>
        <w:t xml:space="preserve">The channels of information and communication of the </w:t>
      </w:r>
      <w:r w:rsidR="00331D48">
        <w:rPr>
          <w:sz w:val="22"/>
        </w:rPr>
        <w:t>c</w:t>
      </w:r>
      <w:r w:rsidRPr="009C39DF">
        <w:rPr>
          <w:sz w:val="22"/>
        </w:rPr>
        <w:t xml:space="preserve">ounty are all </w:t>
      </w:r>
      <w:r w:rsidR="004F5FBA" w:rsidRPr="009C39DF">
        <w:rPr>
          <w:sz w:val="22"/>
        </w:rPr>
        <w:t>related budget</w:t>
      </w:r>
      <w:r w:rsidRPr="009C39DF">
        <w:rPr>
          <w:sz w:val="22"/>
        </w:rPr>
        <w:t xml:space="preserve"> documents produced and disseminated to other budget users and the public. Despite the legal requirement for all documents related to use of public funds to be easily available, not all reach the public. The channels of internal information and communication are the orders and management letters issued by the respective function management and the C</w:t>
      </w:r>
      <w:r w:rsidR="00331D48">
        <w:rPr>
          <w:sz w:val="22"/>
        </w:rPr>
        <w:t xml:space="preserve">ounty </w:t>
      </w:r>
      <w:r w:rsidRPr="009C39DF">
        <w:rPr>
          <w:sz w:val="22"/>
        </w:rPr>
        <w:t>A</w:t>
      </w:r>
      <w:r w:rsidR="00331D48">
        <w:rPr>
          <w:sz w:val="22"/>
        </w:rPr>
        <w:t>ssembly</w:t>
      </w:r>
      <w:r w:rsidRPr="009C39DF">
        <w:rPr>
          <w:sz w:val="22"/>
        </w:rPr>
        <w:t>. None of the basic elements of fiscal information to be made public and publici</w:t>
      </w:r>
      <w:r w:rsidR="00ED5A95">
        <w:rPr>
          <w:sz w:val="22"/>
        </w:rPr>
        <w:t>z</w:t>
      </w:r>
      <w:r w:rsidRPr="009C39DF">
        <w:rPr>
          <w:sz w:val="22"/>
        </w:rPr>
        <w:t xml:space="preserve">ed </w:t>
      </w:r>
      <w:r w:rsidR="00331D48">
        <w:rPr>
          <w:sz w:val="22"/>
        </w:rPr>
        <w:t>are</w:t>
      </w:r>
      <w:r w:rsidR="00331D48" w:rsidRPr="009C39DF">
        <w:rPr>
          <w:sz w:val="22"/>
        </w:rPr>
        <w:t xml:space="preserve"> </w:t>
      </w:r>
      <w:r w:rsidRPr="009C39DF">
        <w:rPr>
          <w:sz w:val="22"/>
        </w:rPr>
        <w:t xml:space="preserve">complied with, </w:t>
      </w:r>
      <w:r w:rsidR="002479C0" w:rsidRPr="009C39DF">
        <w:rPr>
          <w:sz w:val="22"/>
        </w:rPr>
        <w:t>except for</w:t>
      </w:r>
      <w:r w:rsidRPr="009C39DF">
        <w:rPr>
          <w:sz w:val="22"/>
        </w:rPr>
        <w:t xml:space="preserve"> the external </w:t>
      </w:r>
      <w:r w:rsidR="00331D48">
        <w:rPr>
          <w:sz w:val="22"/>
        </w:rPr>
        <w:t>a</w:t>
      </w:r>
      <w:r w:rsidRPr="009C39DF">
        <w:rPr>
          <w:sz w:val="22"/>
        </w:rPr>
        <w:t xml:space="preserve">udit </w:t>
      </w:r>
      <w:r w:rsidR="00331D48">
        <w:rPr>
          <w:sz w:val="22"/>
        </w:rPr>
        <w:t>r</w:t>
      </w:r>
      <w:r w:rsidRPr="009C39DF">
        <w:rPr>
          <w:sz w:val="22"/>
        </w:rPr>
        <w:t xml:space="preserve">eport which is issued with significant delay (PI-9). </w:t>
      </w:r>
    </w:p>
    <w:p w14:paraId="50D78979" w14:textId="0657DF2A" w:rsidR="0026221B" w:rsidRPr="009C39DF" w:rsidRDefault="00F42347" w:rsidP="009C39DF">
      <w:pPr>
        <w:spacing w:after="240"/>
        <w:rPr>
          <w:sz w:val="22"/>
        </w:rPr>
      </w:pPr>
      <w:r w:rsidRPr="009C39DF">
        <w:rPr>
          <w:sz w:val="22"/>
        </w:rPr>
        <w:t xml:space="preserve">The </w:t>
      </w:r>
      <w:r w:rsidR="00331D48">
        <w:rPr>
          <w:sz w:val="22"/>
        </w:rPr>
        <w:t>c</w:t>
      </w:r>
      <w:r w:rsidRPr="009C39DF">
        <w:rPr>
          <w:sz w:val="22"/>
        </w:rPr>
        <w:t xml:space="preserve">ounty is in the process of adopting </w:t>
      </w:r>
      <w:r w:rsidR="00BD59DF" w:rsidRPr="009C39DF">
        <w:rPr>
          <w:sz w:val="22"/>
        </w:rPr>
        <w:t>legislation</w:t>
      </w:r>
      <w:r w:rsidRPr="009C39DF">
        <w:rPr>
          <w:sz w:val="22"/>
        </w:rPr>
        <w:t xml:space="preserve"> on public participation</w:t>
      </w:r>
      <w:r w:rsidR="00331D48">
        <w:rPr>
          <w:sz w:val="22"/>
        </w:rPr>
        <w:t>,</w:t>
      </w:r>
      <w:r w:rsidRPr="009C39DF">
        <w:rPr>
          <w:sz w:val="22"/>
        </w:rPr>
        <w:t xml:space="preserve"> which will set the rules for interaction with the public at all stages of budget formulation and service delivery. </w:t>
      </w:r>
    </w:p>
    <w:p w14:paraId="77C1D7B9" w14:textId="77777777" w:rsidR="00F42347" w:rsidRPr="00890A84" w:rsidRDefault="00F42347" w:rsidP="00BA6B2B">
      <w:pPr>
        <w:pStyle w:val="Heading5"/>
      </w:pPr>
      <w:r w:rsidRPr="00890A84">
        <w:t xml:space="preserve">Monitoring </w:t>
      </w:r>
    </w:p>
    <w:p w14:paraId="627DBC35" w14:textId="574DA8B8" w:rsidR="00F42347" w:rsidRPr="009C39DF" w:rsidRDefault="00F42347" w:rsidP="009C39DF">
      <w:pPr>
        <w:spacing w:after="240"/>
        <w:rPr>
          <w:sz w:val="22"/>
        </w:rPr>
      </w:pPr>
      <w:r w:rsidRPr="009C39DF">
        <w:rPr>
          <w:sz w:val="22"/>
        </w:rPr>
        <w:t xml:space="preserve">Monitoring in COSO terms means the process of assessing the quality of internal control performance over time. In the context of the </w:t>
      </w:r>
      <w:r w:rsidR="00331D48">
        <w:rPr>
          <w:sz w:val="22"/>
        </w:rPr>
        <w:t>c</w:t>
      </w:r>
      <w:r w:rsidRPr="009C39DF">
        <w:rPr>
          <w:sz w:val="22"/>
        </w:rPr>
        <w:t xml:space="preserve">ounty </w:t>
      </w:r>
      <w:r w:rsidR="00331D48">
        <w:rPr>
          <w:sz w:val="22"/>
        </w:rPr>
        <w:t>g</w:t>
      </w:r>
      <w:r w:rsidRPr="009C39DF">
        <w:rPr>
          <w:sz w:val="22"/>
        </w:rPr>
        <w:t>overnment</w:t>
      </w:r>
      <w:r w:rsidR="00331D48">
        <w:rPr>
          <w:sz w:val="22"/>
        </w:rPr>
        <w:t>,</w:t>
      </w:r>
      <w:r w:rsidRPr="009C39DF">
        <w:rPr>
          <w:sz w:val="22"/>
        </w:rPr>
        <w:t xml:space="preserve"> this aspect can be expanded to </w:t>
      </w:r>
      <w:r w:rsidR="002479C0" w:rsidRPr="009C39DF">
        <w:rPr>
          <w:sz w:val="22"/>
        </w:rPr>
        <w:t>also encompass</w:t>
      </w:r>
      <w:r w:rsidRPr="009C39DF">
        <w:rPr>
          <w:sz w:val="22"/>
        </w:rPr>
        <w:t xml:space="preserve"> the monitoring practices of the </w:t>
      </w:r>
      <w:r w:rsidR="00331D48">
        <w:rPr>
          <w:sz w:val="22"/>
        </w:rPr>
        <w:t>PFM</w:t>
      </w:r>
      <w:r w:rsidRPr="009C39DF">
        <w:rPr>
          <w:sz w:val="22"/>
        </w:rPr>
        <w:t xml:space="preserve"> process in general. Performance monitoring at the </w:t>
      </w:r>
      <w:r w:rsidR="00BE1C2F" w:rsidRPr="009C39DF">
        <w:rPr>
          <w:sz w:val="22"/>
        </w:rPr>
        <w:t>Kajiado</w:t>
      </w:r>
      <w:r w:rsidRPr="009C39DF">
        <w:rPr>
          <w:sz w:val="22"/>
        </w:rPr>
        <w:t xml:space="preserve"> </w:t>
      </w:r>
      <w:r w:rsidR="00331D48" w:rsidRPr="009C39DF">
        <w:rPr>
          <w:sz w:val="22"/>
        </w:rPr>
        <w:t xml:space="preserve">County </w:t>
      </w:r>
      <w:r w:rsidRPr="009C39DF">
        <w:rPr>
          <w:sz w:val="22"/>
        </w:rPr>
        <w:t xml:space="preserve">is </w:t>
      </w:r>
      <w:r w:rsidR="00331D48">
        <w:rPr>
          <w:sz w:val="22"/>
        </w:rPr>
        <w:t>inadequate</w:t>
      </w:r>
      <w:r w:rsidRPr="009C39DF">
        <w:rPr>
          <w:sz w:val="22"/>
        </w:rPr>
        <w:t xml:space="preserve">, the main tool of budget utilization monitoring being the quarterly reports and the budget execution reports. The CBROP is a kind of economic assessment paper. There </w:t>
      </w:r>
      <w:r w:rsidR="00BD59DF" w:rsidRPr="009C39DF">
        <w:rPr>
          <w:sz w:val="22"/>
        </w:rPr>
        <w:t>are</w:t>
      </w:r>
      <w:r w:rsidRPr="009C39DF">
        <w:rPr>
          <w:sz w:val="22"/>
        </w:rPr>
        <w:t xml:space="preserve"> no specific reports elaborating on consistency of performance planned outputs and achieved outcomes and explaining any deviation. The internal control framework of the </w:t>
      </w:r>
      <w:r w:rsidR="00331D48">
        <w:rPr>
          <w:sz w:val="22"/>
        </w:rPr>
        <w:t>c</w:t>
      </w:r>
      <w:r w:rsidRPr="009C39DF">
        <w:rPr>
          <w:sz w:val="22"/>
        </w:rPr>
        <w:t>ounty</w:t>
      </w:r>
      <w:r w:rsidR="00331D48">
        <w:rPr>
          <w:sz w:val="22"/>
        </w:rPr>
        <w:t>,</w:t>
      </w:r>
      <w:r w:rsidRPr="009C39DF">
        <w:rPr>
          <w:sz w:val="22"/>
        </w:rPr>
        <w:t xml:space="preserve"> </w:t>
      </w:r>
      <w:r w:rsidR="00331D48">
        <w:rPr>
          <w:sz w:val="22"/>
        </w:rPr>
        <w:t xml:space="preserve">which has </w:t>
      </w:r>
      <w:r w:rsidRPr="009C39DF">
        <w:rPr>
          <w:sz w:val="22"/>
        </w:rPr>
        <w:t>only isolated control activities</w:t>
      </w:r>
      <w:r w:rsidR="00331D48">
        <w:rPr>
          <w:sz w:val="22"/>
        </w:rPr>
        <w:t>,</w:t>
      </w:r>
      <w:r w:rsidRPr="009C39DF">
        <w:rPr>
          <w:sz w:val="22"/>
        </w:rPr>
        <w:t xml:space="preserve"> is not efficient to </w:t>
      </w:r>
      <w:r w:rsidRPr="00796F6B">
        <w:rPr>
          <w:sz w:val="22"/>
        </w:rPr>
        <w:t>ensure against irre</w:t>
      </w:r>
      <w:r w:rsidR="00DF236A">
        <w:rPr>
          <w:sz w:val="22"/>
        </w:rPr>
        <w:t>gularities and errors. The framework</w:t>
      </w:r>
      <w:r w:rsidRPr="009C39DF">
        <w:rPr>
          <w:sz w:val="22"/>
        </w:rPr>
        <w:t xml:space="preserve"> also highlights areas insufficiently addressed such as (</w:t>
      </w:r>
      <w:r w:rsidR="00331D48">
        <w:rPr>
          <w:sz w:val="22"/>
        </w:rPr>
        <w:t>a</w:t>
      </w:r>
      <w:r w:rsidRPr="009C39DF">
        <w:rPr>
          <w:sz w:val="22"/>
        </w:rPr>
        <w:t>) performance information for service delivery</w:t>
      </w:r>
      <w:r w:rsidR="00331D48">
        <w:rPr>
          <w:sz w:val="22"/>
        </w:rPr>
        <w:t>,</w:t>
      </w:r>
      <w:r w:rsidRPr="009C39DF">
        <w:rPr>
          <w:sz w:val="22"/>
        </w:rPr>
        <w:t xml:space="preserve"> (</w:t>
      </w:r>
      <w:r w:rsidR="00331D48">
        <w:rPr>
          <w:sz w:val="22"/>
        </w:rPr>
        <w:t>b</w:t>
      </w:r>
      <w:r w:rsidRPr="009C39DF">
        <w:rPr>
          <w:sz w:val="22"/>
        </w:rPr>
        <w:t>) public access to fiscal information</w:t>
      </w:r>
      <w:r w:rsidR="00331D48">
        <w:rPr>
          <w:sz w:val="22"/>
        </w:rPr>
        <w:t>,</w:t>
      </w:r>
      <w:r w:rsidRPr="009C39DF">
        <w:rPr>
          <w:sz w:val="22"/>
        </w:rPr>
        <w:t xml:space="preserve"> (</w:t>
      </w:r>
      <w:r w:rsidR="00331D48">
        <w:rPr>
          <w:sz w:val="22"/>
        </w:rPr>
        <w:t>c</w:t>
      </w:r>
      <w:r w:rsidRPr="009C39DF">
        <w:rPr>
          <w:sz w:val="22"/>
        </w:rPr>
        <w:t>) monitoring of fiscal risk</w:t>
      </w:r>
      <w:r w:rsidR="00331D48">
        <w:rPr>
          <w:sz w:val="22"/>
        </w:rPr>
        <w:t>,</w:t>
      </w:r>
      <w:r w:rsidRPr="009C39DF">
        <w:rPr>
          <w:sz w:val="22"/>
        </w:rPr>
        <w:t xml:space="preserve"> (</w:t>
      </w:r>
      <w:r w:rsidR="00331D48">
        <w:rPr>
          <w:sz w:val="22"/>
        </w:rPr>
        <w:t>d</w:t>
      </w:r>
      <w:r w:rsidRPr="009C39DF">
        <w:rPr>
          <w:sz w:val="22"/>
        </w:rPr>
        <w:t>) no monitoring on public investment</w:t>
      </w:r>
      <w:r w:rsidR="00331D48">
        <w:rPr>
          <w:sz w:val="22"/>
        </w:rPr>
        <w:t>,</w:t>
      </w:r>
      <w:r w:rsidRPr="009C39DF">
        <w:rPr>
          <w:sz w:val="22"/>
        </w:rPr>
        <w:t xml:space="preserve"> </w:t>
      </w:r>
      <w:r w:rsidR="00331D48">
        <w:rPr>
          <w:sz w:val="22"/>
        </w:rPr>
        <w:t xml:space="preserve">and </w:t>
      </w:r>
      <w:r w:rsidRPr="009C39DF">
        <w:rPr>
          <w:sz w:val="22"/>
        </w:rPr>
        <w:t>(</w:t>
      </w:r>
      <w:r w:rsidR="00331D48">
        <w:rPr>
          <w:sz w:val="22"/>
        </w:rPr>
        <w:t>e</w:t>
      </w:r>
      <w:r w:rsidRPr="009C39DF">
        <w:rPr>
          <w:sz w:val="22"/>
        </w:rPr>
        <w:t xml:space="preserve">) poor public asset management information. In terms of assessment of the quality of the internal control system, the </w:t>
      </w:r>
      <w:r w:rsidR="00331D48">
        <w:rPr>
          <w:sz w:val="22"/>
        </w:rPr>
        <w:t>c</w:t>
      </w:r>
      <w:r w:rsidRPr="009C39DF">
        <w:rPr>
          <w:sz w:val="22"/>
        </w:rPr>
        <w:t xml:space="preserve">ounty has established </w:t>
      </w:r>
      <w:r w:rsidR="00331D48">
        <w:rPr>
          <w:sz w:val="22"/>
        </w:rPr>
        <w:t xml:space="preserve">an </w:t>
      </w:r>
      <w:r w:rsidRPr="009C39DF">
        <w:rPr>
          <w:sz w:val="22"/>
        </w:rPr>
        <w:t xml:space="preserve">Internal Audit Department. It is still in </w:t>
      </w:r>
      <w:r w:rsidR="00331D48">
        <w:rPr>
          <w:sz w:val="22"/>
        </w:rPr>
        <w:t xml:space="preserve">the </w:t>
      </w:r>
      <w:r w:rsidRPr="009C39DF">
        <w:rPr>
          <w:sz w:val="22"/>
        </w:rPr>
        <w:t>process of establishing its practice. The focus of the internal audit is on compliance and regulatory issues</w:t>
      </w:r>
      <w:r w:rsidR="00331D48">
        <w:rPr>
          <w:sz w:val="22"/>
        </w:rPr>
        <w:t>.</w:t>
      </w:r>
      <w:r w:rsidRPr="009C39DF">
        <w:rPr>
          <w:sz w:val="22"/>
        </w:rPr>
        <w:t xml:space="preserve"> </w:t>
      </w:r>
      <w:r w:rsidR="00331D48">
        <w:rPr>
          <w:sz w:val="22"/>
        </w:rPr>
        <w:t>The department</w:t>
      </w:r>
      <w:r w:rsidR="00331D48" w:rsidRPr="009C39DF">
        <w:rPr>
          <w:sz w:val="22"/>
        </w:rPr>
        <w:t xml:space="preserve"> </w:t>
      </w:r>
      <w:r w:rsidRPr="009C39DF">
        <w:rPr>
          <w:sz w:val="22"/>
        </w:rPr>
        <w:t>is not yet developed to provide full oversight (of all budget users) of the effectiveness of the internal control system. The practice of the external audit</w:t>
      </w:r>
      <w:r w:rsidR="00331D48">
        <w:rPr>
          <w:sz w:val="22"/>
        </w:rPr>
        <w:t>,</w:t>
      </w:r>
      <w:r w:rsidRPr="009C39DF">
        <w:rPr>
          <w:sz w:val="22"/>
        </w:rPr>
        <w:t xml:space="preserve"> which is far more advanced</w:t>
      </w:r>
      <w:r w:rsidR="00331D48">
        <w:rPr>
          <w:sz w:val="22"/>
        </w:rPr>
        <w:t>,</w:t>
      </w:r>
      <w:r w:rsidRPr="009C39DF">
        <w:rPr>
          <w:sz w:val="22"/>
        </w:rPr>
        <w:t xml:space="preserve"> is focused on financial audit with elements of internal control. Apart from their usual financial report mandate, the external auditors check the processes related to the accounting function, salary and payroll, </w:t>
      </w:r>
      <w:r w:rsidR="00331D48">
        <w:rPr>
          <w:sz w:val="22"/>
        </w:rPr>
        <w:t xml:space="preserve">and </w:t>
      </w:r>
      <w:r w:rsidRPr="009C39DF">
        <w:rPr>
          <w:sz w:val="22"/>
        </w:rPr>
        <w:t xml:space="preserve">procurement practice. </w:t>
      </w:r>
    </w:p>
    <w:p w14:paraId="74F13DA1" w14:textId="2CF08287" w:rsidR="00F42347" w:rsidRPr="009C39DF" w:rsidRDefault="005833D7" w:rsidP="009C39DF">
      <w:pPr>
        <w:spacing w:after="240"/>
        <w:rPr>
          <w:sz w:val="22"/>
        </w:rPr>
      </w:pPr>
      <w:r>
        <w:rPr>
          <w:sz w:val="22"/>
        </w:rPr>
        <w:t>A</w:t>
      </w:r>
      <w:r w:rsidRPr="009C39DF">
        <w:rPr>
          <w:sz w:val="22"/>
        </w:rPr>
        <w:t>s far as the oversight of the internal control system is concerned</w:t>
      </w:r>
      <w:r>
        <w:rPr>
          <w:sz w:val="22"/>
        </w:rPr>
        <w:t>,</w:t>
      </w:r>
      <w:r w:rsidRPr="009C39DF">
        <w:rPr>
          <w:sz w:val="22"/>
        </w:rPr>
        <w:t xml:space="preserve"> </w:t>
      </w:r>
      <w:r>
        <w:rPr>
          <w:sz w:val="22"/>
        </w:rPr>
        <w:t>t</w:t>
      </w:r>
      <w:r w:rsidR="00F42347" w:rsidRPr="009C39DF">
        <w:rPr>
          <w:sz w:val="22"/>
        </w:rPr>
        <w:t xml:space="preserve">he interaction between the external </w:t>
      </w:r>
      <w:r>
        <w:rPr>
          <w:sz w:val="22"/>
        </w:rPr>
        <w:t xml:space="preserve">audit </w:t>
      </w:r>
      <w:r w:rsidR="00F42347" w:rsidRPr="009C39DF">
        <w:rPr>
          <w:sz w:val="22"/>
        </w:rPr>
        <w:t xml:space="preserve">and the internal audit has not been evidenced during the </w:t>
      </w:r>
      <w:r w:rsidR="00F42347" w:rsidRPr="00796F6B">
        <w:rPr>
          <w:sz w:val="22"/>
        </w:rPr>
        <w:t>fieldwork</w:t>
      </w:r>
      <w:r w:rsidR="00F42347" w:rsidRPr="009C39DF">
        <w:rPr>
          <w:sz w:val="22"/>
        </w:rPr>
        <w:t xml:space="preserve"> and the respective indicators</w:t>
      </w:r>
      <w:r>
        <w:rPr>
          <w:sz w:val="22"/>
        </w:rPr>
        <w:t>’</w:t>
      </w:r>
      <w:r w:rsidR="00F42347" w:rsidRPr="009C39DF">
        <w:rPr>
          <w:sz w:val="22"/>
        </w:rPr>
        <w:t xml:space="preserve"> assessment. </w:t>
      </w:r>
    </w:p>
    <w:p w14:paraId="66353B4F" w14:textId="2EF15474" w:rsidR="00F42347" w:rsidRPr="009C39DF" w:rsidRDefault="00F42347" w:rsidP="009C39DF">
      <w:pPr>
        <w:spacing w:after="240"/>
        <w:rPr>
          <w:sz w:val="22"/>
        </w:rPr>
      </w:pPr>
      <w:r w:rsidRPr="009C39DF">
        <w:rPr>
          <w:sz w:val="22"/>
        </w:rPr>
        <w:t xml:space="preserve">Apart from the OAG, external oversight mechanisms </w:t>
      </w:r>
      <w:r w:rsidR="005833D7">
        <w:rPr>
          <w:sz w:val="22"/>
        </w:rPr>
        <w:t>that</w:t>
      </w:r>
      <w:r w:rsidR="005833D7" w:rsidRPr="009C39DF">
        <w:rPr>
          <w:sz w:val="22"/>
        </w:rPr>
        <w:t xml:space="preserve"> </w:t>
      </w:r>
      <w:r w:rsidR="005833D7">
        <w:rPr>
          <w:sz w:val="22"/>
        </w:rPr>
        <w:t>are</w:t>
      </w:r>
      <w:r w:rsidR="005833D7" w:rsidRPr="009C39DF">
        <w:rPr>
          <w:sz w:val="22"/>
        </w:rPr>
        <w:t xml:space="preserve"> </w:t>
      </w:r>
      <w:r w:rsidRPr="009C39DF">
        <w:rPr>
          <w:sz w:val="22"/>
        </w:rPr>
        <w:t xml:space="preserve">supposed to contribute to monitoring and effectiveness of the internal control system </w:t>
      </w:r>
      <w:r w:rsidR="005833D7">
        <w:rPr>
          <w:sz w:val="22"/>
        </w:rPr>
        <w:t>are</w:t>
      </w:r>
      <w:r w:rsidR="005833D7" w:rsidRPr="009C39DF">
        <w:rPr>
          <w:sz w:val="22"/>
        </w:rPr>
        <w:t xml:space="preserve"> </w:t>
      </w:r>
      <w:r w:rsidRPr="009C39DF">
        <w:rPr>
          <w:sz w:val="22"/>
        </w:rPr>
        <w:t xml:space="preserve">the review of audits by the legislature, the follow-up systems for the </w:t>
      </w:r>
      <w:r w:rsidR="005833D7">
        <w:rPr>
          <w:sz w:val="22"/>
        </w:rPr>
        <w:t>E</w:t>
      </w:r>
      <w:r w:rsidRPr="009C39DF">
        <w:rPr>
          <w:sz w:val="22"/>
        </w:rPr>
        <w:t>xecutive’s implementation of remedial measures, and provi</w:t>
      </w:r>
      <w:r w:rsidR="005833D7">
        <w:rPr>
          <w:sz w:val="22"/>
        </w:rPr>
        <w:t>sion of</w:t>
      </w:r>
      <w:r w:rsidRPr="009C39DF">
        <w:rPr>
          <w:sz w:val="22"/>
        </w:rPr>
        <w:t xml:space="preserve"> public access to relevant reports and debates (PI-31). As the respective assessment of the oversight activities of the County Assembly of </w:t>
      </w:r>
      <w:r w:rsidR="00BE1C2F" w:rsidRPr="009C39DF">
        <w:rPr>
          <w:sz w:val="22"/>
        </w:rPr>
        <w:t>Kajiado</w:t>
      </w:r>
      <w:r w:rsidRPr="009C39DF">
        <w:rPr>
          <w:sz w:val="22"/>
        </w:rPr>
        <w:t xml:space="preserve"> (see PI-31) shows, the control practice in this respect has not been found to be effective. With lack of hearings of the external audit findings, no evidence on recommendations to the County Executive</w:t>
      </w:r>
      <w:r w:rsidR="005833D7">
        <w:rPr>
          <w:sz w:val="22"/>
        </w:rPr>
        <w:t>,</w:t>
      </w:r>
      <w:r w:rsidRPr="009C39DF">
        <w:rPr>
          <w:sz w:val="22"/>
        </w:rPr>
        <w:t xml:space="preserve"> and no transparency of the external audit scrutiny, the County Assembly operation </w:t>
      </w:r>
      <w:r w:rsidR="00E0683A" w:rsidRPr="009C39DF">
        <w:rPr>
          <w:sz w:val="22"/>
        </w:rPr>
        <w:t>fail</w:t>
      </w:r>
      <w:r w:rsidR="005833D7">
        <w:rPr>
          <w:sz w:val="22"/>
        </w:rPr>
        <w:t>s</w:t>
      </w:r>
      <w:r w:rsidRPr="009C39DF">
        <w:rPr>
          <w:sz w:val="22"/>
        </w:rPr>
        <w:t xml:space="preserve"> to contribute </w:t>
      </w:r>
      <w:r w:rsidR="005833D7">
        <w:rPr>
          <w:sz w:val="22"/>
        </w:rPr>
        <w:t xml:space="preserve">to </w:t>
      </w:r>
      <w:r w:rsidRPr="009C39DF">
        <w:rPr>
          <w:sz w:val="22"/>
        </w:rPr>
        <w:t xml:space="preserve">building a sound internal control system. Therefore, the legislative scrutiny cannot serve as reinforcing mechanisms to the effectiveness of the internal control system of </w:t>
      </w:r>
      <w:r w:rsidR="00BE1C2F" w:rsidRPr="009C39DF">
        <w:rPr>
          <w:sz w:val="22"/>
        </w:rPr>
        <w:t>Kajiado</w:t>
      </w:r>
      <w:r w:rsidRPr="009C39DF">
        <w:rPr>
          <w:sz w:val="22"/>
        </w:rPr>
        <w:t xml:space="preserve"> County. </w:t>
      </w:r>
    </w:p>
    <w:p w14:paraId="30570E80" w14:textId="45583E28" w:rsidR="00F42347" w:rsidRPr="009C39DF" w:rsidRDefault="00F42347" w:rsidP="009C39DF">
      <w:pPr>
        <w:spacing w:after="240"/>
        <w:rPr>
          <w:sz w:val="22"/>
        </w:rPr>
      </w:pPr>
      <w:r w:rsidRPr="009C39DF">
        <w:rPr>
          <w:sz w:val="22"/>
        </w:rPr>
        <w:t xml:space="preserve">Lack of properly instituted </w:t>
      </w:r>
      <w:r w:rsidR="005833D7">
        <w:rPr>
          <w:sz w:val="22"/>
        </w:rPr>
        <w:t>c</w:t>
      </w:r>
      <w:r w:rsidRPr="009C39DF">
        <w:rPr>
          <w:sz w:val="22"/>
        </w:rPr>
        <w:t>ounty</w:t>
      </w:r>
      <w:r w:rsidR="005833D7">
        <w:rPr>
          <w:sz w:val="22"/>
        </w:rPr>
        <w:t>-</w:t>
      </w:r>
      <w:r w:rsidRPr="009C39DF">
        <w:rPr>
          <w:sz w:val="22"/>
        </w:rPr>
        <w:t xml:space="preserve">specific systems of internal control (internal procedures) affects the financial reporting process and may ultimately lead to unreliable reports being produced, which in turn negatively </w:t>
      </w:r>
      <w:r w:rsidR="005833D7">
        <w:rPr>
          <w:sz w:val="22"/>
        </w:rPr>
        <w:t>affe</w:t>
      </w:r>
      <w:r w:rsidRPr="009C39DF">
        <w:rPr>
          <w:sz w:val="22"/>
        </w:rPr>
        <w:t xml:space="preserve">cts the accountability role of management. Detailed findings concerning the main elements of the five internal control components are summarized in a table (Annex 2). </w:t>
      </w:r>
    </w:p>
    <w:p w14:paraId="6351D921" w14:textId="0A1A4837" w:rsidR="00F42347" w:rsidRPr="009C39DF" w:rsidRDefault="00F42347" w:rsidP="009C39DF">
      <w:pPr>
        <w:spacing w:after="240"/>
        <w:rPr>
          <w:sz w:val="22"/>
        </w:rPr>
      </w:pPr>
      <w:r w:rsidRPr="009C39DF">
        <w:rPr>
          <w:sz w:val="22"/>
        </w:rPr>
        <w:t>Weak internal controls encourage fraud, mismanag</w:t>
      </w:r>
      <w:r w:rsidR="005833D7">
        <w:rPr>
          <w:sz w:val="22"/>
        </w:rPr>
        <w:t>ement</w:t>
      </w:r>
      <w:r w:rsidRPr="009C39DF">
        <w:rPr>
          <w:sz w:val="22"/>
        </w:rPr>
        <w:t xml:space="preserve"> of assets (Pillar 3), loss of revenue</w:t>
      </w:r>
      <w:r w:rsidR="005833D7">
        <w:rPr>
          <w:sz w:val="22"/>
        </w:rPr>
        <w:t>,</w:t>
      </w:r>
      <w:r w:rsidRPr="009C39DF">
        <w:rPr>
          <w:sz w:val="22"/>
        </w:rPr>
        <w:t xml:space="preserve"> and embezzlement of public funds (Pillar 4). The </w:t>
      </w:r>
      <w:r w:rsidR="005833D7">
        <w:rPr>
          <w:sz w:val="22"/>
        </w:rPr>
        <w:t>c</w:t>
      </w:r>
      <w:r w:rsidRPr="009C39DF">
        <w:rPr>
          <w:sz w:val="22"/>
        </w:rPr>
        <w:t>ounty keeps minimum internal control over external factors such as unexpected economic, social</w:t>
      </w:r>
      <w:r w:rsidR="005833D7">
        <w:rPr>
          <w:sz w:val="22"/>
        </w:rPr>
        <w:t>,</w:t>
      </w:r>
      <w:r w:rsidRPr="009C39DF">
        <w:rPr>
          <w:sz w:val="22"/>
        </w:rPr>
        <w:t xml:space="preserve"> and natural disaster events. As far as the national legislative framework is concerned</w:t>
      </w:r>
      <w:r w:rsidR="005833D7">
        <w:rPr>
          <w:sz w:val="22"/>
        </w:rPr>
        <w:t>,</w:t>
      </w:r>
      <w:r w:rsidRPr="009C39DF">
        <w:rPr>
          <w:sz w:val="22"/>
        </w:rPr>
        <w:t xml:space="preserve"> the internal control system of the </w:t>
      </w:r>
      <w:r w:rsidR="005833D7">
        <w:rPr>
          <w:sz w:val="22"/>
        </w:rPr>
        <w:t>c</w:t>
      </w:r>
      <w:r w:rsidRPr="009C39DF">
        <w:rPr>
          <w:sz w:val="22"/>
        </w:rPr>
        <w:t>ounty is largely sound. However, the specific control environment with its inherent risk assessment, relevant control activities</w:t>
      </w:r>
      <w:r w:rsidR="005833D7">
        <w:rPr>
          <w:sz w:val="22"/>
        </w:rPr>
        <w:t>,</w:t>
      </w:r>
      <w:r w:rsidRPr="009C39DF">
        <w:rPr>
          <w:sz w:val="22"/>
        </w:rPr>
        <w:t xml:space="preserve"> and related monitoring is not sufficiently established to contribute to the </w:t>
      </w:r>
      <w:r w:rsidR="005833D7">
        <w:rPr>
          <w:sz w:val="22"/>
        </w:rPr>
        <w:t>c</w:t>
      </w:r>
      <w:r w:rsidRPr="009C39DF">
        <w:rPr>
          <w:sz w:val="22"/>
        </w:rPr>
        <w:t>ounty</w:t>
      </w:r>
      <w:r w:rsidR="005833D7">
        <w:rPr>
          <w:sz w:val="22"/>
        </w:rPr>
        <w:t>’s</w:t>
      </w:r>
      <w:r w:rsidRPr="009C39DF">
        <w:rPr>
          <w:sz w:val="22"/>
        </w:rPr>
        <w:t xml:space="preserve"> main fiscal and budgetary outcomes. </w:t>
      </w:r>
    </w:p>
    <w:p w14:paraId="65828812" w14:textId="1BDFE874" w:rsidR="00F42347" w:rsidRPr="009C39DF" w:rsidRDefault="00F42347" w:rsidP="009C39DF">
      <w:pPr>
        <w:spacing w:after="240"/>
        <w:rPr>
          <w:sz w:val="22"/>
        </w:rPr>
      </w:pPr>
      <w:r w:rsidRPr="009C39DF">
        <w:rPr>
          <w:sz w:val="22"/>
        </w:rPr>
        <w:t xml:space="preserve">With </w:t>
      </w:r>
      <w:r w:rsidR="005833D7">
        <w:rPr>
          <w:sz w:val="22"/>
        </w:rPr>
        <w:t xml:space="preserve">an </w:t>
      </w:r>
      <w:r w:rsidRPr="009C39DF">
        <w:rPr>
          <w:sz w:val="22"/>
        </w:rPr>
        <w:t xml:space="preserve">existing and adequate internal control system in place at the </w:t>
      </w:r>
      <w:r w:rsidR="005833D7">
        <w:rPr>
          <w:sz w:val="22"/>
        </w:rPr>
        <w:t>c</w:t>
      </w:r>
      <w:r w:rsidRPr="009C39DF">
        <w:rPr>
          <w:sz w:val="22"/>
        </w:rPr>
        <w:t xml:space="preserve">ounty </w:t>
      </w:r>
      <w:r w:rsidR="005833D7">
        <w:rPr>
          <w:sz w:val="22"/>
        </w:rPr>
        <w:t>g</w:t>
      </w:r>
      <w:r w:rsidRPr="009C39DF">
        <w:rPr>
          <w:sz w:val="22"/>
        </w:rPr>
        <w:t>overnment, the resources will be safeguarded and directed in an optimal manner to the right and priority activities and projects as planned.</w:t>
      </w:r>
    </w:p>
    <w:p w14:paraId="4D5066A7" w14:textId="77777777" w:rsidR="00CA52CE" w:rsidRPr="00890A84" w:rsidRDefault="00CA52CE" w:rsidP="00776E84">
      <w:pPr>
        <w:pStyle w:val="Heading2"/>
      </w:pPr>
      <w:bookmarkStart w:id="128" w:name="_Toc532426047"/>
      <w:r w:rsidRPr="00890A84">
        <w:t>PFM strengths and weaknesses</w:t>
      </w:r>
      <w:bookmarkEnd w:id="128"/>
    </w:p>
    <w:p w14:paraId="207EF87A" w14:textId="77777777" w:rsidR="00CA52CE" w:rsidRPr="00890A84" w:rsidRDefault="0056743D" w:rsidP="00BA6B2B">
      <w:pPr>
        <w:pStyle w:val="Heading5"/>
      </w:pPr>
      <w:r w:rsidRPr="00890A84">
        <w:t>Aggregate fiscal discipline</w:t>
      </w:r>
    </w:p>
    <w:p w14:paraId="420F11B3" w14:textId="01E023AD" w:rsidR="0092523B" w:rsidRPr="009C39DF" w:rsidRDefault="0092523B" w:rsidP="009C39DF">
      <w:pPr>
        <w:spacing w:after="240"/>
        <w:rPr>
          <w:sz w:val="22"/>
        </w:rPr>
      </w:pPr>
      <w:r w:rsidRPr="009C39DF">
        <w:rPr>
          <w:sz w:val="22"/>
        </w:rPr>
        <w:t xml:space="preserve">The revenue module of the IFMIS was not operational and hence the </w:t>
      </w:r>
      <w:r w:rsidR="00B02975">
        <w:rPr>
          <w:sz w:val="22"/>
        </w:rPr>
        <w:t>c</w:t>
      </w:r>
      <w:r w:rsidRPr="009C39DF">
        <w:rPr>
          <w:sz w:val="22"/>
        </w:rPr>
        <w:t xml:space="preserve">ounty </w:t>
      </w:r>
      <w:r w:rsidR="00B02975">
        <w:rPr>
          <w:sz w:val="22"/>
        </w:rPr>
        <w:t>g</w:t>
      </w:r>
      <w:r w:rsidRPr="009C39DF">
        <w:rPr>
          <w:sz w:val="22"/>
        </w:rPr>
        <w:t>overnment was using the LAIFOMS for managing and monitoring own</w:t>
      </w:r>
      <w:r w:rsidR="00B02975">
        <w:rPr>
          <w:sz w:val="22"/>
        </w:rPr>
        <w:t>-</w:t>
      </w:r>
      <w:r w:rsidRPr="009C39DF">
        <w:rPr>
          <w:sz w:val="22"/>
        </w:rPr>
        <w:t xml:space="preserve">source revenue collection. Hence, the </w:t>
      </w:r>
      <w:r w:rsidR="00B02975">
        <w:rPr>
          <w:sz w:val="22"/>
        </w:rPr>
        <w:t>c</w:t>
      </w:r>
      <w:r w:rsidRPr="009C39DF">
        <w:rPr>
          <w:sz w:val="22"/>
        </w:rPr>
        <w:t xml:space="preserve">ounty </w:t>
      </w:r>
      <w:r w:rsidR="00B02975">
        <w:rPr>
          <w:sz w:val="22"/>
        </w:rPr>
        <w:t>g</w:t>
      </w:r>
      <w:r w:rsidRPr="009C39DF">
        <w:rPr>
          <w:sz w:val="22"/>
        </w:rPr>
        <w:t xml:space="preserve">overnment has not been using GFS </w:t>
      </w:r>
      <w:r w:rsidR="005833D7">
        <w:rPr>
          <w:sz w:val="22"/>
        </w:rPr>
        <w:t>s</w:t>
      </w:r>
      <w:r w:rsidRPr="009C39DF">
        <w:rPr>
          <w:sz w:val="22"/>
        </w:rPr>
        <w:t>tandards for revenue in the past since revenues were collected off</w:t>
      </w:r>
      <w:r w:rsidR="005833D7">
        <w:rPr>
          <w:sz w:val="22"/>
        </w:rPr>
        <w:t xml:space="preserve"> the</w:t>
      </w:r>
      <w:r w:rsidRPr="009C39DF">
        <w:rPr>
          <w:sz w:val="22"/>
        </w:rPr>
        <w:t xml:space="preserve"> IFMIS (using LAIFOMS). The County </w:t>
      </w:r>
      <w:r w:rsidR="005833D7">
        <w:rPr>
          <w:sz w:val="22"/>
        </w:rPr>
        <w:t>E</w:t>
      </w:r>
      <w:r w:rsidRPr="009C39DF">
        <w:rPr>
          <w:sz w:val="22"/>
        </w:rPr>
        <w:t xml:space="preserve">xecutive has used the GFS codes while budgeting for revenue for </w:t>
      </w:r>
      <w:r w:rsidR="005833D7">
        <w:rPr>
          <w:sz w:val="22"/>
        </w:rPr>
        <w:t>FY</w:t>
      </w:r>
      <w:r w:rsidRPr="009C39DF">
        <w:rPr>
          <w:sz w:val="22"/>
        </w:rPr>
        <w:t>2016/17.</w:t>
      </w:r>
    </w:p>
    <w:p w14:paraId="06C91F1C" w14:textId="5EA60724" w:rsidR="0056743D" w:rsidRPr="009C39DF" w:rsidRDefault="0056743D" w:rsidP="009C39DF">
      <w:pPr>
        <w:spacing w:after="240"/>
        <w:rPr>
          <w:sz w:val="22"/>
        </w:rPr>
      </w:pPr>
      <w:r w:rsidRPr="009C39DF">
        <w:rPr>
          <w:sz w:val="22"/>
        </w:rPr>
        <w:t xml:space="preserve">According to the audit report for recurrent expenditure </w:t>
      </w:r>
      <w:r w:rsidR="00BD59DF" w:rsidRPr="009C39DF">
        <w:rPr>
          <w:sz w:val="22"/>
        </w:rPr>
        <w:t>for</w:t>
      </w:r>
      <w:r w:rsidR="000C73E4" w:rsidRPr="009C39DF">
        <w:rPr>
          <w:sz w:val="22"/>
        </w:rPr>
        <w:t xml:space="preserve"> </w:t>
      </w:r>
      <w:r w:rsidRPr="009C39DF">
        <w:rPr>
          <w:sz w:val="22"/>
        </w:rPr>
        <w:t xml:space="preserve">January 2016, there was a significant improvement in the maintenance of the </w:t>
      </w:r>
      <w:r w:rsidR="005833D7">
        <w:rPr>
          <w:sz w:val="22"/>
        </w:rPr>
        <w:t>c</w:t>
      </w:r>
      <w:r w:rsidRPr="009C39DF">
        <w:rPr>
          <w:sz w:val="22"/>
        </w:rPr>
        <w:t xml:space="preserve">ashbook as almost all the payment vouchers which were </w:t>
      </w:r>
      <w:r w:rsidR="005833D7">
        <w:rPr>
          <w:sz w:val="22"/>
        </w:rPr>
        <w:t>provided</w:t>
      </w:r>
      <w:r w:rsidR="005833D7" w:rsidRPr="009C39DF">
        <w:rPr>
          <w:sz w:val="22"/>
        </w:rPr>
        <w:t xml:space="preserve"> </w:t>
      </w:r>
      <w:r w:rsidRPr="009C39DF">
        <w:rPr>
          <w:sz w:val="22"/>
        </w:rPr>
        <w:t xml:space="preserve">for </w:t>
      </w:r>
      <w:r w:rsidR="00E0683A" w:rsidRPr="009C39DF">
        <w:rPr>
          <w:sz w:val="22"/>
        </w:rPr>
        <w:t>audits were</w:t>
      </w:r>
      <w:r w:rsidRPr="009C39DF">
        <w:rPr>
          <w:sz w:val="22"/>
        </w:rPr>
        <w:t xml:space="preserve"> serially numbered. </w:t>
      </w:r>
      <w:r w:rsidR="000C73E4" w:rsidRPr="009C39DF">
        <w:rPr>
          <w:sz w:val="22"/>
        </w:rPr>
        <w:t>However,</w:t>
      </w:r>
      <w:r w:rsidRPr="009C39DF">
        <w:rPr>
          <w:sz w:val="22"/>
        </w:rPr>
        <w:t xml:space="preserve"> cashbook</w:t>
      </w:r>
      <w:r w:rsidR="005833D7">
        <w:rPr>
          <w:sz w:val="22"/>
        </w:rPr>
        <w:t>s</w:t>
      </w:r>
      <w:r w:rsidRPr="009C39DF">
        <w:rPr>
          <w:sz w:val="22"/>
        </w:rPr>
        <w:t xml:space="preserve"> are not sufficiently balanced and reconciled with the bank statements. The IFMIS department </w:t>
      </w:r>
      <w:r w:rsidR="00EA0D4E" w:rsidRPr="009C39DF">
        <w:rPr>
          <w:sz w:val="22"/>
        </w:rPr>
        <w:t>now has</w:t>
      </w:r>
      <w:r w:rsidRPr="009C39DF">
        <w:rPr>
          <w:sz w:val="22"/>
        </w:rPr>
        <w:t xml:space="preserve"> the authority to return any payment voucher without a duly signed memo or clearly outlined days and the applicable per diem rates for the towns/counties visited. Authorization and approval of payment vouchers by all the required approvers </w:t>
      </w:r>
      <w:r w:rsidR="005833D7">
        <w:rPr>
          <w:sz w:val="22"/>
        </w:rPr>
        <w:t>have</w:t>
      </w:r>
      <w:r w:rsidR="005833D7" w:rsidRPr="009C39DF">
        <w:rPr>
          <w:sz w:val="22"/>
        </w:rPr>
        <w:t xml:space="preserve"> </w:t>
      </w:r>
      <w:r w:rsidRPr="009C39DF">
        <w:rPr>
          <w:sz w:val="22"/>
        </w:rPr>
        <w:t xml:space="preserve">also been improved, as most vouchers are now signed by the respective </w:t>
      </w:r>
      <w:r w:rsidR="008442B4">
        <w:rPr>
          <w:sz w:val="22"/>
        </w:rPr>
        <w:t>a</w:t>
      </w:r>
      <w:r w:rsidRPr="009C39DF">
        <w:rPr>
          <w:sz w:val="22"/>
        </w:rPr>
        <w:t xml:space="preserve">ccounting </w:t>
      </w:r>
      <w:r w:rsidR="008442B4">
        <w:rPr>
          <w:sz w:val="22"/>
        </w:rPr>
        <w:t>o</w:t>
      </w:r>
      <w:r w:rsidRPr="009C39DF">
        <w:rPr>
          <w:sz w:val="22"/>
        </w:rPr>
        <w:t>fficers and the senior accountant</w:t>
      </w:r>
      <w:r w:rsidR="005833D7">
        <w:rPr>
          <w:sz w:val="22"/>
        </w:rPr>
        <w:t>. However</w:t>
      </w:r>
      <w:r w:rsidRPr="009C39DF">
        <w:rPr>
          <w:sz w:val="22"/>
        </w:rPr>
        <w:t xml:space="preserve">, most memos </w:t>
      </w:r>
      <w:r w:rsidR="005833D7">
        <w:rPr>
          <w:sz w:val="22"/>
        </w:rPr>
        <w:t>are</w:t>
      </w:r>
      <w:r w:rsidR="005833D7" w:rsidRPr="009C39DF">
        <w:rPr>
          <w:sz w:val="22"/>
        </w:rPr>
        <w:t xml:space="preserve"> </w:t>
      </w:r>
      <w:r w:rsidRPr="009C39DF">
        <w:rPr>
          <w:sz w:val="22"/>
        </w:rPr>
        <w:t xml:space="preserve">vaguely written, which hampers the relevance of payment justification and makes it difficult to determine how the amount claimed is </w:t>
      </w:r>
      <w:r w:rsidR="005833D7">
        <w:rPr>
          <w:sz w:val="22"/>
        </w:rPr>
        <w:t>derived</w:t>
      </w:r>
      <w:r w:rsidRPr="009C39DF">
        <w:rPr>
          <w:sz w:val="22"/>
        </w:rPr>
        <w:t>. For instance, there is no indication of what duty the officer travelled to undertake, so no justification is given for the claims.</w:t>
      </w:r>
    </w:p>
    <w:p w14:paraId="6582FDE9" w14:textId="44D573A9" w:rsidR="00603E0D" w:rsidRPr="009C39DF" w:rsidRDefault="00603E0D" w:rsidP="009C39DF">
      <w:pPr>
        <w:spacing w:after="240"/>
        <w:rPr>
          <w:sz w:val="22"/>
        </w:rPr>
      </w:pPr>
      <w:r w:rsidRPr="009C39DF">
        <w:rPr>
          <w:sz w:val="22"/>
        </w:rPr>
        <w:t>As far as development expenditure are concerned, development internal audit report for roads and building projects for 2014/15 pointed out various deficiencies such as</w:t>
      </w:r>
    </w:p>
    <w:p w14:paraId="6D53C78E" w14:textId="77777777" w:rsidR="00603E0D" w:rsidRPr="009C39DF" w:rsidRDefault="00BD59DF" w:rsidP="001412E3">
      <w:pPr>
        <w:pStyle w:val="ListParagraph"/>
        <w:numPr>
          <w:ilvl w:val="0"/>
          <w:numId w:val="5"/>
        </w:numPr>
        <w:spacing w:after="240"/>
        <w:ind w:left="720"/>
        <w:contextualSpacing w:val="0"/>
        <w:rPr>
          <w:sz w:val="22"/>
        </w:rPr>
      </w:pPr>
      <w:r w:rsidRPr="009C39DF">
        <w:rPr>
          <w:sz w:val="22"/>
        </w:rPr>
        <w:t>C</w:t>
      </w:r>
      <w:r w:rsidR="00BE1C2F" w:rsidRPr="009C39DF">
        <w:rPr>
          <w:sz w:val="22"/>
        </w:rPr>
        <w:t xml:space="preserve">ompleted classrooms projects without supply of the furniture provided and classroom projects </w:t>
      </w:r>
      <w:r w:rsidR="000C73E4" w:rsidRPr="009C39DF">
        <w:rPr>
          <w:sz w:val="22"/>
        </w:rPr>
        <w:t>overpriced;</w:t>
      </w:r>
    </w:p>
    <w:p w14:paraId="421B92B7" w14:textId="77777777" w:rsidR="00603E0D" w:rsidRPr="009C39DF" w:rsidRDefault="00BD59DF" w:rsidP="001412E3">
      <w:pPr>
        <w:pStyle w:val="ListParagraph"/>
        <w:numPr>
          <w:ilvl w:val="0"/>
          <w:numId w:val="5"/>
        </w:numPr>
        <w:spacing w:after="240"/>
        <w:ind w:left="720"/>
        <w:contextualSpacing w:val="0"/>
        <w:rPr>
          <w:sz w:val="22"/>
        </w:rPr>
      </w:pPr>
      <w:r w:rsidRPr="009C39DF">
        <w:rPr>
          <w:sz w:val="22"/>
        </w:rPr>
        <w:t>P</w:t>
      </w:r>
      <w:r w:rsidR="00BE1C2F" w:rsidRPr="009C39DF">
        <w:rPr>
          <w:sz w:val="22"/>
        </w:rPr>
        <w:t>oorly done or overpriced building projects, with defects and omissions that were not notice</w:t>
      </w:r>
      <w:r w:rsidR="002351FE" w:rsidRPr="009C39DF">
        <w:rPr>
          <w:sz w:val="22"/>
        </w:rPr>
        <w:t>d before final payment is made;</w:t>
      </w:r>
    </w:p>
    <w:p w14:paraId="159AC8DE" w14:textId="4BC2F715" w:rsidR="007678B1" w:rsidRDefault="00BD59DF" w:rsidP="001352A1">
      <w:pPr>
        <w:pStyle w:val="ListParagraph"/>
        <w:numPr>
          <w:ilvl w:val="0"/>
          <w:numId w:val="5"/>
        </w:numPr>
        <w:spacing w:after="240"/>
        <w:ind w:left="720"/>
        <w:contextualSpacing w:val="0"/>
        <w:rPr>
          <w:sz w:val="22"/>
        </w:rPr>
      </w:pPr>
      <w:r w:rsidRPr="007678B1">
        <w:rPr>
          <w:sz w:val="22"/>
        </w:rPr>
        <w:t>P</w:t>
      </w:r>
      <w:r w:rsidR="00BE1C2F" w:rsidRPr="007678B1">
        <w:rPr>
          <w:sz w:val="22"/>
        </w:rPr>
        <w:t xml:space="preserve">oorly done road projects leading to roads </w:t>
      </w:r>
      <w:r w:rsidR="007678B1" w:rsidRPr="007678B1">
        <w:rPr>
          <w:sz w:val="22"/>
        </w:rPr>
        <w:t xml:space="preserve">having </w:t>
      </w:r>
      <w:r w:rsidR="00BE1C2F" w:rsidRPr="007678B1">
        <w:rPr>
          <w:sz w:val="22"/>
        </w:rPr>
        <w:t>to be redone and whose quality was not checked b</w:t>
      </w:r>
      <w:r w:rsidR="002351FE" w:rsidRPr="007678B1">
        <w:rPr>
          <w:sz w:val="22"/>
        </w:rPr>
        <w:t>efore final payment is released;</w:t>
      </w:r>
      <w:r w:rsidR="007678B1">
        <w:rPr>
          <w:sz w:val="22"/>
        </w:rPr>
        <w:t xml:space="preserve"> and</w:t>
      </w:r>
    </w:p>
    <w:p w14:paraId="214F4554" w14:textId="0E52B29C" w:rsidR="00E0683A" w:rsidRPr="007678B1" w:rsidRDefault="00BD59DF" w:rsidP="001352A1">
      <w:pPr>
        <w:pStyle w:val="ListParagraph"/>
        <w:numPr>
          <w:ilvl w:val="0"/>
          <w:numId w:val="5"/>
        </w:numPr>
        <w:spacing w:after="240"/>
        <w:ind w:left="720"/>
        <w:contextualSpacing w:val="0"/>
        <w:rPr>
          <w:sz w:val="22"/>
        </w:rPr>
      </w:pPr>
      <w:r w:rsidRPr="007678B1">
        <w:rPr>
          <w:sz w:val="22"/>
        </w:rPr>
        <w:t>W</w:t>
      </w:r>
      <w:r w:rsidR="00BE1C2F" w:rsidRPr="007678B1">
        <w:rPr>
          <w:sz w:val="22"/>
        </w:rPr>
        <w:t>ell done but overpriced road projects.</w:t>
      </w:r>
    </w:p>
    <w:p w14:paraId="79236D1F" w14:textId="77777777" w:rsidR="00CA52CE" w:rsidRPr="00890A84" w:rsidRDefault="0056743D" w:rsidP="00BA6B2B">
      <w:pPr>
        <w:pStyle w:val="Heading5"/>
      </w:pPr>
      <w:r w:rsidRPr="00890A84">
        <w:t xml:space="preserve">Strategic allocation of resources </w:t>
      </w:r>
    </w:p>
    <w:p w14:paraId="5F1E34A6" w14:textId="460E214F" w:rsidR="0092523B" w:rsidRPr="009C39DF" w:rsidRDefault="0092523B" w:rsidP="009C39DF">
      <w:pPr>
        <w:spacing w:after="240"/>
        <w:rPr>
          <w:sz w:val="22"/>
        </w:rPr>
      </w:pPr>
      <w:r w:rsidRPr="009C39DF">
        <w:rPr>
          <w:sz w:val="22"/>
        </w:rPr>
        <w:t>Allocation and prioritization of resources are established from the CIDP, the ADP, and departmental strategic plans. The CFSP outlines the medium</w:t>
      </w:r>
      <w:r w:rsidR="007678B1">
        <w:rPr>
          <w:sz w:val="22"/>
        </w:rPr>
        <w:t>-</w:t>
      </w:r>
      <w:r w:rsidRPr="009C39DF">
        <w:rPr>
          <w:sz w:val="22"/>
        </w:rPr>
        <w:t>term fiscal framework, policies</w:t>
      </w:r>
      <w:r w:rsidR="007678B1">
        <w:rPr>
          <w:sz w:val="22"/>
        </w:rPr>
        <w:t>,</w:t>
      </w:r>
      <w:r w:rsidRPr="009C39DF">
        <w:rPr>
          <w:sz w:val="22"/>
        </w:rPr>
        <w:t xml:space="preserve"> and strategic objectives for the county, which is the basis for the next year</w:t>
      </w:r>
      <w:r w:rsidR="007678B1">
        <w:rPr>
          <w:sz w:val="22"/>
        </w:rPr>
        <w:t>’s</w:t>
      </w:r>
      <w:r w:rsidRPr="009C39DF">
        <w:rPr>
          <w:sz w:val="22"/>
        </w:rPr>
        <w:t xml:space="preserve"> budget. The</w:t>
      </w:r>
      <w:r w:rsidR="00DF236A">
        <w:rPr>
          <w:sz w:val="22"/>
        </w:rPr>
        <w:t xml:space="preserve"> CFSP is intended to</w:t>
      </w:r>
      <w:r w:rsidRPr="009C39DF">
        <w:rPr>
          <w:sz w:val="22"/>
        </w:rPr>
        <w:t xml:space="preserve"> be in line with the county government priority policies reported in the CIDP, as follows:</w:t>
      </w:r>
    </w:p>
    <w:p w14:paraId="24D69DD9" w14:textId="3A92C87A" w:rsidR="0092523B" w:rsidRPr="009C39DF" w:rsidRDefault="007678B1" w:rsidP="001412E3">
      <w:pPr>
        <w:pStyle w:val="ListParagraph"/>
        <w:numPr>
          <w:ilvl w:val="0"/>
          <w:numId w:val="5"/>
        </w:numPr>
        <w:spacing w:after="240"/>
        <w:ind w:left="720"/>
        <w:contextualSpacing w:val="0"/>
        <w:rPr>
          <w:sz w:val="22"/>
        </w:rPr>
      </w:pPr>
      <w:r>
        <w:rPr>
          <w:sz w:val="22"/>
        </w:rPr>
        <w:t>A</w:t>
      </w:r>
      <w:r w:rsidR="00BE1C2F" w:rsidRPr="009C39DF">
        <w:rPr>
          <w:sz w:val="22"/>
        </w:rPr>
        <w:t>gricultural transformation that promotes food security and sustainable i</w:t>
      </w:r>
      <w:r w:rsidR="002351FE" w:rsidRPr="009C39DF">
        <w:rPr>
          <w:sz w:val="22"/>
        </w:rPr>
        <w:t>ncome</w:t>
      </w:r>
    </w:p>
    <w:p w14:paraId="587243A1" w14:textId="282A0EFF" w:rsidR="0092523B" w:rsidRPr="009C39DF" w:rsidRDefault="007678B1" w:rsidP="001412E3">
      <w:pPr>
        <w:pStyle w:val="ListParagraph"/>
        <w:numPr>
          <w:ilvl w:val="0"/>
          <w:numId w:val="5"/>
        </w:numPr>
        <w:spacing w:after="240"/>
        <w:ind w:left="720"/>
        <w:contextualSpacing w:val="0"/>
        <w:rPr>
          <w:sz w:val="22"/>
        </w:rPr>
      </w:pPr>
      <w:r>
        <w:rPr>
          <w:sz w:val="22"/>
        </w:rPr>
        <w:t>C</w:t>
      </w:r>
      <w:r w:rsidR="00BE1C2F" w:rsidRPr="009C39DF">
        <w:rPr>
          <w:sz w:val="22"/>
        </w:rPr>
        <w:t xml:space="preserve">reation of </w:t>
      </w:r>
      <w:r w:rsidR="002351FE" w:rsidRPr="009C39DF">
        <w:rPr>
          <w:sz w:val="22"/>
        </w:rPr>
        <w:t>a suitable business environment</w:t>
      </w:r>
    </w:p>
    <w:p w14:paraId="3299615D" w14:textId="5C5F1AA0" w:rsidR="0092523B" w:rsidRPr="009C39DF" w:rsidRDefault="007678B1" w:rsidP="001412E3">
      <w:pPr>
        <w:pStyle w:val="ListParagraph"/>
        <w:numPr>
          <w:ilvl w:val="0"/>
          <w:numId w:val="5"/>
        </w:numPr>
        <w:spacing w:after="240"/>
        <w:ind w:left="720"/>
        <w:contextualSpacing w:val="0"/>
        <w:rPr>
          <w:sz w:val="22"/>
        </w:rPr>
      </w:pPr>
      <w:r>
        <w:rPr>
          <w:sz w:val="22"/>
        </w:rPr>
        <w:t>I</w:t>
      </w:r>
      <w:r w:rsidR="00BE1C2F" w:rsidRPr="009C39DF">
        <w:rPr>
          <w:sz w:val="22"/>
        </w:rPr>
        <w:t>nvest</w:t>
      </w:r>
      <w:r>
        <w:rPr>
          <w:sz w:val="22"/>
        </w:rPr>
        <w:t>ment</w:t>
      </w:r>
      <w:r w:rsidR="00BE1C2F" w:rsidRPr="009C39DF">
        <w:rPr>
          <w:sz w:val="22"/>
        </w:rPr>
        <w:t xml:space="preserve"> in environmental </w:t>
      </w:r>
      <w:r w:rsidR="000C73E4" w:rsidRPr="009C39DF">
        <w:rPr>
          <w:sz w:val="22"/>
        </w:rPr>
        <w:t>conservation</w:t>
      </w:r>
    </w:p>
    <w:p w14:paraId="4138F983" w14:textId="133A7577" w:rsidR="0092523B" w:rsidRPr="009C39DF" w:rsidRDefault="007678B1" w:rsidP="001412E3">
      <w:pPr>
        <w:pStyle w:val="ListParagraph"/>
        <w:numPr>
          <w:ilvl w:val="0"/>
          <w:numId w:val="5"/>
        </w:numPr>
        <w:spacing w:after="240"/>
        <w:ind w:left="720"/>
        <w:contextualSpacing w:val="0"/>
        <w:rPr>
          <w:sz w:val="22"/>
        </w:rPr>
      </w:pPr>
      <w:r>
        <w:rPr>
          <w:sz w:val="22"/>
        </w:rPr>
        <w:t>P</w:t>
      </w:r>
      <w:r w:rsidR="00BE1C2F" w:rsidRPr="009C39DF">
        <w:rPr>
          <w:sz w:val="22"/>
        </w:rPr>
        <w:t>romotion of basic education and retention</w:t>
      </w:r>
      <w:r w:rsidR="002351FE" w:rsidRPr="009C39DF">
        <w:rPr>
          <w:sz w:val="22"/>
        </w:rPr>
        <w:t xml:space="preserve"> of learners throughout school</w:t>
      </w:r>
    </w:p>
    <w:p w14:paraId="41C8F06E" w14:textId="287F03B1" w:rsidR="0092523B" w:rsidRPr="009C39DF" w:rsidRDefault="007678B1" w:rsidP="001412E3">
      <w:pPr>
        <w:pStyle w:val="ListParagraph"/>
        <w:numPr>
          <w:ilvl w:val="0"/>
          <w:numId w:val="5"/>
        </w:numPr>
        <w:spacing w:after="240"/>
        <w:ind w:left="720"/>
        <w:contextualSpacing w:val="0"/>
        <w:rPr>
          <w:sz w:val="22"/>
        </w:rPr>
      </w:pPr>
      <w:r>
        <w:rPr>
          <w:sz w:val="22"/>
        </w:rPr>
        <w:t>I</w:t>
      </w:r>
      <w:r w:rsidR="00BE1C2F" w:rsidRPr="009C39DF">
        <w:rPr>
          <w:sz w:val="22"/>
        </w:rPr>
        <w:t>nvest</w:t>
      </w:r>
      <w:r>
        <w:rPr>
          <w:sz w:val="22"/>
        </w:rPr>
        <w:t>ment</w:t>
      </w:r>
      <w:r w:rsidR="00BE1C2F" w:rsidRPr="009C39DF">
        <w:rPr>
          <w:sz w:val="22"/>
        </w:rPr>
        <w:t xml:space="preserve"> in quality and accessible health</w:t>
      </w:r>
      <w:r>
        <w:rPr>
          <w:sz w:val="22"/>
        </w:rPr>
        <w:t xml:space="preserve"> </w:t>
      </w:r>
      <w:r w:rsidR="00BE1C2F" w:rsidRPr="009C39DF">
        <w:rPr>
          <w:sz w:val="22"/>
        </w:rPr>
        <w:t>care services</w:t>
      </w:r>
    </w:p>
    <w:p w14:paraId="54BC7DA2" w14:textId="1A68E19A" w:rsidR="0092523B" w:rsidRPr="009C39DF" w:rsidRDefault="00E0683A" w:rsidP="001412E3">
      <w:pPr>
        <w:pStyle w:val="ListParagraph"/>
        <w:numPr>
          <w:ilvl w:val="0"/>
          <w:numId w:val="5"/>
        </w:numPr>
        <w:spacing w:after="240"/>
        <w:ind w:left="720"/>
        <w:contextualSpacing w:val="0"/>
        <w:rPr>
          <w:sz w:val="22"/>
        </w:rPr>
      </w:pPr>
      <w:r w:rsidRPr="009C39DF">
        <w:rPr>
          <w:sz w:val="22"/>
        </w:rPr>
        <w:t>Invest</w:t>
      </w:r>
      <w:r w:rsidR="007678B1">
        <w:rPr>
          <w:sz w:val="22"/>
        </w:rPr>
        <w:t>ment</w:t>
      </w:r>
      <w:r w:rsidR="00BE1C2F" w:rsidRPr="009C39DF">
        <w:rPr>
          <w:sz w:val="22"/>
        </w:rPr>
        <w:t xml:space="preserve"> in infrastructure</w:t>
      </w:r>
      <w:r w:rsidR="007678B1">
        <w:rPr>
          <w:sz w:val="22"/>
        </w:rPr>
        <w:t>,</w:t>
      </w:r>
      <w:r w:rsidR="00BE1C2F" w:rsidRPr="009C39DF">
        <w:rPr>
          <w:sz w:val="22"/>
        </w:rPr>
        <w:t xml:space="preserve"> including roads, water, energy, and </w:t>
      </w:r>
      <w:r w:rsidR="002351FE" w:rsidRPr="009C39DF">
        <w:rPr>
          <w:sz w:val="22"/>
        </w:rPr>
        <w:t>ICT</w:t>
      </w:r>
      <w:r w:rsidR="00BE1C2F" w:rsidRPr="009C39DF">
        <w:rPr>
          <w:sz w:val="22"/>
        </w:rPr>
        <w:t xml:space="preserve"> to support other sectors</w:t>
      </w:r>
    </w:p>
    <w:p w14:paraId="6D99DDBF" w14:textId="79E60088" w:rsidR="000D3391" w:rsidRPr="009C39DF" w:rsidRDefault="0092523B" w:rsidP="009C39DF">
      <w:pPr>
        <w:spacing w:after="240"/>
        <w:rPr>
          <w:sz w:val="22"/>
        </w:rPr>
      </w:pPr>
      <w:r w:rsidRPr="009C39DF">
        <w:rPr>
          <w:sz w:val="22"/>
        </w:rPr>
        <w:t>However</w:t>
      </w:r>
      <w:r w:rsidR="00FA225D" w:rsidRPr="009C39DF">
        <w:rPr>
          <w:sz w:val="22"/>
        </w:rPr>
        <w:t xml:space="preserve">, strategic allocation of resources is </w:t>
      </w:r>
      <w:r w:rsidRPr="009C39DF">
        <w:rPr>
          <w:sz w:val="22"/>
        </w:rPr>
        <w:t xml:space="preserve">first </w:t>
      </w:r>
      <w:r w:rsidR="00FA225D" w:rsidRPr="009C39DF">
        <w:rPr>
          <w:sz w:val="22"/>
        </w:rPr>
        <w:t xml:space="preserve">hampered by mismanagement </w:t>
      </w:r>
      <w:r w:rsidR="007678B1">
        <w:rPr>
          <w:sz w:val="22"/>
        </w:rPr>
        <w:t>of</w:t>
      </w:r>
      <w:r w:rsidR="007678B1" w:rsidRPr="009C39DF">
        <w:rPr>
          <w:sz w:val="22"/>
        </w:rPr>
        <w:t xml:space="preserve"> </w:t>
      </w:r>
      <w:r w:rsidR="00FA225D" w:rsidRPr="009C39DF">
        <w:rPr>
          <w:sz w:val="22"/>
        </w:rPr>
        <w:t xml:space="preserve">accounting revenue. </w:t>
      </w:r>
      <w:r w:rsidR="000D3391" w:rsidRPr="009C39DF">
        <w:rPr>
          <w:sz w:val="22"/>
        </w:rPr>
        <w:t xml:space="preserve">The </w:t>
      </w:r>
      <w:r w:rsidR="007678B1">
        <w:rPr>
          <w:sz w:val="22"/>
        </w:rPr>
        <w:t>c</w:t>
      </w:r>
      <w:r w:rsidR="000D3391" w:rsidRPr="009C39DF">
        <w:rPr>
          <w:sz w:val="22"/>
        </w:rPr>
        <w:t xml:space="preserve">ounty </w:t>
      </w:r>
      <w:r w:rsidR="007678B1">
        <w:rPr>
          <w:sz w:val="22"/>
        </w:rPr>
        <w:t>g</w:t>
      </w:r>
      <w:r w:rsidR="000D3391" w:rsidRPr="009C39DF">
        <w:rPr>
          <w:sz w:val="22"/>
        </w:rPr>
        <w:t xml:space="preserve">overnment had </w:t>
      </w:r>
      <w:r w:rsidR="00FA225D" w:rsidRPr="009C39DF">
        <w:rPr>
          <w:sz w:val="22"/>
        </w:rPr>
        <w:t>an</w:t>
      </w:r>
      <w:r w:rsidR="000D3391" w:rsidRPr="009C39DF">
        <w:rPr>
          <w:sz w:val="22"/>
        </w:rPr>
        <w:t xml:space="preserve"> under</w:t>
      </w:r>
      <w:r w:rsidR="007678B1">
        <w:rPr>
          <w:sz w:val="22"/>
        </w:rPr>
        <w:t>-</w:t>
      </w:r>
      <w:r w:rsidR="000D3391" w:rsidRPr="009C39DF">
        <w:rPr>
          <w:sz w:val="22"/>
        </w:rPr>
        <w:t xml:space="preserve">collection </w:t>
      </w:r>
      <w:r w:rsidR="00FA225D" w:rsidRPr="009C39DF">
        <w:rPr>
          <w:sz w:val="22"/>
        </w:rPr>
        <w:t xml:space="preserve">above </w:t>
      </w:r>
      <w:r w:rsidR="00E73ED7">
        <w:rPr>
          <w:sz w:val="22"/>
        </w:rPr>
        <w:t>Ksh</w:t>
      </w:r>
      <w:r w:rsidR="00BD59DF" w:rsidRPr="009C39DF">
        <w:rPr>
          <w:sz w:val="22"/>
        </w:rPr>
        <w:t xml:space="preserve"> </w:t>
      </w:r>
      <w:r w:rsidR="00FA225D" w:rsidRPr="009C39DF">
        <w:rPr>
          <w:sz w:val="22"/>
        </w:rPr>
        <w:t xml:space="preserve">500 </w:t>
      </w:r>
      <w:r w:rsidR="000C73E4" w:rsidRPr="009C39DF">
        <w:rPr>
          <w:sz w:val="22"/>
        </w:rPr>
        <w:t>million in</w:t>
      </w:r>
      <w:r w:rsidR="00FA225D" w:rsidRPr="009C39DF">
        <w:rPr>
          <w:sz w:val="22"/>
        </w:rPr>
        <w:t xml:space="preserve"> comparison with the budget revenue for all 3 years under review, because of delay in automation of revenue collection, conditional grant not realized</w:t>
      </w:r>
      <w:r w:rsidR="007678B1">
        <w:rPr>
          <w:sz w:val="22"/>
        </w:rPr>
        <w:t>,</w:t>
      </w:r>
      <w:r w:rsidR="00FA225D" w:rsidRPr="009C39DF">
        <w:rPr>
          <w:sz w:val="22"/>
        </w:rPr>
        <w:t xml:space="preserve"> and unpaid debts from key debtors companies, while </w:t>
      </w:r>
      <w:r w:rsidR="007678B1">
        <w:rPr>
          <w:sz w:val="22"/>
        </w:rPr>
        <w:t>un</w:t>
      </w:r>
      <w:r w:rsidR="00FA225D" w:rsidRPr="009C39DF">
        <w:rPr>
          <w:sz w:val="22"/>
        </w:rPr>
        <w:t xml:space="preserve">budgeted sale of goods was reported in the financial statement for </w:t>
      </w:r>
      <w:r w:rsidR="007678B1">
        <w:rPr>
          <w:sz w:val="22"/>
        </w:rPr>
        <w:t>FY</w:t>
      </w:r>
      <w:r w:rsidR="00FA225D" w:rsidRPr="009C39DF">
        <w:rPr>
          <w:sz w:val="22"/>
        </w:rPr>
        <w:t>2013</w:t>
      </w:r>
      <w:r w:rsidR="007678B1">
        <w:rPr>
          <w:sz w:val="22"/>
        </w:rPr>
        <w:t>/</w:t>
      </w:r>
      <w:r w:rsidR="00FA225D" w:rsidRPr="009C39DF">
        <w:rPr>
          <w:sz w:val="22"/>
        </w:rPr>
        <w:t xml:space="preserve">14. However, </w:t>
      </w:r>
      <w:r w:rsidR="007678B1">
        <w:rPr>
          <w:sz w:val="22"/>
        </w:rPr>
        <w:t xml:space="preserve">the </w:t>
      </w:r>
      <w:r w:rsidR="00DF0257" w:rsidRPr="009C39DF">
        <w:rPr>
          <w:sz w:val="22"/>
        </w:rPr>
        <w:t>CFSP</w:t>
      </w:r>
      <w:r w:rsidR="00FA225D" w:rsidRPr="009C39DF">
        <w:rPr>
          <w:sz w:val="22"/>
        </w:rPr>
        <w:t xml:space="preserve"> do</w:t>
      </w:r>
      <w:r w:rsidR="007678B1">
        <w:rPr>
          <w:sz w:val="22"/>
        </w:rPr>
        <w:t>es</w:t>
      </w:r>
      <w:r w:rsidR="00FA225D" w:rsidRPr="009C39DF">
        <w:rPr>
          <w:sz w:val="22"/>
        </w:rPr>
        <w:t xml:space="preserve"> not provide detailed reason</w:t>
      </w:r>
      <w:r w:rsidR="007678B1">
        <w:rPr>
          <w:sz w:val="22"/>
        </w:rPr>
        <w:t>s</w:t>
      </w:r>
      <w:r w:rsidR="00FA225D" w:rsidRPr="009C39DF">
        <w:rPr>
          <w:sz w:val="22"/>
        </w:rPr>
        <w:t xml:space="preserve"> why local government revenue failed to achieve the annual revenue budget</w:t>
      </w:r>
      <w:r w:rsidR="00DF0257" w:rsidRPr="009C39DF">
        <w:rPr>
          <w:sz w:val="22"/>
        </w:rPr>
        <w:t>.</w:t>
      </w:r>
    </w:p>
    <w:p w14:paraId="2DB752EB" w14:textId="560DC65A" w:rsidR="000D3391" w:rsidRPr="009C39DF" w:rsidRDefault="00FA225D" w:rsidP="009C39DF">
      <w:pPr>
        <w:spacing w:after="240"/>
        <w:rPr>
          <w:sz w:val="22"/>
        </w:rPr>
      </w:pPr>
      <w:r w:rsidRPr="009C39DF">
        <w:rPr>
          <w:sz w:val="22"/>
        </w:rPr>
        <w:t xml:space="preserve">Follow-up of strategic allocation of resources is also undermined by </w:t>
      </w:r>
      <w:r w:rsidR="000D3391" w:rsidRPr="009C39DF">
        <w:rPr>
          <w:sz w:val="22"/>
        </w:rPr>
        <w:t>the format of the financial statements and the format of the approved budget</w:t>
      </w:r>
      <w:r w:rsidR="007678B1">
        <w:rPr>
          <w:sz w:val="22"/>
        </w:rPr>
        <w:t>. The formats</w:t>
      </w:r>
      <w:r w:rsidR="000D3391" w:rsidRPr="009C39DF">
        <w:rPr>
          <w:sz w:val="22"/>
        </w:rPr>
        <w:t xml:space="preserve"> </w:t>
      </w:r>
      <w:r w:rsidRPr="009C39DF">
        <w:rPr>
          <w:sz w:val="22"/>
        </w:rPr>
        <w:t>are</w:t>
      </w:r>
      <w:r w:rsidR="000D3391" w:rsidRPr="009C39DF">
        <w:rPr>
          <w:sz w:val="22"/>
        </w:rPr>
        <w:t xml:space="preserve"> dissimilar and therefore </w:t>
      </w:r>
      <w:r w:rsidRPr="009C39DF">
        <w:rPr>
          <w:sz w:val="22"/>
        </w:rPr>
        <w:t>do not make it</w:t>
      </w:r>
      <w:r w:rsidR="000D3391" w:rsidRPr="009C39DF">
        <w:rPr>
          <w:sz w:val="22"/>
        </w:rPr>
        <w:t xml:space="preserve"> possible to compare the tw</w:t>
      </w:r>
      <w:r w:rsidRPr="009C39DF">
        <w:rPr>
          <w:sz w:val="22"/>
        </w:rPr>
        <w:t>o sets of documents. For the last 3 FY</w:t>
      </w:r>
      <w:r w:rsidR="007678B1">
        <w:rPr>
          <w:sz w:val="22"/>
        </w:rPr>
        <w:t>s</w:t>
      </w:r>
      <w:r w:rsidRPr="009C39DF">
        <w:rPr>
          <w:sz w:val="22"/>
        </w:rPr>
        <w:t>, the budgets</w:t>
      </w:r>
      <w:r w:rsidR="000D3391" w:rsidRPr="009C39DF">
        <w:rPr>
          <w:sz w:val="22"/>
        </w:rPr>
        <w:t xml:space="preserve"> presented </w:t>
      </w:r>
      <w:r w:rsidRPr="009C39DF">
        <w:rPr>
          <w:sz w:val="22"/>
        </w:rPr>
        <w:t xml:space="preserve">to the County Assembly did </w:t>
      </w:r>
      <w:r w:rsidR="000D3391" w:rsidRPr="009C39DF">
        <w:rPr>
          <w:sz w:val="22"/>
        </w:rPr>
        <w:t xml:space="preserve">not </w:t>
      </w:r>
      <w:r w:rsidRPr="009C39DF">
        <w:rPr>
          <w:sz w:val="22"/>
        </w:rPr>
        <w:t>make detailed</w:t>
      </w:r>
      <w:r w:rsidR="000D3391" w:rsidRPr="009C39DF">
        <w:rPr>
          <w:sz w:val="22"/>
        </w:rPr>
        <w:t xml:space="preserve"> analysis of the various budgeted sources of internal </w:t>
      </w:r>
      <w:r w:rsidR="00BD59DF" w:rsidRPr="009C39DF">
        <w:rPr>
          <w:sz w:val="22"/>
        </w:rPr>
        <w:t xml:space="preserve">revenue. </w:t>
      </w:r>
      <w:r w:rsidR="007678B1">
        <w:rPr>
          <w:sz w:val="22"/>
        </w:rPr>
        <w:t>Under</w:t>
      </w:r>
      <w:r w:rsidR="007678B1" w:rsidRPr="009C39DF">
        <w:rPr>
          <w:sz w:val="22"/>
        </w:rPr>
        <w:t xml:space="preserve"> </w:t>
      </w:r>
      <w:r w:rsidR="000D3391" w:rsidRPr="009C39DF">
        <w:rPr>
          <w:sz w:val="22"/>
        </w:rPr>
        <w:t>the</w:t>
      </w:r>
      <w:r w:rsidR="007678B1">
        <w:rPr>
          <w:sz w:val="22"/>
        </w:rPr>
        <w:t>se</w:t>
      </w:r>
      <w:r w:rsidR="000D3391" w:rsidRPr="009C39DF">
        <w:rPr>
          <w:sz w:val="22"/>
        </w:rPr>
        <w:t xml:space="preserve"> circumstances, it was not possible to verify, </w:t>
      </w:r>
      <w:r w:rsidR="0092523B" w:rsidRPr="009C39DF">
        <w:rPr>
          <w:sz w:val="22"/>
        </w:rPr>
        <w:t>analy</w:t>
      </w:r>
      <w:r w:rsidR="007678B1">
        <w:rPr>
          <w:sz w:val="22"/>
        </w:rPr>
        <w:t>z</w:t>
      </w:r>
      <w:r w:rsidR="0092523B" w:rsidRPr="009C39DF">
        <w:rPr>
          <w:sz w:val="22"/>
        </w:rPr>
        <w:t>e</w:t>
      </w:r>
      <w:r w:rsidR="007678B1">
        <w:rPr>
          <w:sz w:val="22"/>
        </w:rPr>
        <w:t>,</w:t>
      </w:r>
      <w:r w:rsidR="000D3391" w:rsidRPr="009C39DF">
        <w:rPr>
          <w:sz w:val="22"/>
        </w:rPr>
        <w:t xml:space="preserve"> and comment on the specific revenue streams identified by the </w:t>
      </w:r>
      <w:r w:rsidR="007678B1">
        <w:rPr>
          <w:sz w:val="22"/>
        </w:rPr>
        <w:t>c</w:t>
      </w:r>
      <w:r w:rsidR="000D3391" w:rsidRPr="009C39DF">
        <w:rPr>
          <w:sz w:val="22"/>
        </w:rPr>
        <w:t xml:space="preserve">ounty </w:t>
      </w:r>
      <w:r w:rsidR="007678B1">
        <w:rPr>
          <w:sz w:val="22"/>
        </w:rPr>
        <w:t>g</w:t>
      </w:r>
      <w:r w:rsidR="000D3391" w:rsidRPr="009C39DF">
        <w:rPr>
          <w:sz w:val="22"/>
        </w:rPr>
        <w:t>overnment.</w:t>
      </w:r>
    </w:p>
    <w:p w14:paraId="04E44253" w14:textId="3DB612D0" w:rsidR="0092523B" w:rsidRPr="009C39DF" w:rsidRDefault="00FA225D" w:rsidP="009C39DF">
      <w:pPr>
        <w:spacing w:after="240"/>
        <w:rPr>
          <w:sz w:val="22"/>
        </w:rPr>
      </w:pPr>
      <w:r w:rsidRPr="009C39DF">
        <w:rPr>
          <w:sz w:val="22"/>
        </w:rPr>
        <w:t xml:space="preserve">Finally, </w:t>
      </w:r>
      <w:r w:rsidR="0092523B" w:rsidRPr="009C39DF">
        <w:rPr>
          <w:sz w:val="22"/>
        </w:rPr>
        <w:t>because</w:t>
      </w:r>
      <w:r w:rsidRPr="009C39DF">
        <w:rPr>
          <w:sz w:val="22"/>
        </w:rPr>
        <w:t xml:space="preserve"> the CIDP and ADP are built on national economic projections and hypothesis instead of those relevant to the </w:t>
      </w:r>
      <w:r w:rsidR="007678B1">
        <w:rPr>
          <w:sz w:val="22"/>
        </w:rPr>
        <w:t>c</w:t>
      </w:r>
      <w:r w:rsidRPr="009C39DF">
        <w:rPr>
          <w:sz w:val="22"/>
        </w:rPr>
        <w:t xml:space="preserve">ounty, needs are not correctly </w:t>
      </w:r>
      <w:r w:rsidR="002479C0" w:rsidRPr="009C39DF">
        <w:rPr>
          <w:sz w:val="22"/>
        </w:rPr>
        <w:t>identified</w:t>
      </w:r>
      <w:r w:rsidRPr="009C39DF">
        <w:rPr>
          <w:sz w:val="22"/>
        </w:rPr>
        <w:t xml:space="preserve"> and strategic allocation of resources expenditure are hence not correctly defined. </w:t>
      </w:r>
    </w:p>
    <w:p w14:paraId="43D119E2" w14:textId="77777777" w:rsidR="0056743D" w:rsidRPr="00890A84" w:rsidRDefault="0056743D" w:rsidP="00BA6B2B">
      <w:pPr>
        <w:pStyle w:val="Heading5"/>
      </w:pPr>
      <w:r w:rsidRPr="00890A84">
        <w:t>Efficient use of resources for service delivery</w:t>
      </w:r>
    </w:p>
    <w:p w14:paraId="47DAC1A0" w14:textId="04739D79" w:rsidR="00FA225D" w:rsidRPr="009C39DF" w:rsidRDefault="007678B1" w:rsidP="009C39DF">
      <w:pPr>
        <w:spacing w:after="240"/>
        <w:rPr>
          <w:sz w:val="22"/>
        </w:rPr>
      </w:pPr>
      <w:r>
        <w:rPr>
          <w:sz w:val="22"/>
        </w:rPr>
        <w:t>The Auditor</w:t>
      </w:r>
      <w:r w:rsidR="008F1990">
        <w:rPr>
          <w:sz w:val="22"/>
        </w:rPr>
        <w:t xml:space="preserve"> </w:t>
      </w:r>
      <w:r>
        <w:rPr>
          <w:sz w:val="22"/>
        </w:rPr>
        <w:t>G</w:t>
      </w:r>
      <w:r w:rsidRPr="009C39DF">
        <w:rPr>
          <w:sz w:val="22"/>
        </w:rPr>
        <w:t>eneral was not in a position to provide an opinion and the AFS 2014</w:t>
      </w:r>
      <w:r>
        <w:rPr>
          <w:sz w:val="22"/>
        </w:rPr>
        <w:t>/</w:t>
      </w:r>
      <w:r w:rsidRPr="009C39DF">
        <w:rPr>
          <w:sz w:val="22"/>
        </w:rPr>
        <w:t>15</w:t>
      </w:r>
      <w:r>
        <w:rPr>
          <w:sz w:val="22"/>
        </w:rPr>
        <w:t>, b</w:t>
      </w:r>
      <w:r w:rsidR="00FA225D" w:rsidRPr="009C39DF">
        <w:rPr>
          <w:sz w:val="22"/>
        </w:rPr>
        <w:t xml:space="preserve">ecause of many misleading operations such as renovation of machinery and equipment disclosed as cost of acquisition of assets, lack of a </w:t>
      </w:r>
      <w:r>
        <w:rPr>
          <w:sz w:val="22"/>
        </w:rPr>
        <w:t>f</w:t>
      </w:r>
      <w:r w:rsidR="00FA225D" w:rsidRPr="009C39DF">
        <w:rPr>
          <w:sz w:val="22"/>
        </w:rPr>
        <w:t xml:space="preserve">ixed </w:t>
      </w:r>
      <w:r>
        <w:rPr>
          <w:sz w:val="22"/>
        </w:rPr>
        <w:t>a</w:t>
      </w:r>
      <w:r w:rsidR="00FA225D" w:rsidRPr="009C39DF">
        <w:rPr>
          <w:sz w:val="22"/>
        </w:rPr>
        <w:t xml:space="preserve">ssets </w:t>
      </w:r>
      <w:r>
        <w:rPr>
          <w:sz w:val="22"/>
        </w:rPr>
        <w:t>r</w:t>
      </w:r>
      <w:r w:rsidR="00FA225D" w:rsidRPr="009C39DF">
        <w:rPr>
          <w:sz w:val="22"/>
        </w:rPr>
        <w:t xml:space="preserve">egister, unsupported account in cashbook balances, unclear amount of pending bills, payments processed by either original or duplicate for LPOs </w:t>
      </w:r>
      <w:r w:rsidR="0027510E">
        <w:rPr>
          <w:sz w:val="22"/>
        </w:rPr>
        <w:t>(</w:t>
      </w:r>
      <w:r w:rsidR="00FA225D" w:rsidRPr="009C39DF">
        <w:rPr>
          <w:sz w:val="22"/>
        </w:rPr>
        <w:t xml:space="preserve">instead </w:t>
      </w:r>
      <w:r w:rsidR="007815B0" w:rsidRPr="009C39DF">
        <w:rPr>
          <w:sz w:val="22"/>
        </w:rPr>
        <w:t>of</w:t>
      </w:r>
      <w:r w:rsidR="007815B0">
        <w:rPr>
          <w:sz w:val="22"/>
        </w:rPr>
        <w:t xml:space="preserve"> both</w:t>
      </w:r>
      <w:r w:rsidR="0027510E">
        <w:rPr>
          <w:sz w:val="22"/>
        </w:rPr>
        <w:t>)</w:t>
      </w:r>
      <w:r w:rsidR="00FA225D" w:rsidRPr="009C39DF">
        <w:rPr>
          <w:sz w:val="22"/>
        </w:rPr>
        <w:t xml:space="preserve">, provisional </w:t>
      </w:r>
      <w:r>
        <w:rPr>
          <w:sz w:val="22"/>
        </w:rPr>
        <w:t>s</w:t>
      </w:r>
      <w:r w:rsidR="00FA225D" w:rsidRPr="009C39DF">
        <w:rPr>
          <w:sz w:val="22"/>
        </w:rPr>
        <w:t xml:space="preserve">ums paid without supporting documents, purchase of goods from a </w:t>
      </w:r>
      <w:r w:rsidR="006B565B" w:rsidRPr="009C39DF">
        <w:rPr>
          <w:sz w:val="22"/>
        </w:rPr>
        <w:t xml:space="preserve">prequalified </w:t>
      </w:r>
      <w:r w:rsidR="00FA225D" w:rsidRPr="009C39DF">
        <w:rPr>
          <w:sz w:val="22"/>
        </w:rPr>
        <w:t xml:space="preserve">firm, unjustified use of emergency </w:t>
      </w:r>
      <w:r w:rsidR="006B565B">
        <w:rPr>
          <w:sz w:val="22"/>
        </w:rPr>
        <w:t>f</w:t>
      </w:r>
      <w:r w:rsidR="00FA225D" w:rsidRPr="009C39DF">
        <w:rPr>
          <w:sz w:val="22"/>
        </w:rPr>
        <w:t xml:space="preserve">unds, dissimilar </w:t>
      </w:r>
      <w:r w:rsidR="006B565B">
        <w:rPr>
          <w:sz w:val="22"/>
        </w:rPr>
        <w:t xml:space="preserve">AFS </w:t>
      </w:r>
      <w:r w:rsidR="00FA225D" w:rsidRPr="009C39DF">
        <w:rPr>
          <w:sz w:val="22"/>
        </w:rPr>
        <w:t>formats between approved budget and actual recurrent and development expenditure, over</w:t>
      </w:r>
      <w:r w:rsidR="00404E9E">
        <w:rPr>
          <w:sz w:val="22"/>
        </w:rPr>
        <w:t>-</w:t>
      </w:r>
      <w:r w:rsidR="00FA225D" w:rsidRPr="009C39DF">
        <w:rPr>
          <w:sz w:val="22"/>
        </w:rPr>
        <w:t xml:space="preserve">expenditure in compensation of employees, </w:t>
      </w:r>
      <w:r w:rsidR="00404E9E">
        <w:rPr>
          <w:sz w:val="22"/>
        </w:rPr>
        <w:t xml:space="preserve">and </w:t>
      </w:r>
      <w:r w:rsidR="00FA225D" w:rsidRPr="009C39DF">
        <w:rPr>
          <w:sz w:val="22"/>
        </w:rPr>
        <w:t>lack of alignment between approved budget and procurement plan. In conclusion, use of resources for service delivery cannot be considered as efficient under such conditions.</w:t>
      </w:r>
    </w:p>
    <w:p w14:paraId="5B33ED9B" w14:textId="4F1FC5DF" w:rsidR="00CA52CE" w:rsidRPr="009C39DF" w:rsidRDefault="004B4949" w:rsidP="009C39DF">
      <w:pPr>
        <w:spacing w:after="240"/>
        <w:rPr>
          <w:sz w:val="22"/>
        </w:rPr>
      </w:pPr>
      <w:r w:rsidRPr="009C39DF">
        <w:rPr>
          <w:sz w:val="22"/>
        </w:rPr>
        <w:t>In sum</w:t>
      </w:r>
      <w:r w:rsidR="00916F24" w:rsidRPr="009C39DF">
        <w:rPr>
          <w:sz w:val="22"/>
        </w:rPr>
        <w:t>mary</w:t>
      </w:r>
      <w:r w:rsidRPr="009C39DF">
        <w:rPr>
          <w:sz w:val="22"/>
        </w:rPr>
        <w:t>, this</w:t>
      </w:r>
      <w:r w:rsidR="00CA52CE" w:rsidRPr="009C39DF">
        <w:rPr>
          <w:sz w:val="22"/>
        </w:rPr>
        <w:t xml:space="preserve"> analysis co</w:t>
      </w:r>
      <w:r w:rsidR="00FA225D" w:rsidRPr="009C39DF">
        <w:rPr>
          <w:sz w:val="22"/>
        </w:rPr>
        <w:t>nclude</w:t>
      </w:r>
      <w:r w:rsidRPr="009C39DF">
        <w:rPr>
          <w:sz w:val="22"/>
        </w:rPr>
        <w:t>s</w:t>
      </w:r>
      <w:r w:rsidR="00FA225D" w:rsidRPr="009C39DF">
        <w:rPr>
          <w:sz w:val="22"/>
        </w:rPr>
        <w:t xml:space="preserve"> that the main </w:t>
      </w:r>
      <w:r w:rsidR="00CA52CE" w:rsidRPr="009C39DF">
        <w:rPr>
          <w:sz w:val="22"/>
        </w:rPr>
        <w:t xml:space="preserve">weaknesses of the </w:t>
      </w:r>
      <w:r w:rsidR="00FA225D" w:rsidRPr="009C39DF">
        <w:rPr>
          <w:sz w:val="22"/>
        </w:rPr>
        <w:t xml:space="preserve">Kajiado County </w:t>
      </w:r>
      <w:r w:rsidR="00CA52CE" w:rsidRPr="009C39DF">
        <w:rPr>
          <w:sz w:val="22"/>
        </w:rPr>
        <w:t xml:space="preserve">PFM system </w:t>
      </w:r>
      <w:r w:rsidR="008F73B4" w:rsidRPr="009C39DF">
        <w:rPr>
          <w:sz w:val="22"/>
        </w:rPr>
        <w:t>are</w:t>
      </w:r>
      <w:r w:rsidR="00404E9E">
        <w:rPr>
          <w:sz w:val="22"/>
        </w:rPr>
        <w:t xml:space="preserve"> the following</w:t>
      </w:r>
      <w:r w:rsidR="00514EE0" w:rsidRPr="009C39DF">
        <w:rPr>
          <w:sz w:val="22"/>
        </w:rPr>
        <w:t>:</w:t>
      </w:r>
      <w:r w:rsidR="00FA225D" w:rsidRPr="009C39DF">
        <w:rPr>
          <w:sz w:val="22"/>
        </w:rPr>
        <w:t xml:space="preserve"> (</w:t>
      </w:r>
      <w:r w:rsidR="00404E9E">
        <w:rPr>
          <w:sz w:val="22"/>
        </w:rPr>
        <w:t>a</w:t>
      </w:r>
      <w:r w:rsidR="00FA225D" w:rsidRPr="009C39DF">
        <w:rPr>
          <w:sz w:val="22"/>
        </w:rPr>
        <w:t xml:space="preserve">) to </w:t>
      </w:r>
      <w:r w:rsidR="00514EE0" w:rsidRPr="009C39DF">
        <w:rPr>
          <w:sz w:val="22"/>
        </w:rPr>
        <w:t>support</w:t>
      </w:r>
      <w:r w:rsidR="00FA225D" w:rsidRPr="009C39DF">
        <w:rPr>
          <w:sz w:val="22"/>
        </w:rPr>
        <w:t xml:space="preserve"> the </w:t>
      </w:r>
      <w:r w:rsidR="00404E9E">
        <w:rPr>
          <w:sz w:val="22"/>
        </w:rPr>
        <w:t>c</w:t>
      </w:r>
      <w:r w:rsidR="00FA225D" w:rsidRPr="009C39DF">
        <w:rPr>
          <w:sz w:val="22"/>
        </w:rPr>
        <w:t xml:space="preserve">ounty strategy on a more realistic situation of the </w:t>
      </w:r>
      <w:r w:rsidR="00404E9E">
        <w:rPr>
          <w:sz w:val="22"/>
        </w:rPr>
        <w:t>c</w:t>
      </w:r>
      <w:r w:rsidR="00FA225D" w:rsidRPr="009C39DF">
        <w:rPr>
          <w:sz w:val="22"/>
        </w:rPr>
        <w:t>ounty economy than using the national level</w:t>
      </w:r>
      <w:r w:rsidR="00404E9E">
        <w:rPr>
          <w:sz w:val="22"/>
        </w:rPr>
        <w:t>,</w:t>
      </w:r>
      <w:r w:rsidR="00FA225D" w:rsidRPr="009C39DF">
        <w:rPr>
          <w:sz w:val="22"/>
        </w:rPr>
        <w:t xml:space="preserve"> to better define the government’s fiscal and budgetary objectives</w:t>
      </w:r>
      <w:r w:rsidR="00404E9E">
        <w:rPr>
          <w:sz w:val="22"/>
        </w:rPr>
        <w:t>;</w:t>
      </w:r>
      <w:r w:rsidR="00FA225D" w:rsidRPr="009C39DF">
        <w:rPr>
          <w:sz w:val="22"/>
        </w:rPr>
        <w:t xml:space="preserve"> (</w:t>
      </w:r>
      <w:r w:rsidR="00404E9E">
        <w:rPr>
          <w:sz w:val="22"/>
        </w:rPr>
        <w:t>b</w:t>
      </w:r>
      <w:r w:rsidR="00FA225D" w:rsidRPr="009C39DF">
        <w:rPr>
          <w:sz w:val="22"/>
        </w:rPr>
        <w:t xml:space="preserve">) </w:t>
      </w:r>
      <w:r w:rsidRPr="009C39DF">
        <w:rPr>
          <w:sz w:val="22"/>
        </w:rPr>
        <w:t xml:space="preserve">to improve discipline and procedures of effective financial control, human </w:t>
      </w:r>
      <w:r w:rsidR="00404E9E">
        <w:rPr>
          <w:sz w:val="22"/>
        </w:rPr>
        <w:t>r</w:t>
      </w:r>
      <w:r w:rsidRPr="009C39DF">
        <w:rPr>
          <w:sz w:val="22"/>
        </w:rPr>
        <w:t>esource management</w:t>
      </w:r>
      <w:r w:rsidR="00404E9E">
        <w:rPr>
          <w:sz w:val="22"/>
        </w:rPr>
        <w:t>,</w:t>
      </w:r>
      <w:r w:rsidRPr="009C39DF">
        <w:rPr>
          <w:sz w:val="22"/>
        </w:rPr>
        <w:t xml:space="preserve"> and </w:t>
      </w:r>
      <w:r w:rsidR="00404E9E">
        <w:rPr>
          <w:sz w:val="22"/>
        </w:rPr>
        <w:t>e</w:t>
      </w:r>
      <w:r w:rsidRPr="009C39DF">
        <w:rPr>
          <w:sz w:val="22"/>
        </w:rPr>
        <w:t>thics</w:t>
      </w:r>
      <w:r w:rsidR="00404E9E">
        <w:rPr>
          <w:sz w:val="22"/>
        </w:rPr>
        <w:t xml:space="preserve">, </w:t>
      </w:r>
      <w:r w:rsidRPr="009C39DF">
        <w:rPr>
          <w:sz w:val="22"/>
        </w:rPr>
        <w:t>to quickly get a positive opinion of the OAG on its AFS</w:t>
      </w:r>
      <w:r w:rsidR="00404E9E">
        <w:rPr>
          <w:sz w:val="22"/>
        </w:rPr>
        <w:t>;</w:t>
      </w:r>
      <w:r w:rsidRPr="009C39DF">
        <w:rPr>
          <w:sz w:val="22"/>
        </w:rPr>
        <w:t xml:space="preserve"> </w:t>
      </w:r>
      <w:r w:rsidR="00404E9E">
        <w:rPr>
          <w:sz w:val="22"/>
        </w:rPr>
        <w:t xml:space="preserve">and </w:t>
      </w:r>
      <w:r w:rsidRPr="009C39DF">
        <w:rPr>
          <w:sz w:val="22"/>
        </w:rPr>
        <w:t>(</w:t>
      </w:r>
      <w:r w:rsidR="00404E9E">
        <w:rPr>
          <w:sz w:val="22"/>
        </w:rPr>
        <w:t>c</w:t>
      </w:r>
      <w:r w:rsidRPr="009C39DF">
        <w:rPr>
          <w:sz w:val="22"/>
        </w:rPr>
        <w:t>) to improve</w:t>
      </w:r>
      <w:r w:rsidR="003D11A0" w:rsidRPr="009C39DF">
        <w:rPr>
          <w:sz w:val="22"/>
        </w:rPr>
        <w:t xml:space="preserve"> </w:t>
      </w:r>
      <w:r w:rsidR="00404E9E">
        <w:rPr>
          <w:sz w:val="22"/>
        </w:rPr>
        <w:t>s</w:t>
      </w:r>
      <w:r w:rsidRPr="009C39DF">
        <w:rPr>
          <w:sz w:val="22"/>
        </w:rPr>
        <w:t xml:space="preserve">ervice </w:t>
      </w:r>
      <w:r w:rsidR="00404E9E">
        <w:rPr>
          <w:sz w:val="22"/>
        </w:rPr>
        <w:t>d</w:t>
      </w:r>
      <w:r w:rsidRPr="009C39DF">
        <w:rPr>
          <w:sz w:val="22"/>
        </w:rPr>
        <w:t>elivery and quality of service</w:t>
      </w:r>
      <w:r w:rsidR="00B652B6" w:rsidRPr="009C39DF">
        <w:rPr>
          <w:sz w:val="22"/>
        </w:rPr>
        <w:t>.</w:t>
      </w:r>
    </w:p>
    <w:p w14:paraId="722F35B0" w14:textId="5E601764" w:rsidR="008876BE" w:rsidRPr="009C39DF" w:rsidRDefault="004B4949" w:rsidP="009C39DF">
      <w:pPr>
        <w:spacing w:after="240"/>
        <w:rPr>
          <w:sz w:val="22"/>
        </w:rPr>
      </w:pPr>
      <w:r w:rsidRPr="009C39DF">
        <w:rPr>
          <w:sz w:val="22"/>
        </w:rPr>
        <w:t xml:space="preserve">Additional reforms are also needed to enhance the policy/performance platform through the creation of a more reliable </w:t>
      </w:r>
      <w:r w:rsidR="00404E9E">
        <w:rPr>
          <w:sz w:val="22"/>
        </w:rPr>
        <w:t>m</w:t>
      </w:r>
      <w:r w:rsidRPr="009C39DF">
        <w:rPr>
          <w:sz w:val="22"/>
        </w:rPr>
        <w:t xml:space="preserve">acroeconomic and </w:t>
      </w:r>
      <w:r w:rsidR="00404E9E">
        <w:rPr>
          <w:sz w:val="22"/>
        </w:rPr>
        <w:t>f</w:t>
      </w:r>
      <w:r w:rsidRPr="009C39DF">
        <w:rPr>
          <w:sz w:val="22"/>
        </w:rPr>
        <w:t xml:space="preserve">iscal </w:t>
      </w:r>
      <w:r w:rsidR="00404E9E">
        <w:rPr>
          <w:sz w:val="22"/>
        </w:rPr>
        <w:t>f</w:t>
      </w:r>
      <w:r w:rsidRPr="009C39DF">
        <w:rPr>
          <w:sz w:val="22"/>
        </w:rPr>
        <w:t>ramework at the subnational level</w:t>
      </w:r>
      <w:r w:rsidR="00404E9E">
        <w:rPr>
          <w:sz w:val="22"/>
        </w:rPr>
        <w:t>,</w:t>
      </w:r>
      <w:r w:rsidRPr="009C39DF">
        <w:rPr>
          <w:sz w:val="22"/>
        </w:rPr>
        <w:t xml:space="preserve"> to move toward more </w:t>
      </w:r>
      <w:r w:rsidR="008876BE" w:rsidRPr="009C39DF">
        <w:rPr>
          <w:sz w:val="22"/>
        </w:rPr>
        <w:t>performance-based</w:t>
      </w:r>
      <w:r w:rsidRPr="009C39DF">
        <w:rPr>
          <w:sz w:val="22"/>
        </w:rPr>
        <w:t xml:space="preserve"> budgeting. </w:t>
      </w:r>
    </w:p>
    <w:p w14:paraId="59E9353E" w14:textId="6C6BD08F" w:rsidR="00CA52CE" w:rsidRPr="00196FAE" w:rsidRDefault="00CA52CE" w:rsidP="00671E8A">
      <w:pPr>
        <w:pStyle w:val="Heading1"/>
        <w:rPr>
          <w:smallCaps w:val="0"/>
        </w:rPr>
      </w:pPr>
      <w:bookmarkStart w:id="129" w:name="_Toc150874"/>
      <w:bookmarkStart w:id="130" w:name="_Toc532426048"/>
      <w:r w:rsidRPr="00196FAE">
        <w:rPr>
          <w:smallCaps w:val="0"/>
        </w:rPr>
        <w:t xml:space="preserve">Government </w:t>
      </w:r>
      <w:r w:rsidRPr="00C25896">
        <w:rPr>
          <w:smallCaps w:val="0"/>
        </w:rPr>
        <w:t xml:space="preserve">PFM </w:t>
      </w:r>
      <w:bookmarkEnd w:id="129"/>
      <w:r w:rsidR="00785C64" w:rsidRPr="00C25896">
        <w:rPr>
          <w:smallCaps w:val="0"/>
        </w:rPr>
        <w:t>R</w:t>
      </w:r>
      <w:r w:rsidR="000C73E4" w:rsidRPr="00C25896">
        <w:rPr>
          <w:smallCaps w:val="0"/>
        </w:rPr>
        <w:t>eform</w:t>
      </w:r>
      <w:r w:rsidR="000C73E4" w:rsidRPr="00196FAE">
        <w:rPr>
          <w:smallCaps w:val="0"/>
        </w:rPr>
        <w:t xml:space="preserve"> </w:t>
      </w:r>
      <w:r w:rsidR="00785C64">
        <w:rPr>
          <w:smallCaps w:val="0"/>
        </w:rPr>
        <w:t>P</w:t>
      </w:r>
      <w:r w:rsidR="000C73E4" w:rsidRPr="00196FAE">
        <w:rPr>
          <w:smallCaps w:val="0"/>
        </w:rPr>
        <w:t>rocess</w:t>
      </w:r>
      <w:bookmarkEnd w:id="130"/>
    </w:p>
    <w:p w14:paraId="0F625CCA" w14:textId="77777777" w:rsidR="00CA52CE" w:rsidRPr="00890A84" w:rsidRDefault="00CA52CE" w:rsidP="00776E84">
      <w:pPr>
        <w:pStyle w:val="Heading2"/>
      </w:pPr>
      <w:bookmarkStart w:id="131" w:name="_Toc532426049"/>
      <w:r w:rsidRPr="00890A84">
        <w:t xml:space="preserve">Approach to </w:t>
      </w:r>
      <w:r w:rsidRPr="00C25896">
        <w:t>PFM reforms</w:t>
      </w:r>
      <w:bookmarkEnd w:id="131"/>
    </w:p>
    <w:p w14:paraId="3318E291" w14:textId="43965C95" w:rsidR="0040210C" w:rsidRPr="009C39DF" w:rsidRDefault="0040210C" w:rsidP="009C39DF">
      <w:pPr>
        <w:spacing w:after="240"/>
        <w:rPr>
          <w:sz w:val="22"/>
        </w:rPr>
      </w:pPr>
      <w:r w:rsidRPr="009C39DF">
        <w:rPr>
          <w:sz w:val="20"/>
        </w:rPr>
        <w:t>In</w:t>
      </w:r>
      <w:r w:rsidRPr="009C39DF">
        <w:rPr>
          <w:sz w:val="22"/>
        </w:rPr>
        <w:t xml:space="preserve"> Kenya, the </w:t>
      </w:r>
      <w:r w:rsidR="001352A1">
        <w:rPr>
          <w:sz w:val="22"/>
        </w:rPr>
        <w:t>n</w:t>
      </w:r>
      <w:r w:rsidR="00607B97" w:rsidRPr="009C39DF">
        <w:rPr>
          <w:sz w:val="22"/>
        </w:rPr>
        <w:t xml:space="preserve">ational </w:t>
      </w:r>
      <w:r w:rsidR="001352A1">
        <w:rPr>
          <w:sz w:val="22"/>
        </w:rPr>
        <w:t>g</w:t>
      </w:r>
      <w:r w:rsidR="00607B97" w:rsidRPr="009C39DF">
        <w:rPr>
          <w:sz w:val="22"/>
        </w:rPr>
        <w:t>overnment</w:t>
      </w:r>
      <w:r w:rsidR="001352A1">
        <w:rPr>
          <w:sz w:val="22"/>
        </w:rPr>
        <w:t>,</w:t>
      </w:r>
      <w:r w:rsidRPr="009C39DF">
        <w:rPr>
          <w:sz w:val="22"/>
        </w:rPr>
        <w:t xml:space="preserve"> through the National Treasury</w:t>
      </w:r>
      <w:r w:rsidR="001352A1">
        <w:rPr>
          <w:sz w:val="22"/>
        </w:rPr>
        <w:t>,</w:t>
      </w:r>
      <w:r w:rsidRPr="009C39DF">
        <w:rPr>
          <w:sz w:val="22"/>
        </w:rPr>
        <w:t xml:space="preserve"> takes the lead in initiating and implementing </w:t>
      </w:r>
      <w:r w:rsidRPr="00C25896">
        <w:rPr>
          <w:sz w:val="22"/>
        </w:rPr>
        <w:t>PFM reforms</w:t>
      </w:r>
      <w:r w:rsidRPr="009C39DF">
        <w:rPr>
          <w:sz w:val="22"/>
        </w:rPr>
        <w:t xml:space="preserve">. The </w:t>
      </w:r>
      <w:r w:rsidR="001352A1">
        <w:rPr>
          <w:sz w:val="22"/>
        </w:rPr>
        <w:t>G</w:t>
      </w:r>
      <w:r w:rsidRPr="009C39DF">
        <w:rPr>
          <w:sz w:val="22"/>
        </w:rPr>
        <w:t xml:space="preserve">overnment of Kenya has undertaken </w:t>
      </w:r>
      <w:r w:rsidRPr="00C25896">
        <w:rPr>
          <w:sz w:val="22"/>
        </w:rPr>
        <w:t>PFM reforms</w:t>
      </w:r>
      <w:r w:rsidRPr="009C39DF">
        <w:rPr>
          <w:sz w:val="22"/>
        </w:rPr>
        <w:t xml:space="preserve"> since 2006</w:t>
      </w:r>
      <w:r w:rsidR="001352A1">
        <w:rPr>
          <w:sz w:val="22"/>
        </w:rPr>
        <w:t>,</w:t>
      </w:r>
      <w:r w:rsidRPr="009C39DF">
        <w:rPr>
          <w:sz w:val="22"/>
        </w:rPr>
        <w:t xml:space="preserve"> </w:t>
      </w:r>
      <w:r w:rsidR="001352A1">
        <w:rPr>
          <w:sz w:val="22"/>
        </w:rPr>
        <w:t>which</w:t>
      </w:r>
      <w:r w:rsidR="001352A1" w:rsidRPr="009C39DF">
        <w:rPr>
          <w:sz w:val="22"/>
        </w:rPr>
        <w:t xml:space="preserve"> </w:t>
      </w:r>
      <w:r w:rsidRPr="009C39DF">
        <w:rPr>
          <w:sz w:val="22"/>
        </w:rPr>
        <w:t>has been elaborated in Vision 2030. The current PFM</w:t>
      </w:r>
      <w:r w:rsidR="001352A1">
        <w:rPr>
          <w:sz w:val="22"/>
        </w:rPr>
        <w:t>R</w:t>
      </w:r>
      <w:r w:rsidRPr="009C39DF">
        <w:rPr>
          <w:sz w:val="22"/>
        </w:rPr>
        <w:t xml:space="preserve"> strategy is elaborated in the Strategy for </w:t>
      </w:r>
      <w:r w:rsidR="001352A1">
        <w:rPr>
          <w:sz w:val="22"/>
        </w:rPr>
        <w:t>P</w:t>
      </w:r>
      <w:r w:rsidRPr="009C39DF">
        <w:rPr>
          <w:sz w:val="22"/>
        </w:rPr>
        <w:t xml:space="preserve">ublic Finance </w:t>
      </w:r>
      <w:r w:rsidR="001352A1">
        <w:rPr>
          <w:sz w:val="22"/>
        </w:rPr>
        <w:t>M</w:t>
      </w:r>
      <w:r w:rsidRPr="009C39DF">
        <w:rPr>
          <w:sz w:val="22"/>
        </w:rPr>
        <w:t xml:space="preserve">anagement </w:t>
      </w:r>
      <w:r w:rsidR="001352A1">
        <w:rPr>
          <w:sz w:val="22"/>
        </w:rPr>
        <w:t>R</w:t>
      </w:r>
      <w:r w:rsidRPr="009C39DF">
        <w:rPr>
          <w:sz w:val="22"/>
        </w:rPr>
        <w:t>eforms in Kenya 2013</w:t>
      </w:r>
      <w:r w:rsidR="001352A1">
        <w:rPr>
          <w:sz w:val="22"/>
        </w:rPr>
        <w:t>–</w:t>
      </w:r>
      <w:r w:rsidRPr="009C39DF">
        <w:rPr>
          <w:sz w:val="22"/>
        </w:rPr>
        <w:t xml:space="preserve">2018. The overall goal of this </w:t>
      </w:r>
      <w:r w:rsidR="001352A1">
        <w:rPr>
          <w:sz w:val="22"/>
        </w:rPr>
        <w:t>PFMR</w:t>
      </w:r>
      <w:r w:rsidR="001352A1" w:rsidRPr="009C39DF">
        <w:rPr>
          <w:sz w:val="22"/>
        </w:rPr>
        <w:t xml:space="preserve"> </w:t>
      </w:r>
      <w:r w:rsidRPr="009C39DF">
        <w:rPr>
          <w:sz w:val="22"/>
        </w:rPr>
        <w:t xml:space="preserve">Strategy is to ensure </w:t>
      </w:r>
      <w:r w:rsidRPr="001352A1">
        <w:rPr>
          <w:sz w:val="22"/>
        </w:rPr>
        <w:t xml:space="preserve">“A public finance management system that promotes transparency, accountability, equity, fiscal discipline and efficiency in the management and use of public resources for improved service delivery and economic </w:t>
      </w:r>
      <w:r w:rsidR="000C73E4" w:rsidRPr="001352A1">
        <w:rPr>
          <w:sz w:val="22"/>
        </w:rPr>
        <w:t>development</w:t>
      </w:r>
      <w:r w:rsidR="001352A1">
        <w:rPr>
          <w:sz w:val="22"/>
        </w:rPr>
        <w:t>.</w:t>
      </w:r>
      <w:r w:rsidR="000C73E4" w:rsidRPr="001352A1">
        <w:rPr>
          <w:sz w:val="22"/>
        </w:rPr>
        <w:t>”</w:t>
      </w:r>
      <w:r w:rsidR="000C73E4" w:rsidRPr="009C39DF">
        <w:rPr>
          <w:sz w:val="22"/>
        </w:rPr>
        <w:t xml:space="preserve"> The</w:t>
      </w:r>
      <w:r w:rsidRPr="009C39DF">
        <w:rPr>
          <w:sz w:val="22"/>
        </w:rPr>
        <w:t xml:space="preserve"> main areas of emphasis in the </w:t>
      </w:r>
      <w:r w:rsidR="000C73E4" w:rsidRPr="009C39DF">
        <w:rPr>
          <w:sz w:val="22"/>
        </w:rPr>
        <w:t>strategy include</w:t>
      </w:r>
      <w:r w:rsidRPr="009C39DF">
        <w:rPr>
          <w:sz w:val="22"/>
        </w:rPr>
        <w:t xml:space="preserve"> (</w:t>
      </w:r>
      <w:r w:rsidR="001352A1">
        <w:rPr>
          <w:sz w:val="22"/>
        </w:rPr>
        <w:t>a</w:t>
      </w:r>
      <w:r w:rsidRPr="009C39DF">
        <w:rPr>
          <w:sz w:val="22"/>
        </w:rPr>
        <w:t xml:space="preserve">) </w:t>
      </w:r>
      <w:r w:rsidR="001352A1">
        <w:rPr>
          <w:sz w:val="22"/>
        </w:rPr>
        <w:t>m</w:t>
      </w:r>
      <w:r w:rsidRPr="009C39DF">
        <w:rPr>
          <w:sz w:val="22"/>
        </w:rPr>
        <w:t xml:space="preserve">acroeconomic </w:t>
      </w:r>
      <w:r w:rsidR="001352A1">
        <w:rPr>
          <w:sz w:val="22"/>
        </w:rPr>
        <w:t>m</w:t>
      </w:r>
      <w:r w:rsidRPr="009C39DF">
        <w:rPr>
          <w:sz w:val="22"/>
        </w:rPr>
        <w:t xml:space="preserve">anagement and </w:t>
      </w:r>
      <w:r w:rsidR="001352A1">
        <w:rPr>
          <w:sz w:val="22"/>
        </w:rPr>
        <w:t>r</w:t>
      </w:r>
      <w:r w:rsidRPr="009C39DF">
        <w:rPr>
          <w:sz w:val="22"/>
        </w:rPr>
        <w:t xml:space="preserve">esource </w:t>
      </w:r>
      <w:r w:rsidR="001352A1">
        <w:rPr>
          <w:sz w:val="22"/>
        </w:rPr>
        <w:t>m</w:t>
      </w:r>
      <w:r w:rsidRPr="009C39DF">
        <w:rPr>
          <w:sz w:val="22"/>
        </w:rPr>
        <w:t>obilization</w:t>
      </w:r>
      <w:r w:rsidR="001352A1">
        <w:rPr>
          <w:sz w:val="22"/>
        </w:rPr>
        <w:t>;</w:t>
      </w:r>
      <w:r w:rsidRPr="009C39DF">
        <w:rPr>
          <w:sz w:val="22"/>
        </w:rPr>
        <w:t xml:space="preserve"> (</w:t>
      </w:r>
      <w:r w:rsidR="001352A1">
        <w:rPr>
          <w:sz w:val="22"/>
        </w:rPr>
        <w:t>b</w:t>
      </w:r>
      <w:r w:rsidRPr="009C39DF">
        <w:rPr>
          <w:sz w:val="22"/>
        </w:rPr>
        <w:t xml:space="preserve">) </w:t>
      </w:r>
      <w:r w:rsidR="001352A1">
        <w:rPr>
          <w:sz w:val="22"/>
        </w:rPr>
        <w:t>s</w:t>
      </w:r>
      <w:r w:rsidRPr="009C39DF">
        <w:rPr>
          <w:sz w:val="22"/>
        </w:rPr>
        <w:t xml:space="preserve">trategic </w:t>
      </w:r>
      <w:r w:rsidR="001352A1">
        <w:rPr>
          <w:sz w:val="22"/>
        </w:rPr>
        <w:t>p</w:t>
      </w:r>
      <w:r w:rsidRPr="009C39DF">
        <w:rPr>
          <w:sz w:val="22"/>
        </w:rPr>
        <w:t xml:space="preserve">lanning and </w:t>
      </w:r>
      <w:r w:rsidR="001352A1">
        <w:rPr>
          <w:sz w:val="22"/>
        </w:rPr>
        <w:t>r</w:t>
      </w:r>
      <w:r w:rsidRPr="009C39DF">
        <w:rPr>
          <w:sz w:val="22"/>
        </w:rPr>
        <w:t xml:space="preserve">esource </w:t>
      </w:r>
      <w:r w:rsidR="001352A1">
        <w:rPr>
          <w:sz w:val="22"/>
        </w:rPr>
        <w:t>a</w:t>
      </w:r>
      <w:r w:rsidRPr="009C39DF">
        <w:rPr>
          <w:sz w:val="22"/>
        </w:rPr>
        <w:t>llocation</w:t>
      </w:r>
      <w:r w:rsidR="001352A1">
        <w:rPr>
          <w:sz w:val="22"/>
        </w:rPr>
        <w:t>;</w:t>
      </w:r>
      <w:r w:rsidRPr="009C39DF">
        <w:rPr>
          <w:sz w:val="22"/>
        </w:rPr>
        <w:t xml:space="preserve"> (</w:t>
      </w:r>
      <w:r w:rsidR="001352A1">
        <w:rPr>
          <w:sz w:val="22"/>
        </w:rPr>
        <w:t>c</w:t>
      </w:r>
      <w:r w:rsidRPr="009C39DF">
        <w:rPr>
          <w:sz w:val="22"/>
        </w:rPr>
        <w:t xml:space="preserve">) </w:t>
      </w:r>
      <w:r w:rsidR="001352A1">
        <w:rPr>
          <w:sz w:val="22"/>
        </w:rPr>
        <w:t>b</w:t>
      </w:r>
      <w:r w:rsidRPr="009C39DF">
        <w:rPr>
          <w:sz w:val="22"/>
        </w:rPr>
        <w:t xml:space="preserve">udget </w:t>
      </w:r>
      <w:r w:rsidR="001352A1">
        <w:rPr>
          <w:sz w:val="22"/>
        </w:rPr>
        <w:t>e</w:t>
      </w:r>
      <w:r w:rsidRPr="009C39DF">
        <w:rPr>
          <w:sz w:val="22"/>
        </w:rPr>
        <w:t xml:space="preserve">xecution, </w:t>
      </w:r>
      <w:r w:rsidR="001352A1">
        <w:rPr>
          <w:sz w:val="22"/>
        </w:rPr>
        <w:t>a</w:t>
      </w:r>
      <w:r w:rsidRPr="009C39DF">
        <w:rPr>
          <w:sz w:val="22"/>
        </w:rPr>
        <w:t>ccounting</w:t>
      </w:r>
      <w:r w:rsidR="001352A1">
        <w:rPr>
          <w:sz w:val="22"/>
        </w:rPr>
        <w:t>,</w:t>
      </w:r>
      <w:r w:rsidRPr="009C39DF">
        <w:rPr>
          <w:sz w:val="22"/>
        </w:rPr>
        <w:t xml:space="preserve"> and </w:t>
      </w:r>
      <w:r w:rsidR="001352A1">
        <w:rPr>
          <w:sz w:val="22"/>
        </w:rPr>
        <w:t>r</w:t>
      </w:r>
      <w:r w:rsidRPr="009C39DF">
        <w:rPr>
          <w:sz w:val="22"/>
        </w:rPr>
        <w:t xml:space="preserve">eporting and </w:t>
      </w:r>
      <w:r w:rsidR="001352A1">
        <w:rPr>
          <w:sz w:val="22"/>
        </w:rPr>
        <w:t>r</w:t>
      </w:r>
      <w:r w:rsidRPr="009C39DF">
        <w:rPr>
          <w:sz w:val="22"/>
        </w:rPr>
        <w:t>eview</w:t>
      </w:r>
      <w:r w:rsidR="001352A1">
        <w:rPr>
          <w:sz w:val="22"/>
        </w:rPr>
        <w:t>;</w:t>
      </w:r>
      <w:r w:rsidRPr="009C39DF">
        <w:rPr>
          <w:sz w:val="22"/>
        </w:rPr>
        <w:t xml:space="preserve"> (</w:t>
      </w:r>
      <w:r w:rsidR="001352A1">
        <w:rPr>
          <w:sz w:val="22"/>
        </w:rPr>
        <w:t>d</w:t>
      </w:r>
      <w:r w:rsidRPr="009C39DF">
        <w:rPr>
          <w:sz w:val="22"/>
        </w:rPr>
        <w:t xml:space="preserve">) </w:t>
      </w:r>
      <w:r w:rsidR="001352A1">
        <w:rPr>
          <w:sz w:val="22"/>
        </w:rPr>
        <w:t>i</w:t>
      </w:r>
      <w:r w:rsidRPr="009C39DF">
        <w:rPr>
          <w:sz w:val="22"/>
        </w:rPr>
        <w:t xml:space="preserve">ndependent </w:t>
      </w:r>
      <w:r w:rsidR="001352A1">
        <w:rPr>
          <w:sz w:val="22"/>
        </w:rPr>
        <w:t>a</w:t>
      </w:r>
      <w:r w:rsidRPr="009C39DF">
        <w:rPr>
          <w:sz w:val="22"/>
        </w:rPr>
        <w:t xml:space="preserve">udit and </w:t>
      </w:r>
      <w:r w:rsidR="001352A1">
        <w:rPr>
          <w:sz w:val="22"/>
        </w:rPr>
        <w:t>o</w:t>
      </w:r>
      <w:r w:rsidRPr="009C39DF">
        <w:rPr>
          <w:sz w:val="22"/>
        </w:rPr>
        <w:t>versight</w:t>
      </w:r>
      <w:r w:rsidR="001352A1">
        <w:rPr>
          <w:sz w:val="22"/>
        </w:rPr>
        <w:t>;</w:t>
      </w:r>
      <w:r w:rsidRPr="009C39DF">
        <w:rPr>
          <w:sz w:val="22"/>
        </w:rPr>
        <w:t xml:space="preserve"> (</w:t>
      </w:r>
      <w:r w:rsidR="001352A1">
        <w:rPr>
          <w:sz w:val="22"/>
        </w:rPr>
        <w:t>e</w:t>
      </w:r>
      <w:r w:rsidRPr="009C39DF">
        <w:rPr>
          <w:sz w:val="22"/>
        </w:rPr>
        <w:t xml:space="preserve">) </w:t>
      </w:r>
      <w:r w:rsidR="001352A1">
        <w:rPr>
          <w:sz w:val="22"/>
        </w:rPr>
        <w:t>f</w:t>
      </w:r>
      <w:r w:rsidRPr="009C39DF">
        <w:rPr>
          <w:sz w:val="22"/>
        </w:rPr>
        <w:t xml:space="preserve">iscal </w:t>
      </w:r>
      <w:r w:rsidR="001352A1">
        <w:rPr>
          <w:sz w:val="22"/>
        </w:rPr>
        <w:t>d</w:t>
      </w:r>
      <w:r w:rsidRPr="009C39DF">
        <w:rPr>
          <w:sz w:val="22"/>
        </w:rPr>
        <w:t xml:space="preserve">ecentralization and </w:t>
      </w:r>
      <w:r w:rsidR="001352A1">
        <w:rPr>
          <w:sz w:val="22"/>
        </w:rPr>
        <w:t>i</w:t>
      </w:r>
      <w:r w:rsidRPr="009C39DF">
        <w:rPr>
          <w:sz w:val="22"/>
        </w:rPr>
        <w:t xml:space="preserve">ntergovernmental </w:t>
      </w:r>
      <w:r w:rsidR="001352A1">
        <w:rPr>
          <w:sz w:val="22"/>
        </w:rPr>
        <w:t>f</w:t>
      </w:r>
      <w:r w:rsidRPr="009C39DF">
        <w:rPr>
          <w:sz w:val="22"/>
        </w:rPr>
        <w:t xml:space="preserve">iscal </w:t>
      </w:r>
      <w:r w:rsidR="001352A1">
        <w:rPr>
          <w:sz w:val="22"/>
        </w:rPr>
        <w:t>r</w:t>
      </w:r>
      <w:r w:rsidRPr="009C39DF">
        <w:rPr>
          <w:sz w:val="22"/>
        </w:rPr>
        <w:t>elations</w:t>
      </w:r>
      <w:r w:rsidR="001352A1">
        <w:rPr>
          <w:sz w:val="22"/>
        </w:rPr>
        <w:t>;</w:t>
      </w:r>
      <w:r w:rsidRPr="009C39DF">
        <w:rPr>
          <w:sz w:val="22"/>
        </w:rPr>
        <w:t xml:space="preserve"> (</w:t>
      </w:r>
      <w:r w:rsidR="001352A1">
        <w:rPr>
          <w:sz w:val="22"/>
        </w:rPr>
        <w:t>f</w:t>
      </w:r>
      <w:r w:rsidRPr="009C39DF">
        <w:rPr>
          <w:sz w:val="22"/>
        </w:rPr>
        <w:t xml:space="preserve">) </w:t>
      </w:r>
      <w:r w:rsidR="001352A1">
        <w:rPr>
          <w:sz w:val="22"/>
        </w:rPr>
        <w:t>l</w:t>
      </w:r>
      <w:r w:rsidRPr="009C39DF">
        <w:rPr>
          <w:sz w:val="22"/>
        </w:rPr>
        <w:t xml:space="preserve">egal and </w:t>
      </w:r>
      <w:r w:rsidR="001352A1">
        <w:rPr>
          <w:sz w:val="22"/>
        </w:rPr>
        <w:t>i</w:t>
      </w:r>
      <w:r w:rsidRPr="009C39DF">
        <w:rPr>
          <w:sz w:val="22"/>
        </w:rPr>
        <w:t xml:space="preserve">nstitutional </w:t>
      </w:r>
      <w:r w:rsidR="001352A1">
        <w:rPr>
          <w:sz w:val="22"/>
        </w:rPr>
        <w:t>f</w:t>
      </w:r>
      <w:r w:rsidRPr="009C39DF">
        <w:rPr>
          <w:sz w:val="22"/>
        </w:rPr>
        <w:t>ramework</w:t>
      </w:r>
      <w:r w:rsidR="001352A1">
        <w:rPr>
          <w:sz w:val="22"/>
        </w:rPr>
        <w:t>;</w:t>
      </w:r>
      <w:r w:rsidRPr="009C39DF">
        <w:rPr>
          <w:sz w:val="22"/>
        </w:rPr>
        <w:t xml:space="preserve"> and (</w:t>
      </w:r>
      <w:r w:rsidR="001352A1">
        <w:rPr>
          <w:sz w:val="22"/>
        </w:rPr>
        <w:t>g</w:t>
      </w:r>
      <w:r w:rsidRPr="009C39DF">
        <w:rPr>
          <w:sz w:val="22"/>
        </w:rPr>
        <w:t xml:space="preserve">) IFMIS and other PFM </w:t>
      </w:r>
      <w:r w:rsidR="001352A1">
        <w:rPr>
          <w:sz w:val="22"/>
        </w:rPr>
        <w:t>sy</w:t>
      </w:r>
      <w:r w:rsidRPr="009C39DF">
        <w:rPr>
          <w:sz w:val="22"/>
        </w:rPr>
        <w:t>stems.</w:t>
      </w:r>
    </w:p>
    <w:p w14:paraId="31628E47" w14:textId="7A6A86C8" w:rsidR="00CA52CE" w:rsidRPr="00890A84" w:rsidRDefault="00CA52CE" w:rsidP="00776E84">
      <w:pPr>
        <w:pStyle w:val="Heading2"/>
      </w:pPr>
      <w:bookmarkStart w:id="132" w:name="_Toc532426050"/>
      <w:r w:rsidRPr="00890A84">
        <w:t>Recent and ongoing reform actions</w:t>
      </w:r>
      <w:bookmarkEnd w:id="132"/>
    </w:p>
    <w:p w14:paraId="6745841F" w14:textId="76E42325" w:rsidR="00C4296C" w:rsidRPr="009C39DF" w:rsidRDefault="00C4296C" w:rsidP="009C39DF">
      <w:pPr>
        <w:spacing w:after="240"/>
        <w:rPr>
          <w:sz w:val="22"/>
        </w:rPr>
      </w:pPr>
      <w:r w:rsidRPr="009C39DF">
        <w:rPr>
          <w:sz w:val="22"/>
        </w:rPr>
        <w:t xml:space="preserve">While not </w:t>
      </w:r>
      <w:r w:rsidR="00C8447F" w:rsidRPr="009C39DF">
        <w:rPr>
          <w:sz w:val="22"/>
        </w:rPr>
        <w:t xml:space="preserve">having </w:t>
      </w:r>
      <w:r w:rsidRPr="009C39DF">
        <w:rPr>
          <w:sz w:val="22"/>
        </w:rPr>
        <w:t xml:space="preserve">been specifically introduced in </w:t>
      </w:r>
      <w:r w:rsidR="001352A1">
        <w:rPr>
          <w:sz w:val="22"/>
        </w:rPr>
        <w:t xml:space="preserve">the </w:t>
      </w:r>
      <w:r w:rsidRPr="009C39DF">
        <w:rPr>
          <w:sz w:val="22"/>
        </w:rPr>
        <w:t xml:space="preserve">ADP, a certain number of </w:t>
      </w:r>
      <w:r w:rsidR="00C8447F" w:rsidRPr="00BA6A16">
        <w:rPr>
          <w:sz w:val="22"/>
        </w:rPr>
        <w:t>PFM reform</w:t>
      </w:r>
      <w:r w:rsidR="00C8447F" w:rsidRPr="009C39DF">
        <w:rPr>
          <w:sz w:val="22"/>
        </w:rPr>
        <w:t>s have been undertaken as follows:</w:t>
      </w:r>
    </w:p>
    <w:p w14:paraId="6F8A8461" w14:textId="3C78EAAC" w:rsidR="00C0156B" w:rsidRPr="009C39DF" w:rsidRDefault="008F7526" w:rsidP="001412E3">
      <w:pPr>
        <w:pStyle w:val="ListParagraph"/>
        <w:numPr>
          <w:ilvl w:val="0"/>
          <w:numId w:val="5"/>
        </w:numPr>
        <w:spacing w:after="240"/>
        <w:ind w:left="720"/>
        <w:contextualSpacing w:val="0"/>
        <w:rPr>
          <w:sz w:val="22"/>
        </w:rPr>
      </w:pPr>
      <w:r w:rsidRPr="009C39DF">
        <w:rPr>
          <w:sz w:val="22"/>
        </w:rPr>
        <w:t>For</w:t>
      </w:r>
      <w:r w:rsidR="00C0156B" w:rsidRPr="009C39DF">
        <w:rPr>
          <w:sz w:val="22"/>
        </w:rPr>
        <w:t xml:space="preserve"> </w:t>
      </w:r>
      <w:r w:rsidR="001352A1">
        <w:rPr>
          <w:sz w:val="22"/>
        </w:rPr>
        <w:t>FY</w:t>
      </w:r>
      <w:r w:rsidR="00C0156B" w:rsidRPr="009C39DF">
        <w:rPr>
          <w:sz w:val="22"/>
        </w:rPr>
        <w:t xml:space="preserve">2016/17 the </w:t>
      </w:r>
      <w:r w:rsidR="001352A1">
        <w:rPr>
          <w:sz w:val="22"/>
        </w:rPr>
        <w:t>county government</w:t>
      </w:r>
      <w:r w:rsidR="001352A1" w:rsidRPr="009C39DF">
        <w:rPr>
          <w:sz w:val="22"/>
        </w:rPr>
        <w:t xml:space="preserve"> </w:t>
      </w:r>
      <w:r w:rsidR="00C0156B" w:rsidRPr="009C39DF">
        <w:rPr>
          <w:sz w:val="22"/>
        </w:rPr>
        <w:t>has used the GFS codes while budgeting for revenue.</w:t>
      </w:r>
    </w:p>
    <w:p w14:paraId="30056E9B" w14:textId="6C9E1850" w:rsidR="0092523B" w:rsidRPr="009C39DF" w:rsidRDefault="008F7526" w:rsidP="001412E3">
      <w:pPr>
        <w:pStyle w:val="ListParagraph"/>
        <w:numPr>
          <w:ilvl w:val="0"/>
          <w:numId w:val="5"/>
        </w:numPr>
        <w:spacing w:after="240"/>
        <w:ind w:left="720"/>
        <w:contextualSpacing w:val="0"/>
        <w:rPr>
          <w:sz w:val="22"/>
        </w:rPr>
      </w:pPr>
      <w:r w:rsidRPr="009C39DF">
        <w:rPr>
          <w:sz w:val="22"/>
        </w:rPr>
        <w:t>T</w:t>
      </w:r>
      <w:r w:rsidR="0092523B" w:rsidRPr="009C39DF">
        <w:rPr>
          <w:sz w:val="22"/>
        </w:rPr>
        <w:t xml:space="preserve">he </w:t>
      </w:r>
      <w:r w:rsidR="001352A1">
        <w:rPr>
          <w:sz w:val="22"/>
        </w:rPr>
        <w:t>c</w:t>
      </w:r>
      <w:r w:rsidR="0092523B" w:rsidRPr="009C39DF">
        <w:rPr>
          <w:sz w:val="22"/>
        </w:rPr>
        <w:t xml:space="preserve">ounty </w:t>
      </w:r>
      <w:r w:rsidR="001352A1">
        <w:rPr>
          <w:sz w:val="22"/>
        </w:rPr>
        <w:t>g</w:t>
      </w:r>
      <w:r w:rsidR="0092523B" w:rsidRPr="009C39DF">
        <w:rPr>
          <w:sz w:val="22"/>
        </w:rPr>
        <w:t xml:space="preserve">overnment has extended the use of </w:t>
      </w:r>
      <w:r w:rsidR="001352A1">
        <w:rPr>
          <w:sz w:val="22"/>
        </w:rPr>
        <w:t xml:space="preserve">the </w:t>
      </w:r>
      <w:r w:rsidR="0092523B" w:rsidRPr="009C39DF">
        <w:rPr>
          <w:sz w:val="22"/>
        </w:rPr>
        <w:t>IFMIS to budget revenue and has partnered with an N</w:t>
      </w:r>
      <w:r w:rsidR="0014574C" w:rsidRPr="009C39DF">
        <w:rPr>
          <w:sz w:val="22"/>
        </w:rPr>
        <w:t xml:space="preserve">GO to prepare </w:t>
      </w:r>
      <w:r w:rsidR="001352A1">
        <w:rPr>
          <w:sz w:val="22"/>
        </w:rPr>
        <w:t>the ‘c</w:t>
      </w:r>
      <w:r w:rsidR="0014574C" w:rsidRPr="009C39DF">
        <w:rPr>
          <w:sz w:val="22"/>
        </w:rPr>
        <w:t>itizen</w:t>
      </w:r>
      <w:r w:rsidR="001352A1">
        <w:rPr>
          <w:sz w:val="22"/>
        </w:rPr>
        <w:t>’s</w:t>
      </w:r>
      <w:r w:rsidR="0014574C" w:rsidRPr="009C39DF">
        <w:rPr>
          <w:sz w:val="22"/>
        </w:rPr>
        <w:t xml:space="preserve"> </w:t>
      </w:r>
      <w:r w:rsidR="001352A1">
        <w:rPr>
          <w:sz w:val="22"/>
        </w:rPr>
        <w:t>b</w:t>
      </w:r>
      <w:r w:rsidR="0014574C" w:rsidRPr="009C39DF">
        <w:rPr>
          <w:sz w:val="22"/>
        </w:rPr>
        <w:t>udget</w:t>
      </w:r>
      <w:r w:rsidR="001352A1">
        <w:rPr>
          <w:sz w:val="22"/>
        </w:rPr>
        <w:t>’.</w:t>
      </w:r>
    </w:p>
    <w:p w14:paraId="5B710367" w14:textId="1097E09F" w:rsidR="0092523B" w:rsidRPr="009C39DF" w:rsidRDefault="008F7526" w:rsidP="001412E3">
      <w:pPr>
        <w:pStyle w:val="ListParagraph"/>
        <w:numPr>
          <w:ilvl w:val="0"/>
          <w:numId w:val="5"/>
        </w:numPr>
        <w:spacing w:after="240"/>
        <w:ind w:left="720"/>
        <w:contextualSpacing w:val="0"/>
        <w:rPr>
          <w:sz w:val="22"/>
        </w:rPr>
      </w:pPr>
      <w:r w:rsidRPr="009C39DF">
        <w:rPr>
          <w:sz w:val="22"/>
        </w:rPr>
        <w:t>A</w:t>
      </w:r>
      <w:r w:rsidR="0092523B" w:rsidRPr="009C39DF">
        <w:rPr>
          <w:sz w:val="22"/>
        </w:rPr>
        <w:t xml:space="preserve"> borrowing framework is being developed under the leadership of </w:t>
      </w:r>
      <w:r w:rsidR="004A04CE">
        <w:rPr>
          <w:sz w:val="22"/>
        </w:rPr>
        <w:t>the n</w:t>
      </w:r>
      <w:r w:rsidR="00607B97" w:rsidRPr="009C39DF">
        <w:rPr>
          <w:sz w:val="22"/>
        </w:rPr>
        <w:t xml:space="preserve">ational </w:t>
      </w:r>
      <w:r w:rsidR="004A04CE">
        <w:rPr>
          <w:sz w:val="22"/>
        </w:rPr>
        <w:t>g</w:t>
      </w:r>
      <w:r w:rsidR="00607B97" w:rsidRPr="009C39DF">
        <w:rPr>
          <w:sz w:val="22"/>
        </w:rPr>
        <w:t>overnment</w:t>
      </w:r>
      <w:r w:rsidR="0092523B" w:rsidRPr="009C39DF">
        <w:rPr>
          <w:sz w:val="22"/>
        </w:rPr>
        <w:t xml:space="preserve"> with the participation of </w:t>
      </w:r>
      <w:r w:rsidR="004A04CE">
        <w:rPr>
          <w:sz w:val="22"/>
        </w:rPr>
        <w:t xml:space="preserve">the </w:t>
      </w:r>
      <w:r w:rsidR="0092523B" w:rsidRPr="009C39DF">
        <w:rPr>
          <w:sz w:val="22"/>
        </w:rPr>
        <w:t>county go</w:t>
      </w:r>
      <w:r w:rsidR="0014574C" w:rsidRPr="009C39DF">
        <w:rPr>
          <w:sz w:val="22"/>
        </w:rPr>
        <w:t>vernment and other stakeholders</w:t>
      </w:r>
      <w:r w:rsidR="004A04CE">
        <w:rPr>
          <w:sz w:val="22"/>
        </w:rPr>
        <w:t>.</w:t>
      </w:r>
    </w:p>
    <w:p w14:paraId="199C711E" w14:textId="2D90FB78" w:rsidR="0092523B" w:rsidRPr="009C39DF" w:rsidRDefault="008F7526" w:rsidP="001412E3">
      <w:pPr>
        <w:pStyle w:val="ListParagraph"/>
        <w:numPr>
          <w:ilvl w:val="0"/>
          <w:numId w:val="5"/>
        </w:numPr>
        <w:spacing w:after="240"/>
        <w:ind w:left="720"/>
        <w:contextualSpacing w:val="0"/>
        <w:rPr>
          <w:sz w:val="22"/>
        </w:rPr>
      </w:pPr>
      <w:r w:rsidRPr="009C39DF">
        <w:rPr>
          <w:sz w:val="22"/>
        </w:rPr>
        <w:t>T</w:t>
      </w:r>
      <w:r w:rsidR="0092523B" w:rsidRPr="009C39DF">
        <w:rPr>
          <w:sz w:val="22"/>
        </w:rPr>
        <w:t>he procurement department is also in the process of acquiring an integrated records management system which will help in records management</w:t>
      </w:r>
      <w:r w:rsidR="004A04CE">
        <w:rPr>
          <w:sz w:val="22"/>
        </w:rPr>
        <w:t>.</w:t>
      </w:r>
    </w:p>
    <w:p w14:paraId="21AC588D" w14:textId="56DC1133" w:rsidR="0092523B" w:rsidRPr="009C39DF" w:rsidRDefault="0092523B" w:rsidP="001412E3">
      <w:pPr>
        <w:pStyle w:val="ListParagraph"/>
        <w:numPr>
          <w:ilvl w:val="0"/>
          <w:numId w:val="5"/>
        </w:numPr>
        <w:spacing w:after="240"/>
        <w:ind w:left="720"/>
        <w:contextualSpacing w:val="0"/>
        <w:rPr>
          <w:sz w:val="22"/>
        </w:rPr>
      </w:pPr>
      <w:r w:rsidRPr="009C39DF">
        <w:rPr>
          <w:sz w:val="22"/>
        </w:rPr>
        <w:t>P</w:t>
      </w:r>
      <w:r w:rsidR="00747EB2">
        <w:rPr>
          <w:sz w:val="22"/>
        </w:rPr>
        <w:t>w</w:t>
      </w:r>
      <w:r w:rsidRPr="009C39DF">
        <w:rPr>
          <w:sz w:val="22"/>
        </w:rPr>
        <w:t xml:space="preserve">C </w:t>
      </w:r>
      <w:r w:rsidR="0014574C" w:rsidRPr="009C39DF">
        <w:rPr>
          <w:sz w:val="22"/>
        </w:rPr>
        <w:t xml:space="preserve">is supporting the County Treasury </w:t>
      </w:r>
      <w:r w:rsidRPr="009C39DF">
        <w:rPr>
          <w:sz w:val="22"/>
        </w:rPr>
        <w:t xml:space="preserve">in preparation of the budget quarterly reports. </w:t>
      </w:r>
      <w:r w:rsidR="0014574C" w:rsidRPr="009C39DF">
        <w:rPr>
          <w:sz w:val="22"/>
        </w:rPr>
        <w:t>A</w:t>
      </w:r>
      <w:r w:rsidRPr="009C39DF">
        <w:rPr>
          <w:sz w:val="22"/>
        </w:rPr>
        <w:t xml:space="preserve"> new template of </w:t>
      </w:r>
      <w:r w:rsidR="004A04CE">
        <w:rPr>
          <w:sz w:val="22"/>
        </w:rPr>
        <w:t xml:space="preserve">the </w:t>
      </w:r>
      <w:r w:rsidRPr="009C39DF">
        <w:rPr>
          <w:sz w:val="22"/>
        </w:rPr>
        <w:t>P</w:t>
      </w:r>
      <w:r w:rsidR="00FB6314">
        <w:rPr>
          <w:sz w:val="22"/>
        </w:rPr>
        <w:t>SASB</w:t>
      </w:r>
      <w:r w:rsidRPr="009C39DF">
        <w:rPr>
          <w:sz w:val="22"/>
        </w:rPr>
        <w:t xml:space="preserve"> has been issued for preparation of quarterly reports and has been adopted. P</w:t>
      </w:r>
      <w:r w:rsidR="00747EB2">
        <w:rPr>
          <w:sz w:val="22"/>
        </w:rPr>
        <w:t>w</w:t>
      </w:r>
      <w:r w:rsidRPr="009C39DF">
        <w:rPr>
          <w:sz w:val="22"/>
        </w:rPr>
        <w:t xml:space="preserve">C </w:t>
      </w:r>
      <w:r w:rsidR="004A04CE">
        <w:rPr>
          <w:sz w:val="22"/>
        </w:rPr>
        <w:t>is</w:t>
      </w:r>
      <w:r w:rsidR="004A04CE" w:rsidRPr="009C39DF">
        <w:rPr>
          <w:sz w:val="22"/>
        </w:rPr>
        <w:t xml:space="preserve"> </w:t>
      </w:r>
      <w:r w:rsidRPr="009C39DF">
        <w:rPr>
          <w:sz w:val="22"/>
        </w:rPr>
        <w:t>also providing technical ass</w:t>
      </w:r>
      <w:r w:rsidR="0014574C" w:rsidRPr="009C39DF">
        <w:rPr>
          <w:sz w:val="22"/>
        </w:rPr>
        <w:t>istance on financial accounting</w:t>
      </w:r>
      <w:r w:rsidR="004A04CE">
        <w:rPr>
          <w:sz w:val="22"/>
        </w:rPr>
        <w:t>.</w:t>
      </w:r>
    </w:p>
    <w:p w14:paraId="6BCDEC17" w14:textId="55973254" w:rsidR="00584D53" w:rsidRPr="009C39DF" w:rsidRDefault="008F7526" w:rsidP="001412E3">
      <w:pPr>
        <w:pStyle w:val="ListParagraph"/>
        <w:numPr>
          <w:ilvl w:val="0"/>
          <w:numId w:val="5"/>
        </w:numPr>
        <w:spacing w:after="240"/>
        <w:ind w:left="720"/>
        <w:contextualSpacing w:val="0"/>
        <w:rPr>
          <w:sz w:val="22"/>
        </w:rPr>
      </w:pPr>
      <w:r w:rsidRPr="009C39DF">
        <w:rPr>
          <w:sz w:val="22"/>
        </w:rPr>
        <w:t>O</w:t>
      </w:r>
      <w:r w:rsidR="0092523B" w:rsidRPr="009C39DF">
        <w:rPr>
          <w:sz w:val="22"/>
        </w:rPr>
        <w:t>ther measures such as</w:t>
      </w:r>
      <w:r w:rsidR="00E8410A" w:rsidRPr="009C39DF">
        <w:rPr>
          <w:sz w:val="22"/>
        </w:rPr>
        <w:t xml:space="preserve"> planning reforms (budget calendars)</w:t>
      </w:r>
      <w:r w:rsidR="004A04CE">
        <w:rPr>
          <w:sz w:val="22"/>
        </w:rPr>
        <w:t xml:space="preserve"> and</w:t>
      </w:r>
      <w:r w:rsidR="00E8410A" w:rsidRPr="009C39DF">
        <w:rPr>
          <w:sz w:val="22"/>
        </w:rPr>
        <w:t xml:space="preserve"> accounting reforms (improving cashbooks and AFS)</w:t>
      </w:r>
      <w:r w:rsidR="0092523B" w:rsidRPr="009C39DF">
        <w:rPr>
          <w:sz w:val="22"/>
        </w:rPr>
        <w:t xml:space="preserve"> are also on track.</w:t>
      </w:r>
    </w:p>
    <w:p w14:paraId="2056BCAF" w14:textId="77777777" w:rsidR="00CA52CE" w:rsidRPr="00890A84" w:rsidRDefault="00CA52CE" w:rsidP="00776E84">
      <w:pPr>
        <w:pStyle w:val="Heading2"/>
      </w:pPr>
      <w:bookmarkStart w:id="133" w:name="_Toc532426051"/>
      <w:r w:rsidRPr="00890A84">
        <w:t>Institutional considerations</w:t>
      </w:r>
      <w:bookmarkEnd w:id="133"/>
    </w:p>
    <w:p w14:paraId="5472D9FF" w14:textId="1A9CC253" w:rsidR="00C23847" w:rsidRDefault="008358EB" w:rsidP="00C23847">
      <w:pPr>
        <w:spacing w:after="240"/>
        <w:rPr>
          <w:lang w:eastAsia="en-GB"/>
        </w:rPr>
      </w:pPr>
      <w:r w:rsidRPr="00C23847">
        <w:rPr>
          <w:sz w:val="22"/>
        </w:rPr>
        <w:t xml:space="preserve">The devolution system as envisaged by the Constitution is ambitious and may have major challenges in the initial stages of implementation. The IFMIS has been implemented at the national and county levels to reinforce </w:t>
      </w:r>
      <w:r w:rsidR="002479C0" w:rsidRPr="00C23847">
        <w:rPr>
          <w:sz w:val="22"/>
        </w:rPr>
        <w:t>accountability but</w:t>
      </w:r>
      <w:r w:rsidRPr="00C23847">
        <w:rPr>
          <w:sz w:val="22"/>
        </w:rPr>
        <w:t xml:space="preserve"> has not proved to be a solution to the procurement-related</w:t>
      </w:r>
      <w:r w:rsidRPr="00C23847">
        <w:rPr>
          <w:sz w:val="22"/>
          <w:lang w:eastAsia="en-GB"/>
        </w:rPr>
        <w:t xml:space="preserve"> issues. At the county level, there is in addition a need for better appropriation and reinforce</w:t>
      </w:r>
      <w:r w:rsidR="004A04CE">
        <w:rPr>
          <w:sz w:val="22"/>
          <w:lang w:eastAsia="en-GB"/>
        </w:rPr>
        <w:t>d</w:t>
      </w:r>
      <w:r w:rsidRPr="00C23847">
        <w:rPr>
          <w:sz w:val="22"/>
          <w:lang w:eastAsia="en-GB"/>
        </w:rPr>
        <w:t xml:space="preserve"> control. More operations are passed outside </w:t>
      </w:r>
      <w:r w:rsidR="004A04CE">
        <w:rPr>
          <w:sz w:val="22"/>
          <w:lang w:eastAsia="en-GB"/>
        </w:rPr>
        <w:t xml:space="preserve">the </w:t>
      </w:r>
      <w:r w:rsidRPr="00C23847">
        <w:rPr>
          <w:sz w:val="22"/>
          <w:lang w:eastAsia="en-GB"/>
        </w:rPr>
        <w:t xml:space="preserve">IFMIS at the county level than at the national level. The implementation of a </w:t>
      </w:r>
      <w:r w:rsidR="004A04CE">
        <w:rPr>
          <w:sz w:val="22"/>
          <w:lang w:eastAsia="en-GB"/>
        </w:rPr>
        <w:t>T</w:t>
      </w:r>
      <w:r w:rsidRPr="00C23847">
        <w:rPr>
          <w:sz w:val="22"/>
          <w:lang w:eastAsia="en-GB"/>
        </w:rPr>
        <w:t xml:space="preserve">reasury </w:t>
      </w:r>
      <w:r w:rsidR="004A04CE">
        <w:rPr>
          <w:sz w:val="22"/>
          <w:lang w:eastAsia="en-GB"/>
        </w:rPr>
        <w:t>Single A</w:t>
      </w:r>
      <w:r w:rsidRPr="00C23847">
        <w:rPr>
          <w:sz w:val="22"/>
          <w:lang w:eastAsia="en-GB"/>
        </w:rPr>
        <w:t xml:space="preserve">ccount should ensure </w:t>
      </w:r>
      <w:r w:rsidR="004A04CE">
        <w:rPr>
          <w:sz w:val="22"/>
          <w:lang w:eastAsia="en-GB"/>
        </w:rPr>
        <w:t xml:space="preserve">a </w:t>
      </w:r>
      <w:r w:rsidR="004A04CE" w:rsidRPr="00C23847">
        <w:rPr>
          <w:sz w:val="22"/>
          <w:lang w:eastAsia="en-GB"/>
        </w:rPr>
        <w:t>better check on the movement of funds</w:t>
      </w:r>
      <w:r w:rsidR="004A04CE">
        <w:rPr>
          <w:sz w:val="22"/>
          <w:lang w:eastAsia="en-GB"/>
        </w:rPr>
        <w:t xml:space="preserve"> by</w:t>
      </w:r>
      <w:r w:rsidR="004A04CE" w:rsidRPr="00C23847">
        <w:rPr>
          <w:sz w:val="22"/>
          <w:lang w:eastAsia="en-GB"/>
        </w:rPr>
        <w:t xml:space="preserve"> </w:t>
      </w:r>
      <w:r w:rsidRPr="00C23847">
        <w:rPr>
          <w:sz w:val="22"/>
          <w:lang w:eastAsia="en-GB"/>
        </w:rPr>
        <w:t xml:space="preserve">the national and county governments. The PFM Act allows for the establishment of a committee to check on the use of funds and disciplinary measures that can be taken. However, proper monitoring of public resources is only possible if </w:t>
      </w:r>
      <w:r w:rsidR="004A04CE">
        <w:rPr>
          <w:sz w:val="22"/>
          <w:lang w:eastAsia="en-GB"/>
        </w:rPr>
        <w:t xml:space="preserve">the </w:t>
      </w:r>
      <w:r w:rsidRPr="00C23847">
        <w:rPr>
          <w:sz w:val="22"/>
          <w:lang w:eastAsia="en-GB"/>
        </w:rPr>
        <w:t xml:space="preserve">IFMIS is fully used at the county level </w:t>
      </w:r>
      <w:r w:rsidR="004A04CE">
        <w:rPr>
          <w:sz w:val="22"/>
          <w:lang w:eastAsia="en-GB"/>
        </w:rPr>
        <w:t xml:space="preserve">and </w:t>
      </w:r>
      <w:r w:rsidRPr="00C23847">
        <w:rPr>
          <w:sz w:val="22"/>
          <w:lang w:eastAsia="en-GB"/>
        </w:rPr>
        <w:t xml:space="preserve">a </w:t>
      </w:r>
      <w:r w:rsidRPr="001412E3">
        <w:rPr>
          <w:sz w:val="22"/>
          <w:lang w:eastAsia="en-GB"/>
        </w:rPr>
        <w:t>Business Intelligence</w:t>
      </w:r>
      <w:r w:rsidRPr="00C23847">
        <w:rPr>
          <w:sz w:val="22"/>
          <w:lang w:eastAsia="en-GB"/>
        </w:rPr>
        <w:t xml:space="preserve"> layer is implemented to facilitate data analysis and visuali</w:t>
      </w:r>
      <w:r w:rsidR="004A04CE">
        <w:rPr>
          <w:sz w:val="22"/>
          <w:lang w:eastAsia="en-GB"/>
        </w:rPr>
        <w:t>z</w:t>
      </w:r>
      <w:r w:rsidRPr="00C23847">
        <w:rPr>
          <w:sz w:val="22"/>
          <w:lang w:eastAsia="en-GB"/>
        </w:rPr>
        <w:t>ation</w:t>
      </w:r>
      <w:r w:rsidRPr="00890A84">
        <w:rPr>
          <w:lang w:eastAsia="en-GB"/>
        </w:rPr>
        <w:t>.</w:t>
      </w:r>
    </w:p>
    <w:p w14:paraId="0F875557" w14:textId="77777777" w:rsidR="00C23847" w:rsidRDefault="00C23847" w:rsidP="00C23847">
      <w:pPr>
        <w:spacing w:after="240"/>
        <w:rPr>
          <w:lang w:eastAsia="en-GB"/>
        </w:rPr>
      </w:pPr>
    </w:p>
    <w:p w14:paraId="75259082" w14:textId="5521DF7B" w:rsidR="00C23847" w:rsidRDefault="00C23847" w:rsidP="00C23847">
      <w:pPr>
        <w:spacing w:after="240"/>
        <w:rPr>
          <w:lang w:eastAsia="en-GB"/>
        </w:rPr>
        <w:sectPr w:rsidR="00C23847" w:rsidSect="00B64296">
          <w:footerReference w:type="default" r:id="rId22"/>
          <w:pgSz w:w="12240" w:h="15840"/>
          <w:pgMar w:top="1440" w:right="1440" w:bottom="1440" w:left="1440" w:header="760" w:footer="723" w:gutter="0"/>
          <w:pgNumType w:start="1"/>
          <w:cols w:space="720"/>
          <w:docGrid w:linePitch="326"/>
        </w:sectPr>
      </w:pPr>
    </w:p>
    <w:p w14:paraId="648BBCB8" w14:textId="0FEBD6F4" w:rsidR="002E5B7E" w:rsidRPr="00196FAE" w:rsidRDefault="00466728" w:rsidP="00671E8A">
      <w:pPr>
        <w:pStyle w:val="Heading1"/>
        <w:numPr>
          <w:ilvl w:val="0"/>
          <w:numId w:val="0"/>
        </w:numPr>
        <w:ind w:left="142"/>
        <w:rPr>
          <w:smallCaps w:val="0"/>
        </w:rPr>
      </w:pPr>
      <w:bookmarkStart w:id="134" w:name="_Toc532426052"/>
      <w:bookmarkStart w:id="135" w:name="_Toc150876"/>
      <w:r w:rsidRPr="00196FAE">
        <w:rPr>
          <w:smallCaps w:val="0"/>
        </w:rPr>
        <w:t>Annex</w:t>
      </w:r>
      <w:r w:rsidR="00196FAE" w:rsidRPr="00196FAE">
        <w:rPr>
          <w:smallCaps w:val="0"/>
        </w:rPr>
        <w:t xml:space="preserve"> </w:t>
      </w:r>
      <w:r w:rsidR="002E5B7E" w:rsidRPr="00196FAE">
        <w:rPr>
          <w:smallCaps w:val="0"/>
        </w:rPr>
        <w:t>1</w:t>
      </w:r>
      <w:r w:rsidRPr="00196FAE">
        <w:rPr>
          <w:smallCaps w:val="0"/>
        </w:rPr>
        <w:t xml:space="preserve">. Performance </w:t>
      </w:r>
      <w:r w:rsidR="00196FAE">
        <w:rPr>
          <w:smallCaps w:val="0"/>
        </w:rPr>
        <w:t>I</w:t>
      </w:r>
      <w:r w:rsidRPr="00196FAE">
        <w:rPr>
          <w:smallCaps w:val="0"/>
        </w:rPr>
        <w:t>ndicator</w:t>
      </w:r>
      <w:r w:rsidR="00100703" w:rsidRPr="00196FAE">
        <w:rPr>
          <w:smallCaps w:val="0"/>
        </w:rPr>
        <w:t xml:space="preserve"> </w:t>
      </w:r>
      <w:r w:rsidR="00196FAE">
        <w:rPr>
          <w:smallCaps w:val="0"/>
        </w:rPr>
        <w:t>S</w:t>
      </w:r>
      <w:r w:rsidRPr="00196FAE">
        <w:rPr>
          <w:smallCaps w:val="0"/>
        </w:rPr>
        <w:t>ummary</w:t>
      </w:r>
      <w:bookmarkEnd w:id="134"/>
    </w:p>
    <w:tbl>
      <w:tblPr>
        <w:tblW w:w="12239" w:type="dxa"/>
        <w:tblInd w:w="-1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3969"/>
        <w:gridCol w:w="960"/>
        <w:gridCol w:w="7310"/>
      </w:tblGrid>
      <w:tr w:rsidR="00EE1783" w:rsidRPr="00C23847" w14:paraId="32DF7795" w14:textId="77777777" w:rsidTr="00C23847">
        <w:trPr>
          <w:tblHeader/>
        </w:trPr>
        <w:tc>
          <w:tcPr>
            <w:tcW w:w="3969" w:type="dxa"/>
            <w:shd w:val="clear" w:color="000000" w:fill="5B9BD5"/>
            <w:vAlign w:val="center"/>
            <w:hideMark/>
          </w:tcPr>
          <w:p w14:paraId="1EB921A9" w14:textId="77777777" w:rsidR="00EE1783" w:rsidRPr="00C23847" w:rsidRDefault="00EE1783" w:rsidP="00C23847">
            <w:pPr>
              <w:jc w:val="center"/>
              <w:rPr>
                <w:rFonts w:cs="Times New Roman"/>
                <w:b/>
                <w:bCs/>
                <w:color w:val="FFFFFF"/>
                <w:sz w:val="20"/>
                <w:szCs w:val="20"/>
                <w:lang w:val="fr-FR"/>
              </w:rPr>
            </w:pPr>
            <w:r w:rsidRPr="00C23847">
              <w:rPr>
                <w:rFonts w:cs="Times New Roman"/>
                <w:b/>
                <w:bCs/>
                <w:color w:val="FFFFFF"/>
                <w:sz w:val="20"/>
                <w:szCs w:val="20"/>
                <w:lang w:val="fr-FR"/>
              </w:rPr>
              <w:t>Indicator/component</w:t>
            </w:r>
          </w:p>
        </w:tc>
        <w:tc>
          <w:tcPr>
            <w:tcW w:w="960" w:type="dxa"/>
            <w:shd w:val="clear" w:color="000000" w:fill="5B9BD5"/>
            <w:vAlign w:val="center"/>
            <w:hideMark/>
          </w:tcPr>
          <w:p w14:paraId="3F4D1494" w14:textId="77777777" w:rsidR="00EE1783" w:rsidRPr="00C23847" w:rsidRDefault="00EE1783" w:rsidP="00C23847">
            <w:pPr>
              <w:jc w:val="center"/>
              <w:rPr>
                <w:rFonts w:cs="Times New Roman"/>
                <w:b/>
                <w:bCs/>
                <w:color w:val="FFFFFF"/>
                <w:sz w:val="20"/>
                <w:szCs w:val="20"/>
                <w:lang w:val="fr-FR"/>
              </w:rPr>
            </w:pPr>
            <w:r w:rsidRPr="00C23847">
              <w:rPr>
                <w:rFonts w:cs="Times New Roman"/>
                <w:b/>
                <w:bCs/>
                <w:color w:val="FFFFFF"/>
                <w:sz w:val="20"/>
                <w:szCs w:val="20"/>
                <w:lang w:val="fr-FR"/>
              </w:rPr>
              <w:t>Score</w:t>
            </w:r>
          </w:p>
        </w:tc>
        <w:tc>
          <w:tcPr>
            <w:tcW w:w="7310" w:type="dxa"/>
            <w:shd w:val="clear" w:color="000000" w:fill="5B9BD5"/>
            <w:vAlign w:val="center"/>
            <w:hideMark/>
          </w:tcPr>
          <w:p w14:paraId="0B1B56D9" w14:textId="77777777" w:rsidR="00EE1783" w:rsidRPr="00C23847" w:rsidRDefault="00EE1783" w:rsidP="00C23847">
            <w:pPr>
              <w:jc w:val="center"/>
              <w:rPr>
                <w:rFonts w:cs="Times New Roman"/>
                <w:b/>
                <w:bCs/>
                <w:color w:val="FFFFFF"/>
                <w:sz w:val="20"/>
                <w:szCs w:val="20"/>
                <w:lang w:val="fr-FR"/>
              </w:rPr>
            </w:pPr>
            <w:r w:rsidRPr="00C23847">
              <w:rPr>
                <w:rFonts w:cs="Times New Roman"/>
                <w:b/>
                <w:bCs/>
                <w:color w:val="FFFFFF"/>
                <w:sz w:val="20"/>
                <w:szCs w:val="20"/>
                <w:lang w:val="fr-FR"/>
              </w:rPr>
              <w:t>Explanation</w:t>
            </w:r>
          </w:p>
        </w:tc>
      </w:tr>
      <w:tr w:rsidR="005B4860" w:rsidRPr="00C23847" w14:paraId="354FA796" w14:textId="77777777" w:rsidTr="00C23847">
        <w:tc>
          <w:tcPr>
            <w:tcW w:w="3969" w:type="dxa"/>
            <w:shd w:val="clear" w:color="000000" w:fill="E7E6E6"/>
            <w:vAlign w:val="center"/>
          </w:tcPr>
          <w:p w14:paraId="7F63B430" w14:textId="22807710" w:rsidR="005B4860" w:rsidRPr="00C23847" w:rsidRDefault="00181733" w:rsidP="00C23847">
            <w:pPr>
              <w:jc w:val="left"/>
              <w:rPr>
                <w:rFonts w:cs="Times New Roman"/>
                <w:b/>
                <w:bCs/>
                <w:color w:val="000000"/>
                <w:sz w:val="20"/>
                <w:szCs w:val="20"/>
              </w:rPr>
            </w:pPr>
            <w:r w:rsidRPr="00C23847">
              <w:rPr>
                <w:rFonts w:cs="Times New Roman"/>
                <w:b/>
                <w:bCs/>
                <w:color w:val="000000"/>
                <w:sz w:val="20"/>
                <w:szCs w:val="20"/>
              </w:rPr>
              <w:t>HLG-1. Transfers from a higher level of government</w:t>
            </w:r>
          </w:p>
        </w:tc>
        <w:tc>
          <w:tcPr>
            <w:tcW w:w="960" w:type="dxa"/>
            <w:shd w:val="clear" w:color="000000" w:fill="E7E6E6"/>
            <w:vAlign w:val="center"/>
          </w:tcPr>
          <w:p w14:paraId="2F049860" w14:textId="171F1DEC" w:rsidR="005B4860" w:rsidRPr="00C23847" w:rsidRDefault="00130D14" w:rsidP="00C23847">
            <w:pPr>
              <w:jc w:val="center"/>
              <w:rPr>
                <w:rFonts w:cs="Times New Roman"/>
                <w:b/>
                <w:bCs/>
                <w:color w:val="000000"/>
                <w:sz w:val="20"/>
                <w:szCs w:val="20"/>
              </w:rPr>
            </w:pPr>
            <w:r w:rsidRPr="00C23847">
              <w:rPr>
                <w:rFonts w:cs="Times New Roman"/>
                <w:b/>
                <w:bCs/>
                <w:color w:val="000000"/>
                <w:sz w:val="20"/>
                <w:szCs w:val="20"/>
              </w:rPr>
              <w:t>D+</w:t>
            </w:r>
          </w:p>
        </w:tc>
        <w:tc>
          <w:tcPr>
            <w:tcW w:w="7310" w:type="dxa"/>
            <w:shd w:val="clear" w:color="000000" w:fill="E7E6E6"/>
            <w:vAlign w:val="center"/>
          </w:tcPr>
          <w:p w14:paraId="5E567191" w14:textId="66C77793" w:rsidR="005B4860" w:rsidRPr="00C23847" w:rsidRDefault="005B4860" w:rsidP="00C23847">
            <w:pPr>
              <w:jc w:val="left"/>
              <w:rPr>
                <w:rFonts w:cs="Times New Roman"/>
                <w:b/>
                <w:bCs/>
                <w:color w:val="000000"/>
                <w:sz w:val="20"/>
                <w:szCs w:val="20"/>
              </w:rPr>
            </w:pPr>
          </w:p>
        </w:tc>
      </w:tr>
      <w:tr w:rsidR="00181733" w:rsidRPr="00C23847" w14:paraId="67B6076D" w14:textId="77777777" w:rsidTr="00C23847">
        <w:tc>
          <w:tcPr>
            <w:tcW w:w="3969" w:type="dxa"/>
            <w:shd w:val="clear" w:color="auto" w:fill="auto"/>
          </w:tcPr>
          <w:p w14:paraId="6A844051" w14:textId="3E052A12" w:rsidR="00181733" w:rsidRPr="00C23847" w:rsidRDefault="00181733" w:rsidP="00C23847">
            <w:pPr>
              <w:jc w:val="left"/>
              <w:rPr>
                <w:rFonts w:cs="Times New Roman"/>
                <w:color w:val="000000"/>
                <w:sz w:val="20"/>
                <w:szCs w:val="20"/>
              </w:rPr>
            </w:pPr>
            <w:r w:rsidRPr="00C23847">
              <w:rPr>
                <w:sz w:val="20"/>
                <w:szCs w:val="20"/>
              </w:rPr>
              <w:t>HLG-1.1 Outturn of transfers from higher-level government</w:t>
            </w:r>
          </w:p>
        </w:tc>
        <w:tc>
          <w:tcPr>
            <w:tcW w:w="960" w:type="dxa"/>
            <w:shd w:val="clear" w:color="auto" w:fill="auto"/>
          </w:tcPr>
          <w:p w14:paraId="6EA44D99" w14:textId="672BBF04" w:rsidR="00181733" w:rsidRPr="00C23847" w:rsidRDefault="00181733" w:rsidP="00C23847">
            <w:pPr>
              <w:jc w:val="center"/>
              <w:rPr>
                <w:rFonts w:cs="Times New Roman"/>
                <w:color w:val="000000"/>
                <w:sz w:val="20"/>
                <w:szCs w:val="20"/>
              </w:rPr>
            </w:pPr>
            <w:r w:rsidRPr="00C23847">
              <w:rPr>
                <w:sz w:val="20"/>
                <w:szCs w:val="20"/>
              </w:rPr>
              <w:t>A</w:t>
            </w:r>
          </w:p>
        </w:tc>
        <w:tc>
          <w:tcPr>
            <w:tcW w:w="7310" w:type="dxa"/>
            <w:shd w:val="clear" w:color="auto" w:fill="auto"/>
          </w:tcPr>
          <w:p w14:paraId="3041CF2F" w14:textId="144BEB6D" w:rsidR="00181733" w:rsidRPr="00C23847" w:rsidRDefault="00181733" w:rsidP="00C23847">
            <w:pPr>
              <w:jc w:val="left"/>
              <w:rPr>
                <w:rFonts w:cs="Times New Roman"/>
                <w:color w:val="000000"/>
                <w:sz w:val="20"/>
                <w:szCs w:val="20"/>
              </w:rPr>
            </w:pPr>
            <w:r w:rsidRPr="00C23847">
              <w:rPr>
                <w:sz w:val="20"/>
                <w:szCs w:val="20"/>
              </w:rPr>
              <w:t>Transfers have been at least 95 per cent of the original budget estimate in two of the last three years.</w:t>
            </w:r>
          </w:p>
        </w:tc>
      </w:tr>
      <w:tr w:rsidR="00181733" w:rsidRPr="00C23847" w14:paraId="3FA3E58F" w14:textId="77777777" w:rsidTr="00C23847">
        <w:tc>
          <w:tcPr>
            <w:tcW w:w="3969" w:type="dxa"/>
            <w:shd w:val="clear" w:color="auto" w:fill="auto"/>
          </w:tcPr>
          <w:p w14:paraId="4D47DA21" w14:textId="151AD1EE" w:rsidR="00181733" w:rsidRPr="00C23847" w:rsidRDefault="00181733" w:rsidP="00C23847">
            <w:pPr>
              <w:jc w:val="left"/>
              <w:rPr>
                <w:rFonts w:cs="Times New Roman"/>
                <w:color w:val="000000"/>
                <w:sz w:val="20"/>
                <w:szCs w:val="20"/>
              </w:rPr>
            </w:pPr>
            <w:r w:rsidRPr="00C23847">
              <w:rPr>
                <w:sz w:val="20"/>
                <w:szCs w:val="20"/>
              </w:rPr>
              <w:t>HLG-1.2 Earmarked grants outturn</w:t>
            </w:r>
          </w:p>
        </w:tc>
        <w:tc>
          <w:tcPr>
            <w:tcW w:w="960" w:type="dxa"/>
            <w:shd w:val="clear" w:color="auto" w:fill="auto"/>
          </w:tcPr>
          <w:p w14:paraId="588815A7" w14:textId="40F45C3F" w:rsidR="00181733" w:rsidRPr="00C23847" w:rsidRDefault="00181733" w:rsidP="00C23847">
            <w:pPr>
              <w:jc w:val="center"/>
              <w:rPr>
                <w:rFonts w:cs="Times New Roman"/>
                <w:color w:val="000000"/>
                <w:sz w:val="20"/>
                <w:szCs w:val="20"/>
              </w:rPr>
            </w:pPr>
            <w:r w:rsidRPr="00C23847">
              <w:rPr>
                <w:sz w:val="20"/>
                <w:szCs w:val="20"/>
              </w:rPr>
              <w:t>B</w:t>
            </w:r>
          </w:p>
        </w:tc>
        <w:tc>
          <w:tcPr>
            <w:tcW w:w="7310" w:type="dxa"/>
            <w:shd w:val="clear" w:color="auto" w:fill="auto"/>
          </w:tcPr>
          <w:p w14:paraId="77B3968F" w14:textId="7983ACFB" w:rsidR="00181733" w:rsidRPr="00C23847" w:rsidRDefault="00181733" w:rsidP="00C23847">
            <w:pPr>
              <w:jc w:val="left"/>
              <w:rPr>
                <w:rFonts w:cs="Times New Roman"/>
                <w:color w:val="000000"/>
                <w:sz w:val="20"/>
                <w:szCs w:val="20"/>
              </w:rPr>
            </w:pPr>
            <w:r w:rsidRPr="00C23847">
              <w:rPr>
                <w:sz w:val="20"/>
                <w:szCs w:val="20"/>
              </w:rPr>
              <w:t>The difference between the original budget estimate and actual transfers and grants was less than 5 percent or less in two of the last three years. The score for this component is B.</w:t>
            </w:r>
          </w:p>
        </w:tc>
      </w:tr>
      <w:tr w:rsidR="00181733" w:rsidRPr="00C23847" w14:paraId="1BB76C6E" w14:textId="77777777" w:rsidTr="00C23847">
        <w:tc>
          <w:tcPr>
            <w:tcW w:w="3969" w:type="dxa"/>
            <w:shd w:val="clear" w:color="auto" w:fill="auto"/>
          </w:tcPr>
          <w:p w14:paraId="4BDCEC26" w14:textId="732A9120" w:rsidR="00181733" w:rsidRPr="00C23847" w:rsidRDefault="00181733" w:rsidP="00C23847">
            <w:pPr>
              <w:jc w:val="left"/>
              <w:rPr>
                <w:rFonts w:cs="Times New Roman"/>
                <w:color w:val="000000"/>
                <w:sz w:val="20"/>
                <w:szCs w:val="20"/>
              </w:rPr>
            </w:pPr>
            <w:r w:rsidRPr="00C23847">
              <w:rPr>
                <w:sz w:val="20"/>
                <w:szCs w:val="20"/>
              </w:rPr>
              <w:t>HLG-1.3 Timeliness of transfers from higher-level government</w:t>
            </w:r>
          </w:p>
        </w:tc>
        <w:tc>
          <w:tcPr>
            <w:tcW w:w="960" w:type="dxa"/>
            <w:shd w:val="clear" w:color="auto" w:fill="auto"/>
          </w:tcPr>
          <w:p w14:paraId="755C52A8" w14:textId="7E41A2F0" w:rsidR="00181733" w:rsidRPr="00C23847" w:rsidRDefault="00181733" w:rsidP="00C23847">
            <w:pPr>
              <w:jc w:val="center"/>
              <w:rPr>
                <w:rFonts w:cs="Times New Roman"/>
                <w:color w:val="000000"/>
                <w:sz w:val="20"/>
                <w:szCs w:val="20"/>
              </w:rPr>
            </w:pPr>
            <w:r w:rsidRPr="00C23847">
              <w:rPr>
                <w:sz w:val="20"/>
                <w:szCs w:val="20"/>
              </w:rPr>
              <w:t>D</w:t>
            </w:r>
            <w:r w:rsidR="00130D14" w:rsidRPr="00C23847">
              <w:rPr>
                <w:sz w:val="20"/>
                <w:szCs w:val="20"/>
              </w:rPr>
              <w:t>*</w:t>
            </w:r>
          </w:p>
        </w:tc>
        <w:tc>
          <w:tcPr>
            <w:tcW w:w="7310" w:type="dxa"/>
            <w:shd w:val="clear" w:color="auto" w:fill="auto"/>
          </w:tcPr>
          <w:p w14:paraId="71DBE39A" w14:textId="19F3F4BC" w:rsidR="00181733" w:rsidRPr="00C23847" w:rsidRDefault="00181733" w:rsidP="00C23847">
            <w:pPr>
              <w:jc w:val="left"/>
              <w:rPr>
                <w:rFonts w:cs="Times New Roman"/>
                <w:color w:val="000000"/>
                <w:sz w:val="20"/>
                <w:szCs w:val="20"/>
              </w:rPr>
            </w:pPr>
            <w:r w:rsidRPr="00C23847">
              <w:rPr>
                <w:sz w:val="20"/>
                <w:szCs w:val="20"/>
              </w:rPr>
              <w:t>Quarterly transfers should be released quarterly, but the effective dates were not provided and important delays were reported in CFSP and in the press.</w:t>
            </w:r>
          </w:p>
        </w:tc>
      </w:tr>
      <w:tr w:rsidR="00EE1783" w:rsidRPr="00C23847" w14:paraId="5B6BFB77" w14:textId="77777777" w:rsidTr="00C23847">
        <w:tc>
          <w:tcPr>
            <w:tcW w:w="3969" w:type="dxa"/>
            <w:shd w:val="clear" w:color="000000" w:fill="E7E6E6"/>
            <w:vAlign w:val="center"/>
            <w:hideMark/>
          </w:tcPr>
          <w:p w14:paraId="41FB642C"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PI-1. Aggregate expenditure outturn (M1)</w:t>
            </w:r>
          </w:p>
        </w:tc>
        <w:tc>
          <w:tcPr>
            <w:tcW w:w="960" w:type="dxa"/>
            <w:shd w:val="clear" w:color="000000" w:fill="E7E6E6"/>
            <w:vAlign w:val="center"/>
            <w:hideMark/>
          </w:tcPr>
          <w:p w14:paraId="643ECC0A" w14:textId="0E516FC8" w:rsidR="00EE1783" w:rsidRPr="00C23847" w:rsidRDefault="00130D14" w:rsidP="00C23847">
            <w:pPr>
              <w:jc w:val="center"/>
              <w:rPr>
                <w:rFonts w:cs="Times New Roman"/>
                <w:b/>
                <w:bCs/>
                <w:color w:val="000000"/>
                <w:sz w:val="20"/>
                <w:szCs w:val="20"/>
              </w:rPr>
            </w:pPr>
            <w:r w:rsidRPr="00C23847">
              <w:rPr>
                <w:rFonts w:cs="Times New Roman"/>
                <w:b/>
                <w:bCs/>
                <w:color w:val="000000"/>
                <w:sz w:val="20"/>
                <w:szCs w:val="20"/>
              </w:rPr>
              <w:t>D</w:t>
            </w:r>
          </w:p>
        </w:tc>
        <w:tc>
          <w:tcPr>
            <w:tcW w:w="7310" w:type="dxa"/>
            <w:shd w:val="clear" w:color="000000" w:fill="E7E6E6"/>
            <w:vAlign w:val="center"/>
            <w:hideMark/>
          </w:tcPr>
          <w:p w14:paraId="58269697"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490916AC" w14:textId="77777777" w:rsidTr="00C23847">
        <w:tc>
          <w:tcPr>
            <w:tcW w:w="3969" w:type="dxa"/>
            <w:shd w:val="clear" w:color="auto" w:fill="auto"/>
            <w:vAlign w:val="center"/>
            <w:hideMark/>
          </w:tcPr>
          <w:p w14:paraId="589AF18D"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PI-1.1. Aggregate expenditure outturn</w:t>
            </w:r>
          </w:p>
        </w:tc>
        <w:tc>
          <w:tcPr>
            <w:tcW w:w="960" w:type="dxa"/>
            <w:shd w:val="clear" w:color="auto" w:fill="auto"/>
            <w:vAlign w:val="center"/>
            <w:hideMark/>
          </w:tcPr>
          <w:p w14:paraId="4B318896"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4651BE94"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Aggregate expenditure outturn was below 85% of the approved aggregate budgeted expenditure in all of the last three years.</w:t>
            </w:r>
          </w:p>
        </w:tc>
      </w:tr>
      <w:tr w:rsidR="00EE1783" w:rsidRPr="00C23847" w14:paraId="101D52A2" w14:textId="77777777" w:rsidTr="00C23847">
        <w:tc>
          <w:tcPr>
            <w:tcW w:w="3969" w:type="dxa"/>
            <w:shd w:val="clear" w:color="000000" w:fill="E7E6E6"/>
            <w:vAlign w:val="center"/>
            <w:hideMark/>
          </w:tcPr>
          <w:p w14:paraId="7CB79554"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PI-2. Expenditure composition outturn (M1)</w:t>
            </w:r>
          </w:p>
        </w:tc>
        <w:tc>
          <w:tcPr>
            <w:tcW w:w="960" w:type="dxa"/>
            <w:shd w:val="clear" w:color="000000" w:fill="E7E6E6"/>
            <w:vAlign w:val="center"/>
            <w:hideMark/>
          </w:tcPr>
          <w:p w14:paraId="29E8B758" w14:textId="653A166F" w:rsidR="00EE1783" w:rsidRPr="00C23847" w:rsidRDefault="00130D14"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5FCE804F"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14CF3E55" w14:textId="77777777" w:rsidTr="00C23847">
        <w:tc>
          <w:tcPr>
            <w:tcW w:w="3969" w:type="dxa"/>
            <w:shd w:val="clear" w:color="auto" w:fill="auto"/>
            <w:vAlign w:val="center"/>
            <w:hideMark/>
          </w:tcPr>
          <w:p w14:paraId="4FF7D4F6"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PI-2.1. Expenditure composition outturn by function</w:t>
            </w:r>
          </w:p>
        </w:tc>
        <w:tc>
          <w:tcPr>
            <w:tcW w:w="960" w:type="dxa"/>
            <w:shd w:val="clear" w:color="auto" w:fill="auto"/>
            <w:vAlign w:val="center"/>
            <w:hideMark/>
          </w:tcPr>
          <w:p w14:paraId="71B1BF79"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4B0B8A8E" w14:textId="65A1FEAB" w:rsidR="00EE1783" w:rsidRPr="00C23847" w:rsidRDefault="00EE1783" w:rsidP="00C23847">
            <w:pPr>
              <w:jc w:val="left"/>
              <w:rPr>
                <w:rFonts w:cs="Times New Roman"/>
                <w:color w:val="000000"/>
                <w:sz w:val="20"/>
                <w:szCs w:val="20"/>
              </w:rPr>
            </w:pPr>
            <w:r w:rsidRPr="00C23847">
              <w:rPr>
                <w:rFonts w:cs="Times New Roman"/>
                <w:color w:val="000000"/>
                <w:sz w:val="20"/>
                <w:szCs w:val="20"/>
              </w:rPr>
              <w:t>Variance in expenditure composition by administrative/functional classification was more than 15% in at least two of the last three years.</w:t>
            </w:r>
          </w:p>
        </w:tc>
      </w:tr>
      <w:tr w:rsidR="00EE1783" w:rsidRPr="00C23847" w14:paraId="1B14E078" w14:textId="77777777" w:rsidTr="00C23847">
        <w:tc>
          <w:tcPr>
            <w:tcW w:w="3969" w:type="dxa"/>
            <w:shd w:val="clear" w:color="auto" w:fill="auto"/>
            <w:vAlign w:val="center"/>
            <w:hideMark/>
          </w:tcPr>
          <w:p w14:paraId="6D97071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PI-2.2. Expenditure composition outturn by economic type</w:t>
            </w:r>
          </w:p>
        </w:tc>
        <w:tc>
          <w:tcPr>
            <w:tcW w:w="960" w:type="dxa"/>
            <w:shd w:val="clear" w:color="auto" w:fill="auto"/>
            <w:vAlign w:val="center"/>
            <w:hideMark/>
          </w:tcPr>
          <w:p w14:paraId="55F6D5E4"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9786703"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Variance in expenditure composition by economic classification was more than 15% in at least two of the last three years.</w:t>
            </w:r>
          </w:p>
        </w:tc>
      </w:tr>
      <w:tr w:rsidR="00EE1783" w:rsidRPr="00C23847" w14:paraId="58E65CA1" w14:textId="77777777" w:rsidTr="00C23847">
        <w:tc>
          <w:tcPr>
            <w:tcW w:w="3969" w:type="dxa"/>
            <w:shd w:val="clear" w:color="auto" w:fill="auto"/>
            <w:vAlign w:val="center"/>
            <w:hideMark/>
          </w:tcPr>
          <w:p w14:paraId="0AF4112C"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PI-2.3 Expenditure from contingency reserve</w:t>
            </w:r>
          </w:p>
        </w:tc>
        <w:tc>
          <w:tcPr>
            <w:tcW w:w="960" w:type="dxa"/>
            <w:shd w:val="clear" w:color="auto" w:fill="auto"/>
            <w:vAlign w:val="center"/>
            <w:hideMark/>
          </w:tcPr>
          <w:p w14:paraId="50437397"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46B640F2"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Actual expenditure charged to a contingency vote was on average less than 3% of the original budget (0.7% on average).</w:t>
            </w:r>
          </w:p>
        </w:tc>
      </w:tr>
      <w:tr w:rsidR="00EE1783" w:rsidRPr="00C23847" w14:paraId="3152E1CE" w14:textId="77777777" w:rsidTr="00C23847">
        <w:tc>
          <w:tcPr>
            <w:tcW w:w="3969" w:type="dxa"/>
            <w:shd w:val="clear" w:color="000000" w:fill="E7E6E6"/>
            <w:vAlign w:val="center"/>
            <w:hideMark/>
          </w:tcPr>
          <w:p w14:paraId="187C68BA"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PI-3. Revenue outturn (M2)</w:t>
            </w:r>
          </w:p>
        </w:tc>
        <w:tc>
          <w:tcPr>
            <w:tcW w:w="960" w:type="dxa"/>
            <w:shd w:val="clear" w:color="000000" w:fill="E7E6E6"/>
            <w:vAlign w:val="center"/>
            <w:hideMark/>
          </w:tcPr>
          <w:p w14:paraId="77CA720C" w14:textId="007B84CF" w:rsidR="00EE1783" w:rsidRPr="00C23847" w:rsidRDefault="00130D14"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2C862554"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464EF334" w14:textId="77777777" w:rsidTr="00C23847">
        <w:tc>
          <w:tcPr>
            <w:tcW w:w="3969" w:type="dxa"/>
            <w:shd w:val="clear" w:color="auto" w:fill="auto"/>
            <w:vAlign w:val="center"/>
            <w:hideMark/>
          </w:tcPr>
          <w:p w14:paraId="53AD70F4"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PI-3.1. Aggregate revenue outturn</w:t>
            </w:r>
          </w:p>
        </w:tc>
        <w:tc>
          <w:tcPr>
            <w:tcW w:w="960" w:type="dxa"/>
            <w:shd w:val="clear" w:color="auto" w:fill="auto"/>
            <w:vAlign w:val="center"/>
            <w:hideMark/>
          </w:tcPr>
          <w:p w14:paraId="3FD327AB"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22A59B99"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Actual revenue was below 85% of budgeted revenue in two of the last three years.</w:t>
            </w:r>
          </w:p>
        </w:tc>
      </w:tr>
      <w:tr w:rsidR="00EE1783" w:rsidRPr="00C23847" w14:paraId="511FA971" w14:textId="77777777" w:rsidTr="00C23847">
        <w:tc>
          <w:tcPr>
            <w:tcW w:w="3969" w:type="dxa"/>
            <w:shd w:val="clear" w:color="auto" w:fill="auto"/>
            <w:vAlign w:val="center"/>
            <w:hideMark/>
          </w:tcPr>
          <w:p w14:paraId="5DD4FBB0"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PI-3.2. Revenue composition outturn</w:t>
            </w:r>
          </w:p>
        </w:tc>
        <w:tc>
          <w:tcPr>
            <w:tcW w:w="960" w:type="dxa"/>
            <w:shd w:val="clear" w:color="auto" w:fill="auto"/>
            <w:vAlign w:val="center"/>
            <w:hideMark/>
          </w:tcPr>
          <w:p w14:paraId="4EC87B0F"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C25CC68" w14:textId="250F87BA" w:rsidR="00EE1783" w:rsidRPr="00C23847" w:rsidRDefault="00EE1783" w:rsidP="00C23847">
            <w:pPr>
              <w:jc w:val="left"/>
              <w:rPr>
                <w:rFonts w:cs="Times New Roman"/>
                <w:color w:val="000000"/>
                <w:sz w:val="20"/>
                <w:szCs w:val="20"/>
              </w:rPr>
            </w:pPr>
            <w:r w:rsidRPr="00C23847">
              <w:rPr>
                <w:rFonts w:cs="Times New Roman"/>
                <w:color w:val="000000"/>
                <w:sz w:val="20"/>
                <w:szCs w:val="20"/>
              </w:rPr>
              <w:t>AFS</w:t>
            </w:r>
            <w:r w:rsidR="002973C9">
              <w:rPr>
                <w:rFonts w:cs="Times New Roman"/>
                <w:color w:val="000000"/>
                <w:sz w:val="20"/>
                <w:szCs w:val="20"/>
              </w:rPr>
              <w:t>s</w:t>
            </w:r>
            <w:r w:rsidRPr="00C23847">
              <w:rPr>
                <w:rFonts w:cs="Times New Roman"/>
                <w:color w:val="000000"/>
                <w:sz w:val="20"/>
                <w:szCs w:val="20"/>
              </w:rPr>
              <w:t xml:space="preserve"> do not present the breakdown of the local revenue, </w:t>
            </w:r>
            <w:r w:rsidR="002973C9">
              <w:rPr>
                <w:rFonts w:cs="Times New Roman"/>
                <w:color w:val="000000"/>
                <w:sz w:val="20"/>
                <w:szCs w:val="20"/>
              </w:rPr>
              <w:t xml:space="preserve">and </w:t>
            </w:r>
            <w:r w:rsidRPr="00C23847">
              <w:rPr>
                <w:rFonts w:cs="Times New Roman"/>
                <w:color w:val="000000"/>
                <w:sz w:val="20"/>
                <w:szCs w:val="20"/>
              </w:rPr>
              <w:t>hence the composition variance could not be calculated.</w:t>
            </w:r>
          </w:p>
        </w:tc>
      </w:tr>
      <w:tr w:rsidR="00EE1783" w:rsidRPr="00C23847" w14:paraId="08FD6993" w14:textId="77777777" w:rsidTr="00C23847">
        <w:tc>
          <w:tcPr>
            <w:tcW w:w="3969" w:type="dxa"/>
            <w:shd w:val="clear" w:color="000000" w:fill="E7E6E6"/>
            <w:vAlign w:val="center"/>
            <w:hideMark/>
          </w:tcPr>
          <w:p w14:paraId="46B43109"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PI-4. Budget classification (M1)</w:t>
            </w:r>
          </w:p>
        </w:tc>
        <w:tc>
          <w:tcPr>
            <w:tcW w:w="960" w:type="dxa"/>
            <w:shd w:val="clear" w:color="000000" w:fill="E7E6E6"/>
            <w:vAlign w:val="center"/>
            <w:hideMark/>
          </w:tcPr>
          <w:p w14:paraId="09CA1012" w14:textId="1DA29C91" w:rsidR="00EE1783" w:rsidRPr="00C23847" w:rsidRDefault="00130D14" w:rsidP="00C23847">
            <w:pPr>
              <w:jc w:val="center"/>
              <w:rPr>
                <w:rFonts w:cs="Times New Roman"/>
                <w:b/>
                <w:bCs/>
                <w:color w:val="000000"/>
                <w:sz w:val="20"/>
                <w:szCs w:val="20"/>
                <w:lang w:val="fr-FR"/>
              </w:rPr>
            </w:pPr>
            <w:r w:rsidRPr="00C23847">
              <w:rPr>
                <w:rFonts w:cs="Times New Roman"/>
                <w:b/>
                <w:bCs/>
                <w:color w:val="000000"/>
                <w:sz w:val="20"/>
                <w:szCs w:val="20"/>
                <w:lang w:val="fr-FR"/>
              </w:rPr>
              <w:t>C</w:t>
            </w:r>
          </w:p>
        </w:tc>
        <w:tc>
          <w:tcPr>
            <w:tcW w:w="7310" w:type="dxa"/>
            <w:shd w:val="clear" w:color="000000" w:fill="E7E6E6"/>
            <w:vAlign w:val="center"/>
            <w:hideMark/>
          </w:tcPr>
          <w:p w14:paraId="27D7484D"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0773ABE2" w14:textId="77777777" w:rsidTr="00C23847">
        <w:tc>
          <w:tcPr>
            <w:tcW w:w="3969" w:type="dxa"/>
            <w:shd w:val="clear" w:color="auto" w:fill="auto"/>
            <w:vAlign w:val="center"/>
            <w:hideMark/>
          </w:tcPr>
          <w:p w14:paraId="7CC7D755"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PI-4.1. Budget classification</w:t>
            </w:r>
          </w:p>
        </w:tc>
        <w:tc>
          <w:tcPr>
            <w:tcW w:w="960" w:type="dxa"/>
            <w:shd w:val="clear" w:color="auto" w:fill="auto"/>
            <w:vAlign w:val="center"/>
            <w:hideMark/>
          </w:tcPr>
          <w:p w14:paraId="199CDB28"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31904A0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Budget formulation, execution, and reporting are based on administrative and economic classification that can produce consistent documentation comparable with GFS standards (at level 2 of the GFS standard for the economic classification). </w:t>
            </w:r>
          </w:p>
        </w:tc>
      </w:tr>
      <w:tr w:rsidR="00EE1783" w:rsidRPr="00C23847" w14:paraId="50F0F8A1" w14:textId="77777777" w:rsidTr="00C23847">
        <w:tc>
          <w:tcPr>
            <w:tcW w:w="3969" w:type="dxa"/>
            <w:shd w:val="clear" w:color="000000" w:fill="E7E6E6"/>
            <w:vAlign w:val="center"/>
            <w:hideMark/>
          </w:tcPr>
          <w:p w14:paraId="7B95B452"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PI-5. Budget documentation (M1)</w:t>
            </w:r>
          </w:p>
        </w:tc>
        <w:tc>
          <w:tcPr>
            <w:tcW w:w="960" w:type="dxa"/>
            <w:shd w:val="clear" w:color="000000" w:fill="E7E6E6"/>
            <w:vAlign w:val="center"/>
            <w:hideMark/>
          </w:tcPr>
          <w:p w14:paraId="3933A8F9" w14:textId="025D3654" w:rsidR="00EE1783" w:rsidRPr="00C23847" w:rsidRDefault="00130D14"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0DE6239D"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55C51BC7" w14:textId="77777777" w:rsidTr="00C23847">
        <w:tc>
          <w:tcPr>
            <w:tcW w:w="3969" w:type="dxa"/>
            <w:shd w:val="clear" w:color="auto" w:fill="auto"/>
            <w:vAlign w:val="center"/>
            <w:hideMark/>
          </w:tcPr>
          <w:p w14:paraId="477F13FA"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PI-5.1. Budget documentation</w:t>
            </w:r>
          </w:p>
        </w:tc>
        <w:tc>
          <w:tcPr>
            <w:tcW w:w="960" w:type="dxa"/>
            <w:shd w:val="clear" w:color="auto" w:fill="auto"/>
            <w:vAlign w:val="center"/>
            <w:hideMark/>
          </w:tcPr>
          <w:p w14:paraId="712E2F57"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13DB0E6D"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Two basic elements and one additional element fulfil the PEFA criteria requirements. </w:t>
            </w:r>
          </w:p>
        </w:tc>
      </w:tr>
      <w:tr w:rsidR="00EE1783" w:rsidRPr="00C23847" w14:paraId="05FE4DFA" w14:textId="77777777" w:rsidTr="00C23847">
        <w:tc>
          <w:tcPr>
            <w:tcW w:w="3969" w:type="dxa"/>
            <w:shd w:val="clear" w:color="000000" w:fill="E7E6E6"/>
            <w:vAlign w:val="center"/>
            <w:hideMark/>
          </w:tcPr>
          <w:p w14:paraId="05C77345"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PI-6. County government operations outside financial reports (M2)</w:t>
            </w:r>
          </w:p>
        </w:tc>
        <w:tc>
          <w:tcPr>
            <w:tcW w:w="960" w:type="dxa"/>
            <w:shd w:val="clear" w:color="000000" w:fill="E7E6E6"/>
            <w:vAlign w:val="center"/>
            <w:hideMark/>
          </w:tcPr>
          <w:p w14:paraId="4F9DC69A" w14:textId="4CF9F6B7" w:rsidR="00EE1783" w:rsidRPr="00C23847" w:rsidRDefault="00130D14" w:rsidP="00C23847">
            <w:pPr>
              <w:jc w:val="center"/>
              <w:rPr>
                <w:rFonts w:cs="Times New Roman"/>
                <w:b/>
                <w:bCs/>
                <w:color w:val="000000"/>
                <w:sz w:val="20"/>
                <w:szCs w:val="20"/>
              </w:rPr>
            </w:pPr>
            <w:r w:rsidRPr="00C23847">
              <w:rPr>
                <w:rFonts w:cs="Times New Roman"/>
                <w:b/>
                <w:bCs/>
                <w:color w:val="000000"/>
                <w:sz w:val="20"/>
                <w:szCs w:val="20"/>
              </w:rPr>
              <w:t>D</w:t>
            </w:r>
          </w:p>
        </w:tc>
        <w:tc>
          <w:tcPr>
            <w:tcW w:w="7310" w:type="dxa"/>
            <w:shd w:val="clear" w:color="000000" w:fill="E7E6E6"/>
            <w:vAlign w:val="center"/>
            <w:hideMark/>
          </w:tcPr>
          <w:p w14:paraId="72D8E60C"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1F2B2879" w14:textId="77777777" w:rsidTr="00C23847">
        <w:tc>
          <w:tcPr>
            <w:tcW w:w="3969" w:type="dxa"/>
            <w:shd w:val="clear" w:color="auto" w:fill="auto"/>
            <w:vAlign w:val="center"/>
            <w:hideMark/>
          </w:tcPr>
          <w:p w14:paraId="08022DCA"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PI-6.1. Expenditure outside financial reports</w:t>
            </w:r>
          </w:p>
        </w:tc>
        <w:tc>
          <w:tcPr>
            <w:tcW w:w="960" w:type="dxa"/>
            <w:shd w:val="clear" w:color="auto" w:fill="auto"/>
            <w:vAlign w:val="center"/>
            <w:hideMark/>
          </w:tcPr>
          <w:p w14:paraId="56A35A2D"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53C7483D" w14:textId="12B3D086" w:rsidR="00EE1783" w:rsidRPr="00C23847" w:rsidRDefault="00EE1783" w:rsidP="00C23847">
            <w:pPr>
              <w:jc w:val="left"/>
              <w:rPr>
                <w:rFonts w:cs="Times New Roman"/>
                <w:color w:val="000000"/>
                <w:sz w:val="20"/>
                <w:szCs w:val="20"/>
              </w:rPr>
            </w:pPr>
            <w:r w:rsidRPr="00C23847">
              <w:rPr>
                <w:rFonts w:cs="Times New Roman"/>
                <w:color w:val="000000"/>
                <w:sz w:val="20"/>
                <w:szCs w:val="20"/>
              </w:rPr>
              <w:t>Data required for scoring the component was not avail</w:t>
            </w:r>
            <w:r w:rsidR="005B0A9A">
              <w:rPr>
                <w:rFonts w:cs="Times New Roman"/>
                <w:color w:val="000000"/>
                <w:sz w:val="20"/>
                <w:szCs w:val="20"/>
              </w:rPr>
              <w:t>able.</w:t>
            </w:r>
          </w:p>
        </w:tc>
      </w:tr>
      <w:tr w:rsidR="00EE1783" w:rsidRPr="00C23847" w14:paraId="099417E1" w14:textId="77777777" w:rsidTr="00C23847">
        <w:tc>
          <w:tcPr>
            <w:tcW w:w="3969" w:type="dxa"/>
            <w:shd w:val="clear" w:color="auto" w:fill="auto"/>
            <w:vAlign w:val="center"/>
            <w:hideMark/>
          </w:tcPr>
          <w:p w14:paraId="55BC7B67"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PI-6.2. Revenue outside financial reports</w:t>
            </w:r>
          </w:p>
        </w:tc>
        <w:tc>
          <w:tcPr>
            <w:tcW w:w="960" w:type="dxa"/>
            <w:shd w:val="clear" w:color="auto" w:fill="auto"/>
            <w:vAlign w:val="center"/>
            <w:hideMark/>
          </w:tcPr>
          <w:p w14:paraId="3AD70944"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68B504A" w14:textId="17535576" w:rsidR="00EE1783" w:rsidRPr="00C23847" w:rsidRDefault="00EE1783" w:rsidP="00C23847">
            <w:pPr>
              <w:jc w:val="left"/>
              <w:rPr>
                <w:rFonts w:cs="Times New Roman"/>
                <w:color w:val="000000"/>
                <w:sz w:val="20"/>
                <w:szCs w:val="20"/>
              </w:rPr>
            </w:pPr>
            <w:r w:rsidRPr="00C23847">
              <w:rPr>
                <w:rFonts w:cs="Times New Roman"/>
                <w:color w:val="000000"/>
                <w:sz w:val="20"/>
                <w:szCs w:val="20"/>
              </w:rPr>
              <w:t>Data required for scoring the component was not avail</w:t>
            </w:r>
            <w:r w:rsidR="005B0A9A">
              <w:rPr>
                <w:rFonts w:cs="Times New Roman"/>
                <w:color w:val="000000"/>
                <w:sz w:val="20"/>
                <w:szCs w:val="20"/>
              </w:rPr>
              <w:t>able</w:t>
            </w:r>
            <w:r w:rsidRPr="00C23847">
              <w:rPr>
                <w:rFonts w:cs="Times New Roman"/>
                <w:color w:val="000000"/>
                <w:sz w:val="20"/>
                <w:szCs w:val="20"/>
              </w:rPr>
              <w:t>.</w:t>
            </w:r>
          </w:p>
        </w:tc>
      </w:tr>
      <w:tr w:rsidR="00EE1783" w:rsidRPr="00C23847" w14:paraId="4A3749C1" w14:textId="77777777" w:rsidTr="00C23847">
        <w:tc>
          <w:tcPr>
            <w:tcW w:w="3969" w:type="dxa"/>
            <w:shd w:val="clear" w:color="auto" w:fill="auto"/>
            <w:vAlign w:val="center"/>
            <w:hideMark/>
          </w:tcPr>
          <w:p w14:paraId="1164C2EC"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PI-6.3. Financial reports of extra budgetary units</w:t>
            </w:r>
          </w:p>
        </w:tc>
        <w:tc>
          <w:tcPr>
            <w:tcW w:w="960" w:type="dxa"/>
            <w:shd w:val="clear" w:color="auto" w:fill="auto"/>
            <w:vAlign w:val="center"/>
            <w:hideMark/>
          </w:tcPr>
          <w:p w14:paraId="61968357"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63995DE" w14:textId="73024CDB" w:rsidR="00EE1783" w:rsidRPr="00C23847" w:rsidRDefault="00EE1783" w:rsidP="00C23847">
            <w:pPr>
              <w:jc w:val="left"/>
              <w:rPr>
                <w:rFonts w:cs="Times New Roman"/>
                <w:color w:val="000000"/>
                <w:sz w:val="20"/>
                <w:szCs w:val="20"/>
              </w:rPr>
            </w:pPr>
            <w:r w:rsidRPr="00C23847">
              <w:rPr>
                <w:rFonts w:cs="Times New Roman"/>
                <w:color w:val="000000"/>
                <w:sz w:val="20"/>
                <w:szCs w:val="20"/>
              </w:rPr>
              <w:t>The financial reports of the extra-budgetary units were not avail</w:t>
            </w:r>
            <w:r w:rsidR="005B0A9A">
              <w:rPr>
                <w:rFonts w:cs="Times New Roman"/>
                <w:color w:val="000000"/>
                <w:sz w:val="20"/>
                <w:szCs w:val="20"/>
              </w:rPr>
              <w:t>able</w:t>
            </w:r>
            <w:r w:rsidRPr="00C23847">
              <w:rPr>
                <w:rFonts w:cs="Times New Roman"/>
                <w:color w:val="000000"/>
                <w:sz w:val="20"/>
                <w:szCs w:val="20"/>
              </w:rPr>
              <w:t>.</w:t>
            </w:r>
          </w:p>
        </w:tc>
      </w:tr>
      <w:tr w:rsidR="00EE1783" w:rsidRPr="00C23847" w14:paraId="642DB04D" w14:textId="77777777" w:rsidTr="00C23847">
        <w:tc>
          <w:tcPr>
            <w:tcW w:w="3969" w:type="dxa"/>
            <w:shd w:val="clear" w:color="000000" w:fill="E7E6E6"/>
            <w:vAlign w:val="center"/>
            <w:hideMark/>
          </w:tcPr>
          <w:p w14:paraId="46153E5D" w14:textId="3A4B6838"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PI-7 Transfers to subnational governments (M2)</w:t>
            </w:r>
          </w:p>
        </w:tc>
        <w:tc>
          <w:tcPr>
            <w:tcW w:w="960" w:type="dxa"/>
            <w:shd w:val="clear" w:color="000000" w:fill="E7E6E6"/>
            <w:vAlign w:val="center"/>
            <w:hideMark/>
          </w:tcPr>
          <w:p w14:paraId="38065A0A" w14:textId="2C7AA389" w:rsidR="00EE1783" w:rsidRPr="00C23847" w:rsidRDefault="00692345" w:rsidP="00C23847">
            <w:pPr>
              <w:jc w:val="center"/>
              <w:rPr>
                <w:rFonts w:cs="Times New Roman"/>
                <w:b/>
                <w:bCs/>
                <w:color w:val="000000"/>
                <w:sz w:val="20"/>
                <w:szCs w:val="20"/>
              </w:rPr>
            </w:pPr>
            <w:r w:rsidRPr="00C23847">
              <w:rPr>
                <w:rFonts w:cs="Times New Roman"/>
                <w:b/>
                <w:bCs/>
                <w:color w:val="000000"/>
                <w:sz w:val="20"/>
                <w:szCs w:val="20"/>
              </w:rPr>
              <w:t>N/A</w:t>
            </w:r>
          </w:p>
        </w:tc>
        <w:tc>
          <w:tcPr>
            <w:tcW w:w="7310" w:type="dxa"/>
            <w:shd w:val="clear" w:color="000000" w:fill="E7E6E6"/>
            <w:vAlign w:val="center"/>
            <w:hideMark/>
          </w:tcPr>
          <w:p w14:paraId="66B90CD2"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77872456" w14:textId="77777777" w:rsidTr="00C23847">
        <w:tc>
          <w:tcPr>
            <w:tcW w:w="3969" w:type="dxa"/>
            <w:shd w:val="clear" w:color="auto" w:fill="auto"/>
            <w:vAlign w:val="center"/>
            <w:hideMark/>
          </w:tcPr>
          <w:p w14:paraId="47D155E9"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PI-7.1 Transparency and objectivity in the horizontal allocation of central government grants to LGUs</w:t>
            </w:r>
          </w:p>
        </w:tc>
        <w:tc>
          <w:tcPr>
            <w:tcW w:w="960" w:type="dxa"/>
            <w:shd w:val="clear" w:color="auto" w:fill="auto"/>
            <w:vAlign w:val="center"/>
            <w:hideMark/>
          </w:tcPr>
          <w:p w14:paraId="44D9A09D"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N/A</w:t>
            </w:r>
          </w:p>
        </w:tc>
        <w:tc>
          <w:tcPr>
            <w:tcW w:w="7310" w:type="dxa"/>
            <w:shd w:val="clear" w:color="auto" w:fill="auto"/>
            <w:vAlign w:val="center"/>
            <w:hideMark/>
          </w:tcPr>
          <w:p w14:paraId="6BF3801F" w14:textId="1E3BF5F1" w:rsidR="00EE1783" w:rsidRPr="00C23847" w:rsidRDefault="00EE1783" w:rsidP="00C23847">
            <w:pPr>
              <w:jc w:val="left"/>
              <w:rPr>
                <w:rFonts w:cs="Times New Roman"/>
                <w:color w:val="000000"/>
                <w:sz w:val="20"/>
                <w:szCs w:val="20"/>
              </w:rPr>
            </w:pPr>
            <w:r w:rsidRPr="00C23847">
              <w:rPr>
                <w:rFonts w:cs="Times New Roman"/>
                <w:color w:val="000000"/>
                <w:sz w:val="20"/>
                <w:szCs w:val="20"/>
              </w:rPr>
              <w:t>Not applicable at the level of sub</w:t>
            </w:r>
            <w:r w:rsidR="000A7E03">
              <w:rPr>
                <w:rFonts w:cs="Times New Roman"/>
                <w:color w:val="000000"/>
                <w:sz w:val="20"/>
                <w:szCs w:val="20"/>
              </w:rPr>
              <w:t>n</w:t>
            </w:r>
            <w:r w:rsidRPr="00C23847">
              <w:rPr>
                <w:rFonts w:cs="Times New Roman"/>
                <w:color w:val="000000"/>
                <w:sz w:val="20"/>
                <w:szCs w:val="20"/>
              </w:rPr>
              <w:t xml:space="preserve">ational </w:t>
            </w:r>
            <w:r w:rsidR="000A7E03">
              <w:rPr>
                <w:rFonts w:cs="Times New Roman"/>
                <w:color w:val="000000"/>
                <w:sz w:val="20"/>
                <w:szCs w:val="20"/>
              </w:rPr>
              <w:t>g</w:t>
            </w:r>
            <w:r w:rsidRPr="00C23847">
              <w:rPr>
                <w:rFonts w:cs="Times New Roman"/>
                <w:color w:val="000000"/>
                <w:sz w:val="20"/>
                <w:szCs w:val="20"/>
              </w:rPr>
              <w:t xml:space="preserve">overnment. </w:t>
            </w:r>
          </w:p>
        </w:tc>
      </w:tr>
      <w:tr w:rsidR="00EE1783" w:rsidRPr="00C23847" w14:paraId="32F69135" w14:textId="77777777" w:rsidTr="00C23847">
        <w:tc>
          <w:tcPr>
            <w:tcW w:w="3969" w:type="dxa"/>
            <w:shd w:val="clear" w:color="auto" w:fill="auto"/>
            <w:vAlign w:val="center"/>
            <w:hideMark/>
          </w:tcPr>
          <w:p w14:paraId="1689F9D8"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PI-7.2 Timeliness of reliable information to LGUs on their allocations</w:t>
            </w:r>
          </w:p>
        </w:tc>
        <w:tc>
          <w:tcPr>
            <w:tcW w:w="960" w:type="dxa"/>
            <w:shd w:val="clear" w:color="auto" w:fill="auto"/>
            <w:vAlign w:val="center"/>
            <w:hideMark/>
          </w:tcPr>
          <w:p w14:paraId="46429E06"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N/A</w:t>
            </w:r>
          </w:p>
        </w:tc>
        <w:tc>
          <w:tcPr>
            <w:tcW w:w="7310" w:type="dxa"/>
            <w:shd w:val="clear" w:color="auto" w:fill="auto"/>
            <w:vAlign w:val="center"/>
            <w:hideMark/>
          </w:tcPr>
          <w:p w14:paraId="04B51BC2" w14:textId="77777777" w:rsidR="00EE1783" w:rsidRPr="00C23847" w:rsidRDefault="00EE1783" w:rsidP="00C23847">
            <w:pPr>
              <w:jc w:val="left"/>
              <w:rPr>
                <w:rFonts w:cs="Times New Roman"/>
                <w:color w:val="000000"/>
                <w:sz w:val="20"/>
                <w:szCs w:val="20"/>
                <w:lang w:val="fr-FR"/>
              </w:rPr>
            </w:pPr>
          </w:p>
        </w:tc>
      </w:tr>
      <w:tr w:rsidR="00EE1783" w:rsidRPr="00C23847" w14:paraId="1EA80574" w14:textId="77777777" w:rsidTr="00C23847">
        <w:tc>
          <w:tcPr>
            <w:tcW w:w="3969" w:type="dxa"/>
            <w:shd w:val="clear" w:color="000000" w:fill="E7E6E6"/>
            <w:vAlign w:val="center"/>
            <w:hideMark/>
          </w:tcPr>
          <w:p w14:paraId="382D6CC8"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PI-8. Performance information for service delivery (M2)</w:t>
            </w:r>
          </w:p>
        </w:tc>
        <w:tc>
          <w:tcPr>
            <w:tcW w:w="960" w:type="dxa"/>
            <w:shd w:val="clear" w:color="000000" w:fill="E7E6E6"/>
            <w:vAlign w:val="center"/>
            <w:hideMark/>
          </w:tcPr>
          <w:p w14:paraId="41B2F5EB" w14:textId="40B46E38" w:rsidR="00EE1783" w:rsidRPr="00C23847" w:rsidRDefault="00EE1783" w:rsidP="00C23847">
            <w:pPr>
              <w:jc w:val="center"/>
              <w:rPr>
                <w:rFonts w:cs="Times New Roman"/>
                <w:b/>
                <w:bCs/>
                <w:color w:val="000000"/>
                <w:sz w:val="20"/>
                <w:szCs w:val="20"/>
                <w:lang w:val="fr-FR"/>
              </w:rPr>
            </w:pPr>
            <w:r w:rsidRPr="00C23847">
              <w:rPr>
                <w:rFonts w:cs="Times New Roman"/>
                <w:b/>
                <w:bCs/>
                <w:color w:val="000000"/>
                <w:sz w:val="20"/>
                <w:szCs w:val="20"/>
                <w:lang w:val="fr-FR"/>
              </w:rPr>
              <w:t>D</w:t>
            </w:r>
            <w:r w:rsidR="00153E82" w:rsidRPr="00C23847">
              <w:rPr>
                <w:rFonts w:cs="Times New Roman"/>
                <w:b/>
                <w:bCs/>
                <w:color w:val="000000"/>
                <w:sz w:val="20"/>
                <w:szCs w:val="20"/>
                <w:lang w:val="fr-FR"/>
              </w:rPr>
              <w:t>+</w:t>
            </w:r>
          </w:p>
        </w:tc>
        <w:tc>
          <w:tcPr>
            <w:tcW w:w="7310" w:type="dxa"/>
            <w:shd w:val="clear" w:color="000000" w:fill="E7E6E6"/>
            <w:vAlign w:val="center"/>
            <w:hideMark/>
          </w:tcPr>
          <w:p w14:paraId="09911A3B"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1B7B6FFD" w14:textId="77777777" w:rsidTr="00C23847">
        <w:tc>
          <w:tcPr>
            <w:tcW w:w="3969" w:type="dxa"/>
            <w:shd w:val="clear" w:color="auto" w:fill="auto"/>
            <w:vAlign w:val="center"/>
            <w:hideMark/>
          </w:tcPr>
          <w:p w14:paraId="2EE5F993"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PI-8.1. Performance plans for service delivery</w:t>
            </w:r>
          </w:p>
        </w:tc>
        <w:tc>
          <w:tcPr>
            <w:tcW w:w="960" w:type="dxa"/>
            <w:shd w:val="clear" w:color="auto" w:fill="auto"/>
            <w:vAlign w:val="center"/>
            <w:hideMark/>
          </w:tcPr>
          <w:p w14:paraId="47A44C5A"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0511EB45" w14:textId="706746F9"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Performance plans are published in </w:t>
            </w:r>
            <w:r w:rsidR="000A7E03">
              <w:rPr>
                <w:rFonts w:cs="Times New Roman"/>
                <w:color w:val="000000"/>
                <w:sz w:val="20"/>
                <w:szCs w:val="20"/>
              </w:rPr>
              <w:t>A</w:t>
            </w:r>
            <w:r w:rsidRPr="000A7E03">
              <w:rPr>
                <w:rFonts w:cs="Times New Roman"/>
                <w:color w:val="000000"/>
                <w:sz w:val="20"/>
                <w:szCs w:val="20"/>
              </w:rPr>
              <w:t xml:space="preserve">nnual </w:t>
            </w:r>
            <w:r w:rsidR="000A7E03">
              <w:rPr>
                <w:rFonts w:cs="Times New Roman"/>
                <w:color w:val="000000"/>
                <w:sz w:val="20"/>
                <w:szCs w:val="20"/>
              </w:rPr>
              <w:t>D</w:t>
            </w:r>
            <w:r w:rsidRPr="000A7E03">
              <w:rPr>
                <w:rFonts w:cs="Times New Roman"/>
                <w:color w:val="000000"/>
                <w:sz w:val="20"/>
                <w:szCs w:val="20"/>
              </w:rPr>
              <w:t xml:space="preserve">evelopment </w:t>
            </w:r>
            <w:r w:rsidR="000A7E03">
              <w:rPr>
                <w:rFonts w:cs="Times New Roman"/>
                <w:color w:val="000000"/>
                <w:sz w:val="20"/>
                <w:szCs w:val="20"/>
              </w:rPr>
              <w:t>P</w:t>
            </w:r>
            <w:r w:rsidRPr="000A7E03">
              <w:rPr>
                <w:rFonts w:cs="Times New Roman"/>
                <w:color w:val="000000"/>
                <w:sz w:val="20"/>
                <w:szCs w:val="20"/>
              </w:rPr>
              <w:t>lans (ADP</w:t>
            </w:r>
            <w:r w:rsidR="000A7E03">
              <w:rPr>
                <w:rFonts w:cs="Times New Roman"/>
                <w:color w:val="000000"/>
                <w:sz w:val="20"/>
                <w:szCs w:val="20"/>
              </w:rPr>
              <w:t>s</w:t>
            </w:r>
            <w:r w:rsidRPr="000A7E03">
              <w:rPr>
                <w:rFonts w:cs="Times New Roman"/>
                <w:color w:val="000000"/>
                <w:sz w:val="20"/>
                <w:szCs w:val="20"/>
              </w:rPr>
              <w:t>),</w:t>
            </w:r>
            <w:r w:rsidRPr="00C23847">
              <w:rPr>
                <w:rFonts w:cs="Times New Roman"/>
                <w:color w:val="000000"/>
                <w:sz w:val="20"/>
                <w:szCs w:val="20"/>
              </w:rPr>
              <w:t xml:space="preserve"> detailed for all ministries by program objectives, key performance indicators, and outputs.</w:t>
            </w:r>
          </w:p>
        </w:tc>
      </w:tr>
      <w:tr w:rsidR="00EE1783" w:rsidRPr="00C23847" w14:paraId="7074BFE9" w14:textId="77777777" w:rsidTr="00C23847">
        <w:tc>
          <w:tcPr>
            <w:tcW w:w="3969" w:type="dxa"/>
            <w:shd w:val="clear" w:color="auto" w:fill="auto"/>
            <w:vAlign w:val="center"/>
            <w:hideMark/>
          </w:tcPr>
          <w:p w14:paraId="6984000B"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PI-8.2. Performance achieved for service delivery</w:t>
            </w:r>
          </w:p>
        </w:tc>
        <w:tc>
          <w:tcPr>
            <w:tcW w:w="960" w:type="dxa"/>
            <w:shd w:val="clear" w:color="auto" w:fill="auto"/>
            <w:vAlign w:val="center"/>
            <w:hideMark/>
          </w:tcPr>
          <w:p w14:paraId="08029C9C"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73ED4C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The county government has not established a unit to conduct performance evaluation.</w:t>
            </w:r>
          </w:p>
        </w:tc>
      </w:tr>
      <w:tr w:rsidR="00EE1783" w:rsidRPr="00C23847" w14:paraId="0D3D9F75" w14:textId="77777777" w:rsidTr="00C23847">
        <w:tc>
          <w:tcPr>
            <w:tcW w:w="3969" w:type="dxa"/>
            <w:shd w:val="clear" w:color="auto" w:fill="auto"/>
            <w:vAlign w:val="center"/>
            <w:hideMark/>
          </w:tcPr>
          <w:p w14:paraId="49F338A4"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PI-8.3. Resources received by service delivery units</w:t>
            </w:r>
          </w:p>
        </w:tc>
        <w:tc>
          <w:tcPr>
            <w:tcW w:w="960" w:type="dxa"/>
            <w:shd w:val="clear" w:color="auto" w:fill="auto"/>
            <w:vAlign w:val="center"/>
            <w:hideMark/>
          </w:tcPr>
          <w:p w14:paraId="12D0D41B"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065D231"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Information on resources received by frontline service delivery units is collected and recorded in the budget implementation review reports, but the source of funds is not included, and no survey has been carried out in one of the last three years.</w:t>
            </w:r>
          </w:p>
        </w:tc>
      </w:tr>
      <w:tr w:rsidR="00EE1783" w:rsidRPr="00C23847" w14:paraId="3663AE3F" w14:textId="77777777" w:rsidTr="00C23847">
        <w:tc>
          <w:tcPr>
            <w:tcW w:w="3969" w:type="dxa"/>
            <w:shd w:val="clear" w:color="auto" w:fill="auto"/>
            <w:vAlign w:val="center"/>
            <w:hideMark/>
          </w:tcPr>
          <w:p w14:paraId="101B1683"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8.4 Performance evaluation for service delivery </w:t>
            </w:r>
          </w:p>
        </w:tc>
        <w:tc>
          <w:tcPr>
            <w:tcW w:w="960" w:type="dxa"/>
            <w:shd w:val="clear" w:color="auto" w:fill="auto"/>
            <w:vAlign w:val="center"/>
            <w:hideMark/>
          </w:tcPr>
          <w:p w14:paraId="7A3B4C3E"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4FE8F09E" w14:textId="451AA782" w:rsidR="00EE1783" w:rsidRPr="00C23847" w:rsidRDefault="00EE1783" w:rsidP="00C23847">
            <w:pPr>
              <w:jc w:val="left"/>
              <w:rPr>
                <w:rFonts w:cs="Times New Roman"/>
                <w:color w:val="000000"/>
                <w:sz w:val="20"/>
                <w:szCs w:val="20"/>
              </w:rPr>
            </w:pPr>
            <w:r w:rsidRPr="00C23847">
              <w:rPr>
                <w:rFonts w:cs="Times New Roman"/>
                <w:color w:val="000000"/>
                <w:sz w:val="20"/>
                <w:szCs w:val="20"/>
              </w:rPr>
              <w:t>Evaluation of the efficiency or effectiveness of the service delivery units ha</w:t>
            </w:r>
            <w:r w:rsidR="000A7E03">
              <w:rPr>
                <w:rFonts w:cs="Times New Roman"/>
                <w:color w:val="000000"/>
                <w:sz w:val="20"/>
                <w:szCs w:val="20"/>
              </w:rPr>
              <w:t>s</w:t>
            </w:r>
            <w:r w:rsidRPr="00C23847">
              <w:rPr>
                <w:rFonts w:cs="Times New Roman"/>
                <w:color w:val="000000"/>
                <w:sz w:val="20"/>
                <w:szCs w:val="20"/>
              </w:rPr>
              <w:t xml:space="preserve"> not been carried out for the last three fiscal years.</w:t>
            </w:r>
          </w:p>
        </w:tc>
      </w:tr>
      <w:tr w:rsidR="00EE1783" w:rsidRPr="00C23847" w14:paraId="49317E38" w14:textId="77777777" w:rsidTr="00C23847">
        <w:tc>
          <w:tcPr>
            <w:tcW w:w="3969" w:type="dxa"/>
            <w:shd w:val="clear" w:color="000000" w:fill="E7E6E6"/>
            <w:vAlign w:val="center"/>
            <w:hideMark/>
          </w:tcPr>
          <w:p w14:paraId="2920805A" w14:textId="47AED4FC"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PI-9. Public access to fiscal information</w:t>
            </w:r>
            <w:r w:rsidR="00350561" w:rsidRPr="00C23847">
              <w:rPr>
                <w:rFonts w:cs="Times New Roman"/>
                <w:b/>
                <w:bCs/>
                <w:color w:val="000000"/>
                <w:sz w:val="20"/>
                <w:szCs w:val="20"/>
              </w:rPr>
              <w:t xml:space="preserve"> </w:t>
            </w:r>
            <w:r w:rsidRPr="00C23847">
              <w:rPr>
                <w:rFonts w:cs="Times New Roman"/>
                <w:b/>
                <w:bCs/>
                <w:color w:val="000000"/>
                <w:sz w:val="20"/>
                <w:szCs w:val="20"/>
              </w:rPr>
              <w:t>(M1)</w:t>
            </w:r>
          </w:p>
        </w:tc>
        <w:tc>
          <w:tcPr>
            <w:tcW w:w="960" w:type="dxa"/>
            <w:shd w:val="clear" w:color="000000" w:fill="E7E6E6"/>
            <w:vAlign w:val="center"/>
            <w:hideMark/>
          </w:tcPr>
          <w:p w14:paraId="5EE8D1E3" w14:textId="77E097C8" w:rsidR="00EE1783" w:rsidRPr="00C23847" w:rsidRDefault="00153E82" w:rsidP="00C23847">
            <w:pPr>
              <w:jc w:val="center"/>
              <w:rPr>
                <w:rFonts w:cs="Times New Roman"/>
                <w:b/>
                <w:bCs/>
                <w:color w:val="000000"/>
                <w:sz w:val="20"/>
                <w:szCs w:val="20"/>
              </w:rPr>
            </w:pPr>
            <w:r w:rsidRPr="00C23847">
              <w:rPr>
                <w:rFonts w:cs="Times New Roman"/>
                <w:b/>
                <w:bCs/>
                <w:color w:val="000000"/>
                <w:sz w:val="20"/>
                <w:szCs w:val="20"/>
              </w:rPr>
              <w:t>D</w:t>
            </w:r>
          </w:p>
        </w:tc>
        <w:tc>
          <w:tcPr>
            <w:tcW w:w="7310" w:type="dxa"/>
            <w:shd w:val="clear" w:color="000000" w:fill="E7E6E6"/>
            <w:vAlign w:val="center"/>
            <w:hideMark/>
          </w:tcPr>
          <w:p w14:paraId="24C8DF76"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7105C20C" w14:textId="77777777" w:rsidTr="00C23847">
        <w:tc>
          <w:tcPr>
            <w:tcW w:w="3969" w:type="dxa"/>
            <w:shd w:val="clear" w:color="auto" w:fill="auto"/>
            <w:vAlign w:val="center"/>
            <w:hideMark/>
          </w:tcPr>
          <w:p w14:paraId="0AC407B5"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PI-9.1. Public access to fiscal information</w:t>
            </w:r>
          </w:p>
        </w:tc>
        <w:tc>
          <w:tcPr>
            <w:tcW w:w="960" w:type="dxa"/>
            <w:shd w:val="clear" w:color="auto" w:fill="auto"/>
            <w:vAlign w:val="center"/>
            <w:hideMark/>
          </w:tcPr>
          <w:p w14:paraId="1D686AAC" w14:textId="7E2BCBC3"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49D0F9A3"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Public access to fiscal information does not fulfil any basic element and fulfils only one additional element.</w:t>
            </w:r>
          </w:p>
        </w:tc>
      </w:tr>
      <w:tr w:rsidR="00EE1783" w:rsidRPr="00C23847" w14:paraId="7C3C996D" w14:textId="77777777" w:rsidTr="00C23847">
        <w:tc>
          <w:tcPr>
            <w:tcW w:w="3969" w:type="dxa"/>
            <w:shd w:val="clear" w:color="000000" w:fill="E7E6E6"/>
            <w:vAlign w:val="center"/>
            <w:hideMark/>
          </w:tcPr>
          <w:p w14:paraId="04F22C6A" w14:textId="04D1D8F2"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PI-10. Fiscal risk reporting</w:t>
            </w:r>
            <w:r w:rsidR="00350561" w:rsidRPr="00C23847">
              <w:rPr>
                <w:rFonts w:cs="Times New Roman"/>
                <w:b/>
                <w:bCs/>
                <w:color w:val="000000"/>
                <w:sz w:val="20"/>
                <w:szCs w:val="20"/>
              </w:rPr>
              <w:t xml:space="preserve"> </w:t>
            </w:r>
            <w:r w:rsidRPr="00C23847">
              <w:rPr>
                <w:rFonts w:cs="Times New Roman"/>
                <w:b/>
                <w:bCs/>
                <w:color w:val="000000"/>
                <w:sz w:val="20"/>
                <w:szCs w:val="20"/>
              </w:rPr>
              <w:t>(M2)</w:t>
            </w:r>
          </w:p>
        </w:tc>
        <w:tc>
          <w:tcPr>
            <w:tcW w:w="960" w:type="dxa"/>
            <w:shd w:val="clear" w:color="000000" w:fill="E7E6E6"/>
            <w:vAlign w:val="center"/>
            <w:hideMark/>
          </w:tcPr>
          <w:p w14:paraId="599EA145" w14:textId="7134FEA2" w:rsidR="00EE1783" w:rsidRPr="00C23847" w:rsidRDefault="00153E82" w:rsidP="00C23847">
            <w:pPr>
              <w:jc w:val="center"/>
              <w:rPr>
                <w:rFonts w:cs="Times New Roman"/>
                <w:b/>
                <w:bCs/>
                <w:color w:val="000000"/>
                <w:sz w:val="20"/>
                <w:szCs w:val="20"/>
              </w:rPr>
            </w:pPr>
            <w:r w:rsidRPr="00C23847">
              <w:rPr>
                <w:rFonts w:cs="Times New Roman"/>
                <w:b/>
                <w:bCs/>
                <w:color w:val="000000"/>
                <w:sz w:val="20"/>
                <w:szCs w:val="20"/>
              </w:rPr>
              <w:t>D</w:t>
            </w:r>
          </w:p>
        </w:tc>
        <w:tc>
          <w:tcPr>
            <w:tcW w:w="7310" w:type="dxa"/>
            <w:shd w:val="clear" w:color="000000" w:fill="E7E6E6"/>
            <w:vAlign w:val="center"/>
            <w:hideMark/>
          </w:tcPr>
          <w:p w14:paraId="359DA7D6"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7F61295C" w14:textId="77777777" w:rsidTr="00C23847">
        <w:tc>
          <w:tcPr>
            <w:tcW w:w="3969" w:type="dxa"/>
            <w:shd w:val="clear" w:color="auto" w:fill="auto"/>
            <w:vAlign w:val="center"/>
            <w:hideMark/>
          </w:tcPr>
          <w:p w14:paraId="3BD6DEE3" w14:textId="1CF28AB4" w:rsidR="00EE1783" w:rsidRPr="00C23847" w:rsidRDefault="00EE1783" w:rsidP="00C23847">
            <w:pPr>
              <w:jc w:val="left"/>
              <w:rPr>
                <w:rFonts w:cs="Times New Roman"/>
                <w:color w:val="000000"/>
                <w:sz w:val="20"/>
                <w:szCs w:val="20"/>
              </w:rPr>
            </w:pPr>
            <w:r w:rsidRPr="00C23847">
              <w:rPr>
                <w:rFonts w:cs="Times New Roman"/>
                <w:color w:val="000000"/>
                <w:sz w:val="20"/>
                <w:szCs w:val="20"/>
              </w:rPr>
              <w:t>PI-10.1. Monitoring of public corporations</w:t>
            </w:r>
            <w:r w:rsidR="00350561" w:rsidRPr="00C23847">
              <w:rPr>
                <w:rFonts w:cs="Times New Roman"/>
                <w:color w:val="000000"/>
                <w:sz w:val="20"/>
                <w:szCs w:val="20"/>
              </w:rPr>
              <w:t xml:space="preserve"> </w:t>
            </w:r>
          </w:p>
        </w:tc>
        <w:tc>
          <w:tcPr>
            <w:tcW w:w="960" w:type="dxa"/>
            <w:shd w:val="clear" w:color="auto" w:fill="auto"/>
            <w:vAlign w:val="center"/>
            <w:hideMark/>
          </w:tcPr>
          <w:p w14:paraId="3D3180B5"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N/A</w:t>
            </w:r>
          </w:p>
        </w:tc>
        <w:tc>
          <w:tcPr>
            <w:tcW w:w="7310" w:type="dxa"/>
            <w:shd w:val="clear" w:color="auto" w:fill="auto"/>
            <w:vAlign w:val="center"/>
            <w:hideMark/>
          </w:tcPr>
          <w:p w14:paraId="2F237C37"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county is yet to constitute any public corporations. </w:t>
            </w:r>
          </w:p>
        </w:tc>
      </w:tr>
      <w:tr w:rsidR="00EE1783" w:rsidRPr="00C23847" w14:paraId="31CA4C73" w14:textId="77777777" w:rsidTr="00C23847">
        <w:tc>
          <w:tcPr>
            <w:tcW w:w="3969" w:type="dxa"/>
            <w:shd w:val="clear" w:color="auto" w:fill="auto"/>
            <w:vAlign w:val="center"/>
            <w:hideMark/>
          </w:tcPr>
          <w:p w14:paraId="4D7CB764" w14:textId="2A98F32E" w:rsidR="00EE1783" w:rsidRPr="00C23847" w:rsidRDefault="00EE1783" w:rsidP="00C23847">
            <w:pPr>
              <w:jc w:val="left"/>
              <w:rPr>
                <w:rFonts w:cs="Times New Roman"/>
                <w:color w:val="000000"/>
                <w:sz w:val="20"/>
                <w:szCs w:val="20"/>
              </w:rPr>
            </w:pPr>
            <w:r w:rsidRPr="00C23847">
              <w:rPr>
                <w:rFonts w:cs="Times New Roman"/>
                <w:color w:val="000000"/>
                <w:sz w:val="20"/>
                <w:szCs w:val="20"/>
              </w:rPr>
              <w:t>PI-10.2. Monitoring of sub</w:t>
            </w:r>
            <w:r w:rsidR="000A7E03">
              <w:rPr>
                <w:rFonts w:cs="Times New Roman"/>
                <w:color w:val="000000"/>
                <w:sz w:val="20"/>
                <w:szCs w:val="20"/>
              </w:rPr>
              <w:t>national</w:t>
            </w:r>
            <w:r w:rsidRPr="00C23847">
              <w:rPr>
                <w:rFonts w:cs="Times New Roman"/>
                <w:color w:val="000000"/>
                <w:sz w:val="20"/>
                <w:szCs w:val="20"/>
              </w:rPr>
              <w:t xml:space="preserve"> governments</w:t>
            </w:r>
          </w:p>
        </w:tc>
        <w:tc>
          <w:tcPr>
            <w:tcW w:w="960" w:type="dxa"/>
            <w:shd w:val="clear" w:color="auto" w:fill="auto"/>
            <w:vAlign w:val="center"/>
            <w:hideMark/>
          </w:tcPr>
          <w:p w14:paraId="449452AA"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N/A</w:t>
            </w:r>
          </w:p>
        </w:tc>
        <w:tc>
          <w:tcPr>
            <w:tcW w:w="7310" w:type="dxa"/>
            <w:shd w:val="clear" w:color="auto" w:fill="auto"/>
            <w:vAlign w:val="center"/>
            <w:hideMark/>
          </w:tcPr>
          <w:p w14:paraId="09342DB6"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Kajiado County does not have further devolved units. </w:t>
            </w:r>
          </w:p>
        </w:tc>
      </w:tr>
      <w:tr w:rsidR="00EE1783" w:rsidRPr="00C23847" w14:paraId="6D37E888" w14:textId="77777777" w:rsidTr="00C23847">
        <w:tc>
          <w:tcPr>
            <w:tcW w:w="3969" w:type="dxa"/>
            <w:shd w:val="clear" w:color="auto" w:fill="auto"/>
            <w:vAlign w:val="center"/>
            <w:hideMark/>
          </w:tcPr>
          <w:p w14:paraId="38E3AD7F" w14:textId="1CB214DA" w:rsidR="00EE1783" w:rsidRPr="00C23847" w:rsidRDefault="00EE1783" w:rsidP="00C23847">
            <w:pPr>
              <w:jc w:val="left"/>
              <w:rPr>
                <w:rFonts w:cs="Times New Roman"/>
                <w:color w:val="000000"/>
                <w:sz w:val="20"/>
                <w:szCs w:val="20"/>
              </w:rPr>
            </w:pPr>
            <w:r w:rsidRPr="00C23847">
              <w:rPr>
                <w:rFonts w:cs="Times New Roman"/>
                <w:color w:val="000000"/>
                <w:sz w:val="20"/>
                <w:szCs w:val="20"/>
              </w:rPr>
              <w:t>PI-10.3. Contingent liabilities and other fiscal risks</w:t>
            </w:r>
            <w:r w:rsidR="00350561" w:rsidRPr="00C23847">
              <w:rPr>
                <w:rFonts w:cs="Times New Roman"/>
                <w:color w:val="000000"/>
                <w:sz w:val="20"/>
                <w:szCs w:val="20"/>
              </w:rPr>
              <w:t xml:space="preserve"> </w:t>
            </w:r>
          </w:p>
        </w:tc>
        <w:tc>
          <w:tcPr>
            <w:tcW w:w="960" w:type="dxa"/>
            <w:shd w:val="clear" w:color="auto" w:fill="auto"/>
            <w:vAlign w:val="center"/>
            <w:hideMark/>
          </w:tcPr>
          <w:p w14:paraId="1183B330"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047DE7F2" w14:textId="11AB1336"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Contingent liabilities and other fiscal risks have not been specified in the budget but have been outlined in the </w:t>
            </w:r>
            <w:r w:rsidR="000A7E03" w:rsidRPr="006E7B98">
              <w:rPr>
                <w:sz w:val="20"/>
                <w:szCs w:val="20"/>
              </w:rPr>
              <w:t>CBROP and the CFSP.</w:t>
            </w:r>
          </w:p>
        </w:tc>
      </w:tr>
      <w:tr w:rsidR="00EE1783" w:rsidRPr="00C23847" w14:paraId="450F5A99" w14:textId="77777777" w:rsidTr="00C23847">
        <w:tc>
          <w:tcPr>
            <w:tcW w:w="3969" w:type="dxa"/>
            <w:shd w:val="clear" w:color="000000" w:fill="E7E6E6"/>
            <w:vAlign w:val="center"/>
            <w:hideMark/>
          </w:tcPr>
          <w:p w14:paraId="14E09D66" w14:textId="229768D2"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PI-11. Public investment management</w:t>
            </w:r>
            <w:r w:rsidR="00350561" w:rsidRPr="00C23847">
              <w:rPr>
                <w:rFonts w:cs="Times New Roman"/>
                <w:b/>
                <w:bCs/>
                <w:color w:val="000000"/>
                <w:sz w:val="20"/>
                <w:szCs w:val="20"/>
                <w:lang w:val="fr-FR"/>
              </w:rPr>
              <w:t xml:space="preserve"> </w:t>
            </w:r>
            <w:r w:rsidRPr="00C23847">
              <w:rPr>
                <w:rFonts w:cs="Times New Roman"/>
                <w:b/>
                <w:bCs/>
                <w:color w:val="000000"/>
                <w:sz w:val="20"/>
                <w:szCs w:val="20"/>
                <w:lang w:val="fr-FR"/>
              </w:rPr>
              <w:t>(M2)</w:t>
            </w:r>
          </w:p>
        </w:tc>
        <w:tc>
          <w:tcPr>
            <w:tcW w:w="960" w:type="dxa"/>
            <w:shd w:val="clear" w:color="000000" w:fill="E7E6E6"/>
            <w:vAlign w:val="center"/>
            <w:hideMark/>
          </w:tcPr>
          <w:p w14:paraId="08030C6D" w14:textId="15831563" w:rsidR="00EE1783" w:rsidRPr="00C23847" w:rsidRDefault="00EE1783" w:rsidP="00C23847">
            <w:pPr>
              <w:jc w:val="center"/>
              <w:rPr>
                <w:rFonts w:cs="Times New Roman"/>
                <w:b/>
                <w:bCs/>
                <w:color w:val="000000"/>
                <w:sz w:val="20"/>
                <w:szCs w:val="20"/>
                <w:lang w:val="fr-FR"/>
              </w:rPr>
            </w:pPr>
            <w:r w:rsidRPr="00C23847">
              <w:rPr>
                <w:rFonts w:cs="Times New Roman"/>
                <w:b/>
                <w:bCs/>
                <w:color w:val="000000"/>
                <w:sz w:val="20"/>
                <w:szCs w:val="20"/>
                <w:lang w:val="fr-FR"/>
              </w:rPr>
              <w:t>D</w:t>
            </w:r>
            <w:r w:rsidR="00692345" w:rsidRPr="00C23847">
              <w:rPr>
                <w:rFonts w:cs="Times New Roman"/>
                <w:b/>
                <w:bCs/>
                <w:color w:val="000000"/>
                <w:sz w:val="20"/>
                <w:szCs w:val="20"/>
                <w:lang w:val="fr-FR"/>
              </w:rPr>
              <w:t>+</w:t>
            </w:r>
          </w:p>
        </w:tc>
        <w:tc>
          <w:tcPr>
            <w:tcW w:w="7310" w:type="dxa"/>
            <w:shd w:val="clear" w:color="000000" w:fill="E7E6E6"/>
            <w:vAlign w:val="center"/>
            <w:hideMark/>
          </w:tcPr>
          <w:p w14:paraId="7800782D"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67067103" w14:textId="77777777" w:rsidTr="00C23847">
        <w:tc>
          <w:tcPr>
            <w:tcW w:w="3969" w:type="dxa"/>
            <w:shd w:val="clear" w:color="auto" w:fill="auto"/>
            <w:vAlign w:val="center"/>
            <w:hideMark/>
          </w:tcPr>
          <w:p w14:paraId="791369FC"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PI-11.1. Economic analysis of investment proposals</w:t>
            </w:r>
          </w:p>
        </w:tc>
        <w:tc>
          <w:tcPr>
            <w:tcW w:w="960" w:type="dxa"/>
            <w:shd w:val="clear" w:color="auto" w:fill="auto"/>
            <w:vAlign w:val="center"/>
            <w:hideMark/>
          </w:tcPr>
          <w:p w14:paraId="78D5D08B"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3DAE6932"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No rigorous economic analyses techniques are employed for major investment projects beyond the public participation. </w:t>
            </w:r>
          </w:p>
        </w:tc>
      </w:tr>
      <w:tr w:rsidR="00EE1783" w:rsidRPr="00C23847" w14:paraId="6D080858" w14:textId="77777777" w:rsidTr="00C23847">
        <w:tc>
          <w:tcPr>
            <w:tcW w:w="3969" w:type="dxa"/>
            <w:shd w:val="clear" w:color="auto" w:fill="auto"/>
            <w:vAlign w:val="center"/>
            <w:hideMark/>
          </w:tcPr>
          <w:p w14:paraId="7D2A75B9"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PI-11.2. Investment project selection</w:t>
            </w:r>
          </w:p>
        </w:tc>
        <w:tc>
          <w:tcPr>
            <w:tcW w:w="960" w:type="dxa"/>
            <w:shd w:val="clear" w:color="auto" w:fill="auto"/>
            <w:vAlign w:val="center"/>
            <w:hideMark/>
          </w:tcPr>
          <w:p w14:paraId="60F34127" w14:textId="266C963E"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r w:rsidR="00153E82" w:rsidRPr="00C23847">
              <w:rPr>
                <w:rFonts w:cs="Times New Roman"/>
                <w:color w:val="000000"/>
                <w:sz w:val="20"/>
                <w:szCs w:val="20"/>
                <w:lang w:val="fr-FR"/>
              </w:rPr>
              <w:t>*</w:t>
            </w:r>
          </w:p>
        </w:tc>
        <w:tc>
          <w:tcPr>
            <w:tcW w:w="7310" w:type="dxa"/>
            <w:shd w:val="clear" w:color="auto" w:fill="auto"/>
            <w:vAlign w:val="center"/>
            <w:hideMark/>
          </w:tcPr>
          <w:p w14:paraId="6F175440" w14:textId="1DA5435F"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w:t>
            </w:r>
            <w:r w:rsidR="00A4152D">
              <w:rPr>
                <w:sz w:val="20"/>
                <w:szCs w:val="20"/>
              </w:rPr>
              <w:t>B</w:t>
            </w:r>
            <w:r w:rsidR="00A4152D" w:rsidRPr="006E7B98">
              <w:rPr>
                <w:sz w:val="20"/>
                <w:szCs w:val="20"/>
              </w:rPr>
              <w:t xml:space="preserve">udget and </w:t>
            </w:r>
            <w:r w:rsidR="00A4152D">
              <w:rPr>
                <w:sz w:val="20"/>
                <w:szCs w:val="20"/>
              </w:rPr>
              <w:t>P</w:t>
            </w:r>
            <w:r w:rsidR="00A4152D" w:rsidRPr="006E7B98">
              <w:rPr>
                <w:sz w:val="20"/>
                <w:szCs w:val="20"/>
              </w:rPr>
              <w:t xml:space="preserve">lanning </w:t>
            </w:r>
            <w:r w:rsidR="00A4152D">
              <w:rPr>
                <w:sz w:val="20"/>
                <w:szCs w:val="20"/>
              </w:rPr>
              <w:t>U</w:t>
            </w:r>
            <w:r w:rsidR="00A4152D" w:rsidRPr="006E7B98">
              <w:rPr>
                <w:sz w:val="20"/>
                <w:szCs w:val="20"/>
              </w:rPr>
              <w:t>nit</w:t>
            </w:r>
            <w:r w:rsidRPr="00C23847">
              <w:rPr>
                <w:rFonts w:cs="Times New Roman"/>
                <w:color w:val="000000"/>
                <w:sz w:val="20"/>
                <w:szCs w:val="20"/>
              </w:rPr>
              <w:t xml:space="preserve"> is responsible for project selection but the selection criteria is not documented. Most of the practices and rules have not been formalized and evidence showing the major investment projects selected by the cabinet </w:t>
            </w:r>
            <w:r w:rsidR="000A7E03">
              <w:rPr>
                <w:rFonts w:cs="Times New Roman"/>
                <w:color w:val="000000"/>
                <w:sz w:val="20"/>
                <w:szCs w:val="20"/>
              </w:rPr>
              <w:t>before</w:t>
            </w:r>
            <w:r w:rsidRPr="00C23847">
              <w:rPr>
                <w:rFonts w:cs="Times New Roman"/>
                <w:color w:val="000000"/>
                <w:sz w:val="20"/>
                <w:szCs w:val="20"/>
              </w:rPr>
              <w:t xml:space="preserve"> their inclusion in the budget was not </w:t>
            </w:r>
            <w:r w:rsidR="000A7E03">
              <w:rPr>
                <w:rFonts w:cs="Times New Roman"/>
                <w:color w:val="000000"/>
                <w:sz w:val="20"/>
                <w:szCs w:val="20"/>
              </w:rPr>
              <w:t>provided</w:t>
            </w:r>
            <w:r w:rsidRPr="00C23847">
              <w:rPr>
                <w:rFonts w:cs="Times New Roman"/>
                <w:color w:val="000000"/>
                <w:sz w:val="20"/>
                <w:szCs w:val="20"/>
              </w:rPr>
              <w:t>.</w:t>
            </w:r>
          </w:p>
        </w:tc>
      </w:tr>
      <w:tr w:rsidR="00EE1783" w:rsidRPr="00C23847" w14:paraId="438E4733" w14:textId="77777777" w:rsidTr="00C23847">
        <w:tc>
          <w:tcPr>
            <w:tcW w:w="3969" w:type="dxa"/>
            <w:shd w:val="clear" w:color="auto" w:fill="auto"/>
            <w:vAlign w:val="center"/>
            <w:hideMark/>
          </w:tcPr>
          <w:p w14:paraId="683503CA"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PI-11.3. Investment project costing</w:t>
            </w:r>
          </w:p>
        </w:tc>
        <w:tc>
          <w:tcPr>
            <w:tcW w:w="960" w:type="dxa"/>
            <w:shd w:val="clear" w:color="auto" w:fill="auto"/>
            <w:vAlign w:val="center"/>
            <w:hideMark/>
          </w:tcPr>
          <w:p w14:paraId="54DF44E8"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14636109"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Projections of the total capital cost of major investment projects, together with the capital costs for the forthcoming budget year, are included in the budget documents.</w:t>
            </w:r>
          </w:p>
        </w:tc>
      </w:tr>
      <w:tr w:rsidR="00EE1783" w:rsidRPr="00C23847" w14:paraId="252DC216" w14:textId="77777777" w:rsidTr="00C23847">
        <w:tc>
          <w:tcPr>
            <w:tcW w:w="3969" w:type="dxa"/>
            <w:shd w:val="clear" w:color="auto" w:fill="auto"/>
            <w:vAlign w:val="center"/>
            <w:hideMark/>
          </w:tcPr>
          <w:p w14:paraId="444E3A75"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PI-11.4. Investment project monitoring</w:t>
            </w:r>
          </w:p>
        </w:tc>
        <w:tc>
          <w:tcPr>
            <w:tcW w:w="960" w:type="dxa"/>
            <w:shd w:val="clear" w:color="auto" w:fill="auto"/>
            <w:vAlign w:val="center"/>
            <w:hideMark/>
          </w:tcPr>
          <w:p w14:paraId="0825668F"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1DDC3D7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The total cost and physical progress of major investment projects are monitored by a team, which has been constituted by the county. But no information on implementation of major investment projects has been provided.</w:t>
            </w:r>
          </w:p>
        </w:tc>
      </w:tr>
      <w:tr w:rsidR="00EE1783" w:rsidRPr="00C23847" w14:paraId="00D0C86C" w14:textId="77777777" w:rsidTr="00C23847">
        <w:tc>
          <w:tcPr>
            <w:tcW w:w="3969" w:type="dxa"/>
            <w:shd w:val="clear" w:color="000000" w:fill="E7E6E6"/>
            <w:vAlign w:val="center"/>
            <w:hideMark/>
          </w:tcPr>
          <w:p w14:paraId="677B9C02"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PI-12 Public asset management (M2)</w:t>
            </w:r>
          </w:p>
        </w:tc>
        <w:tc>
          <w:tcPr>
            <w:tcW w:w="960" w:type="dxa"/>
            <w:shd w:val="clear" w:color="000000" w:fill="E7E6E6"/>
            <w:vAlign w:val="center"/>
            <w:hideMark/>
          </w:tcPr>
          <w:p w14:paraId="0C1CE6A6" w14:textId="1919845D" w:rsidR="00EE1783" w:rsidRPr="00C23847" w:rsidRDefault="00B90AE5"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4BC933B0"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127F5E04" w14:textId="77777777" w:rsidTr="00C23847">
        <w:tc>
          <w:tcPr>
            <w:tcW w:w="3969" w:type="dxa"/>
            <w:shd w:val="clear" w:color="auto" w:fill="auto"/>
            <w:vAlign w:val="center"/>
            <w:hideMark/>
          </w:tcPr>
          <w:p w14:paraId="64A596C6"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PI-12.1. Financial assets monitoring</w:t>
            </w:r>
          </w:p>
        </w:tc>
        <w:tc>
          <w:tcPr>
            <w:tcW w:w="960" w:type="dxa"/>
            <w:shd w:val="clear" w:color="auto" w:fill="auto"/>
            <w:vAlign w:val="center"/>
            <w:hideMark/>
          </w:tcPr>
          <w:p w14:paraId="3F9604F8"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94977A1"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The government maintains a record of its holdings in major categories of financial assets, which are included into the report of the OAG published online. However, information on assets and liabilities is contained in the bank reconciliation statement is not complete, especially those relating to the defunct local authorities.</w:t>
            </w:r>
          </w:p>
        </w:tc>
      </w:tr>
      <w:tr w:rsidR="00EE1783" w:rsidRPr="00C23847" w14:paraId="32E5160C" w14:textId="77777777" w:rsidTr="00C23847">
        <w:tc>
          <w:tcPr>
            <w:tcW w:w="3969" w:type="dxa"/>
            <w:shd w:val="clear" w:color="auto" w:fill="auto"/>
            <w:vAlign w:val="center"/>
            <w:hideMark/>
          </w:tcPr>
          <w:p w14:paraId="3B46831D"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PI-12.2. Nonfinancial asset monitoring</w:t>
            </w:r>
          </w:p>
        </w:tc>
        <w:tc>
          <w:tcPr>
            <w:tcW w:w="960" w:type="dxa"/>
            <w:shd w:val="clear" w:color="auto" w:fill="auto"/>
            <w:vAlign w:val="center"/>
            <w:hideMark/>
          </w:tcPr>
          <w:p w14:paraId="1B20CA33"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53F9D82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The government maintains a register of its holdings of fixed assets, which is not complete and information on their usage and age is generally not available.</w:t>
            </w:r>
          </w:p>
        </w:tc>
      </w:tr>
      <w:tr w:rsidR="00EE1783" w:rsidRPr="00C23847" w14:paraId="5E68F451" w14:textId="77777777" w:rsidTr="00C23847">
        <w:tc>
          <w:tcPr>
            <w:tcW w:w="3969" w:type="dxa"/>
            <w:shd w:val="clear" w:color="auto" w:fill="auto"/>
            <w:vAlign w:val="center"/>
            <w:hideMark/>
          </w:tcPr>
          <w:p w14:paraId="198B9CB5" w14:textId="33018FF4" w:rsidR="00EE1783" w:rsidRPr="00C23847" w:rsidRDefault="00EE1783" w:rsidP="00C23847">
            <w:pPr>
              <w:jc w:val="left"/>
              <w:rPr>
                <w:rFonts w:cs="Times New Roman"/>
                <w:color w:val="000000"/>
                <w:sz w:val="20"/>
                <w:szCs w:val="20"/>
              </w:rPr>
            </w:pPr>
            <w:r w:rsidRPr="00C23847">
              <w:rPr>
                <w:rFonts w:cs="Times New Roman"/>
                <w:color w:val="000000"/>
                <w:sz w:val="20"/>
                <w:szCs w:val="20"/>
              </w:rPr>
              <w:t>PI-12.3.</w:t>
            </w:r>
            <w:r w:rsidR="000E1FDE" w:rsidRPr="00C23847">
              <w:rPr>
                <w:rFonts w:cs="Times New Roman"/>
                <w:color w:val="000000"/>
                <w:sz w:val="20"/>
                <w:szCs w:val="20"/>
              </w:rPr>
              <w:t xml:space="preserve"> Transparency of assets disposal</w:t>
            </w:r>
          </w:p>
        </w:tc>
        <w:tc>
          <w:tcPr>
            <w:tcW w:w="960" w:type="dxa"/>
            <w:shd w:val="clear" w:color="auto" w:fill="auto"/>
            <w:vAlign w:val="center"/>
            <w:hideMark/>
          </w:tcPr>
          <w:p w14:paraId="1C079722"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A3DC2D9" w14:textId="3E0F3725"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Procedures and rules for the transfer or disposal of nonfinancial assets are not established yet. The </w:t>
            </w:r>
            <w:r w:rsidR="000A7E03">
              <w:rPr>
                <w:rFonts w:cs="Times New Roman"/>
                <w:color w:val="000000"/>
                <w:sz w:val="20"/>
                <w:szCs w:val="20"/>
              </w:rPr>
              <w:t>c</w:t>
            </w:r>
            <w:r w:rsidRPr="00C23847">
              <w:rPr>
                <w:rFonts w:cs="Times New Roman"/>
                <w:color w:val="000000"/>
                <w:sz w:val="20"/>
                <w:szCs w:val="20"/>
              </w:rPr>
              <w:t xml:space="preserve">ounty has not disposed of any assets except cash and cash equivalent. The </w:t>
            </w:r>
            <w:r w:rsidR="000A7E03">
              <w:rPr>
                <w:rFonts w:cs="Times New Roman"/>
                <w:color w:val="000000"/>
                <w:sz w:val="20"/>
                <w:szCs w:val="20"/>
              </w:rPr>
              <w:t>c</w:t>
            </w:r>
            <w:r w:rsidRPr="00C23847">
              <w:rPr>
                <w:rFonts w:cs="Times New Roman"/>
                <w:color w:val="000000"/>
                <w:sz w:val="20"/>
                <w:szCs w:val="20"/>
              </w:rPr>
              <w:t>ounty has not set up any rule related to transfers of assets for the defunct authorities.</w:t>
            </w:r>
          </w:p>
        </w:tc>
      </w:tr>
      <w:tr w:rsidR="00EE1783" w:rsidRPr="00C23847" w14:paraId="7C769604" w14:textId="77777777" w:rsidTr="00C23847">
        <w:tc>
          <w:tcPr>
            <w:tcW w:w="3969" w:type="dxa"/>
            <w:shd w:val="clear" w:color="000000" w:fill="E7E6E6"/>
            <w:vAlign w:val="center"/>
            <w:hideMark/>
          </w:tcPr>
          <w:p w14:paraId="7B71C06F"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PI-13. Debt management (M2)</w:t>
            </w:r>
          </w:p>
        </w:tc>
        <w:tc>
          <w:tcPr>
            <w:tcW w:w="960" w:type="dxa"/>
            <w:shd w:val="clear" w:color="000000" w:fill="E7E6E6"/>
            <w:vAlign w:val="center"/>
            <w:hideMark/>
          </w:tcPr>
          <w:p w14:paraId="55F04993" w14:textId="02F7B2D7" w:rsidR="00EE1783" w:rsidRPr="00C23847" w:rsidRDefault="00B90AE5"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7E4371ED"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102DD3FA" w14:textId="77777777" w:rsidTr="00C23847">
        <w:tc>
          <w:tcPr>
            <w:tcW w:w="3969" w:type="dxa"/>
            <w:shd w:val="clear" w:color="auto" w:fill="auto"/>
            <w:vAlign w:val="center"/>
            <w:hideMark/>
          </w:tcPr>
          <w:p w14:paraId="6C6620A5"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PI-13.1. Recording and reporting of debt and guarantees</w:t>
            </w:r>
          </w:p>
        </w:tc>
        <w:tc>
          <w:tcPr>
            <w:tcW w:w="960" w:type="dxa"/>
            <w:shd w:val="clear" w:color="auto" w:fill="auto"/>
            <w:vAlign w:val="center"/>
            <w:hideMark/>
          </w:tcPr>
          <w:p w14:paraId="24FF4A43" w14:textId="7394876B"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0D0AA9A" w14:textId="4641C339"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Though the </w:t>
            </w:r>
            <w:r w:rsidR="000A7E03">
              <w:rPr>
                <w:rFonts w:cs="Times New Roman"/>
                <w:color w:val="000000"/>
                <w:sz w:val="20"/>
                <w:szCs w:val="20"/>
              </w:rPr>
              <w:t>c</w:t>
            </w:r>
            <w:r w:rsidRPr="00C23847">
              <w:rPr>
                <w:rFonts w:cs="Times New Roman"/>
                <w:color w:val="000000"/>
                <w:sz w:val="20"/>
                <w:szCs w:val="20"/>
              </w:rPr>
              <w:t>ounties are not authori</w:t>
            </w:r>
            <w:r w:rsidR="00ED5A95">
              <w:rPr>
                <w:rFonts w:cs="Times New Roman"/>
                <w:color w:val="000000"/>
                <w:sz w:val="20"/>
                <w:szCs w:val="20"/>
              </w:rPr>
              <w:t>z</w:t>
            </w:r>
            <w:r w:rsidRPr="00C23847">
              <w:rPr>
                <w:rFonts w:cs="Times New Roman"/>
                <w:color w:val="000000"/>
                <w:sz w:val="20"/>
                <w:szCs w:val="20"/>
              </w:rPr>
              <w:t xml:space="preserve">ed to incur debt, there was a </w:t>
            </w:r>
            <w:r w:rsidR="007815B0" w:rsidRPr="00C23847">
              <w:rPr>
                <w:rFonts w:cs="Times New Roman"/>
                <w:color w:val="000000"/>
                <w:sz w:val="20"/>
                <w:szCs w:val="20"/>
              </w:rPr>
              <w:t>pre-existing</w:t>
            </w:r>
            <w:r w:rsidRPr="00C23847">
              <w:rPr>
                <w:rFonts w:cs="Times New Roman"/>
                <w:color w:val="000000"/>
                <w:sz w:val="20"/>
                <w:szCs w:val="20"/>
              </w:rPr>
              <w:t xml:space="preserve"> debt inherited from OlKejuado County Council. This debt has been serviced and records are maintained annually but no reconciliation is performed.</w:t>
            </w:r>
          </w:p>
        </w:tc>
      </w:tr>
      <w:tr w:rsidR="00EE1783" w:rsidRPr="00C23847" w14:paraId="7509A86C" w14:textId="77777777" w:rsidTr="00C23847">
        <w:tc>
          <w:tcPr>
            <w:tcW w:w="3969" w:type="dxa"/>
            <w:shd w:val="clear" w:color="auto" w:fill="auto"/>
            <w:vAlign w:val="center"/>
            <w:hideMark/>
          </w:tcPr>
          <w:p w14:paraId="4929E56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PI-13.2. Approval of debt and guarantees</w:t>
            </w:r>
          </w:p>
        </w:tc>
        <w:tc>
          <w:tcPr>
            <w:tcW w:w="960" w:type="dxa"/>
            <w:shd w:val="clear" w:color="auto" w:fill="auto"/>
            <w:vAlign w:val="center"/>
            <w:hideMark/>
          </w:tcPr>
          <w:p w14:paraId="67517F9F"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N/A</w:t>
            </w:r>
          </w:p>
        </w:tc>
        <w:tc>
          <w:tcPr>
            <w:tcW w:w="7310" w:type="dxa"/>
            <w:shd w:val="clear" w:color="auto" w:fill="auto"/>
            <w:vAlign w:val="center"/>
            <w:hideMark/>
          </w:tcPr>
          <w:p w14:paraId="3C99D83E" w14:textId="6EBB4330" w:rsidR="00EE1783" w:rsidRPr="00C23847" w:rsidRDefault="00EE1783" w:rsidP="00C23847">
            <w:pPr>
              <w:jc w:val="left"/>
              <w:rPr>
                <w:rFonts w:cs="Times New Roman"/>
                <w:color w:val="000000"/>
                <w:sz w:val="20"/>
                <w:szCs w:val="20"/>
              </w:rPr>
            </w:pPr>
            <w:r w:rsidRPr="00C23847">
              <w:rPr>
                <w:rFonts w:cs="Times New Roman"/>
                <w:color w:val="000000"/>
                <w:sz w:val="20"/>
                <w:szCs w:val="20"/>
              </w:rPr>
              <w:t>Primary legislation grants authorization to borrow</w:t>
            </w:r>
            <w:r w:rsidR="00BD1A1C">
              <w:rPr>
                <w:rFonts w:cs="Times New Roman"/>
                <w:color w:val="000000"/>
                <w:sz w:val="20"/>
                <w:szCs w:val="20"/>
              </w:rPr>
              <w:t xml:space="preserve"> and</w:t>
            </w:r>
            <w:r w:rsidRPr="00C23847">
              <w:rPr>
                <w:rFonts w:cs="Times New Roman"/>
                <w:color w:val="000000"/>
                <w:sz w:val="20"/>
                <w:szCs w:val="20"/>
              </w:rPr>
              <w:t xml:space="preserve"> issue new debt, but documented policies and procedures have not been established yet.</w:t>
            </w:r>
          </w:p>
        </w:tc>
      </w:tr>
      <w:tr w:rsidR="00EE1783" w:rsidRPr="00C23847" w14:paraId="16A43DED" w14:textId="77777777" w:rsidTr="00C23847">
        <w:tc>
          <w:tcPr>
            <w:tcW w:w="3969" w:type="dxa"/>
            <w:shd w:val="clear" w:color="auto" w:fill="auto"/>
            <w:vAlign w:val="center"/>
            <w:hideMark/>
          </w:tcPr>
          <w:p w14:paraId="0E8F38A4"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PI-13.3. Debt management strategy</w:t>
            </w:r>
          </w:p>
        </w:tc>
        <w:tc>
          <w:tcPr>
            <w:tcW w:w="960" w:type="dxa"/>
            <w:shd w:val="clear" w:color="auto" w:fill="auto"/>
            <w:vAlign w:val="center"/>
            <w:hideMark/>
          </w:tcPr>
          <w:p w14:paraId="277C935E"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12E41EE" w14:textId="1E6DF6D8"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A current medium-term </w:t>
            </w:r>
            <w:r w:rsidR="00BD1A1C">
              <w:rPr>
                <w:rFonts w:cs="Times New Roman"/>
                <w:color w:val="000000"/>
                <w:sz w:val="20"/>
                <w:szCs w:val="20"/>
              </w:rPr>
              <w:t>DMS</w:t>
            </w:r>
            <w:r w:rsidRPr="00C23847">
              <w:rPr>
                <w:rFonts w:cs="Times New Roman"/>
                <w:color w:val="000000"/>
                <w:sz w:val="20"/>
                <w:szCs w:val="20"/>
              </w:rPr>
              <w:t xml:space="preserve"> has been established but is not publicly available yet. The </w:t>
            </w:r>
            <w:r w:rsidR="00BD1A1C">
              <w:rPr>
                <w:rFonts w:cs="Times New Roman"/>
                <w:color w:val="000000"/>
                <w:sz w:val="20"/>
                <w:szCs w:val="20"/>
              </w:rPr>
              <w:t>DMS</w:t>
            </w:r>
            <w:r w:rsidRPr="00C23847">
              <w:rPr>
                <w:rFonts w:cs="Times New Roman"/>
                <w:color w:val="000000"/>
                <w:sz w:val="20"/>
                <w:szCs w:val="20"/>
              </w:rPr>
              <w:t xml:space="preserve"> establishes an allocation for debt servicing, but no evidence has been provided yet.</w:t>
            </w:r>
          </w:p>
        </w:tc>
      </w:tr>
      <w:tr w:rsidR="00EE1783" w:rsidRPr="00C23847" w14:paraId="152728B9" w14:textId="77777777" w:rsidTr="00C23847">
        <w:tc>
          <w:tcPr>
            <w:tcW w:w="3969" w:type="dxa"/>
            <w:shd w:val="clear" w:color="000000" w:fill="E7E6E6"/>
            <w:vAlign w:val="center"/>
            <w:hideMark/>
          </w:tcPr>
          <w:p w14:paraId="35E86751"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PI-14. Macroeconomic and fiscal forecasting (M2)</w:t>
            </w:r>
          </w:p>
        </w:tc>
        <w:tc>
          <w:tcPr>
            <w:tcW w:w="960" w:type="dxa"/>
            <w:shd w:val="clear" w:color="000000" w:fill="E7E6E6"/>
            <w:vAlign w:val="center"/>
            <w:hideMark/>
          </w:tcPr>
          <w:p w14:paraId="2FD06D70" w14:textId="241BFF3F" w:rsidR="00EE1783" w:rsidRPr="00C23847" w:rsidRDefault="00274A7B" w:rsidP="00C23847">
            <w:pPr>
              <w:jc w:val="center"/>
              <w:rPr>
                <w:rFonts w:cs="Times New Roman"/>
                <w:b/>
                <w:bCs/>
                <w:color w:val="000000"/>
                <w:sz w:val="20"/>
                <w:szCs w:val="20"/>
              </w:rPr>
            </w:pPr>
            <w:r w:rsidRPr="00C23847">
              <w:rPr>
                <w:rFonts w:cs="Times New Roman"/>
                <w:b/>
                <w:bCs/>
                <w:color w:val="000000"/>
                <w:sz w:val="20"/>
                <w:szCs w:val="20"/>
              </w:rPr>
              <w:t>D+</w:t>
            </w:r>
          </w:p>
        </w:tc>
        <w:tc>
          <w:tcPr>
            <w:tcW w:w="7310" w:type="dxa"/>
            <w:shd w:val="clear" w:color="000000" w:fill="E7E6E6"/>
            <w:vAlign w:val="center"/>
            <w:hideMark/>
          </w:tcPr>
          <w:p w14:paraId="6A032173"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33D0418B" w14:textId="77777777" w:rsidTr="00C23847">
        <w:tc>
          <w:tcPr>
            <w:tcW w:w="3969" w:type="dxa"/>
            <w:shd w:val="clear" w:color="auto" w:fill="auto"/>
            <w:vAlign w:val="center"/>
            <w:hideMark/>
          </w:tcPr>
          <w:p w14:paraId="1A5202EC"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PI-14.1. Macroeconomic forecasts</w:t>
            </w:r>
          </w:p>
        </w:tc>
        <w:tc>
          <w:tcPr>
            <w:tcW w:w="960" w:type="dxa"/>
            <w:shd w:val="clear" w:color="auto" w:fill="auto"/>
            <w:vAlign w:val="center"/>
            <w:hideMark/>
          </w:tcPr>
          <w:p w14:paraId="5746D6AC" w14:textId="7B73EDCB" w:rsidR="00EE1783" w:rsidRPr="00C23847" w:rsidRDefault="00274A7B"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53A6748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county only provides a situational analysis of key macroeconomic indicators (growth, inflation, exchange rate, interest rates) at the national level in the CSFP. </w:t>
            </w:r>
          </w:p>
        </w:tc>
      </w:tr>
      <w:tr w:rsidR="00EE1783" w:rsidRPr="00C23847" w14:paraId="614D9826" w14:textId="77777777" w:rsidTr="00C23847">
        <w:tc>
          <w:tcPr>
            <w:tcW w:w="3969" w:type="dxa"/>
            <w:shd w:val="clear" w:color="auto" w:fill="auto"/>
            <w:vAlign w:val="center"/>
            <w:hideMark/>
          </w:tcPr>
          <w:p w14:paraId="576F52AD"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PI-14.2. Fiscal forecasts</w:t>
            </w:r>
          </w:p>
        </w:tc>
        <w:tc>
          <w:tcPr>
            <w:tcW w:w="960" w:type="dxa"/>
            <w:shd w:val="clear" w:color="auto" w:fill="auto"/>
            <w:vAlign w:val="center"/>
            <w:hideMark/>
          </w:tcPr>
          <w:p w14:paraId="64C3A73D"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40F3BAAF" w14:textId="7BA3775C" w:rsidR="00EE1783" w:rsidRPr="00C23847" w:rsidRDefault="00EE1783" w:rsidP="00C23847">
            <w:pPr>
              <w:jc w:val="left"/>
              <w:rPr>
                <w:rFonts w:cs="Times New Roman"/>
                <w:color w:val="000000"/>
                <w:sz w:val="20"/>
                <w:szCs w:val="20"/>
              </w:rPr>
            </w:pPr>
            <w:r w:rsidRPr="00C23847">
              <w:rPr>
                <w:rFonts w:cs="Times New Roman"/>
                <w:color w:val="000000"/>
                <w:sz w:val="20"/>
                <w:szCs w:val="20"/>
              </w:rPr>
              <w:t>The budget forecasts for revenue, expenditure</w:t>
            </w:r>
            <w:r w:rsidR="00BD1A1C">
              <w:rPr>
                <w:rFonts w:cs="Times New Roman"/>
                <w:color w:val="000000"/>
                <w:sz w:val="20"/>
                <w:szCs w:val="20"/>
              </w:rPr>
              <w:t>,</w:t>
            </w:r>
            <w:r w:rsidRPr="00C23847">
              <w:rPr>
                <w:rFonts w:cs="Times New Roman"/>
                <w:color w:val="000000"/>
                <w:sz w:val="20"/>
                <w:szCs w:val="20"/>
              </w:rPr>
              <w:t xml:space="preserve"> and fiscal balance for the budget year and the following years</w:t>
            </w:r>
            <w:r w:rsidR="00BD1A1C">
              <w:rPr>
                <w:rFonts w:cs="Times New Roman"/>
                <w:color w:val="000000"/>
                <w:sz w:val="20"/>
                <w:szCs w:val="20"/>
              </w:rPr>
              <w:t xml:space="preserve"> are</w:t>
            </w:r>
            <w:r w:rsidRPr="00C23847">
              <w:rPr>
                <w:rFonts w:cs="Times New Roman"/>
                <w:color w:val="000000"/>
                <w:sz w:val="20"/>
                <w:szCs w:val="20"/>
              </w:rPr>
              <w:t xml:space="preserve"> prepared and presented in the CSFP and CBROP and submitted to the County Assembly. However, the CBROP does not present clear explanations for deviations and assumptions.</w:t>
            </w:r>
          </w:p>
        </w:tc>
      </w:tr>
      <w:tr w:rsidR="00EE1783" w:rsidRPr="00C23847" w14:paraId="0B5117EE" w14:textId="77777777" w:rsidTr="00C23847">
        <w:tc>
          <w:tcPr>
            <w:tcW w:w="3969" w:type="dxa"/>
            <w:shd w:val="clear" w:color="auto" w:fill="auto"/>
            <w:vAlign w:val="center"/>
            <w:hideMark/>
          </w:tcPr>
          <w:p w14:paraId="78D2DC11"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PI-14.3. Macro fiscal sensitivity analysis</w:t>
            </w:r>
          </w:p>
        </w:tc>
        <w:tc>
          <w:tcPr>
            <w:tcW w:w="960" w:type="dxa"/>
            <w:shd w:val="clear" w:color="auto" w:fill="auto"/>
            <w:vAlign w:val="center"/>
            <w:hideMark/>
          </w:tcPr>
          <w:p w14:paraId="4C517874"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C86D2C7" w14:textId="4926FBC8"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w:t>
            </w:r>
            <w:r w:rsidR="00BD1A1C">
              <w:rPr>
                <w:rFonts w:cs="Times New Roman"/>
                <w:color w:val="000000"/>
                <w:sz w:val="20"/>
                <w:szCs w:val="20"/>
              </w:rPr>
              <w:t>c</w:t>
            </w:r>
            <w:r w:rsidRPr="00C23847">
              <w:rPr>
                <w:rFonts w:cs="Times New Roman"/>
                <w:color w:val="000000"/>
                <w:sz w:val="20"/>
                <w:szCs w:val="20"/>
              </w:rPr>
              <w:t>ounty does not do any scenario building and sensitivity analysis.</w:t>
            </w:r>
          </w:p>
        </w:tc>
      </w:tr>
      <w:tr w:rsidR="00EE1783" w:rsidRPr="00C23847" w14:paraId="29A8FA48" w14:textId="77777777" w:rsidTr="00C23847">
        <w:tc>
          <w:tcPr>
            <w:tcW w:w="3969" w:type="dxa"/>
            <w:shd w:val="clear" w:color="000000" w:fill="E7E6E6"/>
            <w:vAlign w:val="center"/>
            <w:hideMark/>
          </w:tcPr>
          <w:p w14:paraId="410FADD9"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PI-15. Fiscal strategy (M2)</w:t>
            </w:r>
          </w:p>
        </w:tc>
        <w:tc>
          <w:tcPr>
            <w:tcW w:w="960" w:type="dxa"/>
            <w:shd w:val="clear" w:color="000000" w:fill="E7E6E6"/>
            <w:vAlign w:val="center"/>
            <w:hideMark/>
          </w:tcPr>
          <w:p w14:paraId="118D3401" w14:textId="611BE987" w:rsidR="00EE1783" w:rsidRPr="00C23847" w:rsidRDefault="00274A7B" w:rsidP="00C23847">
            <w:pPr>
              <w:jc w:val="center"/>
              <w:rPr>
                <w:rFonts w:cs="Times New Roman"/>
                <w:b/>
                <w:bCs/>
                <w:color w:val="000000"/>
                <w:sz w:val="20"/>
                <w:szCs w:val="20"/>
                <w:lang w:val="fr-FR"/>
              </w:rPr>
            </w:pPr>
            <w:r w:rsidRPr="00C23847">
              <w:rPr>
                <w:rFonts w:cs="Times New Roman"/>
                <w:b/>
                <w:bCs/>
                <w:color w:val="000000"/>
                <w:sz w:val="20"/>
                <w:szCs w:val="20"/>
                <w:lang w:val="fr-FR"/>
              </w:rPr>
              <w:t>C</w:t>
            </w:r>
          </w:p>
        </w:tc>
        <w:tc>
          <w:tcPr>
            <w:tcW w:w="7310" w:type="dxa"/>
            <w:shd w:val="clear" w:color="000000" w:fill="E7E6E6"/>
            <w:vAlign w:val="center"/>
            <w:hideMark/>
          </w:tcPr>
          <w:p w14:paraId="7110B97E"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0D3C708D" w14:textId="77777777" w:rsidTr="00C23847">
        <w:tc>
          <w:tcPr>
            <w:tcW w:w="3969" w:type="dxa"/>
            <w:shd w:val="clear" w:color="auto" w:fill="auto"/>
            <w:vAlign w:val="center"/>
            <w:hideMark/>
          </w:tcPr>
          <w:p w14:paraId="52965806"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PI-15.1. Fiscal impact of policy proposals</w:t>
            </w:r>
          </w:p>
        </w:tc>
        <w:tc>
          <w:tcPr>
            <w:tcW w:w="960" w:type="dxa"/>
            <w:shd w:val="clear" w:color="auto" w:fill="auto"/>
            <w:vAlign w:val="center"/>
            <w:hideMark/>
          </w:tcPr>
          <w:p w14:paraId="6CBBBD09"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95000D2"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The county does not prepare estimates of the fiscal impact of all proposed changes in revenue and expenditure, except for a few cases.</w:t>
            </w:r>
          </w:p>
        </w:tc>
      </w:tr>
      <w:tr w:rsidR="00EE1783" w:rsidRPr="00C23847" w14:paraId="26A082A8" w14:textId="77777777" w:rsidTr="00C23847">
        <w:tc>
          <w:tcPr>
            <w:tcW w:w="3969" w:type="dxa"/>
            <w:shd w:val="clear" w:color="auto" w:fill="auto"/>
            <w:vAlign w:val="center"/>
            <w:hideMark/>
          </w:tcPr>
          <w:p w14:paraId="62B6993A"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PI-15.2. Fiscal strategy adoption</w:t>
            </w:r>
          </w:p>
        </w:tc>
        <w:tc>
          <w:tcPr>
            <w:tcW w:w="960" w:type="dxa"/>
            <w:shd w:val="clear" w:color="auto" w:fill="auto"/>
            <w:vAlign w:val="center"/>
            <w:hideMark/>
          </w:tcPr>
          <w:p w14:paraId="12213544"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1F053A76" w14:textId="77960F21"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government has adopted, submitted to the legislature, and published a fiscal strategy. But this strategy does not include explicit time-based quantitative fiscal goals and targets together with qualitative objectives for at least the budget year and the following two </w:t>
            </w:r>
            <w:r w:rsidR="00BD1A1C">
              <w:rPr>
                <w:rFonts w:cs="Times New Roman"/>
                <w:color w:val="000000"/>
                <w:sz w:val="20"/>
                <w:szCs w:val="20"/>
              </w:rPr>
              <w:t>FY</w:t>
            </w:r>
            <w:r w:rsidRPr="00C23847">
              <w:rPr>
                <w:rFonts w:cs="Times New Roman"/>
                <w:color w:val="000000"/>
                <w:sz w:val="20"/>
                <w:szCs w:val="20"/>
              </w:rPr>
              <w:t>s.</w:t>
            </w:r>
          </w:p>
        </w:tc>
      </w:tr>
      <w:tr w:rsidR="00EE1783" w:rsidRPr="00C23847" w14:paraId="21236219" w14:textId="77777777" w:rsidTr="00C23847">
        <w:tc>
          <w:tcPr>
            <w:tcW w:w="3969" w:type="dxa"/>
            <w:shd w:val="clear" w:color="auto" w:fill="auto"/>
            <w:vAlign w:val="center"/>
            <w:hideMark/>
          </w:tcPr>
          <w:p w14:paraId="76C12CF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PI-15.3. Reporting on fiscal outcomes</w:t>
            </w:r>
          </w:p>
        </w:tc>
        <w:tc>
          <w:tcPr>
            <w:tcW w:w="960" w:type="dxa"/>
            <w:shd w:val="clear" w:color="auto" w:fill="auto"/>
            <w:vAlign w:val="center"/>
            <w:hideMark/>
          </w:tcPr>
          <w:p w14:paraId="6BE5DF15"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6CAC180B" w14:textId="52CF5F45"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government prepares an internal report on the progress made against its fiscal strategy. Such a report has been prepared for at least the last completed </w:t>
            </w:r>
            <w:r w:rsidR="00BD1A1C">
              <w:rPr>
                <w:rFonts w:cs="Times New Roman"/>
                <w:color w:val="000000"/>
                <w:sz w:val="20"/>
                <w:szCs w:val="20"/>
              </w:rPr>
              <w:t>FY</w:t>
            </w:r>
            <w:r w:rsidRPr="00C23847">
              <w:rPr>
                <w:rFonts w:cs="Times New Roman"/>
                <w:color w:val="000000"/>
                <w:sz w:val="20"/>
                <w:szCs w:val="20"/>
              </w:rPr>
              <w:t>. However, an explanation of the reasons for any deviation from the objectives and targets set is not provided in the CBROP.</w:t>
            </w:r>
          </w:p>
        </w:tc>
      </w:tr>
      <w:tr w:rsidR="00EE1783" w:rsidRPr="00C23847" w14:paraId="6CF2CAB9" w14:textId="77777777" w:rsidTr="00C23847">
        <w:tc>
          <w:tcPr>
            <w:tcW w:w="3969" w:type="dxa"/>
            <w:shd w:val="clear" w:color="000000" w:fill="E7E6E6"/>
            <w:vAlign w:val="center"/>
            <w:hideMark/>
          </w:tcPr>
          <w:p w14:paraId="6577158C"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PI-16. Medium-term perspective in expenditure budgeting (M2)</w:t>
            </w:r>
          </w:p>
        </w:tc>
        <w:tc>
          <w:tcPr>
            <w:tcW w:w="960" w:type="dxa"/>
            <w:shd w:val="clear" w:color="000000" w:fill="E7E6E6"/>
            <w:vAlign w:val="center"/>
            <w:hideMark/>
          </w:tcPr>
          <w:p w14:paraId="24828C1B" w14:textId="2AD829E8" w:rsidR="00EE1783" w:rsidRPr="00C23847" w:rsidRDefault="00EE1783" w:rsidP="00C23847">
            <w:pPr>
              <w:jc w:val="center"/>
              <w:rPr>
                <w:rFonts w:cs="Times New Roman"/>
                <w:b/>
                <w:bCs/>
                <w:color w:val="000000"/>
                <w:sz w:val="20"/>
                <w:szCs w:val="20"/>
                <w:lang w:val="fr-FR"/>
              </w:rPr>
            </w:pPr>
            <w:r w:rsidRPr="00C23847">
              <w:rPr>
                <w:rFonts w:cs="Times New Roman"/>
                <w:b/>
                <w:bCs/>
                <w:color w:val="000000"/>
                <w:sz w:val="20"/>
                <w:szCs w:val="20"/>
                <w:lang w:val="fr-FR"/>
              </w:rPr>
              <w:t>D</w:t>
            </w:r>
            <w:r w:rsidR="0027510E">
              <w:rPr>
                <w:rFonts w:cs="Times New Roman"/>
                <w:b/>
                <w:bCs/>
                <w:color w:val="000000"/>
                <w:sz w:val="20"/>
                <w:szCs w:val="20"/>
                <w:lang w:val="fr-FR"/>
              </w:rPr>
              <w:t>+</w:t>
            </w:r>
          </w:p>
        </w:tc>
        <w:tc>
          <w:tcPr>
            <w:tcW w:w="7310" w:type="dxa"/>
            <w:shd w:val="clear" w:color="000000" w:fill="E7E6E6"/>
            <w:vAlign w:val="center"/>
            <w:hideMark/>
          </w:tcPr>
          <w:p w14:paraId="3F459F08"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35B3CECD" w14:textId="77777777" w:rsidTr="00C23847">
        <w:tc>
          <w:tcPr>
            <w:tcW w:w="3969" w:type="dxa"/>
            <w:shd w:val="clear" w:color="auto" w:fill="auto"/>
            <w:vAlign w:val="center"/>
            <w:hideMark/>
          </w:tcPr>
          <w:p w14:paraId="39580CB9"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PI-16.1. Medium-term expenditure estimates</w:t>
            </w:r>
          </w:p>
        </w:tc>
        <w:tc>
          <w:tcPr>
            <w:tcW w:w="960" w:type="dxa"/>
            <w:shd w:val="clear" w:color="auto" w:fill="auto"/>
            <w:vAlign w:val="center"/>
            <w:hideMark/>
          </w:tcPr>
          <w:p w14:paraId="01ECF63E"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7AAF649D" w14:textId="7886C4B0"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 The county government prepares medium</w:t>
            </w:r>
            <w:r w:rsidR="00BD1A1C">
              <w:rPr>
                <w:rFonts w:cs="Times New Roman"/>
                <w:color w:val="000000"/>
                <w:sz w:val="20"/>
                <w:szCs w:val="20"/>
              </w:rPr>
              <w:t>-</w:t>
            </w:r>
            <w:r w:rsidRPr="00C23847">
              <w:rPr>
                <w:rFonts w:cs="Times New Roman"/>
                <w:color w:val="000000"/>
                <w:sz w:val="20"/>
                <w:szCs w:val="20"/>
              </w:rPr>
              <w:t>term expenditure estimates by administrative, economic</w:t>
            </w:r>
            <w:r w:rsidR="00BD1A1C">
              <w:rPr>
                <w:rFonts w:cs="Times New Roman"/>
                <w:color w:val="000000"/>
                <w:sz w:val="20"/>
                <w:szCs w:val="20"/>
              </w:rPr>
              <w:t>,</w:t>
            </w:r>
            <w:r w:rsidRPr="00C23847">
              <w:rPr>
                <w:rFonts w:cs="Times New Roman"/>
                <w:color w:val="000000"/>
                <w:sz w:val="20"/>
                <w:szCs w:val="20"/>
              </w:rPr>
              <w:t xml:space="preserve"> and functional classification, which are presented in both budget estimates and the CSFP.</w:t>
            </w:r>
          </w:p>
        </w:tc>
      </w:tr>
      <w:tr w:rsidR="00EE1783" w:rsidRPr="00C23847" w14:paraId="3BB85D7F" w14:textId="77777777" w:rsidTr="00C23847">
        <w:tc>
          <w:tcPr>
            <w:tcW w:w="3969" w:type="dxa"/>
            <w:shd w:val="clear" w:color="auto" w:fill="auto"/>
            <w:vAlign w:val="center"/>
            <w:hideMark/>
          </w:tcPr>
          <w:p w14:paraId="4E11714D"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PI-16.2. Medium-term expenditure ceilings</w:t>
            </w:r>
          </w:p>
        </w:tc>
        <w:tc>
          <w:tcPr>
            <w:tcW w:w="960" w:type="dxa"/>
            <w:shd w:val="clear" w:color="auto" w:fill="auto"/>
            <w:vAlign w:val="center"/>
            <w:hideMark/>
          </w:tcPr>
          <w:p w14:paraId="0E348738"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10342692" w14:textId="7AFB7B6F"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expenditure ceilings (in </w:t>
            </w:r>
            <w:r w:rsidR="00BD1A1C">
              <w:rPr>
                <w:rFonts w:cs="Times New Roman"/>
                <w:color w:val="000000"/>
                <w:sz w:val="20"/>
                <w:szCs w:val="20"/>
              </w:rPr>
              <w:t xml:space="preserve">the </w:t>
            </w:r>
            <w:r w:rsidRPr="00C23847">
              <w:rPr>
                <w:rFonts w:cs="Times New Roman"/>
                <w:color w:val="000000"/>
                <w:sz w:val="20"/>
                <w:szCs w:val="20"/>
              </w:rPr>
              <w:t>CSFP and budget estimates) are approved after issuance of the budget circular.</w:t>
            </w:r>
          </w:p>
        </w:tc>
      </w:tr>
      <w:tr w:rsidR="00EE1783" w:rsidRPr="00C23847" w14:paraId="47E77ABE" w14:textId="77777777" w:rsidTr="00C23847">
        <w:tc>
          <w:tcPr>
            <w:tcW w:w="3969" w:type="dxa"/>
            <w:shd w:val="clear" w:color="auto" w:fill="auto"/>
            <w:vAlign w:val="center"/>
            <w:hideMark/>
          </w:tcPr>
          <w:p w14:paraId="2AE79C4B"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PI-16.3. Alignment of strategic plans and medium-term budgets</w:t>
            </w:r>
          </w:p>
        </w:tc>
        <w:tc>
          <w:tcPr>
            <w:tcW w:w="960" w:type="dxa"/>
            <w:shd w:val="clear" w:color="auto" w:fill="auto"/>
            <w:vAlign w:val="center"/>
            <w:hideMark/>
          </w:tcPr>
          <w:p w14:paraId="1263A3D8"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13914A99" w14:textId="785FEC4A" w:rsidR="00EE1783" w:rsidRPr="00C23847" w:rsidRDefault="00EE1783" w:rsidP="00C23847">
            <w:pPr>
              <w:jc w:val="left"/>
              <w:rPr>
                <w:rFonts w:cs="Times New Roman"/>
                <w:color w:val="000000"/>
                <w:sz w:val="20"/>
                <w:szCs w:val="20"/>
              </w:rPr>
            </w:pPr>
            <w:r w:rsidRPr="00C23847">
              <w:rPr>
                <w:rFonts w:cs="Times New Roman"/>
                <w:color w:val="000000"/>
                <w:sz w:val="20"/>
                <w:szCs w:val="20"/>
              </w:rPr>
              <w:t>The county has only prepared strategic plans for education, health</w:t>
            </w:r>
            <w:r w:rsidR="00BD1A1C">
              <w:rPr>
                <w:rFonts w:cs="Times New Roman"/>
                <w:color w:val="000000"/>
                <w:sz w:val="20"/>
                <w:szCs w:val="20"/>
              </w:rPr>
              <w:t>,</w:t>
            </w:r>
            <w:r w:rsidRPr="00C23847">
              <w:rPr>
                <w:rFonts w:cs="Times New Roman"/>
                <w:color w:val="000000"/>
                <w:sz w:val="20"/>
                <w:szCs w:val="20"/>
              </w:rPr>
              <w:t xml:space="preserve"> and agriculture. The strategic plans are not aligned with the budget estimates. Budget estimates are mainly guided by the ADP, which is based on the CIDP.</w:t>
            </w:r>
          </w:p>
        </w:tc>
      </w:tr>
      <w:tr w:rsidR="00EE1783" w:rsidRPr="00C23847" w14:paraId="6BB3F50F" w14:textId="77777777" w:rsidTr="00C23847">
        <w:tc>
          <w:tcPr>
            <w:tcW w:w="3969" w:type="dxa"/>
            <w:shd w:val="clear" w:color="auto" w:fill="auto"/>
            <w:vAlign w:val="center"/>
            <w:hideMark/>
          </w:tcPr>
          <w:p w14:paraId="165C967B"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PI-16.4. Consistency of budgets with previous year’s estimates</w:t>
            </w:r>
          </w:p>
        </w:tc>
        <w:tc>
          <w:tcPr>
            <w:tcW w:w="960" w:type="dxa"/>
            <w:shd w:val="clear" w:color="auto" w:fill="auto"/>
            <w:vAlign w:val="center"/>
            <w:hideMark/>
          </w:tcPr>
          <w:p w14:paraId="79059CC9"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75CBC62" w14:textId="12F8CD8B" w:rsidR="00EE1783" w:rsidRPr="00C23847" w:rsidRDefault="00EE1783" w:rsidP="00C23847">
            <w:pPr>
              <w:jc w:val="left"/>
              <w:rPr>
                <w:rFonts w:cs="Times New Roman"/>
                <w:color w:val="000000"/>
                <w:sz w:val="20"/>
                <w:szCs w:val="20"/>
              </w:rPr>
            </w:pPr>
            <w:r w:rsidRPr="00C23847">
              <w:rPr>
                <w:rFonts w:cs="Times New Roman"/>
                <w:color w:val="000000"/>
                <w:sz w:val="20"/>
                <w:szCs w:val="20"/>
              </w:rPr>
              <w:t>There is no consistency in medium</w:t>
            </w:r>
            <w:r w:rsidR="00BD1A1C">
              <w:rPr>
                <w:rFonts w:cs="Times New Roman"/>
                <w:color w:val="000000"/>
                <w:sz w:val="20"/>
                <w:szCs w:val="20"/>
              </w:rPr>
              <w:t>-</w:t>
            </w:r>
            <w:r w:rsidRPr="00C23847">
              <w:rPr>
                <w:rFonts w:cs="Times New Roman"/>
                <w:color w:val="000000"/>
                <w:sz w:val="20"/>
                <w:szCs w:val="20"/>
              </w:rPr>
              <w:t>term estimates for the different MTEF period</w:t>
            </w:r>
            <w:r w:rsidR="00BD1A1C">
              <w:rPr>
                <w:rFonts w:cs="Times New Roman"/>
                <w:color w:val="000000"/>
                <w:sz w:val="20"/>
                <w:szCs w:val="20"/>
              </w:rPr>
              <w:t>s</w:t>
            </w:r>
            <w:r w:rsidRPr="00C23847">
              <w:rPr>
                <w:rFonts w:cs="Times New Roman"/>
                <w:color w:val="000000"/>
                <w:sz w:val="20"/>
                <w:szCs w:val="20"/>
              </w:rPr>
              <w:t xml:space="preserve"> and the budget documents do not provide an explanation for the changes. </w:t>
            </w:r>
          </w:p>
        </w:tc>
      </w:tr>
      <w:tr w:rsidR="00EE1783" w:rsidRPr="00C23847" w14:paraId="54CBEC8A" w14:textId="77777777" w:rsidTr="00C23847">
        <w:tc>
          <w:tcPr>
            <w:tcW w:w="3969" w:type="dxa"/>
            <w:shd w:val="clear" w:color="000000" w:fill="E7E6E6"/>
            <w:vAlign w:val="center"/>
            <w:hideMark/>
          </w:tcPr>
          <w:p w14:paraId="71CD2B25"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PI-17. Budget preparation process (M2)</w:t>
            </w:r>
          </w:p>
        </w:tc>
        <w:tc>
          <w:tcPr>
            <w:tcW w:w="960" w:type="dxa"/>
            <w:shd w:val="clear" w:color="000000" w:fill="E7E6E6"/>
            <w:vAlign w:val="center"/>
            <w:hideMark/>
          </w:tcPr>
          <w:p w14:paraId="66FD1D74" w14:textId="06DAD17D" w:rsidR="00EE1783" w:rsidRPr="00C23847" w:rsidRDefault="00F622FB" w:rsidP="00C23847">
            <w:pPr>
              <w:jc w:val="center"/>
              <w:rPr>
                <w:rFonts w:cs="Times New Roman"/>
                <w:b/>
                <w:bCs/>
                <w:color w:val="000000"/>
                <w:sz w:val="20"/>
                <w:szCs w:val="20"/>
              </w:rPr>
            </w:pPr>
            <w:r w:rsidRPr="00C23847">
              <w:rPr>
                <w:rFonts w:cs="Times New Roman"/>
                <w:b/>
                <w:bCs/>
                <w:color w:val="000000"/>
                <w:sz w:val="20"/>
                <w:szCs w:val="20"/>
              </w:rPr>
              <w:t>B</w:t>
            </w:r>
          </w:p>
        </w:tc>
        <w:tc>
          <w:tcPr>
            <w:tcW w:w="7310" w:type="dxa"/>
            <w:shd w:val="clear" w:color="000000" w:fill="E7E6E6"/>
            <w:vAlign w:val="center"/>
            <w:hideMark/>
          </w:tcPr>
          <w:p w14:paraId="175FE474"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3B0D6A15" w14:textId="77777777" w:rsidTr="00C23847">
        <w:tc>
          <w:tcPr>
            <w:tcW w:w="3969" w:type="dxa"/>
            <w:shd w:val="clear" w:color="auto" w:fill="auto"/>
            <w:vAlign w:val="center"/>
            <w:hideMark/>
          </w:tcPr>
          <w:p w14:paraId="2E3E3F07"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PI-17.1 Budget calendar</w:t>
            </w:r>
          </w:p>
        </w:tc>
        <w:tc>
          <w:tcPr>
            <w:tcW w:w="960" w:type="dxa"/>
            <w:shd w:val="clear" w:color="auto" w:fill="auto"/>
            <w:vAlign w:val="center"/>
            <w:hideMark/>
          </w:tcPr>
          <w:p w14:paraId="2504C1AB"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42867398"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A clear annual budget calendar exists, is generally adhered to, and allows budgetary units at least four weeks from receipt of the budget circular to meaningfully complete their detailed estimates on time.</w:t>
            </w:r>
          </w:p>
        </w:tc>
      </w:tr>
      <w:tr w:rsidR="00EE1783" w:rsidRPr="00C23847" w14:paraId="5F7B02E8" w14:textId="77777777" w:rsidTr="00C23847">
        <w:tc>
          <w:tcPr>
            <w:tcW w:w="3969" w:type="dxa"/>
            <w:shd w:val="clear" w:color="auto" w:fill="auto"/>
            <w:vAlign w:val="center"/>
            <w:hideMark/>
          </w:tcPr>
          <w:p w14:paraId="0CAB75A2"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PI-17.2 Guidance on budget preparation</w:t>
            </w:r>
          </w:p>
        </w:tc>
        <w:tc>
          <w:tcPr>
            <w:tcW w:w="960" w:type="dxa"/>
            <w:shd w:val="clear" w:color="auto" w:fill="auto"/>
            <w:vAlign w:val="center"/>
            <w:hideMark/>
          </w:tcPr>
          <w:p w14:paraId="28CC7EB3"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4825715E" w14:textId="7A1BCB1B"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A comprehensive budget circular is issued to budgetary units, covering total budget expenditure for the full </w:t>
            </w:r>
            <w:r w:rsidR="00BD1A1C">
              <w:rPr>
                <w:rFonts w:cs="Times New Roman"/>
                <w:color w:val="000000"/>
                <w:sz w:val="20"/>
                <w:szCs w:val="20"/>
              </w:rPr>
              <w:t>FY</w:t>
            </w:r>
            <w:r w:rsidRPr="00C23847">
              <w:rPr>
                <w:rFonts w:cs="Times New Roman"/>
                <w:color w:val="000000"/>
                <w:sz w:val="20"/>
                <w:szCs w:val="20"/>
              </w:rPr>
              <w:t>. The budget circular does not include ministry ceilings. The approval of ceilings by the cabinet are approved only before sending the budget to the County Assembly.</w:t>
            </w:r>
          </w:p>
        </w:tc>
      </w:tr>
      <w:tr w:rsidR="00EE1783" w:rsidRPr="00C23847" w14:paraId="71491A66" w14:textId="77777777" w:rsidTr="00C23847">
        <w:tc>
          <w:tcPr>
            <w:tcW w:w="3969" w:type="dxa"/>
            <w:shd w:val="clear" w:color="auto" w:fill="auto"/>
            <w:vAlign w:val="center"/>
            <w:hideMark/>
          </w:tcPr>
          <w:p w14:paraId="0D2B5D5E"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PI-17.3 Budget submission to the legislature</w:t>
            </w:r>
          </w:p>
        </w:tc>
        <w:tc>
          <w:tcPr>
            <w:tcW w:w="960" w:type="dxa"/>
            <w:shd w:val="clear" w:color="auto" w:fill="auto"/>
            <w:vAlign w:val="center"/>
            <w:hideMark/>
          </w:tcPr>
          <w:p w14:paraId="53A9A5E1"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2E4D9490" w14:textId="50F48CA1"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w:t>
            </w:r>
            <w:r w:rsidR="00BD1A1C">
              <w:rPr>
                <w:rFonts w:cs="Times New Roman"/>
                <w:color w:val="000000"/>
                <w:sz w:val="20"/>
                <w:szCs w:val="20"/>
              </w:rPr>
              <w:t>E</w:t>
            </w:r>
            <w:r w:rsidRPr="00C23847">
              <w:rPr>
                <w:rFonts w:cs="Times New Roman"/>
                <w:color w:val="000000"/>
                <w:sz w:val="20"/>
                <w:szCs w:val="20"/>
              </w:rPr>
              <w:t xml:space="preserve">xecutive has submitted the annual budget proposal to the legislature at least two months before the start of the </w:t>
            </w:r>
            <w:r w:rsidR="00BD1A1C">
              <w:rPr>
                <w:rFonts w:cs="Times New Roman"/>
                <w:color w:val="000000"/>
                <w:sz w:val="20"/>
                <w:szCs w:val="20"/>
              </w:rPr>
              <w:t>FY</w:t>
            </w:r>
            <w:r w:rsidRPr="00C23847">
              <w:rPr>
                <w:rFonts w:cs="Times New Roman"/>
                <w:color w:val="000000"/>
                <w:sz w:val="20"/>
                <w:szCs w:val="20"/>
              </w:rPr>
              <w:t xml:space="preserve"> in each of the last three years.</w:t>
            </w:r>
          </w:p>
        </w:tc>
      </w:tr>
      <w:tr w:rsidR="00EE1783" w:rsidRPr="00C23847" w14:paraId="49BFAB75" w14:textId="77777777" w:rsidTr="00C23847">
        <w:tc>
          <w:tcPr>
            <w:tcW w:w="3969" w:type="dxa"/>
            <w:shd w:val="clear" w:color="000000" w:fill="E7E6E6"/>
            <w:vAlign w:val="center"/>
            <w:hideMark/>
          </w:tcPr>
          <w:p w14:paraId="1C869CD7"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PI-18. Legislative scrutiny of budgets (M1)</w:t>
            </w:r>
          </w:p>
        </w:tc>
        <w:tc>
          <w:tcPr>
            <w:tcW w:w="960" w:type="dxa"/>
            <w:shd w:val="clear" w:color="000000" w:fill="E7E6E6"/>
            <w:vAlign w:val="center"/>
            <w:hideMark/>
          </w:tcPr>
          <w:p w14:paraId="733B993A" w14:textId="46175974" w:rsidR="00EE1783" w:rsidRPr="00C23847" w:rsidRDefault="00A95236" w:rsidP="00C23847">
            <w:pPr>
              <w:jc w:val="center"/>
              <w:rPr>
                <w:rFonts w:cs="Times New Roman"/>
                <w:b/>
                <w:bCs/>
                <w:color w:val="000000"/>
                <w:sz w:val="20"/>
                <w:szCs w:val="20"/>
                <w:lang w:val="fr-FR"/>
              </w:rPr>
            </w:pPr>
            <w:r w:rsidRPr="00C23847">
              <w:rPr>
                <w:rFonts w:cs="Times New Roman"/>
                <w:b/>
                <w:bCs/>
                <w:color w:val="000000"/>
                <w:sz w:val="20"/>
                <w:szCs w:val="20"/>
                <w:lang w:val="fr-FR"/>
              </w:rPr>
              <w:t>C+</w:t>
            </w:r>
          </w:p>
        </w:tc>
        <w:tc>
          <w:tcPr>
            <w:tcW w:w="7310" w:type="dxa"/>
            <w:shd w:val="clear" w:color="000000" w:fill="E7E6E6"/>
            <w:vAlign w:val="center"/>
            <w:hideMark/>
          </w:tcPr>
          <w:p w14:paraId="50723DF4"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67FF6931" w14:textId="77777777" w:rsidTr="00C23847">
        <w:tc>
          <w:tcPr>
            <w:tcW w:w="3969" w:type="dxa"/>
            <w:shd w:val="clear" w:color="auto" w:fill="auto"/>
            <w:vAlign w:val="center"/>
            <w:hideMark/>
          </w:tcPr>
          <w:p w14:paraId="59217DF8"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PI-18.1. Scope of budget scrutiny</w:t>
            </w:r>
          </w:p>
        </w:tc>
        <w:tc>
          <w:tcPr>
            <w:tcW w:w="960" w:type="dxa"/>
            <w:shd w:val="clear" w:color="auto" w:fill="auto"/>
            <w:vAlign w:val="center"/>
            <w:hideMark/>
          </w:tcPr>
          <w:p w14:paraId="74EA8475" w14:textId="13A35C0A"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63E875E3" w14:textId="06BCA6C4"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w:t>
            </w:r>
            <w:r w:rsidR="00BD1A1C">
              <w:rPr>
                <w:rFonts w:cs="Times New Roman"/>
                <w:color w:val="000000"/>
                <w:sz w:val="20"/>
                <w:szCs w:val="20"/>
              </w:rPr>
              <w:t>C</w:t>
            </w:r>
            <w:r w:rsidRPr="00C23847">
              <w:rPr>
                <w:rFonts w:cs="Times New Roman"/>
                <w:color w:val="000000"/>
                <w:sz w:val="20"/>
                <w:szCs w:val="20"/>
              </w:rPr>
              <w:t xml:space="preserve">ounty </w:t>
            </w:r>
            <w:r w:rsidR="00BD1A1C">
              <w:rPr>
                <w:rFonts w:cs="Times New Roman"/>
                <w:color w:val="000000"/>
                <w:sz w:val="20"/>
                <w:szCs w:val="20"/>
              </w:rPr>
              <w:t>A</w:t>
            </w:r>
            <w:r w:rsidRPr="00C23847">
              <w:rPr>
                <w:rFonts w:cs="Times New Roman"/>
                <w:color w:val="000000"/>
                <w:sz w:val="20"/>
                <w:szCs w:val="20"/>
              </w:rPr>
              <w:t>ssembly review covers fiscal policies, medium-term fiscal forecasts, and medium-term priorities as well as details of expenditure and revenue.</w:t>
            </w:r>
          </w:p>
        </w:tc>
      </w:tr>
      <w:tr w:rsidR="00EE1783" w:rsidRPr="00C23847" w14:paraId="12D88C17" w14:textId="77777777" w:rsidTr="00C23847">
        <w:tc>
          <w:tcPr>
            <w:tcW w:w="3969" w:type="dxa"/>
            <w:shd w:val="clear" w:color="auto" w:fill="auto"/>
            <w:vAlign w:val="center"/>
            <w:hideMark/>
          </w:tcPr>
          <w:p w14:paraId="4C7373F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PI-18.2. Legislative procedures for budget scrutiny</w:t>
            </w:r>
          </w:p>
        </w:tc>
        <w:tc>
          <w:tcPr>
            <w:tcW w:w="960" w:type="dxa"/>
            <w:shd w:val="clear" w:color="auto" w:fill="auto"/>
            <w:vAlign w:val="center"/>
            <w:hideMark/>
          </w:tcPr>
          <w:p w14:paraId="043390B0"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494262E3" w14:textId="0E565C43" w:rsidR="00EE1783" w:rsidRPr="00C23847" w:rsidRDefault="00EE1783" w:rsidP="00C23847">
            <w:pPr>
              <w:jc w:val="left"/>
              <w:rPr>
                <w:rFonts w:cs="Times New Roman"/>
                <w:color w:val="000000"/>
                <w:sz w:val="20"/>
                <w:szCs w:val="20"/>
              </w:rPr>
            </w:pPr>
            <w:r w:rsidRPr="00C23847">
              <w:rPr>
                <w:rFonts w:cs="Times New Roman"/>
                <w:color w:val="000000"/>
                <w:sz w:val="20"/>
                <w:szCs w:val="20"/>
              </w:rPr>
              <w:t>The procedures for budget scrutiny include speciali</w:t>
            </w:r>
            <w:r w:rsidR="00ED5A95">
              <w:rPr>
                <w:rFonts w:cs="Times New Roman"/>
                <w:color w:val="000000"/>
                <w:sz w:val="20"/>
                <w:szCs w:val="20"/>
              </w:rPr>
              <w:t>z</w:t>
            </w:r>
            <w:r w:rsidRPr="00C23847">
              <w:rPr>
                <w:rFonts w:cs="Times New Roman"/>
                <w:color w:val="000000"/>
                <w:sz w:val="20"/>
                <w:szCs w:val="20"/>
              </w:rPr>
              <w:t>ed review committees, technical support, and negotiation procedures and arrangements for public consultation.</w:t>
            </w:r>
          </w:p>
        </w:tc>
      </w:tr>
      <w:tr w:rsidR="00EE1783" w:rsidRPr="00C23847" w14:paraId="721401CA" w14:textId="77777777" w:rsidTr="00C23847">
        <w:tc>
          <w:tcPr>
            <w:tcW w:w="3969" w:type="dxa"/>
            <w:shd w:val="clear" w:color="auto" w:fill="auto"/>
            <w:vAlign w:val="center"/>
            <w:hideMark/>
          </w:tcPr>
          <w:p w14:paraId="1882F7DE"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PI-18.3. Timing of budget approval</w:t>
            </w:r>
          </w:p>
        </w:tc>
        <w:tc>
          <w:tcPr>
            <w:tcW w:w="960" w:type="dxa"/>
            <w:shd w:val="clear" w:color="auto" w:fill="auto"/>
            <w:vAlign w:val="center"/>
            <w:hideMark/>
          </w:tcPr>
          <w:p w14:paraId="736BCB40" w14:textId="7D0EA4E0"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09613AA8" w14:textId="5F7F6F17" w:rsidR="00EE1783" w:rsidRPr="00C23847" w:rsidRDefault="00EE1783" w:rsidP="00C23847">
            <w:pPr>
              <w:jc w:val="left"/>
              <w:rPr>
                <w:rFonts w:cs="Times New Roman"/>
                <w:color w:val="000000"/>
                <w:sz w:val="20"/>
                <w:szCs w:val="20"/>
              </w:rPr>
            </w:pPr>
            <w:r w:rsidRPr="00C23847">
              <w:rPr>
                <w:rFonts w:cs="Times New Roman"/>
                <w:color w:val="000000"/>
                <w:sz w:val="20"/>
                <w:szCs w:val="20"/>
              </w:rPr>
              <w:t>The budget estimates for 2014/15, 2015/16 and 2016/17 were discussed, adopted</w:t>
            </w:r>
            <w:r w:rsidR="00BD1A1C">
              <w:rPr>
                <w:rFonts w:cs="Times New Roman"/>
                <w:color w:val="000000"/>
                <w:sz w:val="20"/>
                <w:szCs w:val="20"/>
              </w:rPr>
              <w:t>,</w:t>
            </w:r>
            <w:r w:rsidRPr="00C23847">
              <w:rPr>
                <w:rFonts w:cs="Times New Roman"/>
                <w:color w:val="000000"/>
                <w:sz w:val="20"/>
                <w:szCs w:val="20"/>
              </w:rPr>
              <w:t xml:space="preserve"> and approved by the County Assembly on 30thJune of each of the respective years.</w:t>
            </w:r>
          </w:p>
        </w:tc>
      </w:tr>
      <w:tr w:rsidR="00EE1783" w:rsidRPr="00C23847" w14:paraId="2F280C0A" w14:textId="77777777" w:rsidTr="00C23847">
        <w:tc>
          <w:tcPr>
            <w:tcW w:w="3969" w:type="dxa"/>
            <w:shd w:val="clear" w:color="auto" w:fill="auto"/>
            <w:vAlign w:val="center"/>
            <w:hideMark/>
          </w:tcPr>
          <w:p w14:paraId="04959C85"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18.4 Rules for budget adjustments by the executive </w:t>
            </w:r>
          </w:p>
        </w:tc>
        <w:tc>
          <w:tcPr>
            <w:tcW w:w="960" w:type="dxa"/>
            <w:shd w:val="clear" w:color="auto" w:fill="auto"/>
            <w:vAlign w:val="center"/>
            <w:hideMark/>
          </w:tcPr>
          <w:p w14:paraId="7AA250C9" w14:textId="40BF40C5" w:rsidR="00EE1783" w:rsidRPr="00C23847" w:rsidRDefault="00A95236"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4002313F" w14:textId="55AFDB09"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rules and guidelines enabling budget adjustments through the supplementary budget (including reallocations) are found in the PFM Act and are adhered to in most instances. Extensive administrative reallocations may be </w:t>
            </w:r>
            <w:r w:rsidR="00FC0ED2" w:rsidRPr="00C23847">
              <w:rPr>
                <w:rFonts w:cs="Times New Roman"/>
                <w:color w:val="000000"/>
                <w:sz w:val="20"/>
                <w:szCs w:val="20"/>
              </w:rPr>
              <w:t>permitted,</w:t>
            </w:r>
            <w:r w:rsidRPr="00C23847">
              <w:rPr>
                <w:rFonts w:cs="Times New Roman"/>
                <w:color w:val="000000"/>
                <w:sz w:val="20"/>
                <w:szCs w:val="20"/>
              </w:rPr>
              <w:t xml:space="preserve"> and the total amount of expenditure can be exceeded by 10% of the total amount of the budget.</w:t>
            </w:r>
          </w:p>
        </w:tc>
      </w:tr>
      <w:tr w:rsidR="00EE1783" w:rsidRPr="00C23847" w14:paraId="7BD845FC" w14:textId="77777777" w:rsidTr="00C23847">
        <w:tc>
          <w:tcPr>
            <w:tcW w:w="3969" w:type="dxa"/>
            <w:shd w:val="clear" w:color="000000" w:fill="E7E6E6"/>
            <w:vAlign w:val="center"/>
            <w:hideMark/>
          </w:tcPr>
          <w:p w14:paraId="2E62A06B"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PI-19. Revenue administration (M2)</w:t>
            </w:r>
          </w:p>
        </w:tc>
        <w:tc>
          <w:tcPr>
            <w:tcW w:w="960" w:type="dxa"/>
            <w:shd w:val="clear" w:color="000000" w:fill="E7E6E6"/>
            <w:vAlign w:val="center"/>
            <w:hideMark/>
          </w:tcPr>
          <w:p w14:paraId="18B0F8F9" w14:textId="77777777" w:rsidR="00EE1783" w:rsidRPr="00C23847" w:rsidRDefault="00EE1783"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584C229A"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33E16BB9" w14:textId="77777777" w:rsidTr="00C23847">
        <w:tc>
          <w:tcPr>
            <w:tcW w:w="3969" w:type="dxa"/>
            <w:shd w:val="clear" w:color="auto" w:fill="auto"/>
            <w:vAlign w:val="center"/>
            <w:hideMark/>
          </w:tcPr>
          <w:p w14:paraId="3301BECC"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PI-19.1. Rights and obligations for revenue measures</w:t>
            </w:r>
          </w:p>
        </w:tc>
        <w:tc>
          <w:tcPr>
            <w:tcW w:w="960" w:type="dxa"/>
            <w:shd w:val="clear" w:color="auto" w:fill="auto"/>
            <w:vAlign w:val="center"/>
            <w:hideMark/>
          </w:tcPr>
          <w:p w14:paraId="65016176"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0104E568" w14:textId="221E2C84"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Entities collecting revenues provide payers with access to information on the main revenue obligation areas but not on redress processes and procedures, while the mechanism is in place. The County </w:t>
            </w:r>
            <w:r w:rsidR="0084326F">
              <w:rPr>
                <w:rFonts w:cs="Times New Roman"/>
                <w:color w:val="000000"/>
                <w:sz w:val="20"/>
                <w:szCs w:val="20"/>
              </w:rPr>
              <w:t>R</w:t>
            </w:r>
            <w:r w:rsidRPr="00C23847">
              <w:rPr>
                <w:rFonts w:cs="Times New Roman"/>
                <w:color w:val="000000"/>
                <w:sz w:val="20"/>
                <w:szCs w:val="20"/>
              </w:rPr>
              <w:t>evenue Administration Act presents only the procedure for reduction of taxes, fees</w:t>
            </w:r>
            <w:r w:rsidR="0084326F">
              <w:rPr>
                <w:rFonts w:cs="Times New Roman"/>
                <w:color w:val="000000"/>
                <w:sz w:val="20"/>
                <w:szCs w:val="20"/>
              </w:rPr>
              <w:t>,</w:t>
            </w:r>
            <w:r w:rsidRPr="00C23847">
              <w:rPr>
                <w:rFonts w:cs="Times New Roman"/>
                <w:color w:val="000000"/>
                <w:sz w:val="20"/>
                <w:szCs w:val="20"/>
              </w:rPr>
              <w:t xml:space="preserve"> and charges.</w:t>
            </w:r>
          </w:p>
        </w:tc>
      </w:tr>
      <w:tr w:rsidR="00EE1783" w:rsidRPr="00C23847" w14:paraId="6630654C" w14:textId="77777777" w:rsidTr="00C23847">
        <w:tc>
          <w:tcPr>
            <w:tcW w:w="3969" w:type="dxa"/>
            <w:shd w:val="clear" w:color="auto" w:fill="auto"/>
            <w:vAlign w:val="center"/>
            <w:hideMark/>
          </w:tcPr>
          <w:p w14:paraId="69EE60BD"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PI-19.2. Revenue risk management</w:t>
            </w:r>
          </w:p>
        </w:tc>
        <w:tc>
          <w:tcPr>
            <w:tcW w:w="960" w:type="dxa"/>
            <w:shd w:val="clear" w:color="auto" w:fill="auto"/>
            <w:vAlign w:val="center"/>
            <w:hideMark/>
          </w:tcPr>
          <w:p w14:paraId="79021167"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5F62A3BD" w14:textId="7A9E83F0" w:rsidR="00EE1783" w:rsidRPr="00C23847" w:rsidRDefault="00EE1783" w:rsidP="00C23847">
            <w:pPr>
              <w:jc w:val="left"/>
              <w:rPr>
                <w:rFonts w:cs="Times New Roman"/>
                <w:color w:val="000000"/>
                <w:sz w:val="20"/>
                <w:szCs w:val="20"/>
              </w:rPr>
            </w:pPr>
            <w:r w:rsidRPr="00C23847">
              <w:rPr>
                <w:rFonts w:cs="Times New Roman"/>
                <w:color w:val="000000"/>
                <w:sz w:val="20"/>
                <w:szCs w:val="20"/>
              </w:rPr>
              <w:t>The county does</w:t>
            </w:r>
            <w:r w:rsidR="0084326F">
              <w:rPr>
                <w:rFonts w:cs="Times New Roman"/>
                <w:color w:val="000000"/>
                <w:sz w:val="20"/>
                <w:szCs w:val="20"/>
              </w:rPr>
              <w:t xml:space="preserve"> </w:t>
            </w:r>
            <w:r w:rsidRPr="00C23847">
              <w:rPr>
                <w:rFonts w:cs="Times New Roman"/>
                <w:color w:val="000000"/>
                <w:sz w:val="20"/>
                <w:szCs w:val="20"/>
              </w:rPr>
              <w:t>n</w:t>
            </w:r>
            <w:r w:rsidR="0084326F">
              <w:rPr>
                <w:rFonts w:cs="Times New Roman"/>
                <w:color w:val="000000"/>
                <w:sz w:val="20"/>
                <w:szCs w:val="20"/>
              </w:rPr>
              <w:t>o</w:t>
            </w:r>
            <w:r w:rsidRPr="00C23847">
              <w:rPr>
                <w:rFonts w:cs="Times New Roman"/>
                <w:color w:val="000000"/>
                <w:sz w:val="20"/>
                <w:szCs w:val="20"/>
              </w:rPr>
              <w:t xml:space="preserve">t have a risk assessment framework in place for assessing and prioritizing risks. </w:t>
            </w:r>
          </w:p>
        </w:tc>
      </w:tr>
      <w:tr w:rsidR="00EE1783" w:rsidRPr="00C23847" w14:paraId="54F23B0E" w14:textId="77777777" w:rsidTr="00C23847">
        <w:tc>
          <w:tcPr>
            <w:tcW w:w="3969" w:type="dxa"/>
            <w:shd w:val="clear" w:color="auto" w:fill="auto"/>
            <w:vAlign w:val="center"/>
            <w:hideMark/>
          </w:tcPr>
          <w:p w14:paraId="69AAF411"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PI-19.3. Revenue audit and investigation</w:t>
            </w:r>
          </w:p>
        </w:tc>
        <w:tc>
          <w:tcPr>
            <w:tcW w:w="960" w:type="dxa"/>
            <w:shd w:val="clear" w:color="auto" w:fill="auto"/>
            <w:vAlign w:val="center"/>
            <w:hideMark/>
          </w:tcPr>
          <w:p w14:paraId="5E6219C0"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482B1F7"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Entities collecting the majority of government revenue undertake audits and fraud investigations. The majority of planned audits and investigations have been completed. However, no evidence that a compliance improvement plan was used has been provided.</w:t>
            </w:r>
          </w:p>
        </w:tc>
      </w:tr>
      <w:tr w:rsidR="00EE1783" w:rsidRPr="00C23847" w14:paraId="69F4F304" w14:textId="77777777" w:rsidTr="00C23847">
        <w:tc>
          <w:tcPr>
            <w:tcW w:w="3969" w:type="dxa"/>
            <w:shd w:val="clear" w:color="auto" w:fill="auto"/>
            <w:vAlign w:val="center"/>
            <w:hideMark/>
          </w:tcPr>
          <w:p w14:paraId="6BD05855"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PI-19.4. Revenue arrears monitoring</w:t>
            </w:r>
          </w:p>
        </w:tc>
        <w:tc>
          <w:tcPr>
            <w:tcW w:w="960" w:type="dxa"/>
            <w:shd w:val="clear" w:color="auto" w:fill="auto"/>
            <w:vAlign w:val="center"/>
            <w:hideMark/>
          </w:tcPr>
          <w:p w14:paraId="32D9A353"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25B7719" w14:textId="0CABF4F6"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rPr>
              <w:t>No record of revenue arrears is kept. The only list of arrears provided is for property rates</w:t>
            </w:r>
            <w:r w:rsidR="0084326F">
              <w:rPr>
                <w:rFonts w:cs="Times New Roman"/>
                <w:color w:val="000000"/>
                <w:sz w:val="20"/>
                <w:szCs w:val="20"/>
              </w:rPr>
              <w:t>,</w:t>
            </w:r>
            <w:r w:rsidRPr="00C23847">
              <w:rPr>
                <w:rFonts w:cs="Times New Roman"/>
                <w:color w:val="000000"/>
                <w:sz w:val="20"/>
                <w:szCs w:val="20"/>
              </w:rPr>
              <w:t xml:space="preserve"> cumulatively from July 2014 to April 2017. </w:t>
            </w:r>
            <w:r w:rsidRPr="00C23847">
              <w:rPr>
                <w:rFonts w:cs="Times New Roman"/>
                <w:color w:val="000000"/>
                <w:sz w:val="20"/>
                <w:szCs w:val="20"/>
                <w:lang w:val="fr-FR"/>
              </w:rPr>
              <w:t>One cannot ascertain the age of the arrears.</w:t>
            </w:r>
          </w:p>
        </w:tc>
      </w:tr>
      <w:tr w:rsidR="00EE1783" w:rsidRPr="00C23847" w14:paraId="74B66880" w14:textId="77777777" w:rsidTr="00C23847">
        <w:tc>
          <w:tcPr>
            <w:tcW w:w="3969" w:type="dxa"/>
            <w:shd w:val="clear" w:color="000000" w:fill="E7E6E6"/>
            <w:vAlign w:val="center"/>
            <w:hideMark/>
          </w:tcPr>
          <w:p w14:paraId="751BC0BC"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PI-20. Accounting for revenue (M1)</w:t>
            </w:r>
          </w:p>
        </w:tc>
        <w:tc>
          <w:tcPr>
            <w:tcW w:w="960" w:type="dxa"/>
            <w:shd w:val="clear" w:color="000000" w:fill="E7E6E6"/>
            <w:vAlign w:val="center"/>
            <w:hideMark/>
          </w:tcPr>
          <w:p w14:paraId="44BDD5CC" w14:textId="35D81CE3" w:rsidR="00EE1783" w:rsidRPr="00C23847" w:rsidRDefault="00F622FB" w:rsidP="00C23847">
            <w:pPr>
              <w:jc w:val="center"/>
              <w:rPr>
                <w:rFonts w:cs="Times New Roman"/>
                <w:b/>
                <w:bCs/>
                <w:color w:val="000000"/>
                <w:sz w:val="20"/>
                <w:szCs w:val="20"/>
              </w:rPr>
            </w:pPr>
            <w:r w:rsidRPr="00C23847">
              <w:rPr>
                <w:rFonts w:cs="Times New Roman"/>
                <w:b/>
                <w:bCs/>
                <w:color w:val="000000"/>
                <w:sz w:val="20"/>
                <w:szCs w:val="20"/>
              </w:rPr>
              <w:t>D+</w:t>
            </w:r>
          </w:p>
        </w:tc>
        <w:tc>
          <w:tcPr>
            <w:tcW w:w="7310" w:type="dxa"/>
            <w:shd w:val="clear" w:color="000000" w:fill="E7E6E6"/>
            <w:vAlign w:val="center"/>
            <w:hideMark/>
          </w:tcPr>
          <w:p w14:paraId="41BFC35C"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51BE1BD6" w14:textId="77777777" w:rsidTr="00C23847">
        <w:tc>
          <w:tcPr>
            <w:tcW w:w="3969" w:type="dxa"/>
            <w:shd w:val="clear" w:color="auto" w:fill="auto"/>
            <w:vAlign w:val="center"/>
            <w:hideMark/>
          </w:tcPr>
          <w:p w14:paraId="14D3ECAA"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PI-20.1. Information on revenue collections</w:t>
            </w:r>
          </w:p>
        </w:tc>
        <w:tc>
          <w:tcPr>
            <w:tcW w:w="960" w:type="dxa"/>
            <w:shd w:val="clear" w:color="auto" w:fill="auto"/>
            <w:vAlign w:val="center"/>
            <w:hideMark/>
          </w:tcPr>
          <w:p w14:paraId="212AFA78"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08D796BA" w14:textId="4B6D9C0E" w:rsidR="00EE1783" w:rsidRPr="00C23847" w:rsidRDefault="00EE1783" w:rsidP="00C23847">
            <w:pPr>
              <w:jc w:val="left"/>
              <w:rPr>
                <w:rFonts w:cs="Times New Roman"/>
                <w:color w:val="000000"/>
                <w:sz w:val="20"/>
                <w:szCs w:val="20"/>
              </w:rPr>
            </w:pPr>
            <w:r w:rsidRPr="00C23847">
              <w:rPr>
                <w:rFonts w:cs="Times New Roman"/>
                <w:color w:val="000000"/>
                <w:sz w:val="20"/>
                <w:szCs w:val="20"/>
              </w:rPr>
              <w:t>The county consolidates the revenue data into monthly reports. The information is broken down by revenue type and consolidated into monthly, quarterly</w:t>
            </w:r>
            <w:r w:rsidR="0084326F">
              <w:rPr>
                <w:rFonts w:cs="Times New Roman"/>
                <w:color w:val="000000"/>
                <w:sz w:val="20"/>
                <w:szCs w:val="20"/>
              </w:rPr>
              <w:t>,</w:t>
            </w:r>
            <w:r w:rsidRPr="00C23847">
              <w:rPr>
                <w:rFonts w:cs="Times New Roman"/>
                <w:color w:val="000000"/>
                <w:sz w:val="20"/>
                <w:szCs w:val="20"/>
              </w:rPr>
              <w:t xml:space="preserve"> and annual report</w:t>
            </w:r>
            <w:r w:rsidR="0084326F">
              <w:rPr>
                <w:rFonts w:cs="Times New Roman"/>
                <w:color w:val="000000"/>
                <w:sz w:val="20"/>
                <w:szCs w:val="20"/>
              </w:rPr>
              <w:t>s</w:t>
            </w:r>
            <w:r w:rsidRPr="00C23847">
              <w:rPr>
                <w:rFonts w:cs="Times New Roman"/>
                <w:color w:val="000000"/>
                <w:sz w:val="20"/>
                <w:szCs w:val="20"/>
              </w:rPr>
              <w:t>. Data is presented by type of revenue in the quarterly BIR</w:t>
            </w:r>
            <w:r w:rsidR="0084326F">
              <w:rPr>
                <w:rFonts w:cs="Times New Roman"/>
                <w:color w:val="000000"/>
                <w:sz w:val="20"/>
                <w:szCs w:val="20"/>
              </w:rPr>
              <w:t>R</w:t>
            </w:r>
            <w:r w:rsidRPr="00C23847">
              <w:rPr>
                <w:rFonts w:cs="Times New Roman"/>
                <w:color w:val="000000"/>
                <w:sz w:val="20"/>
                <w:szCs w:val="20"/>
              </w:rPr>
              <w:t xml:space="preserve">s. </w:t>
            </w:r>
          </w:p>
        </w:tc>
      </w:tr>
      <w:tr w:rsidR="00EE1783" w:rsidRPr="00C23847" w14:paraId="575532A1" w14:textId="77777777" w:rsidTr="00C23847">
        <w:tc>
          <w:tcPr>
            <w:tcW w:w="3969" w:type="dxa"/>
            <w:shd w:val="clear" w:color="auto" w:fill="auto"/>
            <w:vAlign w:val="center"/>
            <w:hideMark/>
          </w:tcPr>
          <w:p w14:paraId="053EB86A"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PI-20.2. Transfer of revenue collections</w:t>
            </w:r>
          </w:p>
        </w:tc>
        <w:tc>
          <w:tcPr>
            <w:tcW w:w="960" w:type="dxa"/>
            <w:shd w:val="clear" w:color="auto" w:fill="auto"/>
            <w:vAlign w:val="center"/>
            <w:hideMark/>
          </w:tcPr>
          <w:p w14:paraId="52355B8D"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64060E08" w14:textId="1A8B436C"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revenue collectors deposit the revenue collection accounts held at the KCB weekly. </w:t>
            </w:r>
          </w:p>
        </w:tc>
      </w:tr>
      <w:tr w:rsidR="00EE1783" w:rsidRPr="00C23847" w14:paraId="4A65BFBB" w14:textId="77777777" w:rsidTr="00C23847">
        <w:tc>
          <w:tcPr>
            <w:tcW w:w="3969" w:type="dxa"/>
            <w:shd w:val="clear" w:color="auto" w:fill="auto"/>
            <w:vAlign w:val="center"/>
            <w:hideMark/>
          </w:tcPr>
          <w:p w14:paraId="7A842FA3"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PI-20.3. Revenue accounts reconciliation</w:t>
            </w:r>
          </w:p>
        </w:tc>
        <w:tc>
          <w:tcPr>
            <w:tcW w:w="960" w:type="dxa"/>
            <w:shd w:val="clear" w:color="auto" w:fill="auto"/>
            <w:vAlign w:val="center"/>
            <w:hideMark/>
          </w:tcPr>
          <w:p w14:paraId="3C2488A9"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09B8C64" w14:textId="12BA8F79" w:rsidR="00EE1783" w:rsidRPr="00C23847" w:rsidRDefault="00EE1783" w:rsidP="00C23847">
            <w:pPr>
              <w:jc w:val="left"/>
              <w:rPr>
                <w:rFonts w:cs="Times New Roman"/>
                <w:color w:val="000000"/>
                <w:sz w:val="20"/>
                <w:szCs w:val="20"/>
              </w:rPr>
            </w:pPr>
            <w:r w:rsidRPr="00C23847">
              <w:rPr>
                <w:rFonts w:cs="Times New Roman"/>
                <w:color w:val="000000"/>
                <w:sz w:val="20"/>
                <w:szCs w:val="20"/>
              </w:rPr>
              <w:t>There is no complete reconciliation of assessments, collections, arrears</w:t>
            </w:r>
            <w:r w:rsidR="0084326F">
              <w:rPr>
                <w:rFonts w:cs="Times New Roman"/>
                <w:color w:val="000000"/>
                <w:sz w:val="20"/>
                <w:szCs w:val="20"/>
              </w:rPr>
              <w:t>,</w:t>
            </w:r>
            <w:r w:rsidRPr="00C23847">
              <w:rPr>
                <w:rFonts w:cs="Times New Roman"/>
                <w:color w:val="000000"/>
                <w:sz w:val="20"/>
                <w:szCs w:val="20"/>
              </w:rPr>
              <w:t xml:space="preserve"> and transfers. </w:t>
            </w:r>
          </w:p>
        </w:tc>
      </w:tr>
      <w:tr w:rsidR="00EE1783" w:rsidRPr="00C23847" w14:paraId="5AA25697" w14:textId="77777777" w:rsidTr="00C23847">
        <w:tc>
          <w:tcPr>
            <w:tcW w:w="3969" w:type="dxa"/>
            <w:shd w:val="clear" w:color="000000" w:fill="E7E6E6"/>
            <w:vAlign w:val="center"/>
            <w:hideMark/>
          </w:tcPr>
          <w:p w14:paraId="3C7935E3" w14:textId="58C52EDB"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PI-21. Predictability of in-year resource allocation (M</w:t>
            </w:r>
            <w:r w:rsidR="00F622FB" w:rsidRPr="00C23847">
              <w:rPr>
                <w:rFonts w:cs="Times New Roman"/>
                <w:b/>
                <w:bCs/>
                <w:color w:val="000000"/>
                <w:sz w:val="20"/>
                <w:szCs w:val="20"/>
              </w:rPr>
              <w:t>2</w:t>
            </w:r>
            <w:r w:rsidRPr="00C23847">
              <w:rPr>
                <w:rFonts w:cs="Times New Roman"/>
                <w:b/>
                <w:bCs/>
                <w:color w:val="000000"/>
                <w:sz w:val="20"/>
                <w:szCs w:val="20"/>
              </w:rPr>
              <w:t>)</w:t>
            </w:r>
          </w:p>
        </w:tc>
        <w:tc>
          <w:tcPr>
            <w:tcW w:w="960" w:type="dxa"/>
            <w:shd w:val="clear" w:color="000000" w:fill="E7E6E6"/>
            <w:vAlign w:val="center"/>
            <w:hideMark/>
          </w:tcPr>
          <w:p w14:paraId="11150DD9" w14:textId="7C5C8CE4" w:rsidR="00EE1783" w:rsidRPr="00C23847" w:rsidRDefault="00F622FB" w:rsidP="00C23847">
            <w:pPr>
              <w:jc w:val="center"/>
              <w:rPr>
                <w:rFonts w:cs="Times New Roman"/>
                <w:b/>
                <w:bCs/>
                <w:color w:val="000000"/>
                <w:sz w:val="20"/>
                <w:szCs w:val="20"/>
                <w:lang w:val="fr-FR"/>
              </w:rPr>
            </w:pPr>
            <w:r w:rsidRPr="00C23847">
              <w:rPr>
                <w:rFonts w:cs="Times New Roman"/>
                <w:b/>
                <w:bCs/>
                <w:color w:val="000000"/>
                <w:sz w:val="20"/>
                <w:szCs w:val="20"/>
                <w:lang w:val="fr-FR"/>
              </w:rPr>
              <w:t>C+</w:t>
            </w:r>
          </w:p>
        </w:tc>
        <w:tc>
          <w:tcPr>
            <w:tcW w:w="7310" w:type="dxa"/>
            <w:shd w:val="clear" w:color="000000" w:fill="E7E6E6"/>
            <w:vAlign w:val="center"/>
            <w:hideMark/>
          </w:tcPr>
          <w:p w14:paraId="6FC10323"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65F592DF" w14:textId="77777777" w:rsidTr="00C23847">
        <w:tc>
          <w:tcPr>
            <w:tcW w:w="3969" w:type="dxa"/>
            <w:shd w:val="clear" w:color="auto" w:fill="auto"/>
            <w:vAlign w:val="center"/>
            <w:hideMark/>
          </w:tcPr>
          <w:p w14:paraId="20E0C8E2"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PI-21.1. Consolidation of cash balances</w:t>
            </w:r>
          </w:p>
        </w:tc>
        <w:tc>
          <w:tcPr>
            <w:tcW w:w="960" w:type="dxa"/>
            <w:shd w:val="clear" w:color="auto" w:fill="auto"/>
            <w:vAlign w:val="center"/>
            <w:hideMark/>
          </w:tcPr>
          <w:p w14:paraId="6A873A66"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0D85303"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Cash balances are consolidated on a yearly basis.</w:t>
            </w:r>
          </w:p>
        </w:tc>
      </w:tr>
      <w:tr w:rsidR="00EE1783" w:rsidRPr="00C23847" w14:paraId="15982967" w14:textId="77777777" w:rsidTr="00C23847">
        <w:tc>
          <w:tcPr>
            <w:tcW w:w="3969" w:type="dxa"/>
            <w:shd w:val="clear" w:color="auto" w:fill="auto"/>
            <w:vAlign w:val="center"/>
            <w:hideMark/>
          </w:tcPr>
          <w:p w14:paraId="19106DB9"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PI-21.2. Cash forecasting and monitoring</w:t>
            </w:r>
          </w:p>
        </w:tc>
        <w:tc>
          <w:tcPr>
            <w:tcW w:w="960" w:type="dxa"/>
            <w:shd w:val="clear" w:color="auto" w:fill="auto"/>
            <w:vAlign w:val="center"/>
            <w:hideMark/>
          </w:tcPr>
          <w:p w14:paraId="264E1D96"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1DD1D2FE" w14:textId="646AFC7E"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county prepares cash flow forecast for the fiscal year, which is broken down </w:t>
            </w:r>
            <w:r w:rsidR="0084326F">
              <w:rPr>
                <w:rFonts w:cs="Times New Roman"/>
                <w:color w:val="000000"/>
                <w:sz w:val="20"/>
                <w:szCs w:val="20"/>
              </w:rPr>
              <w:t>by</w:t>
            </w:r>
            <w:r w:rsidR="0084326F" w:rsidRPr="00C23847">
              <w:rPr>
                <w:rFonts w:cs="Times New Roman"/>
                <w:color w:val="000000"/>
                <w:sz w:val="20"/>
                <w:szCs w:val="20"/>
              </w:rPr>
              <w:t xml:space="preserve"> </w:t>
            </w:r>
            <w:r w:rsidRPr="00C23847">
              <w:rPr>
                <w:rFonts w:cs="Times New Roman"/>
                <w:color w:val="000000"/>
                <w:sz w:val="20"/>
                <w:szCs w:val="20"/>
              </w:rPr>
              <w:t>month but is not updated.</w:t>
            </w:r>
          </w:p>
        </w:tc>
      </w:tr>
      <w:tr w:rsidR="00EE1783" w:rsidRPr="00C23847" w14:paraId="14D6379D" w14:textId="77777777" w:rsidTr="00C23847">
        <w:tc>
          <w:tcPr>
            <w:tcW w:w="3969" w:type="dxa"/>
            <w:shd w:val="clear" w:color="auto" w:fill="auto"/>
            <w:vAlign w:val="center"/>
            <w:hideMark/>
          </w:tcPr>
          <w:p w14:paraId="097900B4"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PI-21.3. Information on commitment ceilings</w:t>
            </w:r>
          </w:p>
        </w:tc>
        <w:tc>
          <w:tcPr>
            <w:tcW w:w="960" w:type="dxa"/>
            <w:shd w:val="clear" w:color="auto" w:fill="auto"/>
            <w:vAlign w:val="center"/>
            <w:hideMark/>
          </w:tcPr>
          <w:p w14:paraId="021CBA48"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23231B2C" w14:textId="776558FE"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Budgetary units are provided reliable information on commitment ceilings at least </w:t>
            </w:r>
            <w:r w:rsidR="000B28CB">
              <w:rPr>
                <w:rFonts w:cs="Times New Roman"/>
                <w:color w:val="000000"/>
                <w:sz w:val="20"/>
                <w:szCs w:val="20"/>
              </w:rPr>
              <w:t xml:space="preserve">a </w:t>
            </w:r>
            <w:r w:rsidRPr="00C23847">
              <w:rPr>
                <w:rFonts w:cs="Times New Roman"/>
                <w:color w:val="000000"/>
                <w:sz w:val="20"/>
                <w:szCs w:val="20"/>
              </w:rPr>
              <w:t>quarter in advance.</w:t>
            </w:r>
          </w:p>
        </w:tc>
      </w:tr>
      <w:tr w:rsidR="00EE1783" w:rsidRPr="00C23847" w14:paraId="6873B3B1" w14:textId="77777777" w:rsidTr="00C23847">
        <w:tc>
          <w:tcPr>
            <w:tcW w:w="3969" w:type="dxa"/>
            <w:shd w:val="clear" w:color="auto" w:fill="auto"/>
            <w:vAlign w:val="center"/>
            <w:hideMark/>
          </w:tcPr>
          <w:p w14:paraId="7920373B"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PI-21.4. Significance of in-year budget adjustments</w:t>
            </w:r>
          </w:p>
        </w:tc>
        <w:tc>
          <w:tcPr>
            <w:tcW w:w="960" w:type="dxa"/>
            <w:shd w:val="clear" w:color="auto" w:fill="auto"/>
            <w:vAlign w:val="center"/>
            <w:hideMark/>
          </w:tcPr>
          <w:p w14:paraId="63F3D149"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1BB0CB4B" w14:textId="061405B5" w:rsidR="00EE1783" w:rsidRPr="00C23847" w:rsidRDefault="00EE1783" w:rsidP="00C23847">
            <w:pPr>
              <w:jc w:val="left"/>
              <w:rPr>
                <w:rFonts w:cs="Times New Roman"/>
                <w:color w:val="000000"/>
                <w:sz w:val="20"/>
                <w:szCs w:val="20"/>
              </w:rPr>
            </w:pPr>
            <w:r w:rsidRPr="00C23847">
              <w:rPr>
                <w:rFonts w:cs="Times New Roman"/>
                <w:color w:val="000000"/>
                <w:sz w:val="20"/>
                <w:szCs w:val="20"/>
              </w:rPr>
              <w:t>Significant in-year adjustments to budget allocations take place no more than twice a year and are done in a transparent and predictable way.</w:t>
            </w:r>
          </w:p>
        </w:tc>
      </w:tr>
      <w:tr w:rsidR="00EE1783" w:rsidRPr="00C23847" w14:paraId="7D66CA49" w14:textId="77777777" w:rsidTr="00C23847">
        <w:tc>
          <w:tcPr>
            <w:tcW w:w="3969" w:type="dxa"/>
            <w:shd w:val="clear" w:color="000000" w:fill="E7E6E6"/>
            <w:vAlign w:val="center"/>
            <w:hideMark/>
          </w:tcPr>
          <w:p w14:paraId="39C17706"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PI-22. Expenditure arrears (M1)</w:t>
            </w:r>
          </w:p>
        </w:tc>
        <w:tc>
          <w:tcPr>
            <w:tcW w:w="960" w:type="dxa"/>
            <w:shd w:val="clear" w:color="000000" w:fill="E7E6E6"/>
            <w:vAlign w:val="center"/>
            <w:hideMark/>
          </w:tcPr>
          <w:p w14:paraId="4E000655" w14:textId="3ED8FF84" w:rsidR="00EE1783" w:rsidRPr="00C23847" w:rsidRDefault="00F622FB"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71FFCCF5"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32E63CD2" w14:textId="77777777" w:rsidTr="00C23847">
        <w:tc>
          <w:tcPr>
            <w:tcW w:w="3969" w:type="dxa"/>
            <w:shd w:val="clear" w:color="auto" w:fill="auto"/>
            <w:vAlign w:val="center"/>
            <w:hideMark/>
          </w:tcPr>
          <w:p w14:paraId="6B6B5950"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PI-22.1. Stock of expenditure arrears</w:t>
            </w:r>
          </w:p>
        </w:tc>
        <w:tc>
          <w:tcPr>
            <w:tcW w:w="960" w:type="dxa"/>
            <w:shd w:val="clear" w:color="auto" w:fill="auto"/>
            <w:vAlign w:val="center"/>
            <w:hideMark/>
          </w:tcPr>
          <w:p w14:paraId="104E4994"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26695B74" w14:textId="5252AE7F"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Yearly pending bills are mentioned in </w:t>
            </w:r>
            <w:r w:rsidR="0084326F">
              <w:rPr>
                <w:rFonts w:cs="Times New Roman"/>
                <w:color w:val="000000"/>
                <w:sz w:val="20"/>
                <w:szCs w:val="20"/>
              </w:rPr>
              <w:t xml:space="preserve">the </w:t>
            </w:r>
            <w:r w:rsidRPr="00C23847">
              <w:rPr>
                <w:rFonts w:cs="Times New Roman"/>
                <w:color w:val="000000"/>
                <w:sz w:val="20"/>
                <w:szCs w:val="20"/>
              </w:rPr>
              <w:t>AFS, but the stock of arrears is not established.</w:t>
            </w:r>
          </w:p>
        </w:tc>
      </w:tr>
      <w:tr w:rsidR="00EE1783" w:rsidRPr="00C23847" w14:paraId="56A381E0" w14:textId="77777777" w:rsidTr="00C23847">
        <w:tc>
          <w:tcPr>
            <w:tcW w:w="3969" w:type="dxa"/>
            <w:shd w:val="clear" w:color="auto" w:fill="auto"/>
            <w:vAlign w:val="center"/>
            <w:hideMark/>
          </w:tcPr>
          <w:p w14:paraId="45B8094C"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PI-22.2. Expenditure arrears monitoring</w:t>
            </w:r>
          </w:p>
        </w:tc>
        <w:tc>
          <w:tcPr>
            <w:tcW w:w="960" w:type="dxa"/>
            <w:shd w:val="clear" w:color="auto" w:fill="auto"/>
            <w:vAlign w:val="center"/>
            <w:hideMark/>
          </w:tcPr>
          <w:p w14:paraId="40498D9D"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0CA942E" w14:textId="73B1D00D"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w:t>
            </w:r>
            <w:r w:rsidR="0084326F">
              <w:rPr>
                <w:rFonts w:cs="Times New Roman"/>
                <w:color w:val="000000"/>
                <w:sz w:val="20"/>
                <w:szCs w:val="20"/>
              </w:rPr>
              <w:t>c</w:t>
            </w:r>
            <w:r w:rsidRPr="00C23847">
              <w:rPr>
                <w:rFonts w:cs="Times New Roman"/>
                <w:color w:val="000000"/>
                <w:sz w:val="20"/>
                <w:szCs w:val="20"/>
              </w:rPr>
              <w:t xml:space="preserve">ounty </w:t>
            </w:r>
            <w:r w:rsidR="0084326F">
              <w:rPr>
                <w:rFonts w:cs="Times New Roman"/>
                <w:color w:val="000000"/>
                <w:sz w:val="20"/>
                <w:szCs w:val="20"/>
              </w:rPr>
              <w:t>g</w:t>
            </w:r>
            <w:r w:rsidRPr="00C23847">
              <w:rPr>
                <w:rFonts w:cs="Times New Roman"/>
                <w:color w:val="000000"/>
                <w:sz w:val="20"/>
                <w:szCs w:val="20"/>
              </w:rPr>
              <w:t xml:space="preserve">overnment does not maintain a register of individual creditors or ledgers. In addition, the </w:t>
            </w:r>
            <w:r w:rsidR="0084326F">
              <w:rPr>
                <w:rFonts w:cs="Times New Roman"/>
                <w:color w:val="000000"/>
                <w:sz w:val="20"/>
                <w:szCs w:val="20"/>
              </w:rPr>
              <w:t>c</w:t>
            </w:r>
            <w:r w:rsidRPr="00C23847">
              <w:rPr>
                <w:rFonts w:cs="Times New Roman"/>
                <w:color w:val="000000"/>
                <w:sz w:val="20"/>
                <w:szCs w:val="20"/>
              </w:rPr>
              <w:t xml:space="preserve">ounty </w:t>
            </w:r>
            <w:r w:rsidR="0084326F">
              <w:rPr>
                <w:rFonts w:cs="Times New Roman"/>
                <w:color w:val="000000"/>
                <w:sz w:val="20"/>
                <w:szCs w:val="20"/>
              </w:rPr>
              <w:t>g</w:t>
            </w:r>
            <w:r w:rsidRPr="00C23847">
              <w:rPr>
                <w:rFonts w:cs="Times New Roman"/>
                <w:color w:val="000000"/>
                <w:sz w:val="20"/>
                <w:szCs w:val="20"/>
              </w:rPr>
              <w:t>overnment did not have an analysis of the pending bills or any other records indicating the existence of the pending bills.</w:t>
            </w:r>
          </w:p>
        </w:tc>
      </w:tr>
      <w:tr w:rsidR="00EE1783" w:rsidRPr="00C23847" w14:paraId="39D10C7E" w14:textId="77777777" w:rsidTr="00C23847">
        <w:tc>
          <w:tcPr>
            <w:tcW w:w="3969" w:type="dxa"/>
            <w:shd w:val="clear" w:color="000000" w:fill="E7E6E6"/>
            <w:vAlign w:val="center"/>
            <w:hideMark/>
          </w:tcPr>
          <w:p w14:paraId="59BA4E0F"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PI-23. Payroll controls (M1)</w:t>
            </w:r>
          </w:p>
        </w:tc>
        <w:tc>
          <w:tcPr>
            <w:tcW w:w="960" w:type="dxa"/>
            <w:shd w:val="clear" w:color="000000" w:fill="E7E6E6"/>
            <w:vAlign w:val="center"/>
            <w:hideMark/>
          </w:tcPr>
          <w:p w14:paraId="5B516D90" w14:textId="59117B8D" w:rsidR="00EE1783" w:rsidRPr="00C23847" w:rsidRDefault="00EE1783" w:rsidP="00C23847">
            <w:pPr>
              <w:jc w:val="center"/>
              <w:rPr>
                <w:rFonts w:cs="Times New Roman"/>
                <w:b/>
                <w:bCs/>
                <w:color w:val="000000"/>
                <w:sz w:val="20"/>
                <w:szCs w:val="20"/>
                <w:lang w:val="fr-FR"/>
              </w:rPr>
            </w:pPr>
            <w:r w:rsidRPr="00C23847">
              <w:rPr>
                <w:rFonts w:cs="Times New Roman"/>
                <w:b/>
                <w:bCs/>
                <w:color w:val="000000"/>
                <w:sz w:val="20"/>
                <w:szCs w:val="20"/>
                <w:lang w:val="fr-FR"/>
              </w:rPr>
              <w:t>D</w:t>
            </w:r>
            <w:r w:rsidR="00F622FB" w:rsidRPr="00C23847">
              <w:rPr>
                <w:rFonts w:cs="Times New Roman"/>
                <w:b/>
                <w:bCs/>
                <w:color w:val="000000"/>
                <w:sz w:val="20"/>
                <w:szCs w:val="20"/>
                <w:lang w:val="fr-FR"/>
              </w:rPr>
              <w:t>+</w:t>
            </w:r>
          </w:p>
        </w:tc>
        <w:tc>
          <w:tcPr>
            <w:tcW w:w="7310" w:type="dxa"/>
            <w:shd w:val="clear" w:color="000000" w:fill="E7E6E6"/>
            <w:vAlign w:val="center"/>
            <w:hideMark/>
          </w:tcPr>
          <w:p w14:paraId="5DE51E87"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7BC7C2EB" w14:textId="77777777" w:rsidTr="00C23847">
        <w:tc>
          <w:tcPr>
            <w:tcW w:w="3969" w:type="dxa"/>
            <w:shd w:val="clear" w:color="auto" w:fill="auto"/>
            <w:vAlign w:val="center"/>
            <w:hideMark/>
          </w:tcPr>
          <w:p w14:paraId="23D90362"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PI-23.1. Integration of payroll and personnel records</w:t>
            </w:r>
          </w:p>
        </w:tc>
        <w:tc>
          <w:tcPr>
            <w:tcW w:w="960" w:type="dxa"/>
            <w:shd w:val="clear" w:color="auto" w:fill="auto"/>
            <w:vAlign w:val="center"/>
            <w:hideMark/>
          </w:tcPr>
          <w:p w14:paraId="576396A0"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229651AB" w14:textId="0787692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Reconciliation of the payroll with personnel records takes place only annually. Staff hiring and promotion is checked against the approved budget </w:t>
            </w:r>
            <w:r w:rsidR="0084326F">
              <w:rPr>
                <w:rFonts w:cs="Times New Roman"/>
                <w:color w:val="000000"/>
                <w:sz w:val="20"/>
                <w:szCs w:val="20"/>
              </w:rPr>
              <w:t>before</w:t>
            </w:r>
            <w:r w:rsidRPr="00C23847">
              <w:rPr>
                <w:rFonts w:cs="Times New Roman"/>
                <w:color w:val="000000"/>
                <w:sz w:val="20"/>
                <w:szCs w:val="20"/>
              </w:rPr>
              <w:t xml:space="preserve"> authorization.</w:t>
            </w:r>
          </w:p>
        </w:tc>
      </w:tr>
      <w:tr w:rsidR="00EE1783" w:rsidRPr="00C23847" w14:paraId="004698F1" w14:textId="77777777" w:rsidTr="00C23847">
        <w:tc>
          <w:tcPr>
            <w:tcW w:w="3969" w:type="dxa"/>
            <w:shd w:val="clear" w:color="auto" w:fill="auto"/>
            <w:vAlign w:val="center"/>
            <w:hideMark/>
          </w:tcPr>
          <w:p w14:paraId="398D9B3F"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PI-23.2. Management of payroll changes</w:t>
            </w:r>
          </w:p>
        </w:tc>
        <w:tc>
          <w:tcPr>
            <w:tcW w:w="960" w:type="dxa"/>
            <w:shd w:val="clear" w:color="auto" w:fill="auto"/>
            <w:vAlign w:val="center"/>
            <w:hideMark/>
          </w:tcPr>
          <w:p w14:paraId="08898CB1"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1FE71CBF" w14:textId="70D9BC54"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Required changes to the personnel records and payroll are updated at least monthly, generally in time for the following month’s payments. Retroactive adjustments are rare. Data shows corrections of </w:t>
            </w:r>
            <w:r w:rsidR="0084326F">
              <w:rPr>
                <w:rFonts w:cs="Times New Roman"/>
                <w:color w:val="000000"/>
                <w:sz w:val="20"/>
                <w:szCs w:val="20"/>
              </w:rPr>
              <w:t>slightly</w:t>
            </w:r>
            <w:r w:rsidR="0084326F" w:rsidRPr="00C23847">
              <w:rPr>
                <w:rFonts w:cs="Times New Roman"/>
                <w:color w:val="000000"/>
                <w:sz w:val="20"/>
                <w:szCs w:val="20"/>
              </w:rPr>
              <w:t xml:space="preserve"> </w:t>
            </w:r>
            <w:r w:rsidRPr="00C23847">
              <w:rPr>
                <w:rFonts w:cs="Times New Roman"/>
                <w:color w:val="000000"/>
                <w:sz w:val="20"/>
                <w:szCs w:val="20"/>
              </w:rPr>
              <w:t>more than 3% of salary payments.</w:t>
            </w:r>
          </w:p>
        </w:tc>
      </w:tr>
      <w:tr w:rsidR="00EE1783" w:rsidRPr="00C23847" w14:paraId="3DD977B4" w14:textId="77777777" w:rsidTr="00C23847">
        <w:tc>
          <w:tcPr>
            <w:tcW w:w="3969" w:type="dxa"/>
            <w:shd w:val="clear" w:color="auto" w:fill="auto"/>
            <w:vAlign w:val="center"/>
            <w:hideMark/>
          </w:tcPr>
          <w:p w14:paraId="2F6608F4"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PI-23.3. Internal control of payroll</w:t>
            </w:r>
          </w:p>
        </w:tc>
        <w:tc>
          <w:tcPr>
            <w:tcW w:w="960" w:type="dxa"/>
            <w:shd w:val="clear" w:color="auto" w:fill="auto"/>
            <w:vAlign w:val="center"/>
            <w:hideMark/>
          </w:tcPr>
          <w:p w14:paraId="78724358"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528E72DD" w14:textId="6C1AE770"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Sufficient controls exist to ensure integrity of 75% of payroll. However, 25% staff </w:t>
            </w:r>
            <w:r w:rsidR="0084326F">
              <w:rPr>
                <w:rFonts w:cs="Times New Roman"/>
                <w:color w:val="000000"/>
                <w:sz w:val="20"/>
                <w:szCs w:val="20"/>
              </w:rPr>
              <w:t>are</w:t>
            </w:r>
            <w:r w:rsidR="0084326F" w:rsidRPr="00C23847">
              <w:rPr>
                <w:rFonts w:cs="Times New Roman"/>
                <w:color w:val="000000"/>
                <w:sz w:val="20"/>
                <w:szCs w:val="20"/>
              </w:rPr>
              <w:t xml:space="preserve"> </w:t>
            </w:r>
            <w:r w:rsidRPr="00C23847">
              <w:rPr>
                <w:rFonts w:cs="Times New Roman"/>
                <w:color w:val="000000"/>
                <w:sz w:val="20"/>
                <w:szCs w:val="20"/>
              </w:rPr>
              <w:t xml:space="preserve">paid through </w:t>
            </w:r>
            <w:r w:rsidR="0084326F">
              <w:rPr>
                <w:rFonts w:cs="Times New Roman"/>
                <w:color w:val="000000"/>
                <w:sz w:val="20"/>
                <w:szCs w:val="20"/>
              </w:rPr>
              <w:t xml:space="preserve">the </w:t>
            </w:r>
            <w:r w:rsidRPr="00C23847">
              <w:rPr>
                <w:rFonts w:cs="Times New Roman"/>
                <w:color w:val="000000"/>
                <w:sz w:val="20"/>
                <w:szCs w:val="20"/>
              </w:rPr>
              <w:t>manual system</w:t>
            </w:r>
            <w:r w:rsidR="0084326F">
              <w:rPr>
                <w:rFonts w:cs="Times New Roman"/>
                <w:color w:val="000000"/>
                <w:sz w:val="20"/>
                <w:szCs w:val="20"/>
              </w:rPr>
              <w:t>;</w:t>
            </w:r>
            <w:r w:rsidRPr="00C23847">
              <w:rPr>
                <w:rFonts w:cs="Times New Roman"/>
                <w:color w:val="000000"/>
                <w:sz w:val="20"/>
                <w:szCs w:val="20"/>
              </w:rPr>
              <w:t xml:space="preserve"> hence</w:t>
            </w:r>
            <w:r w:rsidR="0084326F">
              <w:rPr>
                <w:rFonts w:cs="Times New Roman"/>
                <w:color w:val="000000"/>
                <w:sz w:val="20"/>
                <w:szCs w:val="20"/>
              </w:rPr>
              <w:t>, authority to</w:t>
            </w:r>
            <w:r w:rsidRPr="00C23847">
              <w:rPr>
                <w:rFonts w:cs="Times New Roman"/>
                <w:color w:val="000000"/>
                <w:sz w:val="20"/>
                <w:szCs w:val="20"/>
              </w:rPr>
              <w:t xml:space="preserve"> change records and payroll is not restricted.</w:t>
            </w:r>
          </w:p>
        </w:tc>
      </w:tr>
      <w:tr w:rsidR="00EE1783" w:rsidRPr="00C23847" w14:paraId="5E3A9518" w14:textId="77777777" w:rsidTr="00C23847">
        <w:tc>
          <w:tcPr>
            <w:tcW w:w="3969" w:type="dxa"/>
            <w:shd w:val="clear" w:color="auto" w:fill="auto"/>
            <w:vAlign w:val="center"/>
            <w:hideMark/>
          </w:tcPr>
          <w:p w14:paraId="5AD2120D"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PI-23.4. Payroll audit</w:t>
            </w:r>
          </w:p>
        </w:tc>
        <w:tc>
          <w:tcPr>
            <w:tcW w:w="960" w:type="dxa"/>
            <w:shd w:val="clear" w:color="auto" w:fill="auto"/>
            <w:vAlign w:val="center"/>
            <w:hideMark/>
          </w:tcPr>
          <w:p w14:paraId="480B5882"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764F609E" w14:textId="72F43645"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A payroll audit covering all county government entities has been conducted at least once in the last three completed </w:t>
            </w:r>
            <w:r w:rsidR="0084326F">
              <w:rPr>
                <w:rFonts w:cs="Times New Roman"/>
                <w:color w:val="000000"/>
                <w:sz w:val="20"/>
                <w:szCs w:val="20"/>
              </w:rPr>
              <w:t>FRY</w:t>
            </w:r>
            <w:r w:rsidRPr="00C23847">
              <w:rPr>
                <w:rFonts w:cs="Times New Roman"/>
                <w:color w:val="000000"/>
                <w:sz w:val="20"/>
                <w:szCs w:val="20"/>
              </w:rPr>
              <w:t xml:space="preserve">s, but no evidence was provided. </w:t>
            </w:r>
          </w:p>
        </w:tc>
      </w:tr>
      <w:tr w:rsidR="00EE1783" w:rsidRPr="00C23847" w14:paraId="277B5087" w14:textId="77777777" w:rsidTr="00C23847">
        <w:tc>
          <w:tcPr>
            <w:tcW w:w="3969" w:type="dxa"/>
            <w:shd w:val="clear" w:color="000000" w:fill="E7E6E6"/>
            <w:vAlign w:val="center"/>
            <w:hideMark/>
          </w:tcPr>
          <w:p w14:paraId="087691C3"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PI-24. Procurement (M2)</w:t>
            </w:r>
          </w:p>
        </w:tc>
        <w:tc>
          <w:tcPr>
            <w:tcW w:w="960" w:type="dxa"/>
            <w:shd w:val="clear" w:color="000000" w:fill="E7E6E6"/>
            <w:vAlign w:val="center"/>
            <w:hideMark/>
          </w:tcPr>
          <w:p w14:paraId="47C2A9BA" w14:textId="4F9BF525" w:rsidR="00EE1783" w:rsidRPr="00C23847" w:rsidRDefault="00EA4EAF" w:rsidP="00C23847">
            <w:pPr>
              <w:jc w:val="center"/>
              <w:rPr>
                <w:rFonts w:cs="Times New Roman"/>
                <w:b/>
                <w:bCs/>
                <w:color w:val="000000"/>
                <w:sz w:val="20"/>
                <w:szCs w:val="20"/>
                <w:lang w:val="fr-FR"/>
              </w:rPr>
            </w:pPr>
            <w:r w:rsidRPr="00C23847">
              <w:rPr>
                <w:rFonts w:cs="Times New Roman"/>
                <w:b/>
                <w:bCs/>
                <w:color w:val="000000"/>
                <w:sz w:val="20"/>
                <w:szCs w:val="20"/>
                <w:lang w:val="fr-FR"/>
              </w:rPr>
              <w:t>C</w:t>
            </w:r>
          </w:p>
        </w:tc>
        <w:tc>
          <w:tcPr>
            <w:tcW w:w="7310" w:type="dxa"/>
            <w:shd w:val="clear" w:color="000000" w:fill="E7E6E6"/>
            <w:vAlign w:val="center"/>
            <w:hideMark/>
          </w:tcPr>
          <w:p w14:paraId="11F60DC7"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483B32FB" w14:textId="77777777" w:rsidTr="00C23847">
        <w:tc>
          <w:tcPr>
            <w:tcW w:w="3969" w:type="dxa"/>
            <w:shd w:val="clear" w:color="auto" w:fill="auto"/>
            <w:vAlign w:val="center"/>
            <w:hideMark/>
          </w:tcPr>
          <w:p w14:paraId="40CD1E97"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PI-24.1. Procurement monitoring</w:t>
            </w:r>
          </w:p>
        </w:tc>
        <w:tc>
          <w:tcPr>
            <w:tcW w:w="960" w:type="dxa"/>
            <w:shd w:val="clear" w:color="auto" w:fill="auto"/>
            <w:vAlign w:val="center"/>
            <w:hideMark/>
          </w:tcPr>
          <w:p w14:paraId="181B4EA4" w14:textId="25CF36A2"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AA49D80" w14:textId="3CF3799C" w:rsidR="00EE1783" w:rsidRPr="00C23847" w:rsidRDefault="00EE1783" w:rsidP="00C23847">
            <w:pPr>
              <w:jc w:val="left"/>
              <w:rPr>
                <w:rFonts w:cs="Times New Roman"/>
                <w:color w:val="000000"/>
                <w:sz w:val="20"/>
                <w:szCs w:val="20"/>
              </w:rPr>
            </w:pPr>
            <w:r w:rsidRPr="00C23847">
              <w:rPr>
                <w:rFonts w:cs="Times New Roman"/>
                <w:color w:val="000000"/>
                <w:sz w:val="20"/>
                <w:szCs w:val="20"/>
              </w:rPr>
              <w:t>Database or records are maintained for contracts</w:t>
            </w:r>
            <w:r w:rsidR="0084326F">
              <w:rPr>
                <w:rFonts w:cs="Times New Roman"/>
                <w:color w:val="000000"/>
                <w:sz w:val="20"/>
                <w:szCs w:val="20"/>
              </w:rPr>
              <w:t>,</w:t>
            </w:r>
            <w:r w:rsidRPr="00C23847">
              <w:rPr>
                <w:rFonts w:cs="Times New Roman"/>
                <w:color w:val="000000"/>
                <w:sz w:val="20"/>
                <w:szCs w:val="20"/>
              </w:rPr>
              <w:t xml:space="preserve"> including data on what has been procured, value of procurement</w:t>
            </w:r>
            <w:r w:rsidR="0084326F">
              <w:rPr>
                <w:rFonts w:cs="Times New Roman"/>
                <w:color w:val="000000"/>
                <w:sz w:val="20"/>
                <w:szCs w:val="20"/>
              </w:rPr>
              <w:t>,</w:t>
            </w:r>
            <w:r w:rsidRPr="00C23847">
              <w:rPr>
                <w:rFonts w:cs="Times New Roman"/>
                <w:color w:val="000000"/>
                <w:sz w:val="20"/>
                <w:szCs w:val="20"/>
              </w:rPr>
              <w:t xml:space="preserve"> and who has been awarded contracts. However, the database is not connected to </w:t>
            </w:r>
            <w:r w:rsidR="0084326F">
              <w:rPr>
                <w:rFonts w:cs="Times New Roman"/>
                <w:color w:val="000000"/>
                <w:sz w:val="20"/>
                <w:szCs w:val="20"/>
              </w:rPr>
              <w:t xml:space="preserve">the </w:t>
            </w:r>
            <w:r w:rsidRPr="00C23847">
              <w:rPr>
                <w:rFonts w:cs="Times New Roman"/>
                <w:color w:val="000000"/>
                <w:sz w:val="20"/>
                <w:szCs w:val="20"/>
              </w:rPr>
              <w:t>IFMIS</w:t>
            </w:r>
            <w:r w:rsidR="0084326F">
              <w:rPr>
                <w:rFonts w:cs="Times New Roman"/>
                <w:color w:val="000000"/>
                <w:sz w:val="20"/>
                <w:szCs w:val="20"/>
              </w:rPr>
              <w:t>;</w:t>
            </w:r>
            <w:r w:rsidRPr="00C23847">
              <w:rPr>
                <w:rFonts w:cs="Times New Roman"/>
                <w:color w:val="000000"/>
                <w:sz w:val="20"/>
                <w:szCs w:val="20"/>
              </w:rPr>
              <w:t xml:space="preserve"> hence</w:t>
            </w:r>
            <w:r w:rsidR="0084326F">
              <w:rPr>
                <w:rFonts w:cs="Times New Roman"/>
                <w:color w:val="000000"/>
                <w:sz w:val="20"/>
                <w:szCs w:val="20"/>
              </w:rPr>
              <w:t>,</w:t>
            </w:r>
            <w:r w:rsidRPr="00C23847">
              <w:rPr>
                <w:rFonts w:cs="Times New Roman"/>
                <w:color w:val="000000"/>
                <w:sz w:val="20"/>
                <w:szCs w:val="20"/>
              </w:rPr>
              <w:t xml:space="preserve"> the accuracy </w:t>
            </w:r>
            <w:r w:rsidR="0084326F">
              <w:rPr>
                <w:rFonts w:cs="Times New Roman"/>
                <w:color w:val="000000"/>
                <w:sz w:val="20"/>
                <w:szCs w:val="20"/>
              </w:rPr>
              <w:t>of</w:t>
            </w:r>
            <w:r w:rsidR="0084326F" w:rsidRPr="00C23847">
              <w:rPr>
                <w:rFonts w:cs="Times New Roman"/>
                <w:color w:val="000000"/>
                <w:sz w:val="20"/>
                <w:szCs w:val="20"/>
              </w:rPr>
              <w:t xml:space="preserve"> </w:t>
            </w:r>
            <w:r w:rsidRPr="00C23847">
              <w:rPr>
                <w:rFonts w:cs="Times New Roman"/>
                <w:color w:val="000000"/>
                <w:sz w:val="20"/>
                <w:szCs w:val="20"/>
              </w:rPr>
              <w:t>procurement methods for goods, services</w:t>
            </w:r>
            <w:r w:rsidR="0084326F">
              <w:rPr>
                <w:rFonts w:cs="Times New Roman"/>
                <w:color w:val="000000"/>
                <w:sz w:val="20"/>
                <w:szCs w:val="20"/>
              </w:rPr>
              <w:t>,</w:t>
            </w:r>
            <w:r w:rsidRPr="00C23847">
              <w:rPr>
                <w:rFonts w:cs="Times New Roman"/>
                <w:color w:val="000000"/>
                <w:sz w:val="20"/>
                <w:szCs w:val="20"/>
              </w:rPr>
              <w:t xml:space="preserve"> and works could not be verified.</w:t>
            </w:r>
          </w:p>
        </w:tc>
      </w:tr>
      <w:tr w:rsidR="00EE1783" w:rsidRPr="00C23847" w14:paraId="7B013467" w14:textId="77777777" w:rsidTr="00C23847">
        <w:tc>
          <w:tcPr>
            <w:tcW w:w="3969" w:type="dxa"/>
            <w:shd w:val="clear" w:color="auto" w:fill="auto"/>
            <w:vAlign w:val="center"/>
            <w:hideMark/>
          </w:tcPr>
          <w:p w14:paraId="221FAE36"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PI-24.2. Procurement methods</w:t>
            </w:r>
          </w:p>
        </w:tc>
        <w:tc>
          <w:tcPr>
            <w:tcW w:w="960" w:type="dxa"/>
            <w:shd w:val="clear" w:color="auto" w:fill="auto"/>
            <w:vAlign w:val="center"/>
            <w:hideMark/>
          </w:tcPr>
          <w:p w14:paraId="346B1E17" w14:textId="196FA9DD"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0C6E3558" w14:textId="638D2F22"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total value of contracts awarded through competitive methods in the last completed </w:t>
            </w:r>
            <w:r w:rsidR="0084326F">
              <w:rPr>
                <w:rFonts w:cs="Times New Roman"/>
                <w:color w:val="000000"/>
                <w:sz w:val="20"/>
                <w:szCs w:val="20"/>
              </w:rPr>
              <w:t>FY</w:t>
            </w:r>
            <w:r w:rsidRPr="00C23847">
              <w:rPr>
                <w:rFonts w:cs="Times New Roman"/>
                <w:color w:val="000000"/>
                <w:sz w:val="20"/>
                <w:szCs w:val="20"/>
              </w:rPr>
              <w:t xml:space="preserve"> represents less than 60% of </w:t>
            </w:r>
            <w:r w:rsidR="0084326F">
              <w:rPr>
                <w:rFonts w:cs="Times New Roman"/>
                <w:color w:val="000000"/>
                <w:sz w:val="20"/>
                <w:szCs w:val="20"/>
              </w:rPr>
              <w:t xml:space="preserve">the </w:t>
            </w:r>
            <w:r w:rsidRPr="00C23847">
              <w:rPr>
                <w:rFonts w:cs="Times New Roman"/>
                <w:color w:val="000000"/>
                <w:sz w:val="20"/>
                <w:szCs w:val="20"/>
              </w:rPr>
              <w:t>total value of contracts.</w:t>
            </w:r>
          </w:p>
        </w:tc>
      </w:tr>
      <w:tr w:rsidR="00EE1783" w:rsidRPr="00C23847" w14:paraId="6B496933" w14:textId="77777777" w:rsidTr="00C23847">
        <w:tc>
          <w:tcPr>
            <w:tcW w:w="3969" w:type="dxa"/>
            <w:shd w:val="clear" w:color="auto" w:fill="auto"/>
            <w:vAlign w:val="center"/>
            <w:hideMark/>
          </w:tcPr>
          <w:p w14:paraId="78443F89"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PI-24.3. Public access to procurement information</w:t>
            </w:r>
          </w:p>
        </w:tc>
        <w:tc>
          <w:tcPr>
            <w:tcW w:w="960" w:type="dxa"/>
            <w:shd w:val="clear" w:color="auto" w:fill="auto"/>
            <w:vAlign w:val="center"/>
            <w:hideMark/>
          </w:tcPr>
          <w:p w14:paraId="6D466F2A"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42239CF6"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At least three of the key procurement information elements are complete and are made available to the public.</w:t>
            </w:r>
          </w:p>
        </w:tc>
      </w:tr>
      <w:tr w:rsidR="00EE1783" w:rsidRPr="00C23847" w14:paraId="261BA124" w14:textId="77777777" w:rsidTr="00C23847">
        <w:tc>
          <w:tcPr>
            <w:tcW w:w="3969" w:type="dxa"/>
            <w:shd w:val="clear" w:color="auto" w:fill="auto"/>
            <w:vAlign w:val="center"/>
            <w:hideMark/>
          </w:tcPr>
          <w:p w14:paraId="7A55AF94"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PI-24.4. Procurement complaints management</w:t>
            </w:r>
          </w:p>
        </w:tc>
        <w:tc>
          <w:tcPr>
            <w:tcW w:w="960" w:type="dxa"/>
            <w:shd w:val="clear" w:color="auto" w:fill="auto"/>
            <w:vAlign w:val="center"/>
            <w:hideMark/>
          </w:tcPr>
          <w:p w14:paraId="443DA9E4"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0CAB63AD" w14:textId="161F8047" w:rsidR="00EE1783" w:rsidRPr="00C23847" w:rsidRDefault="00EE1783" w:rsidP="00C23847">
            <w:pPr>
              <w:jc w:val="left"/>
              <w:rPr>
                <w:rFonts w:cs="Times New Roman"/>
                <w:color w:val="000000"/>
                <w:sz w:val="20"/>
                <w:szCs w:val="20"/>
              </w:rPr>
            </w:pPr>
            <w:r w:rsidRPr="00C23847">
              <w:rPr>
                <w:rFonts w:cs="Times New Roman"/>
                <w:color w:val="000000"/>
                <w:sz w:val="20"/>
                <w:szCs w:val="20"/>
              </w:rPr>
              <w:t>The procurement complaint system meets all the criteria.</w:t>
            </w:r>
          </w:p>
        </w:tc>
      </w:tr>
      <w:tr w:rsidR="00EE1783" w:rsidRPr="00C23847" w14:paraId="16EB73CD" w14:textId="77777777" w:rsidTr="00C23847">
        <w:tc>
          <w:tcPr>
            <w:tcW w:w="3969" w:type="dxa"/>
            <w:shd w:val="clear" w:color="000000" w:fill="E7E6E6"/>
            <w:vAlign w:val="center"/>
            <w:hideMark/>
          </w:tcPr>
          <w:p w14:paraId="0D01ABE3" w14:textId="1162F654"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PI-25. Internal controls on non-salary expenditure</w:t>
            </w:r>
            <w:r w:rsidR="00350561" w:rsidRPr="00C23847">
              <w:rPr>
                <w:rFonts w:cs="Times New Roman"/>
                <w:b/>
                <w:bCs/>
                <w:color w:val="000000"/>
                <w:sz w:val="20"/>
                <w:szCs w:val="20"/>
                <w:lang w:val="fr-FR"/>
              </w:rPr>
              <w:t xml:space="preserve"> </w:t>
            </w:r>
            <w:r w:rsidRPr="00C23847">
              <w:rPr>
                <w:rFonts w:cs="Times New Roman"/>
                <w:b/>
                <w:bCs/>
                <w:color w:val="000000"/>
                <w:sz w:val="20"/>
                <w:szCs w:val="20"/>
                <w:lang w:val="fr-FR"/>
              </w:rPr>
              <w:t>(M2)</w:t>
            </w:r>
          </w:p>
        </w:tc>
        <w:tc>
          <w:tcPr>
            <w:tcW w:w="960" w:type="dxa"/>
            <w:shd w:val="clear" w:color="000000" w:fill="E7E6E6"/>
            <w:vAlign w:val="center"/>
            <w:hideMark/>
          </w:tcPr>
          <w:p w14:paraId="142BD3B9" w14:textId="6BD441EC" w:rsidR="00EE1783" w:rsidRPr="00C23847" w:rsidRDefault="00F622FB" w:rsidP="00C23847">
            <w:pPr>
              <w:jc w:val="center"/>
              <w:rPr>
                <w:rFonts w:cs="Times New Roman"/>
                <w:b/>
                <w:bCs/>
                <w:color w:val="000000"/>
                <w:sz w:val="20"/>
                <w:szCs w:val="20"/>
                <w:lang w:val="fr-FR"/>
              </w:rPr>
            </w:pPr>
            <w:r w:rsidRPr="00C23847">
              <w:rPr>
                <w:rFonts w:cs="Times New Roman"/>
                <w:b/>
                <w:bCs/>
                <w:color w:val="000000"/>
                <w:sz w:val="20"/>
                <w:szCs w:val="20"/>
                <w:lang w:val="fr-FR"/>
              </w:rPr>
              <w:t>C</w:t>
            </w:r>
          </w:p>
        </w:tc>
        <w:tc>
          <w:tcPr>
            <w:tcW w:w="7310" w:type="dxa"/>
            <w:shd w:val="clear" w:color="000000" w:fill="E7E6E6"/>
            <w:vAlign w:val="center"/>
            <w:hideMark/>
          </w:tcPr>
          <w:p w14:paraId="706612C8"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54102F8B" w14:textId="77777777" w:rsidTr="00C23847">
        <w:tc>
          <w:tcPr>
            <w:tcW w:w="3969" w:type="dxa"/>
            <w:shd w:val="clear" w:color="auto" w:fill="auto"/>
            <w:vAlign w:val="center"/>
            <w:hideMark/>
          </w:tcPr>
          <w:p w14:paraId="61C63DBD"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PI-25.1. Segregation of duties</w:t>
            </w:r>
          </w:p>
        </w:tc>
        <w:tc>
          <w:tcPr>
            <w:tcW w:w="960" w:type="dxa"/>
            <w:shd w:val="clear" w:color="auto" w:fill="auto"/>
            <w:vAlign w:val="center"/>
            <w:hideMark/>
          </w:tcPr>
          <w:p w14:paraId="0D3B5354"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37F884EC"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Segregation of duties is prescribed throughout the expenditure process. Responsibilities are clearly laid down for most key steps while further details may be needed in a few areas.</w:t>
            </w:r>
          </w:p>
        </w:tc>
      </w:tr>
      <w:tr w:rsidR="00EE1783" w:rsidRPr="00C23847" w14:paraId="263C9D58" w14:textId="77777777" w:rsidTr="00C23847">
        <w:tc>
          <w:tcPr>
            <w:tcW w:w="3969" w:type="dxa"/>
            <w:shd w:val="clear" w:color="auto" w:fill="auto"/>
            <w:vAlign w:val="center"/>
            <w:hideMark/>
          </w:tcPr>
          <w:p w14:paraId="0BFCD139"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PI-25.2. Effectiveness of expenditure commitment controls</w:t>
            </w:r>
          </w:p>
        </w:tc>
        <w:tc>
          <w:tcPr>
            <w:tcW w:w="960" w:type="dxa"/>
            <w:shd w:val="clear" w:color="auto" w:fill="auto"/>
            <w:vAlign w:val="center"/>
            <w:hideMark/>
          </w:tcPr>
          <w:p w14:paraId="7CF3367E"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197E8838" w14:textId="1676E0B9" w:rsidR="00EE1783" w:rsidRPr="00C23847" w:rsidRDefault="00EE1783" w:rsidP="00C23847">
            <w:pPr>
              <w:jc w:val="left"/>
              <w:rPr>
                <w:rFonts w:cs="Times New Roman"/>
                <w:color w:val="000000"/>
                <w:sz w:val="20"/>
                <w:szCs w:val="20"/>
              </w:rPr>
            </w:pPr>
            <w:r w:rsidRPr="00C23847">
              <w:rPr>
                <w:rFonts w:cs="Times New Roman"/>
                <w:color w:val="000000"/>
                <w:sz w:val="20"/>
                <w:szCs w:val="20"/>
              </w:rPr>
              <w:t>Expenditure commitment control procedures exist</w:t>
            </w:r>
            <w:r w:rsidR="00AC650E">
              <w:rPr>
                <w:rFonts w:cs="Times New Roman"/>
                <w:color w:val="000000"/>
                <w:sz w:val="20"/>
                <w:szCs w:val="20"/>
              </w:rPr>
              <w:t>,</w:t>
            </w:r>
            <w:r w:rsidRPr="00C23847">
              <w:rPr>
                <w:rFonts w:cs="Times New Roman"/>
                <w:color w:val="000000"/>
                <w:sz w:val="20"/>
                <w:szCs w:val="20"/>
              </w:rPr>
              <w:t xml:space="preserve"> which provide partial coverage and are partially effective. </w:t>
            </w:r>
          </w:p>
        </w:tc>
      </w:tr>
      <w:tr w:rsidR="00EE1783" w:rsidRPr="00C23847" w14:paraId="75F47E65" w14:textId="77777777" w:rsidTr="00C23847">
        <w:tc>
          <w:tcPr>
            <w:tcW w:w="3969" w:type="dxa"/>
            <w:shd w:val="clear" w:color="auto" w:fill="auto"/>
            <w:vAlign w:val="center"/>
            <w:hideMark/>
          </w:tcPr>
          <w:p w14:paraId="7E6CFA01" w14:textId="72CEE0DC" w:rsidR="00EE1783" w:rsidRPr="00C23847" w:rsidRDefault="00EE1783" w:rsidP="00C23847">
            <w:pPr>
              <w:jc w:val="left"/>
              <w:rPr>
                <w:rFonts w:cs="Times New Roman"/>
                <w:color w:val="000000"/>
                <w:sz w:val="20"/>
                <w:szCs w:val="20"/>
              </w:rPr>
            </w:pPr>
            <w:r w:rsidRPr="00C23847">
              <w:rPr>
                <w:rFonts w:cs="Times New Roman"/>
                <w:color w:val="000000"/>
                <w:sz w:val="20"/>
                <w:szCs w:val="20"/>
              </w:rPr>
              <w:t>PI-25.3. Compliance with payment rules and procedures</w:t>
            </w:r>
            <w:r w:rsidR="00350561" w:rsidRPr="00C23847">
              <w:rPr>
                <w:rFonts w:cs="Times New Roman"/>
                <w:color w:val="000000"/>
                <w:sz w:val="20"/>
                <w:szCs w:val="20"/>
              </w:rPr>
              <w:t xml:space="preserve"> </w:t>
            </w:r>
          </w:p>
        </w:tc>
        <w:tc>
          <w:tcPr>
            <w:tcW w:w="960" w:type="dxa"/>
            <w:shd w:val="clear" w:color="auto" w:fill="auto"/>
            <w:vAlign w:val="center"/>
            <w:hideMark/>
          </w:tcPr>
          <w:p w14:paraId="35BFEBAE"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1EC13AAB" w14:textId="59FFD6C0"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All payments should be made according </w:t>
            </w:r>
            <w:r w:rsidR="00AC650E">
              <w:rPr>
                <w:rFonts w:cs="Times New Roman"/>
                <w:color w:val="000000"/>
                <w:sz w:val="20"/>
                <w:szCs w:val="20"/>
              </w:rPr>
              <w:t xml:space="preserve">to </w:t>
            </w:r>
            <w:r w:rsidRPr="00C23847">
              <w:rPr>
                <w:rFonts w:cs="Times New Roman"/>
                <w:color w:val="000000"/>
                <w:sz w:val="20"/>
                <w:szCs w:val="20"/>
              </w:rPr>
              <w:t xml:space="preserve">regular procedures through </w:t>
            </w:r>
            <w:r w:rsidR="00AC650E">
              <w:rPr>
                <w:rFonts w:cs="Times New Roman"/>
                <w:color w:val="000000"/>
                <w:sz w:val="20"/>
                <w:szCs w:val="20"/>
              </w:rPr>
              <w:t xml:space="preserve">the </w:t>
            </w:r>
            <w:r w:rsidRPr="00C23847">
              <w:rPr>
                <w:rFonts w:cs="Times New Roman"/>
                <w:color w:val="000000"/>
                <w:sz w:val="20"/>
                <w:szCs w:val="20"/>
              </w:rPr>
              <w:t>IFMIS, but the data enabling scor</w:t>
            </w:r>
            <w:r w:rsidR="006316A8">
              <w:rPr>
                <w:rFonts w:cs="Times New Roman"/>
                <w:color w:val="000000"/>
                <w:sz w:val="20"/>
                <w:szCs w:val="20"/>
              </w:rPr>
              <w:t>ing</w:t>
            </w:r>
            <w:r w:rsidRPr="00C23847">
              <w:rPr>
                <w:rFonts w:cs="Times New Roman"/>
                <w:color w:val="000000"/>
                <w:sz w:val="20"/>
                <w:szCs w:val="20"/>
              </w:rPr>
              <w:t xml:space="preserve"> </w:t>
            </w:r>
            <w:r w:rsidR="006316A8">
              <w:rPr>
                <w:rFonts w:cs="Times New Roman"/>
                <w:color w:val="000000"/>
                <w:sz w:val="20"/>
                <w:szCs w:val="20"/>
              </w:rPr>
              <w:t xml:space="preserve">of </w:t>
            </w:r>
            <w:r w:rsidRPr="00C23847">
              <w:rPr>
                <w:rFonts w:cs="Times New Roman"/>
                <w:color w:val="000000"/>
                <w:sz w:val="20"/>
                <w:szCs w:val="20"/>
              </w:rPr>
              <w:t xml:space="preserve">the component was not provided. </w:t>
            </w:r>
          </w:p>
        </w:tc>
      </w:tr>
      <w:tr w:rsidR="00EE1783" w:rsidRPr="00C23847" w14:paraId="1998B0A4" w14:textId="77777777" w:rsidTr="00C23847">
        <w:tc>
          <w:tcPr>
            <w:tcW w:w="3969" w:type="dxa"/>
            <w:shd w:val="clear" w:color="000000" w:fill="E7E6E6"/>
            <w:vAlign w:val="center"/>
            <w:hideMark/>
          </w:tcPr>
          <w:p w14:paraId="3FA1E573"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PI-26. Internal audit (M1)</w:t>
            </w:r>
          </w:p>
        </w:tc>
        <w:tc>
          <w:tcPr>
            <w:tcW w:w="960" w:type="dxa"/>
            <w:shd w:val="clear" w:color="000000" w:fill="E7E6E6"/>
            <w:vAlign w:val="center"/>
            <w:hideMark/>
          </w:tcPr>
          <w:p w14:paraId="40EC30E3" w14:textId="2B7111DD" w:rsidR="00EE1783" w:rsidRPr="00C23847" w:rsidRDefault="000E5801" w:rsidP="00C23847">
            <w:pPr>
              <w:jc w:val="center"/>
              <w:rPr>
                <w:rFonts w:cs="Times New Roman"/>
                <w:b/>
                <w:bCs/>
                <w:color w:val="000000"/>
                <w:sz w:val="20"/>
                <w:szCs w:val="20"/>
                <w:lang w:val="fr-FR"/>
              </w:rPr>
            </w:pPr>
            <w:r w:rsidRPr="00C23847">
              <w:rPr>
                <w:rFonts w:cs="Times New Roman"/>
                <w:b/>
                <w:bCs/>
                <w:color w:val="000000"/>
                <w:sz w:val="20"/>
                <w:szCs w:val="20"/>
                <w:lang w:val="fr-FR"/>
              </w:rPr>
              <w:t>C</w:t>
            </w:r>
            <w:r w:rsidR="00EA4EAF" w:rsidRPr="00C23847">
              <w:rPr>
                <w:rFonts w:cs="Times New Roman"/>
                <w:b/>
                <w:bCs/>
                <w:color w:val="000000"/>
                <w:sz w:val="20"/>
                <w:szCs w:val="20"/>
                <w:lang w:val="fr-FR"/>
              </w:rPr>
              <w:t>+</w:t>
            </w:r>
          </w:p>
        </w:tc>
        <w:tc>
          <w:tcPr>
            <w:tcW w:w="7310" w:type="dxa"/>
            <w:shd w:val="clear" w:color="000000" w:fill="E7E6E6"/>
            <w:vAlign w:val="center"/>
            <w:hideMark/>
          </w:tcPr>
          <w:p w14:paraId="401C5293"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26DAA0E2" w14:textId="77777777" w:rsidTr="00C23847">
        <w:tc>
          <w:tcPr>
            <w:tcW w:w="3969" w:type="dxa"/>
            <w:shd w:val="clear" w:color="auto" w:fill="auto"/>
            <w:vAlign w:val="center"/>
            <w:hideMark/>
          </w:tcPr>
          <w:p w14:paraId="11BD31E3"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PI-26.1. Coverage of internal audit</w:t>
            </w:r>
          </w:p>
        </w:tc>
        <w:tc>
          <w:tcPr>
            <w:tcW w:w="960" w:type="dxa"/>
            <w:shd w:val="clear" w:color="auto" w:fill="auto"/>
            <w:vAlign w:val="center"/>
            <w:hideMark/>
          </w:tcPr>
          <w:p w14:paraId="222F8EAF" w14:textId="5A46BBD1" w:rsidR="00EE1783" w:rsidRPr="00C23847" w:rsidRDefault="000E5801"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1581926A" w14:textId="2BC70954" w:rsidR="00EE1783" w:rsidRPr="00C23847" w:rsidRDefault="00EE1783" w:rsidP="00C23847">
            <w:pPr>
              <w:jc w:val="left"/>
              <w:rPr>
                <w:rFonts w:cs="Times New Roman"/>
                <w:color w:val="000000"/>
                <w:sz w:val="20"/>
                <w:szCs w:val="20"/>
              </w:rPr>
            </w:pPr>
            <w:r w:rsidRPr="00C23847">
              <w:rPr>
                <w:rFonts w:cs="Times New Roman"/>
                <w:color w:val="000000"/>
                <w:sz w:val="20"/>
                <w:szCs w:val="20"/>
              </w:rPr>
              <w:t>Internal audit is operational for the County Executive and the County Assembly, which are central government entities collecting all budgeted government revenue and expenditure</w:t>
            </w:r>
            <w:r w:rsidR="00057C3E" w:rsidRPr="00C23847">
              <w:rPr>
                <w:rFonts w:cs="Times New Roman"/>
                <w:color w:val="000000"/>
                <w:sz w:val="20"/>
                <w:szCs w:val="20"/>
              </w:rPr>
              <w:t>.</w:t>
            </w:r>
          </w:p>
        </w:tc>
      </w:tr>
      <w:tr w:rsidR="00EE1783" w:rsidRPr="00C23847" w14:paraId="3C3967DC" w14:textId="77777777" w:rsidTr="00C23847">
        <w:tc>
          <w:tcPr>
            <w:tcW w:w="3969" w:type="dxa"/>
            <w:shd w:val="clear" w:color="auto" w:fill="auto"/>
            <w:vAlign w:val="center"/>
            <w:hideMark/>
          </w:tcPr>
          <w:p w14:paraId="2C5AD6AB"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PI-26.2. Nature of audits and standards applied</w:t>
            </w:r>
          </w:p>
        </w:tc>
        <w:tc>
          <w:tcPr>
            <w:tcW w:w="960" w:type="dxa"/>
            <w:shd w:val="clear" w:color="auto" w:fill="auto"/>
            <w:vAlign w:val="center"/>
            <w:hideMark/>
          </w:tcPr>
          <w:p w14:paraId="33EA2C6C"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39B6FDF5"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Audits were conducted, but no quality assurance process showing that internal audit activities are focused on evaluations of the adequacy and effectiveness of internal controls was disclosed.</w:t>
            </w:r>
          </w:p>
        </w:tc>
      </w:tr>
      <w:tr w:rsidR="00EE1783" w:rsidRPr="00C23847" w14:paraId="1B7CD2F3" w14:textId="77777777" w:rsidTr="00C23847">
        <w:tc>
          <w:tcPr>
            <w:tcW w:w="3969" w:type="dxa"/>
            <w:shd w:val="clear" w:color="auto" w:fill="auto"/>
            <w:vAlign w:val="center"/>
            <w:hideMark/>
          </w:tcPr>
          <w:p w14:paraId="0152442F"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PI-26.3. Implementation of internal audits and reporting</w:t>
            </w:r>
          </w:p>
        </w:tc>
        <w:tc>
          <w:tcPr>
            <w:tcW w:w="960" w:type="dxa"/>
            <w:shd w:val="clear" w:color="auto" w:fill="auto"/>
            <w:vAlign w:val="center"/>
            <w:hideMark/>
          </w:tcPr>
          <w:p w14:paraId="4C0E69B5"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5FFA2C28" w14:textId="46DE5B44" w:rsidR="00EE1783" w:rsidRPr="00C23847" w:rsidRDefault="00EE1783" w:rsidP="00C23847">
            <w:pPr>
              <w:jc w:val="left"/>
              <w:rPr>
                <w:rFonts w:cs="Times New Roman"/>
                <w:color w:val="000000"/>
                <w:sz w:val="20"/>
                <w:szCs w:val="20"/>
              </w:rPr>
            </w:pPr>
            <w:r w:rsidRPr="00C23847">
              <w:rPr>
                <w:rFonts w:cs="Times New Roman"/>
                <w:color w:val="000000"/>
                <w:sz w:val="20"/>
                <w:szCs w:val="20"/>
              </w:rPr>
              <w:t>Annual audit programs are performed annually and most programmed audits have been completed in FY2015/16.</w:t>
            </w:r>
          </w:p>
        </w:tc>
      </w:tr>
      <w:tr w:rsidR="00EE1783" w:rsidRPr="00C23847" w14:paraId="701FED3E" w14:textId="77777777" w:rsidTr="00C23847">
        <w:tc>
          <w:tcPr>
            <w:tcW w:w="3969" w:type="dxa"/>
            <w:shd w:val="clear" w:color="auto" w:fill="auto"/>
            <w:vAlign w:val="center"/>
            <w:hideMark/>
          </w:tcPr>
          <w:p w14:paraId="1EB574A5"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PI-26.4. Response to internal audits</w:t>
            </w:r>
          </w:p>
        </w:tc>
        <w:tc>
          <w:tcPr>
            <w:tcW w:w="960" w:type="dxa"/>
            <w:shd w:val="clear" w:color="auto" w:fill="auto"/>
            <w:vAlign w:val="center"/>
            <w:hideMark/>
          </w:tcPr>
          <w:p w14:paraId="3248928B"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252AA59B" w14:textId="5B601F89"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Management provides a partial response to audit recommendations within </w:t>
            </w:r>
            <w:r w:rsidR="00AC650E">
              <w:rPr>
                <w:rFonts w:cs="Times New Roman"/>
                <w:color w:val="000000"/>
                <w:sz w:val="20"/>
                <w:szCs w:val="20"/>
              </w:rPr>
              <w:t>12</w:t>
            </w:r>
            <w:r w:rsidR="00AC650E" w:rsidRPr="00C23847">
              <w:rPr>
                <w:rFonts w:cs="Times New Roman"/>
                <w:color w:val="000000"/>
                <w:sz w:val="20"/>
                <w:szCs w:val="20"/>
              </w:rPr>
              <w:t xml:space="preserve"> </w:t>
            </w:r>
            <w:r w:rsidRPr="00C23847">
              <w:rPr>
                <w:rFonts w:cs="Times New Roman"/>
                <w:color w:val="000000"/>
                <w:sz w:val="20"/>
                <w:szCs w:val="20"/>
              </w:rPr>
              <w:t>months of the audit report being produced for three entities audited.</w:t>
            </w:r>
          </w:p>
        </w:tc>
      </w:tr>
      <w:tr w:rsidR="00EE1783" w:rsidRPr="00C23847" w14:paraId="0024D7E8" w14:textId="77777777" w:rsidTr="00C23847">
        <w:tc>
          <w:tcPr>
            <w:tcW w:w="3969" w:type="dxa"/>
            <w:shd w:val="clear" w:color="000000" w:fill="E7E6E6"/>
            <w:vAlign w:val="center"/>
            <w:hideMark/>
          </w:tcPr>
          <w:p w14:paraId="13DD5DBC"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PI-27. Financial data integrity (M2)</w:t>
            </w:r>
          </w:p>
        </w:tc>
        <w:tc>
          <w:tcPr>
            <w:tcW w:w="960" w:type="dxa"/>
            <w:shd w:val="clear" w:color="000000" w:fill="E7E6E6"/>
            <w:vAlign w:val="center"/>
            <w:hideMark/>
          </w:tcPr>
          <w:p w14:paraId="2E61B2AA" w14:textId="07D978CE" w:rsidR="00EE1783" w:rsidRPr="00C23847" w:rsidRDefault="00EA4EAF"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750FF487"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7F82AF57" w14:textId="77777777" w:rsidTr="00C23847">
        <w:tc>
          <w:tcPr>
            <w:tcW w:w="3969" w:type="dxa"/>
            <w:shd w:val="clear" w:color="auto" w:fill="auto"/>
            <w:vAlign w:val="center"/>
            <w:hideMark/>
          </w:tcPr>
          <w:p w14:paraId="207B924F"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PI-27.1 Bank account reconciliation</w:t>
            </w:r>
          </w:p>
        </w:tc>
        <w:tc>
          <w:tcPr>
            <w:tcW w:w="960" w:type="dxa"/>
            <w:shd w:val="clear" w:color="auto" w:fill="auto"/>
            <w:vAlign w:val="center"/>
            <w:hideMark/>
          </w:tcPr>
          <w:p w14:paraId="3FA8AEED"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454B943D" w14:textId="04B9D244" w:rsidR="00EE1783" w:rsidRPr="00C23847" w:rsidRDefault="008C00CA" w:rsidP="00C23847">
            <w:pPr>
              <w:jc w:val="left"/>
              <w:rPr>
                <w:rFonts w:cs="Times New Roman"/>
                <w:color w:val="000000"/>
                <w:sz w:val="20"/>
                <w:szCs w:val="20"/>
                <w:lang w:val="fr-FR"/>
              </w:rPr>
            </w:pPr>
            <w:r>
              <w:rPr>
                <w:rFonts w:cs="Times New Roman"/>
                <w:color w:val="000000"/>
                <w:sz w:val="20"/>
                <w:szCs w:val="20"/>
                <w:lang w:val="fr-FR"/>
              </w:rPr>
              <w:t>B</w:t>
            </w:r>
            <w:r w:rsidRPr="008C00CA">
              <w:rPr>
                <w:rFonts w:cs="Times New Roman"/>
                <w:color w:val="000000"/>
                <w:sz w:val="20"/>
                <w:szCs w:val="20"/>
                <w:lang w:val="fr-FR"/>
              </w:rPr>
              <w:t>ank reconciliation takes place at l</w:t>
            </w:r>
            <w:r>
              <w:rPr>
                <w:rFonts w:cs="Times New Roman"/>
                <w:color w:val="000000"/>
                <w:sz w:val="20"/>
                <w:szCs w:val="20"/>
                <w:lang w:val="fr-FR"/>
              </w:rPr>
              <w:t>east monthly,  h</w:t>
            </w:r>
            <w:r w:rsidRPr="008C00CA">
              <w:rPr>
                <w:rFonts w:cs="Times New Roman"/>
                <w:color w:val="000000"/>
                <w:sz w:val="20"/>
                <w:szCs w:val="20"/>
                <w:lang w:val="fr-FR"/>
              </w:rPr>
              <w:t>owever, bank reconciliation regarding e</w:t>
            </w:r>
            <w:r>
              <w:rPr>
                <w:rFonts w:cs="Times New Roman"/>
                <w:color w:val="000000"/>
                <w:sz w:val="20"/>
                <w:szCs w:val="20"/>
                <w:lang w:val="fr-FR"/>
              </w:rPr>
              <w:t xml:space="preserve">xtra budgetary units was not provided. </w:t>
            </w:r>
          </w:p>
        </w:tc>
      </w:tr>
      <w:tr w:rsidR="00EE1783" w:rsidRPr="00C23847" w14:paraId="11F79FB6" w14:textId="77777777" w:rsidTr="00C23847">
        <w:tc>
          <w:tcPr>
            <w:tcW w:w="3969" w:type="dxa"/>
            <w:shd w:val="clear" w:color="auto" w:fill="auto"/>
            <w:vAlign w:val="center"/>
            <w:hideMark/>
          </w:tcPr>
          <w:p w14:paraId="538D8BE0"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PI-27.2 Suspense accounts</w:t>
            </w:r>
          </w:p>
        </w:tc>
        <w:tc>
          <w:tcPr>
            <w:tcW w:w="960" w:type="dxa"/>
            <w:shd w:val="clear" w:color="auto" w:fill="auto"/>
            <w:vAlign w:val="center"/>
            <w:hideMark/>
          </w:tcPr>
          <w:p w14:paraId="783BE02C"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2C13E2FC"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Suspense accounts are reconciled and cleared monthly but evidences have not been provided.</w:t>
            </w:r>
          </w:p>
        </w:tc>
      </w:tr>
      <w:tr w:rsidR="00EE1783" w:rsidRPr="00C23847" w14:paraId="2DB002EC" w14:textId="77777777" w:rsidTr="00C23847">
        <w:tc>
          <w:tcPr>
            <w:tcW w:w="3969" w:type="dxa"/>
            <w:shd w:val="clear" w:color="auto" w:fill="auto"/>
            <w:vAlign w:val="center"/>
            <w:hideMark/>
          </w:tcPr>
          <w:p w14:paraId="63B6CB80"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PI-27.3 Advance accounts</w:t>
            </w:r>
          </w:p>
        </w:tc>
        <w:tc>
          <w:tcPr>
            <w:tcW w:w="960" w:type="dxa"/>
            <w:shd w:val="clear" w:color="auto" w:fill="auto"/>
            <w:vAlign w:val="center"/>
            <w:hideMark/>
          </w:tcPr>
          <w:p w14:paraId="76A9EB27"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6FAF2875" w14:textId="11A6B0D3"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rPr>
              <w:t xml:space="preserve">The county prepares imprest reconciliation monthly. However, some items are not cleared on time. </w:t>
            </w:r>
            <w:r w:rsidRPr="00C23847">
              <w:rPr>
                <w:rFonts w:cs="Times New Roman"/>
                <w:color w:val="000000"/>
                <w:sz w:val="20"/>
                <w:szCs w:val="20"/>
                <w:lang w:val="fr-FR"/>
              </w:rPr>
              <w:t>Imprest account reconciliations have not been provided.</w:t>
            </w:r>
          </w:p>
        </w:tc>
      </w:tr>
      <w:tr w:rsidR="00EE1783" w:rsidRPr="00C23847" w14:paraId="6C9C49D9" w14:textId="77777777" w:rsidTr="00C23847">
        <w:tc>
          <w:tcPr>
            <w:tcW w:w="3969" w:type="dxa"/>
            <w:shd w:val="clear" w:color="auto" w:fill="auto"/>
            <w:vAlign w:val="center"/>
            <w:hideMark/>
          </w:tcPr>
          <w:p w14:paraId="546CD94C"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PI-27.4 Financial data integrity</w:t>
            </w:r>
          </w:p>
        </w:tc>
        <w:tc>
          <w:tcPr>
            <w:tcW w:w="960" w:type="dxa"/>
            <w:shd w:val="clear" w:color="auto" w:fill="auto"/>
            <w:vAlign w:val="center"/>
            <w:hideMark/>
          </w:tcPr>
          <w:p w14:paraId="6ED90FF9" w14:textId="7C72C8C8" w:rsidR="00EE1783" w:rsidRPr="00C23847" w:rsidRDefault="00EA4EAF"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1846BBB8"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rPr>
              <w:t xml:space="preserve">IFMIS is used for recording and processing budget data originating from the national government. An examination unit ensures data integrity by pre-audit of payments before they are passed into the system. </w:t>
            </w:r>
            <w:r w:rsidRPr="00C23847">
              <w:rPr>
                <w:rFonts w:cs="Times New Roman"/>
                <w:color w:val="000000"/>
                <w:sz w:val="20"/>
                <w:szCs w:val="20"/>
                <w:lang w:val="fr-FR"/>
              </w:rPr>
              <w:t>But no audit trail is available for local resources.</w:t>
            </w:r>
          </w:p>
        </w:tc>
      </w:tr>
      <w:tr w:rsidR="00EE1783" w:rsidRPr="00C23847" w14:paraId="40B657C0" w14:textId="77777777" w:rsidTr="00C23847">
        <w:tc>
          <w:tcPr>
            <w:tcW w:w="3969" w:type="dxa"/>
            <w:shd w:val="clear" w:color="000000" w:fill="E7E6E6"/>
            <w:vAlign w:val="center"/>
            <w:hideMark/>
          </w:tcPr>
          <w:p w14:paraId="42C9F907"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PI-28. In-year budget reports (M1)</w:t>
            </w:r>
          </w:p>
        </w:tc>
        <w:tc>
          <w:tcPr>
            <w:tcW w:w="960" w:type="dxa"/>
            <w:shd w:val="clear" w:color="000000" w:fill="E7E6E6"/>
            <w:vAlign w:val="center"/>
            <w:hideMark/>
          </w:tcPr>
          <w:p w14:paraId="59634A4C" w14:textId="48F1F53E" w:rsidR="00EE1783" w:rsidRPr="00C23847" w:rsidRDefault="007A1A8D" w:rsidP="00C23847">
            <w:pPr>
              <w:jc w:val="center"/>
              <w:rPr>
                <w:rFonts w:cs="Times New Roman"/>
                <w:b/>
                <w:bCs/>
                <w:color w:val="000000"/>
                <w:sz w:val="20"/>
                <w:szCs w:val="20"/>
              </w:rPr>
            </w:pPr>
            <w:r w:rsidRPr="00C23847">
              <w:rPr>
                <w:rFonts w:cs="Times New Roman"/>
                <w:b/>
                <w:bCs/>
                <w:color w:val="000000"/>
                <w:sz w:val="20"/>
                <w:szCs w:val="20"/>
              </w:rPr>
              <w:t>C</w:t>
            </w:r>
            <w:r w:rsidR="004A1FAD" w:rsidRPr="00C23847">
              <w:rPr>
                <w:rFonts w:cs="Times New Roman"/>
                <w:b/>
                <w:bCs/>
                <w:color w:val="000000"/>
                <w:sz w:val="20"/>
                <w:szCs w:val="20"/>
              </w:rPr>
              <w:t>+</w:t>
            </w:r>
          </w:p>
        </w:tc>
        <w:tc>
          <w:tcPr>
            <w:tcW w:w="7310" w:type="dxa"/>
            <w:shd w:val="clear" w:color="000000" w:fill="E7E6E6"/>
            <w:vAlign w:val="center"/>
            <w:hideMark/>
          </w:tcPr>
          <w:p w14:paraId="51262DC2"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 </w:t>
            </w:r>
          </w:p>
        </w:tc>
      </w:tr>
      <w:tr w:rsidR="00EE1783" w:rsidRPr="00C23847" w14:paraId="143571C1" w14:textId="77777777" w:rsidTr="00C23847">
        <w:tc>
          <w:tcPr>
            <w:tcW w:w="3969" w:type="dxa"/>
            <w:shd w:val="clear" w:color="auto" w:fill="auto"/>
            <w:vAlign w:val="center"/>
            <w:hideMark/>
          </w:tcPr>
          <w:p w14:paraId="2E512649"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PI-28.1. Coverage and comparability of reports</w:t>
            </w:r>
          </w:p>
        </w:tc>
        <w:tc>
          <w:tcPr>
            <w:tcW w:w="960" w:type="dxa"/>
            <w:shd w:val="clear" w:color="auto" w:fill="auto"/>
            <w:vAlign w:val="center"/>
            <w:hideMark/>
          </w:tcPr>
          <w:p w14:paraId="7A368792" w14:textId="14899C74" w:rsidR="00EE1783" w:rsidRPr="00C23847" w:rsidRDefault="007A1A8D"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18FBF011" w14:textId="18E3CF3A" w:rsidR="00EE1783" w:rsidRPr="00C23847" w:rsidRDefault="00EE1783" w:rsidP="00C23847">
            <w:pPr>
              <w:jc w:val="left"/>
              <w:rPr>
                <w:rFonts w:cs="Times New Roman"/>
                <w:color w:val="000000"/>
                <w:sz w:val="20"/>
                <w:szCs w:val="20"/>
              </w:rPr>
            </w:pPr>
            <w:r w:rsidRPr="00C23847">
              <w:rPr>
                <w:rFonts w:cs="Times New Roman"/>
                <w:color w:val="000000"/>
                <w:sz w:val="20"/>
                <w:szCs w:val="20"/>
              </w:rPr>
              <w:t>Budget reports are prepared quarterly</w:t>
            </w:r>
            <w:r w:rsidR="007A1A8D" w:rsidRPr="00C23847">
              <w:rPr>
                <w:rFonts w:cs="Times New Roman"/>
                <w:color w:val="000000"/>
                <w:sz w:val="20"/>
                <w:szCs w:val="20"/>
              </w:rPr>
              <w:t>. T</w:t>
            </w:r>
            <w:r w:rsidRPr="00C23847">
              <w:rPr>
                <w:rFonts w:cs="Times New Roman"/>
                <w:color w:val="000000"/>
                <w:sz w:val="20"/>
                <w:szCs w:val="20"/>
              </w:rPr>
              <w:t xml:space="preserve">his report has its own format </w:t>
            </w:r>
            <w:r w:rsidR="007A1A8D" w:rsidRPr="00C23847">
              <w:rPr>
                <w:rFonts w:cs="Times New Roman"/>
                <w:color w:val="000000"/>
                <w:sz w:val="20"/>
                <w:szCs w:val="20"/>
              </w:rPr>
              <w:t>but</w:t>
            </w:r>
            <w:r w:rsidRPr="00C23847">
              <w:rPr>
                <w:rFonts w:cs="Times New Roman"/>
                <w:color w:val="000000"/>
                <w:sz w:val="20"/>
                <w:szCs w:val="20"/>
              </w:rPr>
              <w:t xml:space="preserve"> budget items are easily comparable to the initial budget.</w:t>
            </w:r>
          </w:p>
        </w:tc>
      </w:tr>
      <w:tr w:rsidR="00EE1783" w:rsidRPr="00C23847" w14:paraId="49D8355F" w14:textId="77777777" w:rsidTr="00C23847">
        <w:tc>
          <w:tcPr>
            <w:tcW w:w="3969" w:type="dxa"/>
            <w:shd w:val="clear" w:color="auto" w:fill="auto"/>
            <w:vAlign w:val="center"/>
            <w:hideMark/>
          </w:tcPr>
          <w:p w14:paraId="6159A7B8"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PI-28.2. Timing of in-year budget reports</w:t>
            </w:r>
          </w:p>
        </w:tc>
        <w:tc>
          <w:tcPr>
            <w:tcW w:w="960" w:type="dxa"/>
            <w:shd w:val="clear" w:color="auto" w:fill="auto"/>
            <w:vAlign w:val="center"/>
            <w:hideMark/>
          </w:tcPr>
          <w:p w14:paraId="478416EF"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3170A78A"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Budget execution reports are prepared quarterly and within one month from the end of that quarter.</w:t>
            </w:r>
          </w:p>
        </w:tc>
      </w:tr>
      <w:tr w:rsidR="00EE1783" w:rsidRPr="00C23847" w14:paraId="6E1306CA" w14:textId="77777777" w:rsidTr="00C23847">
        <w:tc>
          <w:tcPr>
            <w:tcW w:w="3969" w:type="dxa"/>
            <w:shd w:val="clear" w:color="auto" w:fill="auto"/>
            <w:vAlign w:val="center"/>
            <w:hideMark/>
          </w:tcPr>
          <w:p w14:paraId="068447FF"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PI-28.3. Accuracy of in-year budget reports</w:t>
            </w:r>
          </w:p>
        </w:tc>
        <w:tc>
          <w:tcPr>
            <w:tcW w:w="960" w:type="dxa"/>
            <w:shd w:val="clear" w:color="auto" w:fill="auto"/>
            <w:vAlign w:val="center"/>
            <w:hideMark/>
          </w:tcPr>
          <w:p w14:paraId="1BCAA3E2"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47FDC8F4" w14:textId="5C74777F"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rPr>
              <w:t xml:space="preserve">There may be concerns regarding data accuracy, which are not highlighted in the report. Data is consistent and useful for analysis of budget execution, but no analysis of the budget execution is provided on at least a half-yearly basis. </w:t>
            </w:r>
            <w:r w:rsidRPr="00C23847">
              <w:rPr>
                <w:rFonts w:cs="Times New Roman"/>
                <w:color w:val="000000"/>
                <w:sz w:val="20"/>
                <w:szCs w:val="20"/>
                <w:lang w:val="fr-FR"/>
              </w:rPr>
              <w:t xml:space="preserve">Expenditure is captured at </w:t>
            </w:r>
            <w:r w:rsidR="00AC650E">
              <w:rPr>
                <w:rFonts w:cs="Times New Roman"/>
                <w:color w:val="000000"/>
                <w:sz w:val="20"/>
                <w:szCs w:val="20"/>
                <w:lang w:val="fr-FR"/>
              </w:rPr>
              <w:t xml:space="preserve">the </w:t>
            </w:r>
            <w:r w:rsidRPr="00C23847">
              <w:rPr>
                <w:rFonts w:cs="Times New Roman"/>
                <w:color w:val="000000"/>
                <w:sz w:val="20"/>
                <w:szCs w:val="20"/>
                <w:lang w:val="fr-FR"/>
              </w:rPr>
              <w:t xml:space="preserve">payment stage. </w:t>
            </w:r>
          </w:p>
        </w:tc>
      </w:tr>
      <w:tr w:rsidR="00EE1783" w:rsidRPr="00C23847" w14:paraId="11C25835" w14:textId="77777777" w:rsidTr="00C23847">
        <w:tc>
          <w:tcPr>
            <w:tcW w:w="3969" w:type="dxa"/>
            <w:shd w:val="clear" w:color="000000" w:fill="E7E6E6"/>
            <w:vAlign w:val="center"/>
            <w:hideMark/>
          </w:tcPr>
          <w:p w14:paraId="6AF85E87" w14:textId="77777777" w:rsidR="00EE1783" w:rsidRPr="00C23847" w:rsidRDefault="00EE1783" w:rsidP="00AC650E">
            <w:pPr>
              <w:keepNext/>
              <w:jc w:val="left"/>
              <w:rPr>
                <w:rFonts w:cs="Times New Roman"/>
                <w:b/>
                <w:bCs/>
                <w:color w:val="000000"/>
                <w:sz w:val="20"/>
                <w:szCs w:val="20"/>
              </w:rPr>
            </w:pPr>
            <w:r w:rsidRPr="00C23847">
              <w:rPr>
                <w:rFonts w:cs="Times New Roman"/>
                <w:b/>
                <w:bCs/>
                <w:color w:val="000000"/>
                <w:sz w:val="20"/>
                <w:szCs w:val="20"/>
              </w:rPr>
              <w:t>PI-29. Annual financial reports (M1)</w:t>
            </w:r>
          </w:p>
        </w:tc>
        <w:tc>
          <w:tcPr>
            <w:tcW w:w="960" w:type="dxa"/>
            <w:shd w:val="clear" w:color="000000" w:fill="E7E6E6"/>
            <w:vAlign w:val="center"/>
            <w:hideMark/>
          </w:tcPr>
          <w:p w14:paraId="554F57A7" w14:textId="055A24C4" w:rsidR="00EE1783" w:rsidRPr="00C23847" w:rsidRDefault="004A1FAD" w:rsidP="00AC650E">
            <w:pPr>
              <w:keepNext/>
              <w:jc w:val="center"/>
              <w:rPr>
                <w:rFonts w:cs="Times New Roman"/>
                <w:b/>
                <w:bCs/>
                <w:color w:val="000000"/>
                <w:sz w:val="20"/>
                <w:szCs w:val="20"/>
              </w:rPr>
            </w:pPr>
            <w:r w:rsidRPr="00C23847">
              <w:rPr>
                <w:rFonts w:cs="Times New Roman"/>
                <w:b/>
                <w:bCs/>
                <w:color w:val="000000"/>
                <w:sz w:val="20"/>
                <w:szCs w:val="20"/>
              </w:rPr>
              <w:t>D+</w:t>
            </w:r>
          </w:p>
        </w:tc>
        <w:tc>
          <w:tcPr>
            <w:tcW w:w="7310" w:type="dxa"/>
            <w:shd w:val="clear" w:color="000000" w:fill="E7E6E6"/>
            <w:vAlign w:val="center"/>
            <w:hideMark/>
          </w:tcPr>
          <w:p w14:paraId="5FE29030" w14:textId="77777777" w:rsidR="00EE1783" w:rsidRPr="00C23847" w:rsidRDefault="00EE1783" w:rsidP="00AC650E">
            <w:pPr>
              <w:keepNext/>
              <w:jc w:val="left"/>
              <w:rPr>
                <w:rFonts w:cs="Times New Roman"/>
                <w:b/>
                <w:bCs/>
                <w:color w:val="000000"/>
                <w:sz w:val="20"/>
                <w:szCs w:val="20"/>
              </w:rPr>
            </w:pPr>
            <w:r w:rsidRPr="00C23847">
              <w:rPr>
                <w:rFonts w:cs="Times New Roman"/>
                <w:b/>
                <w:bCs/>
                <w:color w:val="000000"/>
                <w:sz w:val="20"/>
                <w:szCs w:val="20"/>
              </w:rPr>
              <w:t> </w:t>
            </w:r>
          </w:p>
        </w:tc>
      </w:tr>
      <w:tr w:rsidR="00EE1783" w:rsidRPr="00C23847" w14:paraId="7757E688" w14:textId="77777777" w:rsidTr="00C23847">
        <w:tc>
          <w:tcPr>
            <w:tcW w:w="3969" w:type="dxa"/>
            <w:shd w:val="clear" w:color="auto" w:fill="auto"/>
            <w:vAlign w:val="center"/>
            <w:hideMark/>
          </w:tcPr>
          <w:p w14:paraId="67BEA9C4"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PI-29.1. Completeness of annual financial reports</w:t>
            </w:r>
          </w:p>
        </w:tc>
        <w:tc>
          <w:tcPr>
            <w:tcW w:w="960" w:type="dxa"/>
            <w:shd w:val="clear" w:color="auto" w:fill="auto"/>
            <w:vAlign w:val="center"/>
            <w:hideMark/>
          </w:tcPr>
          <w:p w14:paraId="1883AD1B"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0E94A3AD" w14:textId="42DA5144"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Financial reports for budgetary </w:t>
            </w:r>
            <w:r w:rsidR="00AC650E">
              <w:rPr>
                <w:rFonts w:cs="Times New Roman"/>
                <w:color w:val="000000"/>
                <w:sz w:val="20"/>
                <w:szCs w:val="20"/>
              </w:rPr>
              <w:t>c</w:t>
            </w:r>
            <w:r w:rsidRPr="00C23847">
              <w:rPr>
                <w:rFonts w:cs="Times New Roman"/>
                <w:color w:val="000000"/>
                <w:sz w:val="20"/>
                <w:szCs w:val="20"/>
              </w:rPr>
              <w:t xml:space="preserve">ounty government are prepared annually. They include information on revenue, expenditures, and cash balances. They are comparable with the approved budget. </w:t>
            </w:r>
          </w:p>
        </w:tc>
      </w:tr>
      <w:tr w:rsidR="00EE1783" w:rsidRPr="00C23847" w14:paraId="725EC742" w14:textId="77777777" w:rsidTr="00C23847">
        <w:tc>
          <w:tcPr>
            <w:tcW w:w="3969" w:type="dxa"/>
            <w:shd w:val="clear" w:color="auto" w:fill="auto"/>
            <w:vAlign w:val="center"/>
            <w:hideMark/>
          </w:tcPr>
          <w:p w14:paraId="0233E293"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PI-29.2. Submission of reports for external audit</w:t>
            </w:r>
          </w:p>
        </w:tc>
        <w:tc>
          <w:tcPr>
            <w:tcW w:w="960" w:type="dxa"/>
            <w:shd w:val="clear" w:color="auto" w:fill="auto"/>
            <w:vAlign w:val="center"/>
            <w:hideMark/>
          </w:tcPr>
          <w:p w14:paraId="1B87DBED"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460CC141" w14:textId="2CA98354"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w:t>
            </w:r>
            <w:r w:rsidR="008C00CA">
              <w:rPr>
                <w:rFonts w:cs="Times New Roman"/>
                <w:color w:val="000000"/>
                <w:sz w:val="20"/>
                <w:szCs w:val="20"/>
              </w:rPr>
              <w:t xml:space="preserve">AFS </w:t>
            </w:r>
            <w:r w:rsidRPr="00C23847">
              <w:rPr>
                <w:rFonts w:cs="Times New Roman"/>
                <w:color w:val="000000"/>
                <w:sz w:val="20"/>
                <w:szCs w:val="20"/>
              </w:rPr>
              <w:t xml:space="preserve">were presented </w:t>
            </w:r>
            <w:r w:rsidR="00AC650E">
              <w:rPr>
                <w:rFonts w:cs="Times New Roman"/>
                <w:color w:val="000000"/>
                <w:sz w:val="20"/>
                <w:szCs w:val="20"/>
              </w:rPr>
              <w:t>for</w:t>
            </w:r>
            <w:r w:rsidRPr="00C23847">
              <w:rPr>
                <w:rFonts w:cs="Times New Roman"/>
                <w:color w:val="000000"/>
                <w:sz w:val="20"/>
                <w:szCs w:val="20"/>
              </w:rPr>
              <w:t xml:space="preserve"> external audit on September </w:t>
            </w:r>
            <w:r w:rsidR="00AC650E">
              <w:rPr>
                <w:rFonts w:cs="Times New Roman"/>
                <w:color w:val="000000"/>
                <w:sz w:val="20"/>
                <w:szCs w:val="20"/>
              </w:rPr>
              <w:t xml:space="preserve">30 </w:t>
            </w:r>
            <w:r w:rsidRPr="00C23847">
              <w:rPr>
                <w:rFonts w:cs="Times New Roman"/>
                <w:color w:val="000000"/>
                <w:sz w:val="20"/>
                <w:szCs w:val="20"/>
              </w:rPr>
              <w:t xml:space="preserve">2016, but were complete only by June 8, 2017, </w:t>
            </w:r>
            <w:r w:rsidR="00AC650E">
              <w:rPr>
                <w:rFonts w:cs="Times New Roman"/>
                <w:color w:val="000000"/>
                <w:sz w:val="20"/>
                <w:szCs w:val="20"/>
              </w:rPr>
              <w:t>which was</w:t>
            </w:r>
            <w:r w:rsidR="00AC650E" w:rsidRPr="00C23847">
              <w:rPr>
                <w:rFonts w:cs="Times New Roman"/>
                <w:color w:val="000000"/>
                <w:sz w:val="20"/>
                <w:szCs w:val="20"/>
              </w:rPr>
              <w:t xml:space="preserve"> </w:t>
            </w:r>
            <w:r w:rsidRPr="00C23847">
              <w:rPr>
                <w:rFonts w:cs="Times New Roman"/>
                <w:color w:val="000000"/>
                <w:sz w:val="20"/>
                <w:szCs w:val="20"/>
              </w:rPr>
              <w:t xml:space="preserve">within </w:t>
            </w:r>
            <w:r w:rsidR="00AC650E">
              <w:rPr>
                <w:rFonts w:cs="Times New Roman"/>
                <w:color w:val="000000"/>
                <w:sz w:val="20"/>
                <w:szCs w:val="20"/>
              </w:rPr>
              <w:t>12</w:t>
            </w:r>
            <w:r w:rsidR="00AC650E" w:rsidRPr="00C23847">
              <w:rPr>
                <w:rFonts w:cs="Times New Roman"/>
                <w:color w:val="000000"/>
                <w:sz w:val="20"/>
                <w:szCs w:val="20"/>
              </w:rPr>
              <w:t xml:space="preserve"> </w:t>
            </w:r>
            <w:r w:rsidRPr="00C23847">
              <w:rPr>
                <w:rFonts w:cs="Times New Roman"/>
                <w:color w:val="000000"/>
                <w:sz w:val="20"/>
                <w:szCs w:val="20"/>
              </w:rPr>
              <w:t>months after the end of the year.</w:t>
            </w:r>
          </w:p>
        </w:tc>
      </w:tr>
      <w:tr w:rsidR="00EE1783" w:rsidRPr="00C23847" w14:paraId="30B9E0E9" w14:textId="77777777" w:rsidTr="00C23847">
        <w:tc>
          <w:tcPr>
            <w:tcW w:w="3969" w:type="dxa"/>
            <w:shd w:val="clear" w:color="auto" w:fill="auto"/>
            <w:vAlign w:val="center"/>
            <w:hideMark/>
          </w:tcPr>
          <w:p w14:paraId="390F175A"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PI-29.3. Accounting standards</w:t>
            </w:r>
          </w:p>
        </w:tc>
        <w:tc>
          <w:tcPr>
            <w:tcW w:w="960" w:type="dxa"/>
            <w:shd w:val="clear" w:color="auto" w:fill="auto"/>
            <w:vAlign w:val="center"/>
            <w:hideMark/>
          </w:tcPr>
          <w:p w14:paraId="12FFB296"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7672E4A1" w14:textId="7DA17E86"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w:t>
            </w:r>
            <w:r w:rsidR="00AC650E">
              <w:rPr>
                <w:rFonts w:cs="Times New Roman"/>
                <w:color w:val="000000"/>
                <w:sz w:val="20"/>
                <w:szCs w:val="20"/>
              </w:rPr>
              <w:t>c</w:t>
            </w:r>
            <w:r w:rsidRPr="00C23847">
              <w:rPr>
                <w:rFonts w:cs="Times New Roman"/>
                <w:color w:val="000000"/>
                <w:sz w:val="20"/>
                <w:szCs w:val="20"/>
              </w:rPr>
              <w:t xml:space="preserve">ounty prepares financial statements as per the </w:t>
            </w:r>
            <w:r w:rsidR="008B6A0A">
              <w:rPr>
                <w:rFonts w:cs="Times New Roman"/>
                <w:color w:val="000000"/>
                <w:sz w:val="20"/>
                <w:szCs w:val="20"/>
              </w:rPr>
              <w:t>c</w:t>
            </w:r>
            <w:r w:rsidRPr="00C23847">
              <w:rPr>
                <w:rFonts w:cs="Times New Roman"/>
                <w:color w:val="000000"/>
                <w:sz w:val="20"/>
                <w:szCs w:val="20"/>
              </w:rPr>
              <w:t xml:space="preserve">ash basis but some </w:t>
            </w:r>
            <w:r w:rsidR="00AC650E">
              <w:rPr>
                <w:rFonts w:cs="Times New Roman"/>
                <w:color w:val="000000"/>
                <w:sz w:val="20"/>
                <w:szCs w:val="20"/>
              </w:rPr>
              <w:t>drawbacks</w:t>
            </w:r>
            <w:r w:rsidR="00AC650E" w:rsidRPr="00C23847">
              <w:rPr>
                <w:rFonts w:cs="Times New Roman"/>
                <w:color w:val="000000"/>
                <w:sz w:val="20"/>
                <w:szCs w:val="20"/>
              </w:rPr>
              <w:t xml:space="preserve"> </w:t>
            </w:r>
            <w:r w:rsidRPr="00C23847">
              <w:rPr>
                <w:rFonts w:cs="Times New Roman"/>
                <w:color w:val="000000"/>
                <w:sz w:val="20"/>
                <w:szCs w:val="20"/>
              </w:rPr>
              <w:t xml:space="preserve">are raised by the report of the </w:t>
            </w:r>
            <w:r w:rsidR="00AC650E">
              <w:rPr>
                <w:rFonts w:cs="Times New Roman"/>
                <w:color w:val="000000"/>
                <w:sz w:val="20"/>
                <w:szCs w:val="20"/>
              </w:rPr>
              <w:t>A</w:t>
            </w:r>
            <w:r w:rsidRPr="00C23847">
              <w:rPr>
                <w:rFonts w:cs="Times New Roman"/>
                <w:color w:val="000000"/>
                <w:sz w:val="20"/>
                <w:szCs w:val="20"/>
              </w:rPr>
              <w:t>uditor</w:t>
            </w:r>
            <w:r w:rsidR="008F1990">
              <w:rPr>
                <w:rFonts w:cs="Times New Roman"/>
                <w:color w:val="000000"/>
                <w:sz w:val="20"/>
                <w:szCs w:val="20"/>
              </w:rPr>
              <w:t xml:space="preserve"> </w:t>
            </w:r>
            <w:r w:rsidR="00AC650E">
              <w:rPr>
                <w:rFonts w:cs="Times New Roman"/>
                <w:color w:val="000000"/>
                <w:sz w:val="20"/>
                <w:szCs w:val="20"/>
              </w:rPr>
              <w:t>G</w:t>
            </w:r>
            <w:r w:rsidRPr="00C23847">
              <w:rPr>
                <w:rFonts w:cs="Times New Roman"/>
                <w:color w:val="000000"/>
                <w:sz w:val="20"/>
                <w:szCs w:val="20"/>
              </w:rPr>
              <w:t xml:space="preserve">eneral and gaps are not explained in reports. </w:t>
            </w:r>
          </w:p>
        </w:tc>
      </w:tr>
      <w:tr w:rsidR="00EE1783" w:rsidRPr="00C23847" w14:paraId="6DA680FD" w14:textId="77777777" w:rsidTr="00C23847">
        <w:tc>
          <w:tcPr>
            <w:tcW w:w="3969" w:type="dxa"/>
            <w:shd w:val="clear" w:color="000000" w:fill="E7E6E6"/>
            <w:vAlign w:val="center"/>
            <w:hideMark/>
          </w:tcPr>
          <w:p w14:paraId="65F61E30" w14:textId="377FC920"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PI-30</w:t>
            </w:r>
            <w:r w:rsidR="00F622FB" w:rsidRPr="00C23847">
              <w:rPr>
                <w:rFonts w:cs="Times New Roman"/>
                <w:b/>
                <w:bCs/>
                <w:color w:val="000000"/>
                <w:sz w:val="20"/>
                <w:szCs w:val="20"/>
                <w:lang w:val="fr-FR"/>
              </w:rPr>
              <w:t>.</w:t>
            </w:r>
            <w:r w:rsidRPr="00C23847">
              <w:rPr>
                <w:rFonts w:cs="Times New Roman"/>
                <w:b/>
                <w:bCs/>
                <w:color w:val="000000"/>
                <w:sz w:val="20"/>
                <w:szCs w:val="20"/>
                <w:lang w:val="fr-FR"/>
              </w:rPr>
              <w:t xml:space="preserve"> External </w:t>
            </w:r>
            <w:r w:rsidR="00AC650E">
              <w:rPr>
                <w:rFonts w:cs="Times New Roman"/>
                <w:b/>
                <w:bCs/>
                <w:color w:val="000000"/>
                <w:sz w:val="20"/>
                <w:szCs w:val="20"/>
                <w:lang w:val="fr-FR"/>
              </w:rPr>
              <w:t>a</w:t>
            </w:r>
            <w:r w:rsidRPr="00C23847">
              <w:rPr>
                <w:rFonts w:cs="Times New Roman"/>
                <w:b/>
                <w:bCs/>
                <w:color w:val="000000"/>
                <w:sz w:val="20"/>
                <w:szCs w:val="20"/>
                <w:lang w:val="fr-FR"/>
              </w:rPr>
              <w:t>udit</w:t>
            </w:r>
            <w:r w:rsidR="00350561" w:rsidRPr="00C23847">
              <w:rPr>
                <w:rFonts w:cs="Times New Roman"/>
                <w:b/>
                <w:bCs/>
                <w:color w:val="000000"/>
                <w:sz w:val="20"/>
                <w:szCs w:val="20"/>
                <w:lang w:val="fr-FR"/>
              </w:rPr>
              <w:t xml:space="preserve"> </w:t>
            </w:r>
            <w:r w:rsidRPr="00C23847">
              <w:rPr>
                <w:rFonts w:cs="Times New Roman"/>
                <w:b/>
                <w:bCs/>
                <w:color w:val="000000"/>
                <w:sz w:val="20"/>
                <w:szCs w:val="20"/>
                <w:lang w:val="fr-FR"/>
              </w:rPr>
              <w:t>(M1)</w:t>
            </w:r>
          </w:p>
        </w:tc>
        <w:tc>
          <w:tcPr>
            <w:tcW w:w="960" w:type="dxa"/>
            <w:shd w:val="clear" w:color="000000" w:fill="E7E6E6"/>
            <w:vAlign w:val="center"/>
            <w:hideMark/>
          </w:tcPr>
          <w:p w14:paraId="2DF10595" w14:textId="4C515195" w:rsidR="00EE1783" w:rsidRPr="00C23847" w:rsidRDefault="00407F77" w:rsidP="00C23847">
            <w:pPr>
              <w:jc w:val="center"/>
              <w:rPr>
                <w:rFonts w:cs="Times New Roman"/>
                <w:b/>
                <w:bCs/>
                <w:color w:val="000000"/>
                <w:sz w:val="20"/>
                <w:szCs w:val="20"/>
                <w:lang w:val="fr-FR"/>
              </w:rPr>
            </w:pPr>
            <w:r w:rsidRPr="00C23847">
              <w:rPr>
                <w:rFonts w:cs="Times New Roman"/>
                <w:b/>
                <w:bCs/>
                <w:color w:val="000000"/>
                <w:sz w:val="20"/>
                <w:szCs w:val="20"/>
                <w:lang w:val="fr-FR"/>
              </w:rPr>
              <w:t>C+</w:t>
            </w:r>
          </w:p>
        </w:tc>
        <w:tc>
          <w:tcPr>
            <w:tcW w:w="7310" w:type="dxa"/>
            <w:shd w:val="clear" w:color="000000" w:fill="E7E6E6"/>
            <w:vAlign w:val="center"/>
            <w:hideMark/>
          </w:tcPr>
          <w:p w14:paraId="126FFF6C"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13851BEE" w14:textId="77777777" w:rsidTr="00C23847">
        <w:tc>
          <w:tcPr>
            <w:tcW w:w="3969" w:type="dxa"/>
            <w:shd w:val="clear" w:color="auto" w:fill="auto"/>
            <w:vAlign w:val="center"/>
            <w:hideMark/>
          </w:tcPr>
          <w:p w14:paraId="27AF50F0" w14:textId="3C53A093"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 xml:space="preserve">PI-30.1 Audit coverage </w:t>
            </w:r>
            <w:r w:rsidR="00AC650E">
              <w:rPr>
                <w:rFonts w:cs="Times New Roman"/>
                <w:color w:val="000000"/>
                <w:sz w:val="20"/>
                <w:szCs w:val="20"/>
                <w:lang w:val="fr-FR"/>
              </w:rPr>
              <w:t>and</w:t>
            </w:r>
            <w:r w:rsidRPr="00C23847">
              <w:rPr>
                <w:rFonts w:cs="Times New Roman"/>
                <w:color w:val="000000"/>
                <w:sz w:val="20"/>
                <w:szCs w:val="20"/>
                <w:lang w:val="fr-FR"/>
              </w:rPr>
              <w:t xml:space="preserve"> standards</w:t>
            </w:r>
          </w:p>
        </w:tc>
        <w:tc>
          <w:tcPr>
            <w:tcW w:w="960" w:type="dxa"/>
            <w:shd w:val="clear" w:color="auto" w:fill="auto"/>
            <w:vAlign w:val="center"/>
            <w:hideMark/>
          </w:tcPr>
          <w:p w14:paraId="0BC0D7BD"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B</w:t>
            </w:r>
          </w:p>
        </w:tc>
        <w:tc>
          <w:tcPr>
            <w:tcW w:w="7310" w:type="dxa"/>
            <w:shd w:val="clear" w:color="auto" w:fill="auto"/>
            <w:vAlign w:val="center"/>
            <w:hideMark/>
          </w:tcPr>
          <w:p w14:paraId="00212B41" w14:textId="7AEB99AE" w:rsidR="00EE1783" w:rsidRPr="00C23847" w:rsidRDefault="00AC650E" w:rsidP="00C23847">
            <w:pPr>
              <w:jc w:val="left"/>
              <w:rPr>
                <w:rFonts w:cs="Times New Roman"/>
                <w:color w:val="000000"/>
                <w:sz w:val="20"/>
                <w:szCs w:val="20"/>
              </w:rPr>
            </w:pPr>
            <w:r>
              <w:rPr>
                <w:rFonts w:cs="Times New Roman"/>
                <w:color w:val="000000"/>
                <w:sz w:val="20"/>
                <w:szCs w:val="20"/>
              </w:rPr>
              <w:t xml:space="preserve">The </w:t>
            </w:r>
            <w:r w:rsidR="00EE1783" w:rsidRPr="00C23847">
              <w:rPr>
                <w:rFonts w:cs="Times New Roman"/>
                <w:color w:val="000000"/>
                <w:sz w:val="20"/>
                <w:szCs w:val="20"/>
              </w:rPr>
              <w:t>OA</w:t>
            </w:r>
            <w:r w:rsidR="00BA77EE">
              <w:rPr>
                <w:rFonts w:cs="Times New Roman"/>
                <w:color w:val="000000"/>
                <w:sz w:val="20"/>
                <w:szCs w:val="20"/>
              </w:rPr>
              <w:t>G</w:t>
            </w:r>
            <w:r w:rsidR="00EE1783" w:rsidRPr="00C23847">
              <w:rPr>
                <w:rFonts w:cs="Times New Roman"/>
                <w:color w:val="000000"/>
                <w:sz w:val="20"/>
                <w:szCs w:val="20"/>
              </w:rPr>
              <w:t xml:space="preserve"> is using ISSAIs on all external audits of </w:t>
            </w:r>
            <w:r>
              <w:rPr>
                <w:rFonts w:cs="Times New Roman"/>
                <w:color w:val="000000"/>
                <w:sz w:val="20"/>
                <w:szCs w:val="20"/>
              </w:rPr>
              <w:t>n</w:t>
            </w:r>
            <w:r w:rsidR="00EE1783" w:rsidRPr="00C23847">
              <w:rPr>
                <w:rFonts w:cs="Times New Roman"/>
                <w:color w:val="000000"/>
                <w:sz w:val="20"/>
                <w:szCs w:val="20"/>
              </w:rPr>
              <w:t xml:space="preserve">ational and </w:t>
            </w:r>
            <w:r>
              <w:rPr>
                <w:rFonts w:cs="Times New Roman"/>
                <w:color w:val="000000"/>
                <w:sz w:val="20"/>
                <w:szCs w:val="20"/>
              </w:rPr>
              <w:t>c</w:t>
            </w:r>
            <w:r w:rsidR="00EE1783" w:rsidRPr="00C23847">
              <w:rPr>
                <w:rFonts w:cs="Times New Roman"/>
                <w:color w:val="000000"/>
                <w:sz w:val="20"/>
                <w:szCs w:val="20"/>
              </w:rPr>
              <w:t xml:space="preserve">ounty </w:t>
            </w:r>
            <w:r>
              <w:rPr>
                <w:rFonts w:cs="Times New Roman"/>
                <w:color w:val="000000"/>
                <w:sz w:val="20"/>
                <w:szCs w:val="20"/>
              </w:rPr>
              <w:t>g</w:t>
            </w:r>
            <w:r w:rsidR="00EE1783" w:rsidRPr="00C23847">
              <w:rPr>
                <w:rFonts w:cs="Times New Roman"/>
                <w:color w:val="000000"/>
                <w:sz w:val="20"/>
                <w:szCs w:val="20"/>
              </w:rPr>
              <w:t xml:space="preserve">overnments, but public establishments are not regularly audited. </w:t>
            </w:r>
          </w:p>
        </w:tc>
      </w:tr>
      <w:tr w:rsidR="00EE1783" w:rsidRPr="00C23847" w14:paraId="00532748" w14:textId="77777777" w:rsidTr="00C23847">
        <w:tc>
          <w:tcPr>
            <w:tcW w:w="3969" w:type="dxa"/>
            <w:shd w:val="clear" w:color="auto" w:fill="auto"/>
            <w:vAlign w:val="center"/>
            <w:hideMark/>
          </w:tcPr>
          <w:p w14:paraId="748D3F98"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PI-30.2 Submission of audit reports to the legislature</w:t>
            </w:r>
          </w:p>
        </w:tc>
        <w:tc>
          <w:tcPr>
            <w:tcW w:w="960" w:type="dxa"/>
            <w:shd w:val="clear" w:color="auto" w:fill="auto"/>
            <w:vAlign w:val="center"/>
            <w:hideMark/>
          </w:tcPr>
          <w:p w14:paraId="69CD9306"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0E8E334F"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Audit report of AFS 2015/16 was submitted to the legislature within three months from receipt of the financial reports.</w:t>
            </w:r>
          </w:p>
        </w:tc>
      </w:tr>
      <w:tr w:rsidR="00EE1783" w:rsidRPr="00C23847" w14:paraId="69ADCC82" w14:textId="77777777" w:rsidTr="00C23847">
        <w:tc>
          <w:tcPr>
            <w:tcW w:w="3969" w:type="dxa"/>
            <w:shd w:val="clear" w:color="auto" w:fill="auto"/>
            <w:vAlign w:val="center"/>
            <w:hideMark/>
          </w:tcPr>
          <w:p w14:paraId="1116B6DF"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PI-30.3 External audit follow-up</w:t>
            </w:r>
          </w:p>
        </w:tc>
        <w:tc>
          <w:tcPr>
            <w:tcW w:w="960" w:type="dxa"/>
            <w:shd w:val="clear" w:color="auto" w:fill="auto"/>
            <w:vAlign w:val="center"/>
            <w:hideMark/>
          </w:tcPr>
          <w:p w14:paraId="2F7247F4" w14:textId="21238A1E" w:rsidR="00EE1783" w:rsidRPr="00C23847" w:rsidRDefault="00407F77" w:rsidP="00C23847">
            <w:pPr>
              <w:jc w:val="center"/>
              <w:rPr>
                <w:rFonts w:cs="Times New Roman"/>
                <w:color w:val="000000"/>
                <w:sz w:val="20"/>
                <w:szCs w:val="20"/>
                <w:lang w:val="fr-FR"/>
              </w:rPr>
            </w:pPr>
            <w:r w:rsidRPr="00C23847">
              <w:rPr>
                <w:rFonts w:cs="Times New Roman"/>
                <w:color w:val="000000"/>
                <w:sz w:val="20"/>
                <w:szCs w:val="20"/>
                <w:lang w:val="fr-FR"/>
              </w:rPr>
              <w:t>C</w:t>
            </w:r>
          </w:p>
        </w:tc>
        <w:tc>
          <w:tcPr>
            <w:tcW w:w="7310" w:type="dxa"/>
            <w:shd w:val="clear" w:color="auto" w:fill="auto"/>
            <w:vAlign w:val="center"/>
            <w:hideMark/>
          </w:tcPr>
          <w:p w14:paraId="4E3F33A9" w14:textId="50475CA6" w:rsidR="00EE1783" w:rsidRPr="00C23847" w:rsidRDefault="00407F77" w:rsidP="00C23847">
            <w:pPr>
              <w:jc w:val="left"/>
              <w:rPr>
                <w:rFonts w:cs="Times New Roman"/>
                <w:color w:val="000000"/>
                <w:sz w:val="20"/>
                <w:szCs w:val="20"/>
              </w:rPr>
            </w:pPr>
            <w:r w:rsidRPr="00C23847">
              <w:rPr>
                <w:rFonts w:cs="Times New Roman"/>
                <w:color w:val="000000"/>
                <w:sz w:val="20"/>
                <w:szCs w:val="20"/>
              </w:rPr>
              <w:t xml:space="preserve">Audited MDAs provide a formal response to audit findings, but it is not necessarily comprehensive </w:t>
            </w:r>
            <w:r w:rsidR="00AC650E">
              <w:rPr>
                <w:rFonts w:cs="Times New Roman"/>
                <w:color w:val="000000"/>
                <w:sz w:val="20"/>
                <w:szCs w:val="20"/>
              </w:rPr>
              <w:t>and</w:t>
            </w:r>
            <w:r w:rsidR="00AC650E" w:rsidRPr="00C23847">
              <w:rPr>
                <w:rFonts w:cs="Times New Roman"/>
                <w:color w:val="000000"/>
                <w:sz w:val="20"/>
                <w:szCs w:val="20"/>
              </w:rPr>
              <w:t xml:space="preserve"> </w:t>
            </w:r>
            <w:r w:rsidRPr="00C23847">
              <w:rPr>
                <w:rFonts w:cs="Times New Roman"/>
                <w:color w:val="000000"/>
                <w:sz w:val="20"/>
                <w:szCs w:val="20"/>
              </w:rPr>
              <w:t xml:space="preserve">timely. </w:t>
            </w:r>
            <w:r w:rsidR="00EE1783" w:rsidRPr="00C23847">
              <w:rPr>
                <w:rFonts w:cs="Times New Roman"/>
                <w:color w:val="000000"/>
                <w:sz w:val="20"/>
                <w:szCs w:val="20"/>
              </w:rPr>
              <w:t xml:space="preserve">A progress report on the issues raised during </w:t>
            </w:r>
            <w:r w:rsidR="00AC650E">
              <w:rPr>
                <w:rFonts w:cs="Times New Roman"/>
                <w:color w:val="000000"/>
                <w:sz w:val="20"/>
                <w:szCs w:val="20"/>
              </w:rPr>
              <w:t>FY</w:t>
            </w:r>
            <w:r w:rsidR="00EE1783" w:rsidRPr="00C23847">
              <w:rPr>
                <w:rFonts w:cs="Times New Roman"/>
                <w:color w:val="000000"/>
                <w:sz w:val="20"/>
                <w:szCs w:val="20"/>
              </w:rPr>
              <w:t>2014/15 is put in annex of the audit report for FY2015/16.</w:t>
            </w:r>
          </w:p>
        </w:tc>
      </w:tr>
      <w:tr w:rsidR="00EE1783" w:rsidRPr="00C23847" w14:paraId="73B92B3C" w14:textId="77777777" w:rsidTr="00C23847">
        <w:tc>
          <w:tcPr>
            <w:tcW w:w="3969" w:type="dxa"/>
            <w:shd w:val="clear" w:color="auto" w:fill="auto"/>
            <w:vAlign w:val="center"/>
            <w:hideMark/>
          </w:tcPr>
          <w:p w14:paraId="4B8B8991" w14:textId="77777777" w:rsidR="00EE1783" w:rsidRPr="00C23847" w:rsidRDefault="00EE1783" w:rsidP="00C23847">
            <w:pPr>
              <w:jc w:val="left"/>
              <w:rPr>
                <w:rFonts w:cs="Times New Roman"/>
                <w:color w:val="000000"/>
                <w:sz w:val="20"/>
                <w:szCs w:val="20"/>
                <w:lang w:val="fr-FR"/>
              </w:rPr>
            </w:pPr>
            <w:r w:rsidRPr="00C23847">
              <w:rPr>
                <w:rFonts w:cs="Times New Roman"/>
                <w:color w:val="000000"/>
                <w:sz w:val="20"/>
                <w:szCs w:val="20"/>
                <w:lang w:val="fr-FR"/>
              </w:rPr>
              <w:t>PI-30.4 Supreme Audit Institution (SAI) Independence</w:t>
            </w:r>
          </w:p>
        </w:tc>
        <w:tc>
          <w:tcPr>
            <w:tcW w:w="960" w:type="dxa"/>
            <w:shd w:val="clear" w:color="auto" w:fill="auto"/>
            <w:vAlign w:val="center"/>
            <w:hideMark/>
          </w:tcPr>
          <w:p w14:paraId="4329608F"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A</w:t>
            </w:r>
          </w:p>
        </w:tc>
        <w:tc>
          <w:tcPr>
            <w:tcW w:w="7310" w:type="dxa"/>
            <w:shd w:val="clear" w:color="auto" w:fill="auto"/>
            <w:vAlign w:val="center"/>
            <w:hideMark/>
          </w:tcPr>
          <w:p w14:paraId="256A2278" w14:textId="5CBA23BF"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SAI operates independently from the </w:t>
            </w:r>
            <w:r w:rsidR="00AC650E">
              <w:rPr>
                <w:rFonts w:cs="Times New Roman"/>
                <w:color w:val="000000"/>
                <w:sz w:val="20"/>
                <w:szCs w:val="20"/>
              </w:rPr>
              <w:t>E</w:t>
            </w:r>
            <w:r w:rsidRPr="00C23847">
              <w:rPr>
                <w:rFonts w:cs="Times New Roman"/>
                <w:color w:val="000000"/>
                <w:sz w:val="20"/>
                <w:szCs w:val="20"/>
              </w:rPr>
              <w:t>xecutive with respect to procedures for the appointment and removal of the Head of the SAI, the planning of audit engagements, arrangements for publicizing reports, and the approval and execution of the SAI’s budget. This independence is assured by law. The SAI has unrestricted and timely access to records, documentation</w:t>
            </w:r>
            <w:r w:rsidR="00AA1C73">
              <w:rPr>
                <w:rFonts w:cs="Times New Roman"/>
                <w:color w:val="000000"/>
                <w:sz w:val="20"/>
                <w:szCs w:val="20"/>
              </w:rPr>
              <w:t>,</w:t>
            </w:r>
            <w:r w:rsidRPr="00C23847">
              <w:rPr>
                <w:rFonts w:cs="Times New Roman"/>
                <w:color w:val="000000"/>
                <w:sz w:val="20"/>
                <w:szCs w:val="20"/>
              </w:rPr>
              <w:t xml:space="preserve"> and information.</w:t>
            </w:r>
          </w:p>
        </w:tc>
      </w:tr>
      <w:tr w:rsidR="00EE1783" w:rsidRPr="00C23847" w14:paraId="13576871" w14:textId="77777777" w:rsidTr="00C23847">
        <w:tc>
          <w:tcPr>
            <w:tcW w:w="3969" w:type="dxa"/>
            <w:shd w:val="clear" w:color="000000" w:fill="E7E6E6"/>
            <w:vAlign w:val="center"/>
            <w:hideMark/>
          </w:tcPr>
          <w:p w14:paraId="21BC8E3E" w14:textId="77777777" w:rsidR="00EE1783" w:rsidRPr="00C23847" w:rsidRDefault="00EE1783" w:rsidP="00C23847">
            <w:pPr>
              <w:jc w:val="left"/>
              <w:rPr>
                <w:rFonts w:cs="Times New Roman"/>
                <w:b/>
                <w:bCs/>
                <w:color w:val="000000"/>
                <w:sz w:val="20"/>
                <w:szCs w:val="20"/>
              </w:rPr>
            </w:pPr>
            <w:r w:rsidRPr="00C23847">
              <w:rPr>
                <w:rFonts w:cs="Times New Roman"/>
                <w:b/>
                <w:bCs/>
                <w:color w:val="000000"/>
                <w:sz w:val="20"/>
                <w:szCs w:val="20"/>
              </w:rPr>
              <w:t>PI-31. Legislative scrutiny of audit reports (M2)</w:t>
            </w:r>
          </w:p>
        </w:tc>
        <w:tc>
          <w:tcPr>
            <w:tcW w:w="960" w:type="dxa"/>
            <w:shd w:val="clear" w:color="000000" w:fill="E7E6E6"/>
            <w:vAlign w:val="center"/>
            <w:hideMark/>
          </w:tcPr>
          <w:p w14:paraId="59A9944C" w14:textId="77777777" w:rsidR="00EE1783" w:rsidRPr="00C23847" w:rsidRDefault="00EE1783" w:rsidP="00C23847">
            <w:pPr>
              <w:jc w:val="center"/>
              <w:rPr>
                <w:rFonts w:cs="Times New Roman"/>
                <w:b/>
                <w:bCs/>
                <w:color w:val="000000"/>
                <w:sz w:val="20"/>
                <w:szCs w:val="20"/>
                <w:lang w:val="fr-FR"/>
              </w:rPr>
            </w:pPr>
            <w:r w:rsidRPr="00C23847">
              <w:rPr>
                <w:rFonts w:cs="Times New Roman"/>
                <w:b/>
                <w:bCs/>
                <w:color w:val="000000"/>
                <w:sz w:val="20"/>
                <w:szCs w:val="20"/>
                <w:lang w:val="fr-FR"/>
              </w:rPr>
              <w:t>D</w:t>
            </w:r>
          </w:p>
        </w:tc>
        <w:tc>
          <w:tcPr>
            <w:tcW w:w="7310" w:type="dxa"/>
            <w:shd w:val="clear" w:color="000000" w:fill="E7E6E6"/>
            <w:vAlign w:val="center"/>
            <w:hideMark/>
          </w:tcPr>
          <w:p w14:paraId="59AB1527" w14:textId="77777777" w:rsidR="00EE1783" w:rsidRPr="00C23847" w:rsidRDefault="00EE1783" w:rsidP="00C23847">
            <w:pPr>
              <w:jc w:val="left"/>
              <w:rPr>
                <w:rFonts w:cs="Times New Roman"/>
                <w:b/>
                <w:bCs/>
                <w:color w:val="000000"/>
                <w:sz w:val="20"/>
                <w:szCs w:val="20"/>
                <w:lang w:val="fr-FR"/>
              </w:rPr>
            </w:pPr>
            <w:r w:rsidRPr="00C23847">
              <w:rPr>
                <w:rFonts w:cs="Times New Roman"/>
                <w:b/>
                <w:bCs/>
                <w:color w:val="000000"/>
                <w:sz w:val="20"/>
                <w:szCs w:val="20"/>
                <w:lang w:val="fr-FR"/>
              </w:rPr>
              <w:t> </w:t>
            </w:r>
          </w:p>
        </w:tc>
      </w:tr>
      <w:tr w:rsidR="00EE1783" w:rsidRPr="00C23847" w14:paraId="05F57CDE" w14:textId="77777777" w:rsidTr="00C23847">
        <w:tc>
          <w:tcPr>
            <w:tcW w:w="3969" w:type="dxa"/>
            <w:shd w:val="clear" w:color="auto" w:fill="auto"/>
            <w:vAlign w:val="center"/>
            <w:hideMark/>
          </w:tcPr>
          <w:p w14:paraId="1B4E606A"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PI-31.1. Timing of audit report scrutiny</w:t>
            </w:r>
          </w:p>
        </w:tc>
        <w:tc>
          <w:tcPr>
            <w:tcW w:w="960" w:type="dxa"/>
            <w:shd w:val="clear" w:color="auto" w:fill="auto"/>
            <w:vAlign w:val="center"/>
            <w:hideMark/>
          </w:tcPr>
          <w:p w14:paraId="28D5802D" w14:textId="6E41337D"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21A304A2"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Scrutiny of audit reports is completed within 12 months in most instances. However, this could not be verified due to lack of supporting documentation. </w:t>
            </w:r>
          </w:p>
        </w:tc>
      </w:tr>
      <w:tr w:rsidR="00EE1783" w:rsidRPr="00C23847" w14:paraId="177A62DD" w14:textId="77777777" w:rsidTr="00C23847">
        <w:tc>
          <w:tcPr>
            <w:tcW w:w="3969" w:type="dxa"/>
            <w:shd w:val="clear" w:color="auto" w:fill="auto"/>
            <w:vAlign w:val="center"/>
            <w:hideMark/>
          </w:tcPr>
          <w:p w14:paraId="35C40519"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PI-31.2. Hearings on audit findings</w:t>
            </w:r>
          </w:p>
        </w:tc>
        <w:tc>
          <w:tcPr>
            <w:tcW w:w="960" w:type="dxa"/>
            <w:shd w:val="clear" w:color="auto" w:fill="auto"/>
            <w:vAlign w:val="center"/>
            <w:hideMark/>
          </w:tcPr>
          <w:p w14:paraId="3C046F9E" w14:textId="2CA6831C" w:rsidR="00EE1783" w:rsidRPr="00C23847" w:rsidRDefault="009972FE"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113ACA95" w14:textId="77F3946C"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In-depth hearings on key findings of audit reports </w:t>
            </w:r>
            <w:r w:rsidR="009972FE" w:rsidRPr="00C23847">
              <w:rPr>
                <w:rFonts w:cs="Times New Roman"/>
                <w:color w:val="000000"/>
                <w:sz w:val="20"/>
                <w:szCs w:val="20"/>
              </w:rPr>
              <w:t xml:space="preserve">should </w:t>
            </w:r>
            <w:r w:rsidRPr="00C23847">
              <w:rPr>
                <w:rFonts w:cs="Times New Roman"/>
                <w:color w:val="000000"/>
                <w:sz w:val="20"/>
                <w:szCs w:val="20"/>
              </w:rPr>
              <w:t xml:space="preserve">take place occasionally, </w:t>
            </w:r>
            <w:r w:rsidR="009972FE" w:rsidRPr="00C23847">
              <w:rPr>
                <w:rFonts w:cs="Times New Roman"/>
                <w:color w:val="000000"/>
                <w:sz w:val="20"/>
                <w:szCs w:val="20"/>
              </w:rPr>
              <w:t>but o</w:t>
            </w:r>
            <w:r w:rsidRPr="00C23847">
              <w:rPr>
                <w:rFonts w:cs="Times New Roman"/>
                <w:color w:val="000000"/>
                <w:sz w:val="20"/>
                <w:szCs w:val="20"/>
              </w:rPr>
              <w:t>nly the external audit for the year 2013/14 has been fully completed and discussed</w:t>
            </w:r>
            <w:r w:rsidR="00AA1C73">
              <w:rPr>
                <w:rFonts w:cs="Times New Roman"/>
                <w:color w:val="000000"/>
                <w:sz w:val="20"/>
                <w:szCs w:val="20"/>
              </w:rPr>
              <w:t xml:space="preserve"> </w:t>
            </w:r>
            <w:r w:rsidR="009972FE" w:rsidRPr="00C23847">
              <w:rPr>
                <w:rFonts w:cs="Times New Roman"/>
                <w:color w:val="000000"/>
                <w:sz w:val="20"/>
                <w:szCs w:val="20"/>
              </w:rPr>
              <w:t>and no evidence of hearings w</w:t>
            </w:r>
            <w:r w:rsidR="00AA1C73">
              <w:rPr>
                <w:rFonts w:cs="Times New Roman"/>
                <w:color w:val="000000"/>
                <w:sz w:val="20"/>
                <w:szCs w:val="20"/>
              </w:rPr>
              <w:t>as</w:t>
            </w:r>
            <w:r w:rsidR="009972FE" w:rsidRPr="00C23847">
              <w:rPr>
                <w:rFonts w:cs="Times New Roman"/>
                <w:color w:val="000000"/>
                <w:sz w:val="20"/>
                <w:szCs w:val="20"/>
              </w:rPr>
              <w:t xml:space="preserve"> provided.</w:t>
            </w:r>
          </w:p>
        </w:tc>
      </w:tr>
      <w:tr w:rsidR="00EE1783" w:rsidRPr="00C23847" w14:paraId="40162C08" w14:textId="77777777" w:rsidTr="00C23847">
        <w:tc>
          <w:tcPr>
            <w:tcW w:w="3969" w:type="dxa"/>
            <w:shd w:val="clear" w:color="auto" w:fill="auto"/>
            <w:vAlign w:val="center"/>
            <w:hideMark/>
          </w:tcPr>
          <w:p w14:paraId="4D2F7C9F"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PI-31.3. Recommendations on audit by the legislature</w:t>
            </w:r>
          </w:p>
        </w:tc>
        <w:tc>
          <w:tcPr>
            <w:tcW w:w="960" w:type="dxa"/>
            <w:shd w:val="clear" w:color="auto" w:fill="auto"/>
            <w:vAlign w:val="center"/>
            <w:hideMark/>
          </w:tcPr>
          <w:p w14:paraId="31CCAC6A"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13FF3162" w14:textId="5691DBE8" w:rsidR="00EE1783" w:rsidRPr="00C23847" w:rsidRDefault="00EE1783" w:rsidP="00C23847">
            <w:pPr>
              <w:jc w:val="left"/>
              <w:rPr>
                <w:rFonts w:cs="Times New Roman"/>
                <w:color w:val="000000"/>
                <w:sz w:val="20"/>
                <w:szCs w:val="20"/>
              </w:rPr>
            </w:pPr>
            <w:r w:rsidRPr="00C23847">
              <w:rPr>
                <w:rFonts w:cs="Times New Roman"/>
                <w:color w:val="000000"/>
                <w:sz w:val="20"/>
                <w:szCs w:val="20"/>
              </w:rPr>
              <w:t xml:space="preserve">The assembly has a process for monitoring implementation of audit recommendations. However, no record of recommendations by the legislatures for actions to be taken up by the </w:t>
            </w:r>
            <w:r w:rsidR="00AA1C73">
              <w:rPr>
                <w:rFonts w:cs="Times New Roman"/>
                <w:color w:val="000000"/>
                <w:sz w:val="20"/>
                <w:szCs w:val="20"/>
              </w:rPr>
              <w:t>E</w:t>
            </w:r>
            <w:r w:rsidRPr="00C23847">
              <w:rPr>
                <w:rFonts w:cs="Times New Roman"/>
                <w:color w:val="000000"/>
                <w:sz w:val="20"/>
                <w:szCs w:val="20"/>
              </w:rPr>
              <w:t>xecutive was provided.</w:t>
            </w:r>
          </w:p>
        </w:tc>
      </w:tr>
      <w:tr w:rsidR="00EE1783" w:rsidRPr="00C23847" w14:paraId="665C2D19" w14:textId="77777777" w:rsidTr="00C23847">
        <w:tc>
          <w:tcPr>
            <w:tcW w:w="3969" w:type="dxa"/>
            <w:shd w:val="clear" w:color="auto" w:fill="auto"/>
            <w:vAlign w:val="center"/>
            <w:hideMark/>
          </w:tcPr>
          <w:p w14:paraId="2DA407EC"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PI-31.4. Transparency of legislative scrutiny of audit reports</w:t>
            </w:r>
          </w:p>
        </w:tc>
        <w:tc>
          <w:tcPr>
            <w:tcW w:w="960" w:type="dxa"/>
            <w:shd w:val="clear" w:color="auto" w:fill="auto"/>
            <w:vAlign w:val="center"/>
            <w:hideMark/>
          </w:tcPr>
          <w:p w14:paraId="08D0BA7C" w14:textId="77777777" w:rsidR="00EE1783" w:rsidRPr="00C23847" w:rsidRDefault="00EE1783" w:rsidP="00C23847">
            <w:pPr>
              <w:jc w:val="center"/>
              <w:rPr>
                <w:rFonts w:cs="Times New Roman"/>
                <w:color w:val="000000"/>
                <w:sz w:val="20"/>
                <w:szCs w:val="20"/>
                <w:lang w:val="fr-FR"/>
              </w:rPr>
            </w:pPr>
            <w:r w:rsidRPr="00C23847">
              <w:rPr>
                <w:rFonts w:cs="Times New Roman"/>
                <w:color w:val="000000"/>
                <w:sz w:val="20"/>
                <w:szCs w:val="20"/>
                <w:lang w:val="fr-FR"/>
              </w:rPr>
              <w:t>D*</w:t>
            </w:r>
          </w:p>
        </w:tc>
        <w:tc>
          <w:tcPr>
            <w:tcW w:w="7310" w:type="dxa"/>
            <w:shd w:val="clear" w:color="auto" w:fill="auto"/>
            <w:vAlign w:val="center"/>
            <w:hideMark/>
          </w:tcPr>
          <w:p w14:paraId="4A8EE10B" w14:textId="77777777" w:rsidR="00EE1783" w:rsidRPr="00C23847" w:rsidRDefault="00EE1783" w:rsidP="00C23847">
            <w:pPr>
              <w:jc w:val="left"/>
              <w:rPr>
                <w:rFonts w:cs="Times New Roman"/>
                <w:color w:val="000000"/>
                <w:sz w:val="20"/>
                <w:szCs w:val="20"/>
              </w:rPr>
            </w:pPr>
            <w:r w:rsidRPr="00C23847">
              <w:rPr>
                <w:rFonts w:cs="Times New Roman"/>
                <w:color w:val="000000"/>
                <w:sz w:val="20"/>
                <w:szCs w:val="20"/>
              </w:rPr>
              <w:t>Committee reports have not been provided.</w:t>
            </w:r>
          </w:p>
        </w:tc>
      </w:tr>
    </w:tbl>
    <w:p w14:paraId="19E3BC44" w14:textId="77777777" w:rsidR="00B652B6" w:rsidRDefault="00B652B6" w:rsidP="006D24AF">
      <w:pPr>
        <w:rPr>
          <w:rFonts w:eastAsia="Calibri"/>
        </w:rPr>
        <w:sectPr w:rsidR="00B652B6" w:rsidSect="00B652B6">
          <w:pgSz w:w="15840" w:h="12240" w:orient="landscape"/>
          <w:pgMar w:top="1440" w:right="1440" w:bottom="1440" w:left="1440" w:header="760" w:footer="723" w:gutter="0"/>
          <w:cols w:space="720"/>
          <w:docGrid w:linePitch="326"/>
        </w:sectPr>
      </w:pPr>
    </w:p>
    <w:p w14:paraId="5EC794E0" w14:textId="0E72437A" w:rsidR="00CA52CE" w:rsidRPr="00196FAE" w:rsidRDefault="00CA52CE" w:rsidP="00196FAE">
      <w:pPr>
        <w:pStyle w:val="Heading1"/>
        <w:numPr>
          <w:ilvl w:val="0"/>
          <w:numId w:val="0"/>
        </w:numPr>
        <w:rPr>
          <w:smallCaps w:val="0"/>
        </w:rPr>
      </w:pPr>
      <w:bookmarkStart w:id="136" w:name="_Toc532426053"/>
      <w:r w:rsidRPr="00196FAE">
        <w:rPr>
          <w:smallCaps w:val="0"/>
        </w:rPr>
        <w:t xml:space="preserve">Annex </w:t>
      </w:r>
      <w:r w:rsidR="00466728" w:rsidRPr="00196FAE">
        <w:rPr>
          <w:smallCaps w:val="0"/>
        </w:rPr>
        <w:t>2</w:t>
      </w:r>
      <w:r w:rsidRPr="00196FAE">
        <w:rPr>
          <w:smallCaps w:val="0"/>
        </w:rPr>
        <w:t xml:space="preserve">. Summary of </w:t>
      </w:r>
      <w:r w:rsidR="00196FAE">
        <w:rPr>
          <w:smallCaps w:val="0"/>
        </w:rPr>
        <w:t>O</w:t>
      </w:r>
      <w:r w:rsidRPr="00196FAE">
        <w:rPr>
          <w:smallCaps w:val="0"/>
        </w:rPr>
        <w:t xml:space="preserve">bservations on the </w:t>
      </w:r>
      <w:r w:rsidR="00196FAE">
        <w:rPr>
          <w:smallCaps w:val="0"/>
        </w:rPr>
        <w:t>I</w:t>
      </w:r>
      <w:r w:rsidRPr="00196FAE">
        <w:rPr>
          <w:smallCaps w:val="0"/>
        </w:rPr>
        <w:t xml:space="preserve">nternal </w:t>
      </w:r>
      <w:r w:rsidR="00196FAE">
        <w:rPr>
          <w:smallCaps w:val="0"/>
        </w:rPr>
        <w:t>C</w:t>
      </w:r>
      <w:r w:rsidRPr="00196FAE">
        <w:rPr>
          <w:smallCaps w:val="0"/>
        </w:rPr>
        <w:t xml:space="preserve">ontrol </w:t>
      </w:r>
      <w:r w:rsidR="00196FAE">
        <w:rPr>
          <w:smallCaps w:val="0"/>
        </w:rPr>
        <w:t>F</w:t>
      </w:r>
      <w:r w:rsidRPr="00196FAE">
        <w:rPr>
          <w:smallCaps w:val="0"/>
        </w:rPr>
        <w:t>ramework</w:t>
      </w:r>
      <w:bookmarkEnd w:id="135"/>
      <w:bookmarkEnd w:id="136"/>
    </w:p>
    <w:tbl>
      <w:tblPr>
        <w:tblW w:w="949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20" w:firstRow="1" w:lastRow="0" w:firstColumn="0" w:lastColumn="0" w:noHBand="1" w:noVBand="1"/>
      </w:tblPr>
      <w:tblGrid>
        <w:gridCol w:w="2718"/>
        <w:gridCol w:w="6775"/>
      </w:tblGrid>
      <w:tr w:rsidR="00466728" w:rsidRPr="00C23847" w14:paraId="0AD83C0C" w14:textId="77777777" w:rsidTr="00C23847">
        <w:trPr>
          <w:tblHeader/>
        </w:trPr>
        <w:tc>
          <w:tcPr>
            <w:tcW w:w="2718" w:type="dxa"/>
            <w:shd w:val="clear" w:color="auto" w:fill="5B9BD5"/>
          </w:tcPr>
          <w:p w14:paraId="0E7A7AC4" w14:textId="21115F8B" w:rsidR="00466728" w:rsidRPr="00C23847" w:rsidRDefault="00466728" w:rsidP="00C23847">
            <w:pPr>
              <w:jc w:val="center"/>
              <w:rPr>
                <w:b/>
                <w:color w:val="FFFFFF" w:themeColor="background1"/>
                <w:sz w:val="20"/>
                <w:szCs w:val="20"/>
              </w:rPr>
            </w:pPr>
            <w:r w:rsidRPr="00C23847">
              <w:rPr>
                <w:b/>
                <w:color w:val="FFFFFF" w:themeColor="background1"/>
                <w:sz w:val="20"/>
                <w:szCs w:val="20"/>
              </w:rPr>
              <w:t>Internal control components and elements</w:t>
            </w:r>
          </w:p>
        </w:tc>
        <w:tc>
          <w:tcPr>
            <w:tcW w:w="6775" w:type="dxa"/>
            <w:shd w:val="clear" w:color="auto" w:fill="5B9BD5"/>
          </w:tcPr>
          <w:p w14:paraId="0BC47564" w14:textId="328B2ABE" w:rsidR="00466728" w:rsidRPr="00C23847" w:rsidRDefault="00466728" w:rsidP="00C23847">
            <w:pPr>
              <w:jc w:val="center"/>
              <w:rPr>
                <w:b/>
                <w:color w:val="FFFFFF" w:themeColor="background1"/>
                <w:sz w:val="20"/>
                <w:szCs w:val="20"/>
              </w:rPr>
            </w:pPr>
            <w:r w:rsidRPr="00C23847">
              <w:rPr>
                <w:b/>
                <w:color w:val="FFFFFF" w:themeColor="background1"/>
                <w:sz w:val="20"/>
                <w:szCs w:val="20"/>
              </w:rPr>
              <w:t>Summary of observations</w:t>
            </w:r>
          </w:p>
        </w:tc>
      </w:tr>
      <w:tr w:rsidR="00466728" w:rsidRPr="00C23847" w14:paraId="29753A3B" w14:textId="77777777" w:rsidTr="00C23847">
        <w:tc>
          <w:tcPr>
            <w:tcW w:w="2718" w:type="dxa"/>
            <w:shd w:val="clear" w:color="auto" w:fill="auto"/>
          </w:tcPr>
          <w:p w14:paraId="24844D1C" w14:textId="77777777" w:rsidR="00466728" w:rsidRPr="00C23847" w:rsidRDefault="00466728" w:rsidP="00C23847">
            <w:pPr>
              <w:jc w:val="left"/>
              <w:rPr>
                <w:sz w:val="20"/>
                <w:szCs w:val="20"/>
              </w:rPr>
            </w:pPr>
            <w:r w:rsidRPr="00C23847">
              <w:rPr>
                <w:sz w:val="20"/>
                <w:szCs w:val="20"/>
              </w:rPr>
              <w:t xml:space="preserve">1. Control environment </w:t>
            </w:r>
          </w:p>
        </w:tc>
        <w:tc>
          <w:tcPr>
            <w:tcW w:w="6775" w:type="dxa"/>
            <w:shd w:val="clear" w:color="auto" w:fill="auto"/>
          </w:tcPr>
          <w:p w14:paraId="028F0038" w14:textId="0F8770BC" w:rsidR="00466728" w:rsidRPr="00C23847" w:rsidRDefault="00466728" w:rsidP="00C23847">
            <w:pPr>
              <w:jc w:val="left"/>
              <w:rPr>
                <w:sz w:val="20"/>
                <w:szCs w:val="20"/>
              </w:rPr>
            </w:pPr>
            <w:r w:rsidRPr="00C23847">
              <w:rPr>
                <w:sz w:val="20"/>
                <w:szCs w:val="20"/>
              </w:rPr>
              <w:t xml:space="preserve">The regulatory framework in the </w:t>
            </w:r>
            <w:r w:rsidR="00AA1C73">
              <w:rPr>
                <w:sz w:val="20"/>
                <w:szCs w:val="20"/>
              </w:rPr>
              <w:t>c</w:t>
            </w:r>
            <w:r w:rsidRPr="00C23847">
              <w:rPr>
                <w:sz w:val="20"/>
                <w:szCs w:val="20"/>
              </w:rPr>
              <w:t xml:space="preserve">ounty </w:t>
            </w:r>
            <w:r w:rsidR="00545B0C" w:rsidRPr="00C23847">
              <w:rPr>
                <w:sz w:val="20"/>
                <w:szCs w:val="20"/>
              </w:rPr>
              <w:t>is derived</w:t>
            </w:r>
            <w:r w:rsidRPr="00C23847">
              <w:rPr>
                <w:sz w:val="20"/>
                <w:szCs w:val="20"/>
              </w:rPr>
              <w:t xml:space="preserve"> from the national regulation such as the Kenya Constitution 2010</w:t>
            </w:r>
            <w:r w:rsidR="00AA1C73">
              <w:rPr>
                <w:sz w:val="20"/>
                <w:szCs w:val="20"/>
              </w:rPr>
              <w:t>;</w:t>
            </w:r>
            <w:r w:rsidRPr="00C23847">
              <w:rPr>
                <w:sz w:val="20"/>
                <w:szCs w:val="20"/>
              </w:rPr>
              <w:t xml:space="preserve"> the </w:t>
            </w:r>
            <w:r w:rsidR="00FB6314">
              <w:rPr>
                <w:sz w:val="20"/>
                <w:szCs w:val="20"/>
              </w:rPr>
              <w:t>PFM</w:t>
            </w:r>
            <w:r w:rsidRPr="00C23847">
              <w:rPr>
                <w:sz w:val="20"/>
                <w:szCs w:val="20"/>
              </w:rPr>
              <w:t xml:space="preserve"> Act</w:t>
            </w:r>
            <w:r w:rsidR="00FB6314">
              <w:rPr>
                <w:sz w:val="20"/>
                <w:szCs w:val="20"/>
              </w:rPr>
              <w:t>,</w:t>
            </w:r>
            <w:r w:rsidRPr="00C23847">
              <w:rPr>
                <w:sz w:val="20"/>
                <w:szCs w:val="20"/>
              </w:rPr>
              <w:t xml:space="preserve"> 2012</w:t>
            </w:r>
            <w:r w:rsidR="00AA1C73">
              <w:rPr>
                <w:sz w:val="20"/>
                <w:szCs w:val="20"/>
              </w:rPr>
              <w:t>;</w:t>
            </w:r>
            <w:r w:rsidRPr="00C23847">
              <w:rPr>
                <w:sz w:val="20"/>
                <w:szCs w:val="20"/>
              </w:rPr>
              <w:t xml:space="preserve"> and the PFM Regulations 2015. Government circulars are issued periodically to ensure compliance with the laws.</w:t>
            </w:r>
          </w:p>
          <w:p w14:paraId="43081E0A" w14:textId="3AE45606" w:rsidR="00466728" w:rsidRPr="00C23847" w:rsidRDefault="00466728" w:rsidP="00C23847">
            <w:pPr>
              <w:jc w:val="left"/>
              <w:rPr>
                <w:sz w:val="20"/>
                <w:szCs w:val="20"/>
              </w:rPr>
            </w:pPr>
            <w:r w:rsidRPr="00C23847">
              <w:rPr>
                <w:sz w:val="20"/>
                <w:szCs w:val="20"/>
              </w:rPr>
              <w:t xml:space="preserve">An </w:t>
            </w:r>
            <w:r w:rsidR="00AA1C73">
              <w:rPr>
                <w:sz w:val="20"/>
                <w:szCs w:val="20"/>
              </w:rPr>
              <w:t>I</w:t>
            </w:r>
            <w:r w:rsidRPr="00C23847">
              <w:rPr>
                <w:sz w:val="20"/>
                <w:szCs w:val="20"/>
              </w:rPr>
              <w:t xml:space="preserve">nternal </w:t>
            </w:r>
            <w:r w:rsidR="00AA1C73">
              <w:rPr>
                <w:sz w:val="20"/>
                <w:szCs w:val="20"/>
              </w:rPr>
              <w:t>A</w:t>
            </w:r>
            <w:r w:rsidRPr="00C23847">
              <w:rPr>
                <w:sz w:val="20"/>
                <w:szCs w:val="20"/>
              </w:rPr>
              <w:t>udi</w:t>
            </w:r>
            <w:r w:rsidR="00545B0C" w:rsidRPr="00C23847">
              <w:rPr>
                <w:sz w:val="20"/>
                <w:szCs w:val="20"/>
              </w:rPr>
              <w:t xml:space="preserve">t </w:t>
            </w:r>
            <w:r w:rsidR="00AA1C73">
              <w:rPr>
                <w:sz w:val="20"/>
                <w:szCs w:val="20"/>
              </w:rPr>
              <w:t>D</w:t>
            </w:r>
            <w:r w:rsidR="00545B0C" w:rsidRPr="00C23847">
              <w:rPr>
                <w:sz w:val="20"/>
                <w:szCs w:val="20"/>
              </w:rPr>
              <w:t>epartment has been set up with few staff</w:t>
            </w:r>
            <w:r w:rsidRPr="00C23847">
              <w:rPr>
                <w:sz w:val="20"/>
                <w:szCs w:val="20"/>
              </w:rPr>
              <w:t xml:space="preserve">, which is largely insufficient. </w:t>
            </w:r>
            <w:r w:rsidR="009E17D5" w:rsidRPr="00C23847">
              <w:rPr>
                <w:sz w:val="20"/>
                <w:szCs w:val="20"/>
              </w:rPr>
              <w:t>Annual external audits</w:t>
            </w:r>
            <w:r w:rsidRPr="00C23847">
              <w:rPr>
                <w:sz w:val="20"/>
                <w:szCs w:val="20"/>
              </w:rPr>
              <w:t xml:space="preserve"> are carried out by the OAG</w:t>
            </w:r>
            <w:r w:rsidR="00AA1C73">
              <w:rPr>
                <w:sz w:val="20"/>
                <w:szCs w:val="20"/>
              </w:rPr>
              <w:t>,</w:t>
            </w:r>
            <w:r w:rsidRPr="00C23847">
              <w:rPr>
                <w:sz w:val="20"/>
                <w:szCs w:val="20"/>
              </w:rPr>
              <w:t xml:space="preserve"> which is an independent body but operates at the national level. Audit reports are submitted to the </w:t>
            </w:r>
            <w:r w:rsidR="00AA1C73">
              <w:rPr>
                <w:sz w:val="20"/>
                <w:szCs w:val="20"/>
              </w:rPr>
              <w:t>C</w:t>
            </w:r>
            <w:r w:rsidRPr="00C23847">
              <w:rPr>
                <w:sz w:val="20"/>
                <w:szCs w:val="20"/>
              </w:rPr>
              <w:t xml:space="preserve">ounty </w:t>
            </w:r>
            <w:r w:rsidR="00AA1C73">
              <w:rPr>
                <w:sz w:val="20"/>
                <w:szCs w:val="20"/>
              </w:rPr>
              <w:t>A</w:t>
            </w:r>
            <w:r w:rsidRPr="00C23847">
              <w:rPr>
                <w:sz w:val="20"/>
                <w:szCs w:val="20"/>
              </w:rPr>
              <w:t xml:space="preserve">ssembly when completed. There </w:t>
            </w:r>
            <w:r w:rsidR="00AA1C73">
              <w:rPr>
                <w:sz w:val="20"/>
                <w:szCs w:val="20"/>
              </w:rPr>
              <w:t>are</w:t>
            </w:r>
            <w:r w:rsidR="00EA0D4E" w:rsidRPr="00C23847">
              <w:rPr>
                <w:sz w:val="20"/>
                <w:szCs w:val="20"/>
              </w:rPr>
              <w:t>, however,</w:t>
            </w:r>
            <w:r w:rsidRPr="00C23847">
              <w:rPr>
                <w:sz w:val="20"/>
                <w:szCs w:val="20"/>
              </w:rPr>
              <w:t xml:space="preserve"> delays in completion of the external audits. The last received audit reports were for 2014</w:t>
            </w:r>
            <w:r w:rsidR="00AA1C73">
              <w:rPr>
                <w:sz w:val="20"/>
                <w:szCs w:val="20"/>
              </w:rPr>
              <w:t>–</w:t>
            </w:r>
            <w:r w:rsidRPr="00C23847">
              <w:rPr>
                <w:sz w:val="20"/>
                <w:szCs w:val="20"/>
              </w:rPr>
              <w:t>15.</w:t>
            </w:r>
          </w:p>
        </w:tc>
      </w:tr>
      <w:tr w:rsidR="00466728" w:rsidRPr="00C23847" w14:paraId="4DC019E7" w14:textId="77777777" w:rsidTr="00C23847">
        <w:tc>
          <w:tcPr>
            <w:tcW w:w="2718" w:type="dxa"/>
            <w:shd w:val="clear" w:color="auto" w:fill="auto"/>
          </w:tcPr>
          <w:p w14:paraId="1147B6B0" w14:textId="77777777" w:rsidR="00466728" w:rsidRPr="00C23847" w:rsidRDefault="00466728" w:rsidP="00C23847">
            <w:pPr>
              <w:jc w:val="left"/>
              <w:rPr>
                <w:sz w:val="20"/>
                <w:szCs w:val="20"/>
              </w:rPr>
            </w:pPr>
            <w:r w:rsidRPr="00C23847">
              <w:rPr>
                <w:sz w:val="20"/>
                <w:szCs w:val="20"/>
              </w:rPr>
              <w:t xml:space="preserve">1.1 The personal and professional integrity and ethical values of management and staff, including a supportive attitude toward internal control constantly throughout the organization </w:t>
            </w:r>
          </w:p>
        </w:tc>
        <w:tc>
          <w:tcPr>
            <w:tcW w:w="6775" w:type="dxa"/>
            <w:shd w:val="clear" w:color="auto" w:fill="auto"/>
          </w:tcPr>
          <w:p w14:paraId="07383BD5" w14:textId="20BC28A4" w:rsidR="00466728" w:rsidRPr="00C23847" w:rsidRDefault="00466728" w:rsidP="00C23847">
            <w:pPr>
              <w:jc w:val="left"/>
              <w:rPr>
                <w:sz w:val="20"/>
                <w:szCs w:val="20"/>
              </w:rPr>
            </w:pPr>
            <w:r w:rsidRPr="00C23847">
              <w:rPr>
                <w:sz w:val="20"/>
                <w:szCs w:val="20"/>
              </w:rPr>
              <w:t xml:space="preserve">Chapter </w:t>
            </w:r>
            <w:r w:rsidR="00AA1C73">
              <w:rPr>
                <w:sz w:val="20"/>
                <w:szCs w:val="20"/>
              </w:rPr>
              <w:t>6</w:t>
            </w:r>
            <w:r w:rsidR="00AA1C73" w:rsidRPr="00C23847">
              <w:rPr>
                <w:sz w:val="20"/>
                <w:szCs w:val="20"/>
              </w:rPr>
              <w:t xml:space="preserve"> </w:t>
            </w:r>
            <w:r w:rsidRPr="00C23847">
              <w:rPr>
                <w:sz w:val="20"/>
                <w:szCs w:val="20"/>
              </w:rPr>
              <w:t xml:space="preserve">of the Kenya Constitution sets out the responsibilities of leadership of all public officers. This includes </w:t>
            </w:r>
            <w:r w:rsidR="00AA1C73">
              <w:rPr>
                <w:sz w:val="20"/>
                <w:szCs w:val="20"/>
              </w:rPr>
              <w:t>o</w:t>
            </w:r>
            <w:r w:rsidRPr="00C23847">
              <w:rPr>
                <w:sz w:val="20"/>
                <w:szCs w:val="20"/>
              </w:rPr>
              <w:t xml:space="preserve">ath of office of </w:t>
            </w:r>
            <w:r w:rsidR="00AA1C73">
              <w:rPr>
                <w:sz w:val="20"/>
                <w:szCs w:val="20"/>
              </w:rPr>
              <w:t>s</w:t>
            </w:r>
            <w:r w:rsidRPr="00C23847">
              <w:rPr>
                <w:sz w:val="20"/>
                <w:szCs w:val="20"/>
              </w:rPr>
              <w:t xml:space="preserve">tate officers, </w:t>
            </w:r>
            <w:r w:rsidR="00AA1C73">
              <w:rPr>
                <w:sz w:val="20"/>
                <w:szCs w:val="20"/>
              </w:rPr>
              <w:t>c</w:t>
            </w:r>
            <w:r w:rsidRPr="00C23847">
              <w:rPr>
                <w:sz w:val="20"/>
                <w:szCs w:val="20"/>
              </w:rPr>
              <w:t xml:space="preserve">onduct of </w:t>
            </w:r>
            <w:r w:rsidR="00AA1C73">
              <w:rPr>
                <w:sz w:val="20"/>
                <w:szCs w:val="20"/>
              </w:rPr>
              <w:t>s</w:t>
            </w:r>
            <w:r w:rsidRPr="00C23847">
              <w:rPr>
                <w:sz w:val="20"/>
                <w:szCs w:val="20"/>
              </w:rPr>
              <w:t xml:space="preserve">tate officers, financial probity of </w:t>
            </w:r>
            <w:r w:rsidR="00AA1C73">
              <w:rPr>
                <w:sz w:val="20"/>
                <w:szCs w:val="20"/>
              </w:rPr>
              <w:t>s</w:t>
            </w:r>
            <w:r w:rsidRPr="00C23847">
              <w:rPr>
                <w:sz w:val="20"/>
                <w:szCs w:val="20"/>
              </w:rPr>
              <w:t xml:space="preserve">tate officers, restriction on activities of </w:t>
            </w:r>
            <w:r w:rsidR="00AA1C73">
              <w:rPr>
                <w:sz w:val="20"/>
                <w:szCs w:val="20"/>
              </w:rPr>
              <w:t>s</w:t>
            </w:r>
            <w:r w:rsidRPr="00C23847">
              <w:rPr>
                <w:sz w:val="20"/>
                <w:szCs w:val="20"/>
              </w:rPr>
              <w:t>tate officers, citizenship and leadership, legislation to establish the ethics and anti-corruption commission</w:t>
            </w:r>
            <w:r w:rsidR="00AA1C73">
              <w:rPr>
                <w:sz w:val="20"/>
                <w:szCs w:val="20"/>
              </w:rPr>
              <w:t>,</w:t>
            </w:r>
            <w:r w:rsidRPr="00C23847">
              <w:rPr>
                <w:sz w:val="20"/>
                <w:szCs w:val="20"/>
              </w:rPr>
              <w:t xml:space="preserve"> and legislation on leadership. These appear to be understood and internalized by the management and staff.</w:t>
            </w:r>
          </w:p>
          <w:p w14:paraId="135C0F35" w14:textId="77777777" w:rsidR="00466728" w:rsidRPr="00C23847" w:rsidRDefault="00466728" w:rsidP="00C23847">
            <w:pPr>
              <w:jc w:val="left"/>
              <w:rPr>
                <w:sz w:val="20"/>
                <w:szCs w:val="20"/>
              </w:rPr>
            </w:pPr>
          </w:p>
        </w:tc>
      </w:tr>
      <w:tr w:rsidR="00466728" w:rsidRPr="00C23847" w14:paraId="203DE023" w14:textId="77777777" w:rsidTr="00C23847">
        <w:tc>
          <w:tcPr>
            <w:tcW w:w="2718" w:type="dxa"/>
            <w:shd w:val="clear" w:color="auto" w:fill="auto"/>
          </w:tcPr>
          <w:p w14:paraId="5DAE8EDA" w14:textId="77777777" w:rsidR="00466728" w:rsidRPr="00C23847" w:rsidRDefault="00466728" w:rsidP="00C23847">
            <w:pPr>
              <w:jc w:val="left"/>
              <w:rPr>
                <w:sz w:val="20"/>
                <w:szCs w:val="20"/>
              </w:rPr>
            </w:pPr>
            <w:r w:rsidRPr="00C23847">
              <w:rPr>
                <w:sz w:val="20"/>
                <w:szCs w:val="20"/>
              </w:rPr>
              <w:t>1.2. Commitment to competence</w:t>
            </w:r>
          </w:p>
        </w:tc>
        <w:tc>
          <w:tcPr>
            <w:tcW w:w="6775" w:type="dxa"/>
            <w:shd w:val="clear" w:color="auto" w:fill="auto"/>
          </w:tcPr>
          <w:p w14:paraId="0CAB3C88" w14:textId="2D79F0A0"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With only one person working in the </w:t>
            </w:r>
            <w:r w:rsidR="00AA1C73">
              <w:rPr>
                <w:rFonts w:ascii="Calibri" w:eastAsia="Times New Roman" w:hAnsi="Calibri" w:cs="Calibri"/>
                <w:color w:val="auto"/>
                <w:sz w:val="20"/>
                <w:szCs w:val="20"/>
                <w:lang w:val="en-GB" w:eastAsia="fr-FR"/>
              </w:rPr>
              <w:t>I</w:t>
            </w:r>
            <w:r w:rsidRPr="00C23847">
              <w:rPr>
                <w:rFonts w:ascii="Calibri" w:eastAsia="Times New Roman" w:hAnsi="Calibri" w:cs="Calibri"/>
                <w:color w:val="auto"/>
                <w:sz w:val="20"/>
                <w:szCs w:val="20"/>
                <w:lang w:val="en-GB" w:eastAsia="fr-FR"/>
              </w:rPr>
              <w:t xml:space="preserve">nternal </w:t>
            </w:r>
            <w:r w:rsidR="00AA1C73">
              <w:rPr>
                <w:rFonts w:ascii="Calibri" w:eastAsia="Times New Roman" w:hAnsi="Calibri" w:cs="Calibri"/>
                <w:color w:val="auto"/>
                <w:sz w:val="20"/>
                <w:szCs w:val="20"/>
                <w:lang w:val="en-GB" w:eastAsia="fr-FR"/>
              </w:rPr>
              <w:t>A</w:t>
            </w:r>
            <w:r w:rsidRPr="00C23847">
              <w:rPr>
                <w:rFonts w:ascii="Calibri" w:eastAsia="Times New Roman" w:hAnsi="Calibri" w:cs="Calibri"/>
                <w:color w:val="auto"/>
                <w:sz w:val="20"/>
                <w:szCs w:val="20"/>
                <w:lang w:val="en-GB" w:eastAsia="fr-FR"/>
              </w:rPr>
              <w:t xml:space="preserve">udit </w:t>
            </w:r>
            <w:r w:rsidR="00AA1C73">
              <w:rPr>
                <w:rFonts w:ascii="Calibri" w:eastAsia="Times New Roman" w:hAnsi="Calibri" w:cs="Calibri"/>
                <w:color w:val="auto"/>
                <w:sz w:val="20"/>
                <w:szCs w:val="20"/>
                <w:lang w:val="en-GB" w:eastAsia="fr-FR"/>
              </w:rPr>
              <w:t>D</w:t>
            </w:r>
            <w:r w:rsidRPr="00C23847">
              <w:rPr>
                <w:rFonts w:ascii="Calibri" w:eastAsia="Times New Roman" w:hAnsi="Calibri" w:cs="Calibri"/>
                <w:color w:val="auto"/>
                <w:sz w:val="20"/>
                <w:szCs w:val="20"/>
                <w:lang w:val="en-GB" w:eastAsia="fr-FR"/>
              </w:rPr>
              <w:t xml:space="preserve">epartment, the county does not have access to a pool of qualified professionals who would deliver excellence in service delivery. However, judging from the findings of the external auditor, lack of adequacy of </w:t>
            </w:r>
            <w:r w:rsidR="00AA1C73">
              <w:rPr>
                <w:rFonts w:ascii="Calibri" w:eastAsia="Times New Roman" w:hAnsi="Calibri" w:cs="Calibri"/>
                <w:color w:val="auto"/>
                <w:sz w:val="20"/>
                <w:szCs w:val="20"/>
                <w:lang w:val="en-GB" w:eastAsia="fr-FR"/>
              </w:rPr>
              <w:t>C</w:t>
            </w:r>
            <w:r w:rsidRPr="00C23847">
              <w:rPr>
                <w:rFonts w:ascii="Calibri" w:eastAsia="Times New Roman" w:hAnsi="Calibri" w:cs="Calibri"/>
                <w:color w:val="auto"/>
                <w:sz w:val="20"/>
                <w:szCs w:val="20"/>
                <w:lang w:val="en-GB" w:eastAsia="fr-FR"/>
              </w:rPr>
              <w:t xml:space="preserve">ounty </w:t>
            </w:r>
            <w:r w:rsidR="00AA1C73">
              <w:rPr>
                <w:rFonts w:ascii="Calibri" w:eastAsia="Times New Roman" w:hAnsi="Calibri" w:cs="Calibri"/>
                <w:color w:val="auto"/>
                <w:sz w:val="20"/>
                <w:szCs w:val="20"/>
                <w:lang w:val="en-GB" w:eastAsia="fr-FR"/>
              </w:rPr>
              <w:t>A</w:t>
            </w:r>
            <w:r w:rsidRPr="00C23847">
              <w:rPr>
                <w:rFonts w:ascii="Calibri" w:eastAsia="Times New Roman" w:hAnsi="Calibri" w:cs="Calibri"/>
                <w:color w:val="auto"/>
                <w:sz w:val="20"/>
                <w:szCs w:val="20"/>
                <w:lang w:val="en-GB" w:eastAsia="fr-FR"/>
              </w:rPr>
              <w:t>ssembly oversight</w:t>
            </w:r>
            <w:r w:rsidR="00545B0C" w:rsidRPr="00C23847">
              <w:rPr>
                <w:rFonts w:ascii="Calibri" w:eastAsia="Times New Roman" w:hAnsi="Calibri" w:cs="Calibri"/>
                <w:color w:val="auto"/>
                <w:sz w:val="20"/>
                <w:szCs w:val="20"/>
                <w:lang w:val="en-GB" w:eastAsia="fr-FR"/>
              </w:rPr>
              <w:t xml:space="preserve"> and their </w:t>
            </w:r>
            <w:r w:rsidRPr="00C23847">
              <w:rPr>
                <w:rFonts w:ascii="Calibri" w:eastAsia="Times New Roman" w:hAnsi="Calibri" w:cs="Calibri"/>
                <w:color w:val="auto"/>
                <w:sz w:val="20"/>
                <w:szCs w:val="20"/>
                <w:lang w:val="en-GB" w:eastAsia="fr-FR"/>
              </w:rPr>
              <w:t>competence may not have been felt through results.</w:t>
            </w:r>
          </w:p>
        </w:tc>
      </w:tr>
      <w:tr w:rsidR="00466728" w:rsidRPr="00C23847" w14:paraId="534B76FB" w14:textId="77777777" w:rsidTr="00C23847">
        <w:tc>
          <w:tcPr>
            <w:tcW w:w="2718" w:type="dxa"/>
            <w:shd w:val="clear" w:color="auto" w:fill="auto"/>
          </w:tcPr>
          <w:p w14:paraId="00CC5112" w14:textId="74BFFDD6" w:rsidR="00466728" w:rsidRPr="00C23847" w:rsidRDefault="00466728" w:rsidP="00C23847">
            <w:pPr>
              <w:jc w:val="left"/>
              <w:rPr>
                <w:sz w:val="20"/>
                <w:szCs w:val="20"/>
              </w:rPr>
            </w:pPr>
            <w:r w:rsidRPr="00C23847">
              <w:rPr>
                <w:sz w:val="20"/>
                <w:szCs w:val="20"/>
              </w:rPr>
              <w:t xml:space="preserve">1.3. The </w:t>
            </w:r>
            <w:r w:rsidR="00AA1C73">
              <w:rPr>
                <w:sz w:val="20"/>
                <w:szCs w:val="20"/>
              </w:rPr>
              <w:t>‘</w:t>
            </w:r>
            <w:r w:rsidRPr="00C23847">
              <w:rPr>
                <w:sz w:val="20"/>
                <w:szCs w:val="20"/>
              </w:rPr>
              <w:t>tone at the top</w:t>
            </w:r>
            <w:r w:rsidR="00AA1C73">
              <w:rPr>
                <w:sz w:val="20"/>
                <w:szCs w:val="20"/>
              </w:rPr>
              <w:t>’</w:t>
            </w:r>
            <w:r w:rsidRPr="00C23847">
              <w:rPr>
                <w:sz w:val="20"/>
                <w:szCs w:val="20"/>
              </w:rPr>
              <w:t xml:space="preserve"> (</w:t>
            </w:r>
            <w:r w:rsidR="009D21FC">
              <w:rPr>
                <w:sz w:val="20"/>
                <w:szCs w:val="20"/>
              </w:rPr>
              <w:t>that is,</w:t>
            </w:r>
            <w:r w:rsidRPr="00C23847">
              <w:rPr>
                <w:sz w:val="20"/>
                <w:szCs w:val="20"/>
              </w:rPr>
              <w:t xml:space="preserve"> management’s philosophy and operating style) </w:t>
            </w:r>
          </w:p>
        </w:tc>
        <w:tc>
          <w:tcPr>
            <w:tcW w:w="6775" w:type="dxa"/>
            <w:shd w:val="clear" w:color="auto" w:fill="auto"/>
          </w:tcPr>
          <w:p w14:paraId="394ED56A" w14:textId="524A3987" w:rsidR="00466728" w:rsidRPr="00C23847" w:rsidRDefault="00466728" w:rsidP="00C23847">
            <w:pPr>
              <w:jc w:val="left"/>
              <w:rPr>
                <w:sz w:val="20"/>
                <w:szCs w:val="20"/>
              </w:rPr>
            </w:pPr>
            <w:r w:rsidRPr="00C23847">
              <w:rPr>
                <w:sz w:val="20"/>
                <w:szCs w:val="20"/>
              </w:rPr>
              <w:t xml:space="preserve">The PFM </w:t>
            </w:r>
            <w:r w:rsidR="000C73E4" w:rsidRPr="00C23847">
              <w:rPr>
                <w:sz w:val="20"/>
                <w:szCs w:val="20"/>
              </w:rPr>
              <w:t>Act,</w:t>
            </w:r>
            <w:r w:rsidRPr="00C23847">
              <w:rPr>
                <w:sz w:val="20"/>
                <w:szCs w:val="20"/>
              </w:rPr>
              <w:t xml:space="preserve"> </w:t>
            </w:r>
            <w:r w:rsidR="000C73E4" w:rsidRPr="00C23847">
              <w:rPr>
                <w:sz w:val="20"/>
                <w:szCs w:val="20"/>
              </w:rPr>
              <w:t>2012</w:t>
            </w:r>
            <w:r w:rsidR="009D21FC">
              <w:rPr>
                <w:sz w:val="20"/>
                <w:szCs w:val="20"/>
              </w:rPr>
              <w:t>,</w:t>
            </w:r>
            <w:r w:rsidR="000C73E4" w:rsidRPr="00C23847">
              <w:rPr>
                <w:sz w:val="20"/>
                <w:szCs w:val="20"/>
              </w:rPr>
              <w:t xml:space="preserve"> </w:t>
            </w:r>
            <w:r w:rsidRPr="00C23847">
              <w:rPr>
                <w:sz w:val="20"/>
                <w:szCs w:val="20"/>
              </w:rPr>
              <w:t>paragraph 104 states that management must ensure proper management</w:t>
            </w:r>
            <w:r w:rsidR="00AA1C73">
              <w:rPr>
                <w:sz w:val="20"/>
                <w:szCs w:val="20"/>
              </w:rPr>
              <w:t>,</w:t>
            </w:r>
            <w:r w:rsidRPr="00C23847">
              <w:rPr>
                <w:sz w:val="20"/>
                <w:szCs w:val="20"/>
              </w:rPr>
              <w:t xml:space="preserve"> control of, and accounting for the finances of the county government and its entities to promote efficient and effective use of the county</w:t>
            </w:r>
            <w:r w:rsidR="00AA1C73">
              <w:rPr>
                <w:sz w:val="20"/>
                <w:szCs w:val="20"/>
              </w:rPr>
              <w:t>’</w:t>
            </w:r>
            <w:r w:rsidRPr="00C23847">
              <w:rPr>
                <w:sz w:val="20"/>
                <w:szCs w:val="20"/>
              </w:rPr>
              <w:t>s budgetary resources.</w:t>
            </w:r>
          </w:p>
          <w:p w14:paraId="205E0DFD" w14:textId="048DBEB9" w:rsidR="00466728" w:rsidRPr="00C23847" w:rsidRDefault="00466728" w:rsidP="00C23847">
            <w:pPr>
              <w:jc w:val="left"/>
              <w:rPr>
                <w:sz w:val="20"/>
                <w:szCs w:val="20"/>
              </w:rPr>
            </w:pPr>
            <w:r w:rsidRPr="00C23847">
              <w:rPr>
                <w:sz w:val="20"/>
                <w:szCs w:val="20"/>
              </w:rPr>
              <w:t xml:space="preserve">There is </w:t>
            </w:r>
            <w:r w:rsidR="00704C66" w:rsidRPr="00C23847">
              <w:rPr>
                <w:sz w:val="20"/>
                <w:szCs w:val="20"/>
              </w:rPr>
              <w:t xml:space="preserve">no </w:t>
            </w:r>
            <w:r w:rsidRPr="00C23847">
              <w:rPr>
                <w:sz w:val="20"/>
                <w:szCs w:val="20"/>
              </w:rPr>
              <w:t>leadership, such as management’s philosophy and</w:t>
            </w:r>
            <w:r w:rsidR="00704C66" w:rsidRPr="00C23847">
              <w:rPr>
                <w:sz w:val="20"/>
                <w:szCs w:val="20"/>
              </w:rPr>
              <w:t xml:space="preserve"> operating style in the </w:t>
            </w:r>
            <w:r w:rsidR="009D21FC">
              <w:rPr>
                <w:sz w:val="20"/>
                <w:szCs w:val="20"/>
              </w:rPr>
              <w:t>c</w:t>
            </w:r>
            <w:r w:rsidR="00704C66" w:rsidRPr="00C23847">
              <w:rPr>
                <w:sz w:val="20"/>
                <w:szCs w:val="20"/>
              </w:rPr>
              <w:t xml:space="preserve">ounty, </w:t>
            </w:r>
            <w:r w:rsidRPr="00C23847">
              <w:rPr>
                <w:sz w:val="20"/>
                <w:szCs w:val="20"/>
              </w:rPr>
              <w:t>judging from the work of external auditors where audit findings are not acted upon. In addition, the assembly</w:t>
            </w:r>
            <w:r w:rsidR="00AA1C73">
              <w:rPr>
                <w:sz w:val="20"/>
                <w:szCs w:val="20"/>
              </w:rPr>
              <w:t>,</w:t>
            </w:r>
            <w:r w:rsidRPr="00C23847">
              <w:rPr>
                <w:sz w:val="20"/>
                <w:szCs w:val="20"/>
              </w:rPr>
              <w:t xml:space="preserve"> which is a key institution of control</w:t>
            </w:r>
            <w:r w:rsidR="00AA1C73">
              <w:rPr>
                <w:sz w:val="20"/>
                <w:szCs w:val="20"/>
              </w:rPr>
              <w:t>,</w:t>
            </w:r>
            <w:r w:rsidRPr="00C23847">
              <w:rPr>
                <w:sz w:val="20"/>
                <w:szCs w:val="20"/>
              </w:rPr>
              <w:t xml:space="preserve"> has not also played its oversight role effectively.</w:t>
            </w:r>
          </w:p>
        </w:tc>
      </w:tr>
      <w:tr w:rsidR="00466728" w:rsidRPr="00C23847" w14:paraId="79C5A008" w14:textId="77777777" w:rsidTr="00C23847">
        <w:tc>
          <w:tcPr>
            <w:tcW w:w="2718" w:type="dxa"/>
            <w:shd w:val="clear" w:color="auto" w:fill="auto"/>
          </w:tcPr>
          <w:p w14:paraId="11204D62" w14:textId="77777777" w:rsidR="00466728" w:rsidRPr="00C23847" w:rsidRDefault="00466728" w:rsidP="00C23847">
            <w:pPr>
              <w:jc w:val="left"/>
              <w:rPr>
                <w:sz w:val="20"/>
                <w:szCs w:val="20"/>
              </w:rPr>
            </w:pPr>
            <w:r w:rsidRPr="00C23847">
              <w:rPr>
                <w:sz w:val="20"/>
                <w:szCs w:val="20"/>
              </w:rPr>
              <w:t>1.4. Organizational structure</w:t>
            </w:r>
          </w:p>
        </w:tc>
        <w:tc>
          <w:tcPr>
            <w:tcW w:w="6775" w:type="dxa"/>
            <w:shd w:val="clear" w:color="auto" w:fill="auto"/>
          </w:tcPr>
          <w:p w14:paraId="1F45660C" w14:textId="71D6479C" w:rsidR="00466728" w:rsidRPr="00C23847" w:rsidRDefault="00466728" w:rsidP="00C23847">
            <w:pPr>
              <w:jc w:val="left"/>
              <w:rPr>
                <w:sz w:val="20"/>
                <w:szCs w:val="20"/>
              </w:rPr>
            </w:pPr>
            <w:r w:rsidRPr="00C23847">
              <w:rPr>
                <w:sz w:val="20"/>
                <w:szCs w:val="20"/>
              </w:rPr>
              <w:t xml:space="preserve">The </w:t>
            </w:r>
            <w:r w:rsidR="009D21FC">
              <w:rPr>
                <w:sz w:val="20"/>
                <w:szCs w:val="20"/>
              </w:rPr>
              <w:t>c</w:t>
            </w:r>
            <w:r w:rsidRPr="00C23847">
              <w:rPr>
                <w:sz w:val="20"/>
                <w:szCs w:val="20"/>
              </w:rPr>
              <w:t xml:space="preserve">ounty has an organization structure for the county and </w:t>
            </w:r>
            <w:r w:rsidR="00AD5071" w:rsidRPr="00C23847">
              <w:rPr>
                <w:sz w:val="20"/>
                <w:szCs w:val="20"/>
              </w:rPr>
              <w:t xml:space="preserve">another for </w:t>
            </w:r>
            <w:r w:rsidRPr="00C23847">
              <w:rPr>
                <w:sz w:val="20"/>
                <w:szCs w:val="20"/>
              </w:rPr>
              <w:t xml:space="preserve">the </w:t>
            </w:r>
            <w:r w:rsidR="00AA1C73">
              <w:rPr>
                <w:sz w:val="20"/>
                <w:szCs w:val="20"/>
              </w:rPr>
              <w:t>D</w:t>
            </w:r>
            <w:r w:rsidRPr="00C23847">
              <w:rPr>
                <w:sz w:val="20"/>
                <w:szCs w:val="20"/>
              </w:rPr>
              <w:t>epartment of Finance.</w:t>
            </w:r>
          </w:p>
          <w:p w14:paraId="44688BBD" w14:textId="2AFBC20B" w:rsidR="00466728" w:rsidRPr="00C23847" w:rsidRDefault="00466728" w:rsidP="00C23847">
            <w:pPr>
              <w:jc w:val="left"/>
              <w:rPr>
                <w:sz w:val="20"/>
                <w:szCs w:val="20"/>
              </w:rPr>
            </w:pPr>
            <w:r w:rsidRPr="00C23847">
              <w:rPr>
                <w:sz w:val="20"/>
                <w:szCs w:val="20"/>
              </w:rPr>
              <w:t xml:space="preserve">From our discussions with management, </w:t>
            </w:r>
            <w:r w:rsidR="00AA1C73">
              <w:rPr>
                <w:sz w:val="20"/>
                <w:szCs w:val="20"/>
              </w:rPr>
              <w:t xml:space="preserve">it is understood that </w:t>
            </w:r>
            <w:r w:rsidRPr="00C23847">
              <w:rPr>
                <w:sz w:val="20"/>
                <w:szCs w:val="20"/>
              </w:rPr>
              <w:t>the county structures have not been standardi</w:t>
            </w:r>
            <w:r w:rsidR="009D21FC">
              <w:rPr>
                <w:sz w:val="20"/>
                <w:szCs w:val="20"/>
              </w:rPr>
              <w:t>z</w:t>
            </w:r>
            <w:r w:rsidRPr="00C23847">
              <w:rPr>
                <w:sz w:val="20"/>
                <w:szCs w:val="20"/>
              </w:rPr>
              <w:t>ed. The staff expressed some concerns</w:t>
            </w:r>
            <w:r w:rsidR="00AA1C73">
              <w:rPr>
                <w:sz w:val="20"/>
                <w:szCs w:val="20"/>
              </w:rPr>
              <w:t>,</w:t>
            </w:r>
            <w:r w:rsidRPr="00C23847">
              <w:rPr>
                <w:sz w:val="20"/>
                <w:szCs w:val="20"/>
              </w:rPr>
              <w:t xml:space="preserve"> for instance</w:t>
            </w:r>
            <w:r w:rsidR="00AA1C73">
              <w:rPr>
                <w:sz w:val="20"/>
                <w:szCs w:val="20"/>
              </w:rPr>
              <w:t>,</w:t>
            </w:r>
            <w:r w:rsidRPr="00C23847">
              <w:rPr>
                <w:sz w:val="20"/>
                <w:szCs w:val="20"/>
              </w:rPr>
              <w:t xml:space="preserve"> the </w:t>
            </w:r>
            <w:r w:rsidR="00AA1C73">
              <w:rPr>
                <w:sz w:val="20"/>
                <w:szCs w:val="20"/>
              </w:rPr>
              <w:t>R</w:t>
            </w:r>
            <w:r w:rsidRPr="00C23847">
              <w:rPr>
                <w:sz w:val="20"/>
                <w:szCs w:val="20"/>
              </w:rPr>
              <w:t xml:space="preserve">evenue </w:t>
            </w:r>
            <w:r w:rsidR="00AA1C73">
              <w:rPr>
                <w:sz w:val="20"/>
                <w:szCs w:val="20"/>
              </w:rPr>
              <w:t>D</w:t>
            </w:r>
            <w:r w:rsidRPr="00C23847">
              <w:rPr>
                <w:sz w:val="20"/>
                <w:szCs w:val="20"/>
              </w:rPr>
              <w:t>epartment is not effective because the revenue officers are domiciled at the departments</w:t>
            </w:r>
            <w:r w:rsidR="00AA1C73">
              <w:rPr>
                <w:sz w:val="20"/>
                <w:szCs w:val="20"/>
              </w:rPr>
              <w:t>;</w:t>
            </w:r>
            <w:r w:rsidRPr="00C23847">
              <w:rPr>
                <w:sz w:val="20"/>
                <w:szCs w:val="20"/>
              </w:rPr>
              <w:t xml:space="preserve"> hence</w:t>
            </w:r>
            <w:r w:rsidR="00AA1C73">
              <w:rPr>
                <w:sz w:val="20"/>
                <w:szCs w:val="20"/>
              </w:rPr>
              <w:t>, it is</w:t>
            </w:r>
            <w:r w:rsidRPr="00C23847">
              <w:rPr>
                <w:sz w:val="20"/>
                <w:szCs w:val="20"/>
              </w:rPr>
              <w:t xml:space="preserve"> difficult for the director of revenue to monitor access and reward performance.</w:t>
            </w:r>
          </w:p>
        </w:tc>
      </w:tr>
      <w:tr w:rsidR="00466728" w:rsidRPr="00C23847" w14:paraId="3ADB84A2" w14:textId="77777777" w:rsidTr="00C23847">
        <w:tc>
          <w:tcPr>
            <w:tcW w:w="2718" w:type="dxa"/>
            <w:shd w:val="clear" w:color="auto" w:fill="auto"/>
          </w:tcPr>
          <w:p w14:paraId="2D9952F6" w14:textId="77777777" w:rsidR="00466728" w:rsidRPr="00C23847" w:rsidRDefault="00466728" w:rsidP="00C23847">
            <w:pPr>
              <w:jc w:val="left"/>
              <w:rPr>
                <w:sz w:val="20"/>
                <w:szCs w:val="20"/>
              </w:rPr>
            </w:pPr>
            <w:r w:rsidRPr="00C23847">
              <w:rPr>
                <w:sz w:val="20"/>
                <w:szCs w:val="20"/>
              </w:rPr>
              <w:t xml:space="preserve">1.5. Human resource policies and practices </w:t>
            </w:r>
          </w:p>
        </w:tc>
        <w:tc>
          <w:tcPr>
            <w:tcW w:w="6775" w:type="dxa"/>
            <w:shd w:val="clear" w:color="auto" w:fill="auto"/>
          </w:tcPr>
          <w:p w14:paraId="6E106B2D" w14:textId="174FF232" w:rsidR="00466728" w:rsidRPr="00C23847" w:rsidRDefault="00466728" w:rsidP="00C23847">
            <w:pPr>
              <w:jc w:val="left"/>
              <w:rPr>
                <w:sz w:val="20"/>
                <w:szCs w:val="20"/>
              </w:rPr>
            </w:pPr>
            <w:r w:rsidRPr="00C23847">
              <w:rPr>
                <w:sz w:val="20"/>
                <w:szCs w:val="20"/>
              </w:rPr>
              <w:t xml:space="preserve">The </w:t>
            </w:r>
            <w:r w:rsidR="00AA1C73">
              <w:rPr>
                <w:sz w:val="20"/>
                <w:szCs w:val="20"/>
              </w:rPr>
              <w:t>c</w:t>
            </w:r>
            <w:r w:rsidRPr="00C23847">
              <w:rPr>
                <w:sz w:val="20"/>
                <w:szCs w:val="20"/>
              </w:rPr>
              <w:t>ounty organization policies are management by the County Public Service Board. The Board is responsible for recruitment, staff development</w:t>
            </w:r>
            <w:r w:rsidR="00AA1C73">
              <w:rPr>
                <w:sz w:val="20"/>
                <w:szCs w:val="20"/>
              </w:rPr>
              <w:t>,</w:t>
            </w:r>
            <w:r w:rsidRPr="00C23847">
              <w:rPr>
                <w:sz w:val="20"/>
                <w:szCs w:val="20"/>
              </w:rPr>
              <w:t xml:space="preserve"> and discipline.</w:t>
            </w:r>
          </w:p>
          <w:p w14:paraId="06EC85F4" w14:textId="710B259A" w:rsidR="00466728" w:rsidRPr="00C23847" w:rsidRDefault="00466728" w:rsidP="00C23847">
            <w:pPr>
              <w:jc w:val="left"/>
              <w:rPr>
                <w:sz w:val="20"/>
                <w:szCs w:val="20"/>
              </w:rPr>
            </w:pPr>
            <w:r w:rsidRPr="00C23847">
              <w:rPr>
                <w:sz w:val="20"/>
                <w:szCs w:val="20"/>
              </w:rPr>
              <w:t>The Public Service Commission is set up by Article 234 of the Constitution which outlines the functions and powers of the Public Service Commission. One of the key mandate</w:t>
            </w:r>
            <w:r w:rsidR="00AA1C73">
              <w:rPr>
                <w:sz w:val="20"/>
                <w:szCs w:val="20"/>
              </w:rPr>
              <w:t>s</w:t>
            </w:r>
            <w:r w:rsidRPr="00C23847">
              <w:rPr>
                <w:sz w:val="20"/>
                <w:szCs w:val="20"/>
              </w:rPr>
              <w:t xml:space="preserve"> of this commission is to investigate, monitor</w:t>
            </w:r>
            <w:r w:rsidR="00AA1C73">
              <w:rPr>
                <w:sz w:val="20"/>
                <w:szCs w:val="20"/>
              </w:rPr>
              <w:t>,</w:t>
            </w:r>
            <w:r w:rsidRPr="00C23847">
              <w:rPr>
                <w:sz w:val="20"/>
                <w:szCs w:val="20"/>
              </w:rPr>
              <w:t xml:space="preserve"> and evaluate the organization, administration</w:t>
            </w:r>
            <w:r w:rsidR="00AA1C73">
              <w:rPr>
                <w:sz w:val="20"/>
                <w:szCs w:val="20"/>
              </w:rPr>
              <w:t>,</w:t>
            </w:r>
            <w:r w:rsidRPr="00C23847">
              <w:rPr>
                <w:sz w:val="20"/>
                <w:szCs w:val="20"/>
              </w:rPr>
              <w:t xml:space="preserve"> and personnel practices of the public service</w:t>
            </w:r>
            <w:r w:rsidR="00AA1C73">
              <w:rPr>
                <w:sz w:val="20"/>
                <w:szCs w:val="20"/>
              </w:rPr>
              <w:t>,</w:t>
            </w:r>
            <w:r w:rsidRPr="00C23847">
              <w:rPr>
                <w:sz w:val="20"/>
                <w:szCs w:val="20"/>
              </w:rPr>
              <w:t xml:space="preserve"> including the </w:t>
            </w:r>
            <w:r w:rsidR="00AA1C73">
              <w:rPr>
                <w:sz w:val="20"/>
                <w:szCs w:val="20"/>
              </w:rPr>
              <w:t>c</w:t>
            </w:r>
            <w:r w:rsidRPr="00C23847">
              <w:rPr>
                <w:sz w:val="20"/>
                <w:szCs w:val="20"/>
              </w:rPr>
              <w:t>ounty government.</w:t>
            </w:r>
          </w:p>
        </w:tc>
      </w:tr>
      <w:tr w:rsidR="00466728" w:rsidRPr="00C23847" w14:paraId="031BA895" w14:textId="77777777" w:rsidTr="00C23847">
        <w:tc>
          <w:tcPr>
            <w:tcW w:w="2718" w:type="dxa"/>
            <w:shd w:val="clear" w:color="auto" w:fill="auto"/>
          </w:tcPr>
          <w:p w14:paraId="127C0E06" w14:textId="77777777" w:rsidR="00466728" w:rsidRPr="00C23847" w:rsidRDefault="00466728" w:rsidP="00C23847">
            <w:pPr>
              <w:jc w:val="left"/>
              <w:rPr>
                <w:sz w:val="20"/>
                <w:szCs w:val="20"/>
              </w:rPr>
            </w:pPr>
            <w:r w:rsidRPr="00C23847">
              <w:rPr>
                <w:sz w:val="20"/>
                <w:szCs w:val="20"/>
              </w:rPr>
              <w:t xml:space="preserve">2. Risk assessment </w:t>
            </w:r>
          </w:p>
        </w:tc>
        <w:tc>
          <w:tcPr>
            <w:tcW w:w="6775" w:type="dxa"/>
            <w:shd w:val="clear" w:color="auto" w:fill="auto"/>
          </w:tcPr>
          <w:p w14:paraId="3C32C77C" w14:textId="54411BFB" w:rsidR="00466728" w:rsidRPr="00C23847" w:rsidRDefault="0014574C" w:rsidP="00C23847">
            <w:pPr>
              <w:jc w:val="left"/>
              <w:rPr>
                <w:sz w:val="20"/>
                <w:szCs w:val="20"/>
              </w:rPr>
            </w:pPr>
            <w:r w:rsidRPr="00C23847">
              <w:rPr>
                <w:sz w:val="20"/>
                <w:szCs w:val="20"/>
              </w:rPr>
              <w:t xml:space="preserve">The county does not have a </w:t>
            </w:r>
            <w:r w:rsidR="0053677C">
              <w:rPr>
                <w:sz w:val="20"/>
                <w:szCs w:val="20"/>
              </w:rPr>
              <w:t>r</w:t>
            </w:r>
            <w:r w:rsidRPr="00C23847">
              <w:rPr>
                <w:sz w:val="20"/>
                <w:szCs w:val="20"/>
              </w:rPr>
              <w:t xml:space="preserve">isk management policy and a risk register yet. </w:t>
            </w:r>
            <w:r w:rsidR="00466728" w:rsidRPr="00C23847">
              <w:rPr>
                <w:sz w:val="20"/>
                <w:szCs w:val="20"/>
              </w:rPr>
              <w:t xml:space="preserve">The PFM Regulation 165 sets out </w:t>
            </w:r>
            <w:r w:rsidR="0053677C">
              <w:rPr>
                <w:sz w:val="20"/>
                <w:szCs w:val="20"/>
              </w:rPr>
              <w:t xml:space="preserve">the </w:t>
            </w:r>
            <w:r w:rsidR="00466728" w:rsidRPr="00C23847">
              <w:rPr>
                <w:sz w:val="20"/>
                <w:szCs w:val="20"/>
              </w:rPr>
              <w:t xml:space="preserve">role of the </w:t>
            </w:r>
            <w:r w:rsidR="0053677C">
              <w:rPr>
                <w:sz w:val="20"/>
                <w:szCs w:val="20"/>
              </w:rPr>
              <w:t>a</w:t>
            </w:r>
            <w:r w:rsidR="00466728" w:rsidRPr="00C23847">
              <w:rPr>
                <w:sz w:val="20"/>
                <w:szCs w:val="20"/>
              </w:rPr>
              <w:t>ccount</w:t>
            </w:r>
            <w:r w:rsidRPr="00C23847">
              <w:rPr>
                <w:sz w:val="20"/>
                <w:szCs w:val="20"/>
              </w:rPr>
              <w:t xml:space="preserve">ing </w:t>
            </w:r>
            <w:r w:rsidR="0053677C">
              <w:rPr>
                <w:sz w:val="20"/>
                <w:szCs w:val="20"/>
              </w:rPr>
              <w:t>o</w:t>
            </w:r>
            <w:r w:rsidRPr="00C23847">
              <w:rPr>
                <w:sz w:val="20"/>
                <w:szCs w:val="20"/>
              </w:rPr>
              <w:t xml:space="preserve">fficer in risk management and </w:t>
            </w:r>
            <w:r w:rsidR="00466728" w:rsidRPr="00C23847">
              <w:rPr>
                <w:sz w:val="20"/>
                <w:szCs w:val="20"/>
              </w:rPr>
              <w:t>requires the</w:t>
            </w:r>
            <w:r w:rsidRPr="00C23847">
              <w:rPr>
                <w:sz w:val="20"/>
                <w:szCs w:val="20"/>
              </w:rPr>
              <w:t xml:space="preserve"> </w:t>
            </w:r>
            <w:r w:rsidR="0053677C">
              <w:rPr>
                <w:sz w:val="20"/>
                <w:szCs w:val="20"/>
              </w:rPr>
              <w:t>a</w:t>
            </w:r>
            <w:r w:rsidRPr="00C23847">
              <w:rPr>
                <w:sz w:val="20"/>
                <w:szCs w:val="20"/>
              </w:rPr>
              <w:t>ccounting officer to develop (</w:t>
            </w:r>
            <w:r w:rsidR="0053677C">
              <w:rPr>
                <w:sz w:val="20"/>
                <w:szCs w:val="20"/>
              </w:rPr>
              <w:t>a</w:t>
            </w:r>
            <w:r w:rsidRPr="00C23847">
              <w:rPr>
                <w:sz w:val="20"/>
                <w:szCs w:val="20"/>
              </w:rPr>
              <w:t xml:space="preserve">) </w:t>
            </w:r>
            <w:r w:rsidR="00466728" w:rsidRPr="00C23847">
              <w:rPr>
                <w:sz w:val="20"/>
                <w:szCs w:val="20"/>
              </w:rPr>
              <w:t>risk management strategies, which include fraud prevention mechanism</w:t>
            </w:r>
            <w:r w:rsidR="0053677C">
              <w:rPr>
                <w:sz w:val="20"/>
                <w:szCs w:val="20"/>
              </w:rPr>
              <w:t>,</w:t>
            </w:r>
            <w:r w:rsidR="00466728" w:rsidRPr="00C23847">
              <w:rPr>
                <w:sz w:val="20"/>
                <w:szCs w:val="20"/>
              </w:rPr>
              <w:t xml:space="preserve"> and</w:t>
            </w:r>
            <w:r w:rsidRPr="00C23847">
              <w:rPr>
                <w:sz w:val="20"/>
                <w:szCs w:val="20"/>
              </w:rPr>
              <w:t xml:space="preserve"> (</w:t>
            </w:r>
            <w:r w:rsidR="0053677C">
              <w:rPr>
                <w:sz w:val="20"/>
                <w:szCs w:val="20"/>
              </w:rPr>
              <w:t>b</w:t>
            </w:r>
            <w:r w:rsidRPr="00C23847">
              <w:rPr>
                <w:sz w:val="20"/>
                <w:szCs w:val="20"/>
              </w:rPr>
              <w:t xml:space="preserve">) </w:t>
            </w:r>
            <w:r w:rsidR="00466728" w:rsidRPr="00C23847">
              <w:rPr>
                <w:sz w:val="20"/>
                <w:szCs w:val="20"/>
              </w:rPr>
              <w:t>a system of risk management and internal control that builds robust business operations.</w:t>
            </w:r>
          </w:p>
        </w:tc>
      </w:tr>
      <w:tr w:rsidR="00466728" w:rsidRPr="00C23847" w14:paraId="1C17211D" w14:textId="77777777" w:rsidTr="00C23847">
        <w:tc>
          <w:tcPr>
            <w:tcW w:w="2718" w:type="dxa"/>
            <w:shd w:val="clear" w:color="auto" w:fill="auto"/>
          </w:tcPr>
          <w:p w14:paraId="571F0903" w14:textId="77777777" w:rsidR="00466728" w:rsidRPr="00C23847" w:rsidRDefault="00466728" w:rsidP="00C23847">
            <w:pPr>
              <w:jc w:val="left"/>
              <w:rPr>
                <w:sz w:val="20"/>
                <w:szCs w:val="20"/>
              </w:rPr>
            </w:pPr>
            <w:r w:rsidRPr="00C23847">
              <w:rPr>
                <w:sz w:val="20"/>
                <w:szCs w:val="20"/>
              </w:rPr>
              <w:t xml:space="preserve">2.1 Risk identification </w:t>
            </w:r>
          </w:p>
        </w:tc>
        <w:tc>
          <w:tcPr>
            <w:tcW w:w="6775" w:type="dxa"/>
            <w:shd w:val="clear" w:color="auto" w:fill="auto"/>
          </w:tcPr>
          <w:p w14:paraId="5CA98A5D" w14:textId="60DB5096"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Several PIs are related to the extent to which risks are identified, notably</w:t>
            </w:r>
            <w:r w:rsidR="0053677C">
              <w:rPr>
                <w:rFonts w:ascii="Calibri" w:eastAsia="Times New Roman" w:hAnsi="Calibri" w:cs="Calibri"/>
                <w:color w:val="auto"/>
                <w:sz w:val="20"/>
                <w:szCs w:val="20"/>
                <w:lang w:val="en-GB" w:eastAsia="fr-FR"/>
              </w:rPr>
              <w:t>,</w:t>
            </w:r>
            <w:r w:rsidRPr="00C23847">
              <w:rPr>
                <w:rFonts w:ascii="Calibri" w:eastAsia="Times New Roman" w:hAnsi="Calibri" w:cs="Calibri"/>
                <w:color w:val="auto"/>
                <w:sz w:val="20"/>
                <w:szCs w:val="20"/>
                <w:lang w:val="en-GB" w:eastAsia="fr-FR"/>
              </w:rPr>
              <w:t xml:space="preserve"> </w:t>
            </w:r>
          </w:p>
          <w:p w14:paraId="6F2DED32" w14:textId="58AF7F14" w:rsidR="00466728" w:rsidRPr="00C23847" w:rsidRDefault="00466728" w:rsidP="0053677C">
            <w:pPr>
              <w:pStyle w:val="Default"/>
              <w:numPr>
                <w:ilvl w:val="0"/>
                <w:numId w:val="36"/>
              </w:numPr>
              <w:ind w:left="504"/>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PI-11.1 Economic analysis of investment proposals: proposed capital investment projects are submitted to the Public Investment Committee for appraisal before approval bu</w:t>
            </w:r>
            <w:r w:rsidR="0053677C">
              <w:rPr>
                <w:rFonts w:ascii="Calibri" w:eastAsia="Times New Roman" w:hAnsi="Calibri" w:cs="Calibri"/>
                <w:color w:val="auto"/>
                <w:sz w:val="20"/>
                <w:szCs w:val="20"/>
                <w:lang w:val="en-GB" w:eastAsia="fr-FR"/>
              </w:rPr>
              <w:t>t</w:t>
            </w:r>
            <w:r w:rsidRPr="00C23847">
              <w:rPr>
                <w:rFonts w:ascii="Calibri" w:eastAsia="Times New Roman" w:hAnsi="Calibri" w:cs="Calibri"/>
                <w:color w:val="auto"/>
                <w:sz w:val="20"/>
                <w:szCs w:val="20"/>
                <w:lang w:val="en-GB" w:eastAsia="fr-FR"/>
              </w:rPr>
              <w:t xml:space="preserve"> are not supported by economic analysis; </w:t>
            </w:r>
          </w:p>
          <w:p w14:paraId="4FF18815" w14:textId="0E5BC56D" w:rsidR="00466728" w:rsidRPr="00C23847" w:rsidRDefault="00466728" w:rsidP="0053677C">
            <w:pPr>
              <w:pStyle w:val="Default"/>
              <w:numPr>
                <w:ilvl w:val="0"/>
                <w:numId w:val="36"/>
              </w:numPr>
              <w:ind w:left="504"/>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PI-13.3 Debt management </w:t>
            </w:r>
            <w:r w:rsidR="000C73E4" w:rsidRPr="00C23847">
              <w:rPr>
                <w:rFonts w:ascii="Calibri" w:eastAsia="Times New Roman" w:hAnsi="Calibri" w:cs="Calibri"/>
                <w:color w:val="auto"/>
                <w:sz w:val="20"/>
                <w:szCs w:val="20"/>
                <w:lang w:val="en-GB" w:eastAsia="fr-FR"/>
              </w:rPr>
              <w:t>strategy:</w:t>
            </w:r>
            <w:r w:rsidRPr="00C23847">
              <w:rPr>
                <w:rFonts w:ascii="Calibri" w:eastAsia="Times New Roman" w:hAnsi="Calibri" w:cs="Calibri"/>
                <w:color w:val="auto"/>
                <w:sz w:val="20"/>
                <w:szCs w:val="20"/>
                <w:lang w:val="en-GB" w:eastAsia="fr-FR"/>
              </w:rPr>
              <w:t xml:space="preserve"> a </w:t>
            </w:r>
            <w:r w:rsidR="000C73E4" w:rsidRPr="00C23847">
              <w:rPr>
                <w:rFonts w:ascii="Calibri" w:eastAsia="Times New Roman" w:hAnsi="Calibri" w:cs="Calibri"/>
                <w:color w:val="auto"/>
                <w:sz w:val="20"/>
                <w:szCs w:val="20"/>
                <w:lang w:val="en-GB" w:eastAsia="fr-FR"/>
              </w:rPr>
              <w:t>medium-term</w:t>
            </w:r>
            <w:r w:rsidRPr="00C23847">
              <w:rPr>
                <w:rFonts w:ascii="Calibri" w:eastAsia="Times New Roman" w:hAnsi="Calibri" w:cs="Calibri"/>
                <w:color w:val="auto"/>
                <w:sz w:val="20"/>
                <w:szCs w:val="20"/>
                <w:lang w:val="en-GB" w:eastAsia="fr-FR"/>
              </w:rPr>
              <w:t xml:space="preserve"> debt strategy exists, but is supported by associated risk analysis, exchange rate</w:t>
            </w:r>
            <w:r w:rsidR="0053677C">
              <w:rPr>
                <w:rFonts w:ascii="Calibri" w:eastAsia="Times New Roman" w:hAnsi="Calibri" w:cs="Calibri"/>
                <w:color w:val="auto"/>
                <w:sz w:val="20"/>
                <w:szCs w:val="20"/>
                <w:lang w:val="en-GB" w:eastAsia="fr-FR"/>
              </w:rPr>
              <w:t>,</w:t>
            </w:r>
            <w:r w:rsidRPr="00C23847">
              <w:rPr>
                <w:rFonts w:ascii="Calibri" w:eastAsia="Times New Roman" w:hAnsi="Calibri" w:cs="Calibri"/>
                <w:color w:val="auto"/>
                <w:sz w:val="20"/>
                <w:szCs w:val="20"/>
                <w:lang w:val="en-GB" w:eastAsia="fr-FR"/>
              </w:rPr>
              <w:t xml:space="preserve"> and interest rate factors; </w:t>
            </w:r>
            <w:r w:rsidR="0053677C">
              <w:rPr>
                <w:rFonts w:ascii="Calibri" w:eastAsia="Times New Roman" w:hAnsi="Calibri" w:cs="Calibri"/>
                <w:color w:val="auto"/>
                <w:sz w:val="20"/>
                <w:szCs w:val="20"/>
                <w:lang w:val="en-GB" w:eastAsia="fr-FR"/>
              </w:rPr>
              <w:t>and</w:t>
            </w:r>
          </w:p>
          <w:p w14:paraId="7FFE5D46" w14:textId="5FAB1461" w:rsidR="00466728" w:rsidRPr="00C23847" w:rsidRDefault="00466728" w:rsidP="0053677C">
            <w:pPr>
              <w:pStyle w:val="Default"/>
              <w:numPr>
                <w:ilvl w:val="0"/>
                <w:numId w:val="36"/>
              </w:numPr>
              <w:ind w:left="504"/>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PI-21.2 Cash forecasting and </w:t>
            </w:r>
            <w:r w:rsidR="000C73E4" w:rsidRPr="00C23847">
              <w:rPr>
                <w:rFonts w:ascii="Calibri" w:eastAsia="Times New Roman" w:hAnsi="Calibri" w:cs="Calibri"/>
                <w:color w:val="auto"/>
                <w:sz w:val="20"/>
                <w:szCs w:val="20"/>
                <w:lang w:val="en-GB" w:eastAsia="fr-FR"/>
              </w:rPr>
              <w:t>monitoring:</w:t>
            </w:r>
            <w:r w:rsidRPr="00C23847">
              <w:rPr>
                <w:rFonts w:ascii="Calibri" w:eastAsia="Times New Roman" w:hAnsi="Calibri" w:cs="Calibri"/>
                <w:color w:val="auto"/>
                <w:sz w:val="20"/>
                <w:szCs w:val="20"/>
                <w:lang w:val="en-GB" w:eastAsia="fr-FR"/>
              </w:rPr>
              <w:t xml:space="preserve"> </w:t>
            </w:r>
            <w:r w:rsidR="0070690E" w:rsidRPr="00C23847">
              <w:rPr>
                <w:rFonts w:ascii="Calibri" w:eastAsia="Times New Roman" w:hAnsi="Calibri" w:cs="Calibri"/>
                <w:color w:val="auto"/>
                <w:sz w:val="20"/>
                <w:szCs w:val="20"/>
                <w:lang w:val="en-GB" w:eastAsia="fr-FR"/>
              </w:rPr>
              <w:t>a monthly</w:t>
            </w:r>
            <w:r w:rsidRPr="00C23847">
              <w:rPr>
                <w:rFonts w:ascii="Calibri" w:eastAsia="Times New Roman" w:hAnsi="Calibri" w:cs="Calibri"/>
                <w:color w:val="auto"/>
                <w:sz w:val="20"/>
                <w:szCs w:val="20"/>
                <w:lang w:val="en-GB" w:eastAsia="fr-FR"/>
              </w:rPr>
              <w:t xml:space="preserve"> cash flow </w:t>
            </w:r>
            <w:r w:rsidR="0070690E" w:rsidRPr="00C23847">
              <w:rPr>
                <w:rFonts w:ascii="Calibri" w:eastAsia="Times New Roman" w:hAnsi="Calibri" w:cs="Calibri"/>
                <w:color w:val="auto"/>
                <w:sz w:val="20"/>
                <w:szCs w:val="20"/>
                <w:lang w:val="en-GB" w:eastAsia="fr-FR"/>
              </w:rPr>
              <w:t>is established and updated</w:t>
            </w:r>
            <w:r w:rsidRPr="00C23847">
              <w:rPr>
                <w:rFonts w:ascii="Calibri" w:eastAsia="Times New Roman" w:hAnsi="Calibri" w:cs="Calibri"/>
                <w:color w:val="auto"/>
                <w:sz w:val="20"/>
                <w:szCs w:val="20"/>
                <w:lang w:val="en-GB" w:eastAsia="fr-FR"/>
              </w:rPr>
              <w:t xml:space="preserve"> only </w:t>
            </w:r>
            <w:r w:rsidR="000C73E4" w:rsidRPr="00C23847">
              <w:rPr>
                <w:rFonts w:ascii="Calibri" w:eastAsia="Times New Roman" w:hAnsi="Calibri" w:cs="Calibri"/>
                <w:color w:val="auto"/>
                <w:sz w:val="20"/>
                <w:szCs w:val="20"/>
                <w:lang w:val="en-GB" w:eastAsia="fr-FR"/>
              </w:rPr>
              <w:t>annually</w:t>
            </w:r>
            <w:r w:rsidR="0053677C">
              <w:rPr>
                <w:rFonts w:ascii="Calibri" w:eastAsia="Times New Roman" w:hAnsi="Calibri" w:cs="Calibri"/>
                <w:color w:val="auto"/>
                <w:sz w:val="20"/>
                <w:szCs w:val="20"/>
                <w:lang w:val="en-GB" w:eastAsia="fr-FR"/>
              </w:rPr>
              <w:t>.</w:t>
            </w:r>
          </w:p>
          <w:p w14:paraId="5C4D49DA" w14:textId="77777777" w:rsidR="00466728" w:rsidRPr="00C23847" w:rsidRDefault="00D92566" w:rsidP="0053677C">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There is no revenue risk management implemented yet.</w:t>
            </w:r>
          </w:p>
        </w:tc>
      </w:tr>
      <w:tr w:rsidR="00466728" w:rsidRPr="00C23847" w14:paraId="0BB2F43B" w14:textId="77777777" w:rsidTr="00C23847">
        <w:tc>
          <w:tcPr>
            <w:tcW w:w="2718" w:type="dxa"/>
            <w:shd w:val="clear" w:color="auto" w:fill="auto"/>
          </w:tcPr>
          <w:p w14:paraId="3E5E251C" w14:textId="77777777" w:rsidR="00466728" w:rsidRPr="00C23847" w:rsidRDefault="00466728" w:rsidP="00C23847">
            <w:pPr>
              <w:jc w:val="left"/>
              <w:rPr>
                <w:sz w:val="20"/>
                <w:szCs w:val="20"/>
              </w:rPr>
            </w:pPr>
            <w:r w:rsidRPr="00C23847">
              <w:rPr>
                <w:sz w:val="20"/>
                <w:szCs w:val="20"/>
              </w:rPr>
              <w:t xml:space="preserve">2.2 Risk assessment (significance and likelihood) </w:t>
            </w:r>
          </w:p>
        </w:tc>
        <w:tc>
          <w:tcPr>
            <w:tcW w:w="6775" w:type="dxa"/>
            <w:shd w:val="clear" w:color="auto" w:fill="auto"/>
          </w:tcPr>
          <w:p w14:paraId="3CC27944" w14:textId="5F7771A5"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This item has not been </w:t>
            </w:r>
            <w:r w:rsidR="0053677C">
              <w:rPr>
                <w:rFonts w:ascii="Calibri" w:eastAsia="Times New Roman" w:hAnsi="Calibri" w:cs="Calibri"/>
                <w:color w:val="auto"/>
                <w:sz w:val="20"/>
                <w:szCs w:val="20"/>
                <w:lang w:val="en-GB" w:eastAsia="fr-FR"/>
              </w:rPr>
              <w:t>considered</w:t>
            </w:r>
            <w:r w:rsidRPr="00C23847">
              <w:rPr>
                <w:rFonts w:ascii="Calibri" w:eastAsia="Times New Roman" w:hAnsi="Calibri" w:cs="Calibri"/>
                <w:color w:val="auto"/>
                <w:sz w:val="20"/>
                <w:szCs w:val="20"/>
                <w:lang w:val="en-GB" w:eastAsia="fr-FR"/>
              </w:rPr>
              <w:t xml:space="preserve"> because there is no risk management policy implemented at the </w:t>
            </w:r>
            <w:r w:rsidR="0053677C">
              <w:rPr>
                <w:rFonts w:ascii="Calibri" w:eastAsia="Times New Roman" w:hAnsi="Calibri" w:cs="Calibri"/>
                <w:color w:val="auto"/>
                <w:sz w:val="20"/>
                <w:szCs w:val="20"/>
                <w:lang w:val="en-GB" w:eastAsia="fr-FR"/>
              </w:rPr>
              <w:t>c</w:t>
            </w:r>
            <w:r w:rsidRPr="00C23847">
              <w:rPr>
                <w:rFonts w:ascii="Calibri" w:eastAsia="Times New Roman" w:hAnsi="Calibri" w:cs="Calibri"/>
                <w:color w:val="auto"/>
                <w:sz w:val="20"/>
                <w:szCs w:val="20"/>
                <w:lang w:val="en-GB" w:eastAsia="fr-FR"/>
              </w:rPr>
              <w:t xml:space="preserve">ounty level. </w:t>
            </w:r>
          </w:p>
        </w:tc>
      </w:tr>
      <w:tr w:rsidR="00466728" w:rsidRPr="00C23847" w14:paraId="084E9335" w14:textId="77777777" w:rsidTr="00C23847">
        <w:tc>
          <w:tcPr>
            <w:tcW w:w="2718" w:type="dxa"/>
            <w:shd w:val="clear" w:color="auto" w:fill="auto"/>
          </w:tcPr>
          <w:p w14:paraId="6B503CB2" w14:textId="77777777" w:rsidR="00466728" w:rsidRPr="00C23847" w:rsidRDefault="00466728" w:rsidP="00C23847">
            <w:pPr>
              <w:jc w:val="left"/>
              <w:rPr>
                <w:sz w:val="20"/>
                <w:szCs w:val="20"/>
              </w:rPr>
            </w:pPr>
            <w:r w:rsidRPr="00C23847">
              <w:rPr>
                <w:sz w:val="20"/>
                <w:szCs w:val="20"/>
              </w:rPr>
              <w:t xml:space="preserve">2.3 Risk evaluation </w:t>
            </w:r>
          </w:p>
        </w:tc>
        <w:tc>
          <w:tcPr>
            <w:tcW w:w="6775" w:type="dxa"/>
            <w:shd w:val="clear" w:color="auto" w:fill="auto"/>
          </w:tcPr>
          <w:p w14:paraId="00355A86" w14:textId="77777777" w:rsidR="0014574C"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Ri</w:t>
            </w:r>
            <w:r w:rsidR="0014574C" w:rsidRPr="00C23847">
              <w:rPr>
                <w:rFonts w:ascii="Calibri" w:eastAsia="Times New Roman" w:hAnsi="Calibri" w:cs="Calibri"/>
                <w:color w:val="auto"/>
                <w:sz w:val="20"/>
                <w:szCs w:val="20"/>
                <w:lang w:val="en-GB" w:eastAsia="fr-FR"/>
              </w:rPr>
              <w:t>sk-based annual audit plans have not been established yet.</w:t>
            </w:r>
          </w:p>
          <w:p w14:paraId="19DE82DA" w14:textId="77777777" w:rsidR="00466728" w:rsidRPr="00C23847" w:rsidRDefault="00466728" w:rsidP="0053677C">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Audit Committees </w:t>
            </w:r>
            <w:r w:rsidR="0014574C" w:rsidRPr="00C23847">
              <w:rPr>
                <w:rFonts w:ascii="Calibri" w:eastAsia="Times New Roman" w:hAnsi="Calibri" w:cs="Calibri"/>
                <w:color w:val="auto"/>
                <w:sz w:val="20"/>
                <w:szCs w:val="20"/>
                <w:lang w:val="en-GB" w:eastAsia="fr-FR"/>
              </w:rPr>
              <w:t>are</w:t>
            </w:r>
            <w:r w:rsidRPr="00C23847">
              <w:rPr>
                <w:rFonts w:ascii="Calibri" w:eastAsia="Times New Roman" w:hAnsi="Calibri" w:cs="Calibri"/>
                <w:color w:val="auto"/>
                <w:sz w:val="20"/>
                <w:szCs w:val="20"/>
                <w:lang w:val="en-GB" w:eastAsia="fr-FR"/>
              </w:rPr>
              <w:t xml:space="preserve"> progressively </w:t>
            </w:r>
            <w:r w:rsidR="0014574C" w:rsidRPr="00C23847">
              <w:rPr>
                <w:rFonts w:ascii="Calibri" w:eastAsia="Times New Roman" w:hAnsi="Calibri" w:cs="Calibri"/>
                <w:color w:val="auto"/>
                <w:sz w:val="20"/>
                <w:szCs w:val="20"/>
                <w:lang w:val="en-GB" w:eastAsia="fr-FR"/>
              </w:rPr>
              <w:t>implementing</w:t>
            </w:r>
            <w:r w:rsidRPr="00C23847">
              <w:rPr>
                <w:rFonts w:ascii="Calibri" w:eastAsia="Times New Roman" w:hAnsi="Calibri" w:cs="Calibri"/>
                <w:color w:val="auto"/>
                <w:sz w:val="20"/>
                <w:szCs w:val="20"/>
                <w:lang w:val="en-GB" w:eastAsia="fr-FR"/>
              </w:rPr>
              <w:t xml:space="preserve"> key risks in the control environment</w:t>
            </w:r>
            <w:r w:rsidR="0014574C" w:rsidRPr="00C23847">
              <w:rPr>
                <w:rFonts w:ascii="Calibri" w:eastAsia="Times New Roman" w:hAnsi="Calibri" w:cs="Calibri"/>
                <w:color w:val="auto"/>
                <w:sz w:val="20"/>
                <w:szCs w:val="20"/>
                <w:lang w:val="en-GB" w:eastAsia="fr-FR"/>
              </w:rPr>
              <w:t>.</w:t>
            </w:r>
          </w:p>
        </w:tc>
      </w:tr>
      <w:tr w:rsidR="00466728" w:rsidRPr="00C23847" w14:paraId="07F88809" w14:textId="77777777" w:rsidTr="00C23847">
        <w:tc>
          <w:tcPr>
            <w:tcW w:w="2718" w:type="dxa"/>
            <w:shd w:val="clear" w:color="auto" w:fill="auto"/>
          </w:tcPr>
          <w:p w14:paraId="497207F7" w14:textId="77777777" w:rsidR="00466728" w:rsidRPr="00C23847" w:rsidRDefault="00466728" w:rsidP="00C23847">
            <w:pPr>
              <w:jc w:val="left"/>
              <w:rPr>
                <w:sz w:val="20"/>
                <w:szCs w:val="20"/>
              </w:rPr>
            </w:pPr>
            <w:r w:rsidRPr="00C23847">
              <w:rPr>
                <w:sz w:val="20"/>
                <w:szCs w:val="20"/>
              </w:rPr>
              <w:t xml:space="preserve">2.4 Risk appetite assessment </w:t>
            </w:r>
          </w:p>
        </w:tc>
        <w:tc>
          <w:tcPr>
            <w:tcW w:w="6775" w:type="dxa"/>
            <w:shd w:val="clear" w:color="auto" w:fill="auto"/>
          </w:tcPr>
          <w:p w14:paraId="36A8651B" w14:textId="044FC1D4"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The </w:t>
            </w:r>
            <w:r w:rsidR="0053677C">
              <w:rPr>
                <w:rFonts w:ascii="Calibri" w:eastAsia="Times New Roman" w:hAnsi="Calibri" w:cs="Calibri"/>
                <w:color w:val="auto"/>
                <w:sz w:val="20"/>
                <w:szCs w:val="20"/>
                <w:lang w:val="en-GB" w:eastAsia="fr-FR"/>
              </w:rPr>
              <w:t>c</w:t>
            </w:r>
            <w:r w:rsidRPr="00C23847">
              <w:rPr>
                <w:rFonts w:ascii="Calibri" w:eastAsia="Times New Roman" w:hAnsi="Calibri" w:cs="Calibri"/>
                <w:color w:val="auto"/>
                <w:sz w:val="20"/>
                <w:szCs w:val="20"/>
                <w:lang w:val="en-GB" w:eastAsia="fr-FR"/>
              </w:rPr>
              <w:t xml:space="preserve">ounty does not make any risk assessment yet. </w:t>
            </w:r>
          </w:p>
          <w:p w14:paraId="753B88B5" w14:textId="77777777" w:rsidR="00466728" w:rsidRPr="00C23847" w:rsidRDefault="00466728" w:rsidP="00C23847">
            <w:pPr>
              <w:jc w:val="left"/>
              <w:rPr>
                <w:sz w:val="20"/>
                <w:szCs w:val="20"/>
              </w:rPr>
            </w:pPr>
          </w:p>
        </w:tc>
      </w:tr>
      <w:tr w:rsidR="00466728" w:rsidRPr="00C23847" w14:paraId="18AFB817" w14:textId="77777777" w:rsidTr="00C23847">
        <w:tc>
          <w:tcPr>
            <w:tcW w:w="2718" w:type="dxa"/>
            <w:shd w:val="clear" w:color="auto" w:fill="auto"/>
          </w:tcPr>
          <w:p w14:paraId="6487738B" w14:textId="45A3CF4A" w:rsidR="00466728" w:rsidRPr="00C23847" w:rsidRDefault="00466728" w:rsidP="00C23847">
            <w:pPr>
              <w:jc w:val="left"/>
              <w:rPr>
                <w:sz w:val="20"/>
                <w:szCs w:val="20"/>
              </w:rPr>
            </w:pPr>
            <w:r w:rsidRPr="00C23847">
              <w:rPr>
                <w:sz w:val="20"/>
                <w:szCs w:val="20"/>
              </w:rPr>
              <w:t>2.5 Responses to risk (transfer, tolerance, treatment</w:t>
            </w:r>
            <w:r w:rsidR="0053677C">
              <w:rPr>
                <w:sz w:val="20"/>
                <w:szCs w:val="20"/>
              </w:rPr>
              <w:t>,</w:t>
            </w:r>
            <w:r w:rsidRPr="00C23847">
              <w:rPr>
                <w:sz w:val="20"/>
                <w:szCs w:val="20"/>
              </w:rPr>
              <w:t xml:space="preserve"> or termination) </w:t>
            </w:r>
          </w:p>
        </w:tc>
        <w:tc>
          <w:tcPr>
            <w:tcW w:w="6775" w:type="dxa"/>
            <w:shd w:val="clear" w:color="auto" w:fill="auto"/>
          </w:tcPr>
          <w:p w14:paraId="3B689721" w14:textId="77777777"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Not assessed (see 2.4). </w:t>
            </w:r>
          </w:p>
          <w:p w14:paraId="367A9B97" w14:textId="77777777" w:rsidR="00466728" w:rsidRPr="00C23847" w:rsidRDefault="00466728" w:rsidP="00C23847">
            <w:pPr>
              <w:jc w:val="left"/>
              <w:rPr>
                <w:sz w:val="20"/>
                <w:szCs w:val="20"/>
              </w:rPr>
            </w:pPr>
          </w:p>
        </w:tc>
      </w:tr>
      <w:tr w:rsidR="00466728" w:rsidRPr="00C23847" w14:paraId="35D79C6D" w14:textId="77777777" w:rsidTr="00C23847">
        <w:tc>
          <w:tcPr>
            <w:tcW w:w="2718" w:type="dxa"/>
            <w:shd w:val="clear" w:color="auto" w:fill="auto"/>
          </w:tcPr>
          <w:p w14:paraId="283601BB" w14:textId="77777777" w:rsidR="00466728" w:rsidRPr="00C23847" w:rsidRDefault="00466728" w:rsidP="00C23847">
            <w:pPr>
              <w:jc w:val="left"/>
              <w:rPr>
                <w:sz w:val="20"/>
                <w:szCs w:val="20"/>
              </w:rPr>
            </w:pPr>
            <w:r w:rsidRPr="00C23847">
              <w:rPr>
                <w:sz w:val="20"/>
                <w:szCs w:val="20"/>
              </w:rPr>
              <w:t xml:space="preserve">3. Control activities </w:t>
            </w:r>
          </w:p>
        </w:tc>
        <w:tc>
          <w:tcPr>
            <w:tcW w:w="6775" w:type="dxa"/>
            <w:shd w:val="clear" w:color="auto" w:fill="auto"/>
          </w:tcPr>
          <w:p w14:paraId="3AED1F54" w14:textId="20B26833" w:rsidR="00466728" w:rsidRPr="00C23847" w:rsidRDefault="00466728" w:rsidP="00C23847">
            <w:pPr>
              <w:jc w:val="left"/>
              <w:rPr>
                <w:sz w:val="20"/>
                <w:szCs w:val="20"/>
              </w:rPr>
            </w:pPr>
            <w:r w:rsidRPr="00C23847">
              <w:rPr>
                <w:sz w:val="20"/>
                <w:szCs w:val="20"/>
              </w:rPr>
              <w:t xml:space="preserve">The various functions of departments are set out in the PFM Regulations. The </w:t>
            </w:r>
            <w:r w:rsidR="0053677C">
              <w:rPr>
                <w:sz w:val="20"/>
                <w:szCs w:val="20"/>
              </w:rPr>
              <w:t>A</w:t>
            </w:r>
            <w:r w:rsidRPr="00C23847">
              <w:rPr>
                <w:sz w:val="20"/>
                <w:szCs w:val="20"/>
              </w:rPr>
              <w:t xml:space="preserve">ccounting Division, in charge of recording and keeping the books, is separate from the </w:t>
            </w:r>
            <w:r w:rsidR="0053677C">
              <w:rPr>
                <w:sz w:val="20"/>
                <w:szCs w:val="20"/>
              </w:rPr>
              <w:t>a</w:t>
            </w:r>
            <w:r w:rsidRPr="00C23847">
              <w:rPr>
                <w:sz w:val="20"/>
                <w:szCs w:val="20"/>
              </w:rPr>
              <w:t xml:space="preserve">dministrative role, which normally handles the cashier function. Procurement is also a separate function that works under the </w:t>
            </w:r>
            <w:r w:rsidR="0053677C">
              <w:rPr>
                <w:sz w:val="20"/>
                <w:szCs w:val="20"/>
              </w:rPr>
              <w:t>P</w:t>
            </w:r>
            <w:r w:rsidRPr="00C23847">
              <w:rPr>
                <w:sz w:val="20"/>
                <w:szCs w:val="20"/>
              </w:rPr>
              <w:t>rocurement Committee.</w:t>
            </w:r>
          </w:p>
        </w:tc>
      </w:tr>
      <w:tr w:rsidR="00466728" w:rsidRPr="00C23847" w14:paraId="1335EA15" w14:textId="77777777" w:rsidTr="00C23847">
        <w:tc>
          <w:tcPr>
            <w:tcW w:w="2718" w:type="dxa"/>
            <w:shd w:val="clear" w:color="auto" w:fill="auto"/>
          </w:tcPr>
          <w:p w14:paraId="2B98E34E" w14:textId="77777777" w:rsidR="00466728" w:rsidRPr="00C23847" w:rsidRDefault="00466728" w:rsidP="00C23847">
            <w:pPr>
              <w:jc w:val="left"/>
              <w:rPr>
                <w:sz w:val="20"/>
                <w:szCs w:val="20"/>
              </w:rPr>
            </w:pPr>
            <w:r w:rsidRPr="00C23847">
              <w:rPr>
                <w:sz w:val="20"/>
                <w:szCs w:val="20"/>
              </w:rPr>
              <w:t xml:space="preserve">3.1 Authorization and approval procedures </w:t>
            </w:r>
          </w:p>
        </w:tc>
        <w:tc>
          <w:tcPr>
            <w:tcW w:w="6775" w:type="dxa"/>
            <w:shd w:val="clear" w:color="auto" w:fill="auto"/>
          </w:tcPr>
          <w:p w14:paraId="2354FBC8" w14:textId="5C39C554" w:rsidR="00466728" w:rsidRPr="00C23847" w:rsidRDefault="00466728" w:rsidP="00C23847">
            <w:pPr>
              <w:jc w:val="left"/>
              <w:rPr>
                <w:sz w:val="20"/>
                <w:szCs w:val="20"/>
              </w:rPr>
            </w:pPr>
            <w:r w:rsidRPr="00C23847">
              <w:rPr>
                <w:sz w:val="20"/>
                <w:szCs w:val="20"/>
              </w:rPr>
              <w:t xml:space="preserve">The Government Accounting Manual sets out the systems of authorization, policies, standards, and accounting procedures and reports. </w:t>
            </w:r>
            <w:r w:rsidR="00704C66" w:rsidRPr="00C23847">
              <w:rPr>
                <w:sz w:val="20"/>
                <w:szCs w:val="20"/>
              </w:rPr>
              <w:t>A</w:t>
            </w:r>
            <w:r w:rsidR="0053677C">
              <w:rPr>
                <w:sz w:val="20"/>
                <w:szCs w:val="20"/>
              </w:rPr>
              <w:t>n</w:t>
            </w:r>
            <w:r w:rsidR="00704C66" w:rsidRPr="00C23847">
              <w:rPr>
                <w:sz w:val="20"/>
                <w:szCs w:val="20"/>
              </w:rPr>
              <w:t xml:space="preserve"> SC</w:t>
            </w:r>
            <w:r w:rsidR="0053677C">
              <w:rPr>
                <w:sz w:val="20"/>
                <w:szCs w:val="20"/>
              </w:rPr>
              <w:t>O</w:t>
            </w:r>
            <w:r w:rsidR="00704C66" w:rsidRPr="00C23847">
              <w:rPr>
                <w:sz w:val="20"/>
                <w:szCs w:val="20"/>
              </w:rPr>
              <w:t>A is used by all county departments.</w:t>
            </w:r>
          </w:p>
          <w:p w14:paraId="0E4BF656" w14:textId="2F541057" w:rsidR="00466728" w:rsidRPr="00C23847" w:rsidRDefault="00466728" w:rsidP="00C23847">
            <w:pPr>
              <w:jc w:val="left"/>
              <w:rPr>
                <w:sz w:val="20"/>
                <w:szCs w:val="20"/>
              </w:rPr>
            </w:pPr>
            <w:r w:rsidRPr="00C23847">
              <w:rPr>
                <w:sz w:val="20"/>
                <w:szCs w:val="20"/>
              </w:rPr>
              <w:t>These procedures or activities are implemented to achieve the control objectives of safeguarding resources, ensuring the accuracy of data</w:t>
            </w:r>
            <w:r w:rsidR="0053677C">
              <w:rPr>
                <w:sz w:val="20"/>
                <w:szCs w:val="20"/>
              </w:rPr>
              <w:t>,</w:t>
            </w:r>
            <w:r w:rsidRPr="00C23847">
              <w:rPr>
                <w:sz w:val="20"/>
                <w:szCs w:val="20"/>
              </w:rPr>
              <w:t xml:space="preserve"> and enabling adherence to laws, policies, rules</w:t>
            </w:r>
            <w:r w:rsidR="0053677C">
              <w:rPr>
                <w:sz w:val="20"/>
                <w:szCs w:val="20"/>
              </w:rPr>
              <w:t>,</w:t>
            </w:r>
            <w:r w:rsidRPr="00C23847">
              <w:rPr>
                <w:sz w:val="20"/>
                <w:szCs w:val="20"/>
              </w:rPr>
              <w:t xml:space="preserve"> and regulations.</w:t>
            </w:r>
          </w:p>
        </w:tc>
      </w:tr>
      <w:tr w:rsidR="00466728" w:rsidRPr="00C23847" w14:paraId="5CBE4666" w14:textId="77777777" w:rsidTr="00C23847">
        <w:tc>
          <w:tcPr>
            <w:tcW w:w="2718" w:type="dxa"/>
            <w:shd w:val="clear" w:color="auto" w:fill="auto"/>
          </w:tcPr>
          <w:p w14:paraId="1661DAE2" w14:textId="77777777" w:rsidR="00466728" w:rsidRPr="00C23847" w:rsidRDefault="00466728" w:rsidP="00C23847">
            <w:pPr>
              <w:jc w:val="left"/>
              <w:rPr>
                <w:sz w:val="20"/>
                <w:szCs w:val="20"/>
              </w:rPr>
            </w:pPr>
            <w:r w:rsidRPr="00C23847">
              <w:rPr>
                <w:sz w:val="20"/>
                <w:szCs w:val="20"/>
              </w:rPr>
              <w:t xml:space="preserve">3.2 Segregation of duties (authorizing, processing, recording, reviewing) </w:t>
            </w:r>
          </w:p>
        </w:tc>
        <w:tc>
          <w:tcPr>
            <w:tcW w:w="6775" w:type="dxa"/>
            <w:shd w:val="clear" w:color="auto" w:fill="auto"/>
          </w:tcPr>
          <w:p w14:paraId="4316CCDE" w14:textId="16C52076"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Appropriate segregation of duties exists, in accordance with </w:t>
            </w:r>
            <w:r w:rsidR="0053677C">
              <w:rPr>
                <w:rFonts w:ascii="Calibri" w:eastAsia="Times New Roman" w:hAnsi="Calibri" w:cs="Calibri"/>
                <w:color w:val="auto"/>
                <w:sz w:val="20"/>
                <w:szCs w:val="20"/>
                <w:lang w:val="en-GB" w:eastAsia="fr-FR"/>
              </w:rPr>
              <w:t xml:space="preserve">the </w:t>
            </w:r>
            <w:r w:rsidRPr="00C23847">
              <w:rPr>
                <w:rFonts w:ascii="Calibri" w:eastAsia="Times New Roman" w:hAnsi="Calibri" w:cs="Calibri"/>
                <w:color w:val="auto"/>
                <w:sz w:val="20"/>
                <w:szCs w:val="20"/>
                <w:lang w:val="en-GB" w:eastAsia="fr-FR"/>
              </w:rPr>
              <w:t>SCOA, IFMIS and government circulars, which sp</w:t>
            </w:r>
            <w:r w:rsidR="00704C66" w:rsidRPr="00C23847">
              <w:rPr>
                <w:rFonts w:ascii="Calibri" w:eastAsia="Times New Roman" w:hAnsi="Calibri" w:cs="Calibri"/>
                <w:color w:val="auto"/>
                <w:sz w:val="20"/>
                <w:szCs w:val="20"/>
                <w:lang w:val="en-GB" w:eastAsia="fr-FR"/>
              </w:rPr>
              <w:t xml:space="preserve">ecifies clear responsibilities, but many operations are made outside </w:t>
            </w:r>
            <w:r w:rsidR="0053677C">
              <w:rPr>
                <w:rFonts w:ascii="Calibri" w:eastAsia="Times New Roman" w:hAnsi="Calibri" w:cs="Calibri"/>
                <w:color w:val="auto"/>
                <w:sz w:val="20"/>
                <w:szCs w:val="20"/>
                <w:lang w:val="en-GB" w:eastAsia="fr-FR"/>
              </w:rPr>
              <w:t xml:space="preserve">the </w:t>
            </w:r>
            <w:r w:rsidR="00704C66" w:rsidRPr="00C23847">
              <w:rPr>
                <w:rFonts w:ascii="Calibri" w:eastAsia="Times New Roman" w:hAnsi="Calibri" w:cs="Calibri"/>
                <w:color w:val="auto"/>
                <w:sz w:val="20"/>
                <w:szCs w:val="20"/>
                <w:lang w:val="en-GB" w:eastAsia="fr-FR"/>
              </w:rPr>
              <w:t>IFMIS.</w:t>
            </w:r>
          </w:p>
        </w:tc>
      </w:tr>
      <w:tr w:rsidR="00466728" w:rsidRPr="00C23847" w14:paraId="45301D6B" w14:textId="77777777" w:rsidTr="00C23847">
        <w:tc>
          <w:tcPr>
            <w:tcW w:w="2718" w:type="dxa"/>
            <w:shd w:val="clear" w:color="auto" w:fill="auto"/>
          </w:tcPr>
          <w:p w14:paraId="0A9FAA86" w14:textId="77777777" w:rsidR="00466728" w:rsidRPr="00C23847" w:rsidRDefault="00466728" w:rsidP="00C23847">
            <w:pPr>
              <w:jc w:val="left"/>
              <w:rPr>
                <w:sz w:val="20"/>
                <w:szCs w:val="20"/>
              </w:rPr>
            </w:pPr>
            <w:r w:rsidRPr="00C23847">
              <w:rPr>
                <w:sz w:val="20"/>
                <w:szCs w:val="20"/>
              </w:rPr>
              <w:t xml:space="preserve">3.3 Controls over access to resources and records </w:t>
            </w:r>
          </w:p>
        </w:tc>
        <w:tc>
          <w:tcPr>
            <w:tcW w:w="6775" w:type="dxa"/>
            <w:shd w:val="clear" w:color="auto" w:fill="auto"/>
          </w:tcPr>
          <w:p w14:paraId="2A5D86A3" w14:textId="598002EE"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PI-25.3 Most </w:t>
            </w:r>
            <w:r w:rsidR="00D332DF" w:rsidRPr="00C23847">
              <w:rPr>
                <w:rFonts w:ascii="Calibri" w:eastAsia="Times New Roman" w:hAnsi="Calibri" w:cs="Calibri"/>
                <w:color w:val="auto"/>
                <w:sz w:val="20"/>
                <w:szCs w:val="20"/>
                <w:lang w:val="en-GB" w:eastAsia="fr-FR"/>
              </w:rPr>
              <w:t>payments are</w:t>
            </w:r>
            <w:r w:rsidRPr="00C23847">
              <w:rPr>
                <w:rFonts w:ascii="Calibri" w:eastAsia="Times New Roman" w:hAnsi="Calibri" w:cs="Calibri"/>
                <w:color w:val="auto"/>
                <w:sz w:val="20"/>
                <w:szCs w:val="20"/>
                <w:lang w:val="en-GB" w:eastAsia="fr-FR"/>
              </w:rPr>
              <w:t xml:space="preserve"> compliant with rules and </w:t>
            </w:r>
            <w:r w:rsidR="000C73E4" w:rsidRPr="00C23847">
              <w:rPr>
                <w:rFonts w:ascii="Calibri" w:eastAsia="Times New Roman" w:hAnsi="Calibri" w:cs="Calibri"/>
                <w:color w:val="auto"/>
                <w:sz w:val="20"/>
                <w:szCs w:val="20"/>
                <w:lang w:val="en-GB" w:eastAsia="fr-FR"/>
              </w:rPr>
              <w:t>procedures</w:t>
            </w:r>
            <w:r w:rsidR="0053677C">
              <w:rPr>
                <w:rFonts w:ascii="Calibri" w:eastAsia="Times New Roman" w:hAnsi="Calibri" w:cs="Calibri"/>
                <w:color w:val="auto"/>
                <w:sz w:val="20"/>
                <w:szCs w:val="20"/>
                <w:lang w:val="en-GB" w:eastAsia="fr-FR"/>
              </w:rPr>
              <w:t>,</w:t>
            </w:r>
            <w:r w:rsidRPr="00C23847">
              <w:rPr>
                <w:rFonts w:ascii="Calibri" w:eastAsia="Times New Roman" w:hAnsi="Calibri" w:cs="Calibri"/>
                <w:color w:val="auto"/>
                <w:sz w:val="20"/>
                <w:szCs w:val="20"/>
                <w:lang w:val="en-GB" w:eastAsia="fr-FR"/>
              </w:rPr>
              <w:t xml:space="preserve"> </w:t>
            </w:r>
            <w:r w:rsidR="0053677C">
              <w:rPr>
                <w:rFonts w:ascii="Calibri" w:eastAsia="Times New Roman" w:hAnsi="Calibri" w:cs="Calibri"/>
                <w:color w:val="auto"/>
                <w:sz w:val="20"/>
                <w:szCs w:val="20"/>
                <w:lang w:val="en-GB" w:eastAsia="fr-FR"/>
              </w:rPr>
              <w:t>b</w:t>
            </w:r>
            <w:r w:rsidRPr="00C23847">
              <w:rPr>
                <w:rFonts w:ascii="Calibri" w:eastAsia="Times New Roman" w:hAnsi="Calibri" w:cs="Calibri"/>
                <w:color w:val="auto"/>
                <w:sz w:val="20"/>
                <w:szCs w:val="20"/>
                <w:lang w:val="en-GB" w:eastAsia="fr-FR"/>
              </w:rPr>
              <w:t xml:space="preserve">ut </w:t>
            </w:r>
            <w:r w:rsidR="0053677C">
              <w:rPr>
                <w:rFonts w:ascii="Calibri" w:eastAsia="Times New Roman" w:hAnsi="Calibri" w:cs="Calibri"/>
                <w:color w:val="auto"/>
                <w:sz w:val="20"/>
                <w:szCs w:val="20"/>
                <w:lang w:val="en-GB" w:eastAsia="fr-FR"/>
              </w:rPr>
              <w:t xml:space="preserve">there are </w:t>
            </w:r>
            <w:r w:rsidRPr="00C23847">
              <w:rPr>
                <w:rFonts w:ascii="Calibri" w:eastAsia="Times New Roman" w:hAnsi="Calibri" w:cs="Calibri"/>
                <w:color w:val="auto"/>
                <w:sz w:val="20"/>
                <w:szCs w:val="20"/>
                <w:lang w:val="en-GB" w:eastAsia="fr-FR"/>
              </w:rPr>
              <w:t xml:space="preserve">variations </w:t>
            </w:r>
            <w:r w:rsidR="0053677C">
              <w:rPr>
                <w:rFonts w:ascii="Calibri" w:eastAsia="Times New Roman" w:hAnsi="Calibri" w:cs="Calibri"/>
                <w:color w:val="auto"/>
                <w:sz w:val="20"/>
                <w:szCs w:val="20"/>
                <w:lang w:val="en-GB" w:eastAsia="fr-FR"/>
              </w:rPr>
              <w:t>that</w:t>
            </w:r>
            <w:r w:rsidRPr="00C23847">
              <w:rPr>
                <w:rFonts w:ascii="Calibri" w:eastAsia="Times New Roman" w:hAnsi="Calibri" w:cs="Calibri"/>
                <w:color w:val="auto"/>
                <w:sz w:val="20"/>
                <w:szCs w:val="20"/>
                <w:lang w:val="en-GB" w:eastAsia="fr-FR"/>
              </w:rPr>
              <w:t xml:space="preserve"> are pointed out in the report of the OAG. </w:t>
            </w:r>
          </w:p>
          <w:p w14:paraId="6102D848" w14:textId="77777777" w:rsidR="00466728" w:rsidRPr="00C23847" w:rsidRDefault="00466728" w:rsidP="00C23847">
            <w:pPr>
              <w:jc w:val="left"/>
              <w:rPr>
                <w:sz w:val="20"/>
                <w:szCs w:val="20"/>
              </w:rPr>
            </w:pPr>
            <w:r w:rsidRPr="00C23847">
              <w:rPr>
                <w:sz w:val="20"/>
                <w:szCs w:val="20"/>
              </w:rPr>
              <w:t xml:space="preserve">PI-27.4. Access and changes to records are restricted and recorded. </w:t>
            </w:r>
          </w:p>
        </w:tc>
      </w:tr>
      <w:tr w:rsidR="00466728" w:rsidRPr="00C23847" w14:paraId="5D2EBEE4" w14:textId="77777777" w:rsidTr="00C23847">
        <w:tc>
          <w:tcPr>
            <w:tcW w:w="2718" w:type="dxa"/>
            <w:shd w:val="clear" w:color="auto" w:fill="auto"/>
          </w:tcPr>
          <w:p w14:paraId="61E574DA" w14:textId="77777777" w:rsidR="00466728" w:rsidRPr="00C23847" w:rsidRDefault="00466728" w:rsidP="00C23847">
            <w:pPr>
              <w:jc w:val="left"/>
              <w:rPr>
                <w:sz w:val="20"/>
                <w:szCs w:val="20"/>
              </w:rPr>
            </w:pPr>
            <w:r w:rsidRPr="00C23847">
              <w:rPr>
                <w:sz w:val="20"/>
                <w:szCs w:val="20"/>
              </w:rPr>
              <w:t xml:space="preserve">3.4 Verifications </w:t>
            </w:r>
          </w:p>
        </w:tc>
        <w:tc>
          <w:tcPr>
            <w:tcW w:w="6775" w:type="dxa"/>
            <w:shd w:val="clear" w:color="auto" w:fill="auto"/>
          </w:tcPr>
          <w:p w14:paraId="3AC0A703" w14:textId="75DE4F89" w:rsidR="00466728" w:rsidRPr="00C23847" w:rsidRDefault="00466728" w:rsidP="00C23847">
            <w:pPr>
              <w:jc w:val="left"/>
              <w:rPr>
                <w:sz w:val="20"/>
                <w:szCs w:val="20"/>
              </w:rPr>
            </w:pPr>
            <w:r w:rsidRPr="00C23847">
              <w:rPr>
                <w:sz w:val="20"/>
                <w:szCs w:val="20"/>
              </w:rPr>
              <w:t xml:space="preserve">The PFM </w:t>
            </w:r>
            <w:r w:rsidR="0053677C">
              <w:rPr>
                <w:sz w:val="20"/>
                <w:szCs w:val="20"/>
              </w:rPr>
              <w:t>R</w:t>
            </w:r>
            <w:r w:rsidRPr="00C23847">
              <w:rPr>
                <w:sz w:val="20"/>
                <w:szCs w:val="20"/>
              </w:rPr>
              <w:t>egulations and finance manual sets out the usual internal control instructions for verification</w:t>
            </w:r>
            <w:r w:rsidR="0053677C">
              <w:rPr>
                <w:sz w:val="20"/>
                <w:szCs w:val="20"/>
              </w:rPr>
              <w:t>:</w:t>
            </w:r>
            <w:r w:rsidRPr="00C23847">
              <w:rPr>
                <w:sz w:val="20"/>
                <w:szCs w:val="20"/>
              </w:rPr>
              <w:t xml:space="preserve"> review of transactions to check the propriety and reliability of documentation, costing, or mathematical computation. It includes checking the conformity of acquired goods and services with agreed quantity and quality specifications.</w:t>
            </w:r>
          </w:p>
          <w:p w14:paraId="0BD3F370" w14:textId="0CFE7792" w:rsidR="00466728" w:rsidRPr="00C23847" w:rsidRDefault="00466728" w:rsidP="00C23847">
            <w:pPr>
              <w:jc w:val="left"/>
              <w:rPr>
                <w:sz w:val="20"/>
                <w:szCs w:val="20"/>
              </w:rPr>
            </w:pPr>
            <w:r w:rsidRPr="00C23847">
              <w:rPr>
                <w:sz w:val="20"/>
                <w:szCs w:val="20"/>
              </w:rPr>
              <w:t>The verification procedures are built</w:t>
            </w:r>
            <w:r w:rsidR="0053677C">
              <w:rPr>
                <w:sz w:val="20"/>
                <w:szCs w:val="20"/>
              </w:rPr>
              <w:t xml:space="preserve"> </w:t>
            </w:r>
            <w:r w:rsidRPr="00C23847">
              <w:rPr>
                <w:sz w:val="20"/>
                <w:szCs w:val="20"/>
              </w:rPr>
              <w:t>in</w:t>
            </w:r>
            <w:r w:rsidR="0053677C">
              <w:rPr>
                <w:sz w:val="20"/>
                <w:szCs w:val="20"/>
              </w:rPr>
              <w:t>to</w:t>
            </w:r>
            <w:r w:rsidRPr="00C23847">
              <w:rPr>
                <w:sz w:val="20"/>
                <w:szCs w:val="20"/>
              </w:rPr>
              <w:t xml:space="preserve"> every </w:t>
            </w:r>
            <w:r w:rsidR="0014574C" w:rsidRPr="00C23847">
              <w:rPr>
                <w:sz w:val="20"/>
                <w:szCs w:val="20"/>
              </w:rPr>
              <w:t xml:space="preserve">transaction when </w:t>
            </w:r>
            <w:r w:rsidR="0053677C">
              <w:rPr>
                <w:sz w:val="20"/>
                <w:szCs w:val="20"/>
              </w:rPr>
              <w:t xml:space="preserve">the </w:t>
            </w:r>
            <w:r w:rsidR="0014574C" w:rsidRPr="00C23847">
              <w:rPr>
                <w:sz w:val="20"/>
                <w:szCs w:val="20"/>
              </w:rPr>
              <w:t xml:space="preserve">IFMIS is used, but manual procedures are still used and </w:t>
            </w:r>
            <w:r w:rsidRPr="00C23847">
              <w:rPr>
                <w:sz w:val="20"/>
                <w:szCs w:val="20"/>
              </w:rPr>
              <w:t>verifica</w:t>
            </w:r>
            <w:r w:rsidR="0014574C" w:rsidRPr="00C23847">
              <w:rPr>
                <w:sz w:val="20"/>
                <w:szCs w:val="20"/>
              </w:rPr>
              <w:t xml:space="preserve">tion procedures outside </w:t>
            </w:r>
            <w:r w:rsidR="0053677C">
              <w:rPr>
                <w:sz w:val="20"/>
                <w:szCs w:val="20"/>
              </w:rPr>
              <w:t xml:space="preserve">the </w:t>
            </w:r>
            <w:r w:rsidR="0014574C" w:rsidRPr="00C23847">
              <w:rPr>
                <w:sz w:val="20"/>
                <w:szCs w:val="20"/>
              </w:rPr>
              <w:t>IFMIS are still weak.</w:t>
            </w:r>
          </w:p>
        </w:tc>
      </w:tr>
      <w:tr w:rsidR="00466728" w:rsidRPr="00C23847" w14:paraId="482FFFDD" w14:textId="77777777" w:rsidTr="00C23847">
        <w:tc>
          <w:tcPr>
            <w:tcW w:w="2718" w:type="dxa"/>
            <w:shd w:val="clear" w:color="auto" w:fill="auto"/>
          </w:tcPr>
          <w:p w14:paraId="655E1B4D" w14:textId="77777777" w:rsidR="00466728" w:rsidRPr="00C23847" w:rsidRDefault="00466728" w:rsidP="00C23847">
            <w:pPr>
              <w:jc w:val="left"/>
              <w:rPr>
                <w:sz w:val="20"/>
                <w:szCs w:val="20"/>
              </w:rPr>
            </w:pPr>
            <w:r w:rsidRPr="00C23847">
              <w:rPr>
                <w:sz w:val="20"/>
                <w:szCs w:val="20"/>
              </w:rPr>
              <w:t xml:space="preserve">3.5 Reconciliations </w:t>
            </w:r>
          </w:p>
        </w:tc>
        <w:tc>
          <w:tcPr>
            <w:tcW w:w="6775" w:type="dxa"/>
            <w:shd w:val="clear" w:color="auto" w:fill="auto"/>
          </w:tcPr>
          <w:p w14:paraId="664A3715" w14:textId="77777777" w:rsidR="00466728" w:rsidRPr="00C23847" w:rsidRDefault="00704C66" w:rsidP="00C23847">
            <w:pPr>
              <w:jc w:val="left"/>
              <w:rPr>
                <w:sz w:val="20"/>
                <w:szCs w:val="20"/>
              </w:rPr>
            </w:pPr>
            <w:r w:rsidRPr="00C23847">
              <w:rPr>
                <w:sz w:val="20"/>
                <w:szCs w:val="20"/>
              </w:rPr>
              <w:t>W</w:t>
            </w:r>
            <w:r w:rsidR="00466728" w:rsidRPr="00C23847">
              <w:rPr>
                <w:sz w:val="20"/>
                <w:szCs w:val="20"/>
              </w:rPr>
              <w:t>hile monthly bank reconciliation statements are prescribed per law, issues of non-preparation, delayed submission, and non-recording of reconciling items are substantial.</w:t>
            </w:r>
          </w:p>
        </w:tc>
      </w:tr>
      <w:tr w:rsidR="00466728" w:rsidRPr="00C23847" w14:paraId="0585851C" w14:textId="77777777" w:rsidTr="00C23847">
        <w:tc>
          <w:tcPr>
            <w:tcW w:w="2718" w:type="dxa"/>
            <w:shd w:val="clear" w:color="auto" w:fill="auto"/>
          </w:tcPr>
          <w:p w14:paraId="747795F4" w14:textId="77777777" w:rsidR="00466728" w:rsidRPr="00C23847" w:rsidRDefault="00466728" w:rsidP="00C23847">
            <w:pPr>
              <w:jc w:val="left"/>
              <w:rPr>
                <w:sz w:val="20"/>
                <w:szCs w:val="20"/>
              </w:rPr>
            </w:pPr>
            <w:r w:rsidRPr="00C23847">
              <w:rPr>
                <w:sz w:val="20"/>
                <w:szCs w:val="20"/>
              </w:rPr>
              <w:t xml:space="preserve">3.6 Reviews of operating performance </w:t>
            </w:r>
          </w:p>
        </w:tc>
        <w:tc>
          <w:tcPr>
            <w:tcW w:w="6775" w:type="dxa"/>
            <w:shd w:val="clear" w:color="auto" w:fill="auto"/>
          </w:tcPr>
          <w:p w14:paraId="2AC09539" w14:textId="77777777"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No review of operating performance has been implemented yet.</w:t>
            </w:r>
          </w:p>
          <w:p w14:paraId="39296E9E" w14:textId="77777777" w:rsidR="00466728" w:rsidRPr="00C23847" w:rsidRDefault="00466728" w:rsidP="00C23847">
            <w:pPr>
              <w:jc w:val="left"/>
              <w:rPr>
                <w:sz w:val="20"/>
                <w:szCs w:val="20"/>
              </w:rPr>
            </w:pPr>
          </w:p>
        </w:tc>
      </w:tr>
      <w:tr w:rsidR="00466728" w:rsidRPr="00C23847" w14:paraId="0DD12DFD" w14:textId="77777777" w:rsidTr="00C23847">
        <w:tc>
          <w:tcPr>
            <w:tcW w:w="2718" w:type="dxa"/>
            <w:shd w:val="clear" w:color="auto" w:fill="auto"/>
          </w:tcPr>
          <w:p w14:paraId="6E503140" w14:textId="77777777" w:rsidR="00466728" w:rsidRPr="00C23847" w:rsidRDefault="00466728" w:rsidP="00C23847">
            <w:pPr>
              <w:jc w:val="left"/>
              <w:rPr>
                <w:sz w:val="20"/>
                <w:szCs w:val="20"/>
              </w:rPr>
            </w:pPr>
            <w:r w:rsidRPr="00C23847">
              <w:rPr>
                <w:sz w:val="20"/>
                <w:szCs w:val="20"/>
              </w:rPr>
              <w:t>3.7 Reviews of operations, processes and activities</w:t>
            </w:r>
          </w:p>
        </w:tc>
        <w:tc>
          <w:tcPr>
            <w:tcW w:w="6775" w:type="dxa"/>
            <w:shd w:val="clear" w:color="auto" w:fill="auto"/>
          </w:tcPr>
          <w:p w14:paraId="157E594A" w14:textId="77777777"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PI-24 procurement monitoring is comprehensive, but no statistics are being published annually and the OAG reports many breaches in the law.</w:t>
            </w:r>
          </w:p>
          <w:p w14:paraId="2B343B3C" w14:textId="193DCE2B" w:rsidR="00466728" w:rsidRPr="00C23847" w:rsidRDefault="0053677C" w:rsidP="00C23847">
            <w:pPr>
              <w:pStyle w:val="Default"/>
              <w:rPr>
                <w:rFonts w:ascii="Calibri" w:eastAsia="Times New Roman" w:hAnsi="Calibri" w:cs="Calibri"/>
                <w:color w:val="auto"/>
                <w:sz w:val="20"/>
                <w:szCs w:val="20"/>
                <w:lang w:val="en-GB" w:eastAsia="fr-FR"/>
              </w:rPr>
            </w:pPr>
            <w:r>
              <w:rPr>
                <w:rFonts w:ascii="Calibri" w:eastAsia="Times New Roman" w:hAnsi="Calibri" w:cs="Calibri"/>
                <w:color w:val="auto"/>
                <w:sz w:val="20"/>
                <w:szCs w:val="20"/>
                <w:lang w:val="en-GB" w:eastAsia="fr-FR"/>
              </w:rPr>
              <w:t>PI-</w:t>
            </w:r>
            <w:r w:rsidR="00466728" w:rsidRPr="00C23847">
              <w:rPr>
                <w:rFonts w:ascii="Calibri" w:eastAsia="Times New Roman" w:hAnsi="Calibri" w:cs="Calibri"/>
                <w:color w:val="auto"/>
                <w:sz w:val="20"/>
                <w:szCs w:val="20"/>
                <w:lang w:val="en-GB" w:eastAsia="fr-FR"/>
              </w:rPr>
              <w:t xml:space="preserve">13.3 No debt strategy has been developed yet and the </w:t>
            </w:r>
            <w:r>
              <w:rPr>
                <w:rFonts w:ascii="Calibri" w:eastAsia="Times New Roman" w:hAnsi="Calibri" w:cs="Calibri"/>
                <w:color w:val="auto"/>
                <w:sz w:val="20"/>
                <w:szCs w:val="20"/>
                <w:lang w:val="en-GB" w:eastAsia="fr-FR"/>
              </w:rPr>
              <w:t>c</w:t>
            </w:r>
            <w:r w:rsidR="00466728" w:rsidRPr="00C23847">
              <w:rPr>
                <w:rFonts w:ascii="Calibri" w:eastAsia="Times New Roman" w:hAnsi="Calibri" w:cs="Calibri"/>
                <w:color w:val="auto"/>
                <w:sz w:val="20"/>
                <w:szCs w:val="20"/>
                <w:lang w:val="en-GB" w:eastAsia="fr-FR"/>
              </w:rPr>
              <w:t>ounty does not have any debt, so no operation, processes</w:t>
            </w:r>
            <w:r>
              <w:rPr>
                <w:rFonts w:ascii="Calibri" w:eastAsia="Times New Roman" w:hAnsi="Calibri" w:cs="Calibri"/>
                <w:color w:val="auto"/>
                <w:sz w:val="20"/>
                <w:szCs w:val="20"/>
                <w:lang w:val="en-GB" w:eastAsia="fr-FR"/>
              </w:rPr>
              <w:t>,</w:t>
            </w:r>
            <w:r w:rsidR="00466728" w:rsidRPr="00C23847">
              <w:rPr>
                <w:rFonts w:ascii="Calibri" w:eastAsia="Times New Roman" w:hAnsi="Calibri" w:cs="Calibri"/>
                <w:color w:val="auto"/>
                <w:sz w:val="20"/>
                <w:szCs w:val="20"/>
                <w:lang w:val="en-GB" w:eastAsia="fr-FR"/>
              </w:rPr>
              <w:t xml:space="preserve"> and activities can be recorded.</w:t>
            </w:r>
          </w:p>
        </w:tc>
      </w:tr>
      <w:tr w:rsidR="00466728" w:rsidRPr="00C23847" w14:paraId="04C5C660" w14:textId="77777777" w:rsidTr="00C23847">
        <w:tc>
          <w:tcPr>
            <w:tcW w:w="2718" w:type="dxa"/>
            <w:shd w:val="clear" w:color="auto" w:fill="auto"/>
          </w:tcPr>
          <w:p w14:paraId="2CDDF770" w14:textId="77777777" w:rsidR="00466728" w:rsidRPr="00C23847" w:rsidRDefault="00466728" w:rsidP="00C23847">
            <w:pPr>
              <w:jc w:val="left"/>
              <w:rPr>
                <w:sz w:val="20"/>
                <w:szCs w:val="20"/>
              </w:rPr>
            </w:pPr>
            <w:r w:rsidRPr="00C23847">
              <w:rPr>
                <w:sz w:val="20"/>
                <w:szCs w:val="20"/>
              </w:rPr>
              <w:t>3.8 Supervision (assigning, reviewing and approving, guidance and training)</w:t>
            </w:r>
          </w:p>
        </w:tc>
        <w:tc>
          <w:tcPr>
            <w:tcW w:w="6775" w:type="dxa"/>
            <w:shd w:val="clear" w:color="auto" w:fill="auto"/>
          </w:tcPr>
          <w:p w14:paraId="5A6A43D3" w14:textId="77777777"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No information available from the PEFA assessment. </w:t>
            </w:r>
          </w:p>
          <w:p w14:paraId="39B8E213" w14:textId="77777777" w:rsidR="00466728" w:rsidRPr="00C23847" w:rsidRDefault="00466728" w:rsidP="00C23847">
            <w:pPr>
              <w:jc w:val="left"/>
              <w:rPr>
                <w:sz w:val="20"/>
                <w:szCs w:val="20"/>
              </w:rPr>
            </w:pPr>
          </w:p>
        </w:tc>
      </w:tr>
      <w:tr w:rsidR="00466728" w:rsidRPr="00C23847" w14:paraId="06420A14" w14:textId="77777777" w:rsidTr="00C23847">
        <w:tc>
          <w:tcPr>
            <w:tcW w:w="2718" w:type="dxa"/>
            <w:shd w:val="clear" w:color="auto" w:fill="auto"/>
          </w:tcPr>
          <w:p w14:paraId="325811B0" w14:textId="77777777" w:rsidR="00466728" w:rsidRPr="00C23847" w:rsidRDefault="00466728" w:rsidP="00C23847">
            <w:pPr>
              <w:jc w:val="left"/>
              <w:rPr>
                <w:sz w:val="20"/>
                <w:szCs w:val="20"/>
              </w:rPr>
            </w:pPr>
            <w:r w:rsidRPr="00C23847">
              <w:rPr>
                <w:sz w:val="20"/>
                <w:szCs w:val="20"/>
              </w:rPr>
              <w:t xml:space="preserve">4. Information and communication </w:t>
            </w:r>
          </w:p>
        </w:tc>
        <w:tc>
          <w:tcPr>
            <w:tcW w:w="6775" w:type="dxa"/>
            <w:shd w:val="clear" w:color="auto" w:fill="auto"/>
          </w:tcPr>
          <w:p w14:paraId="77AB6B58" w14:textId="2528C374"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 xml:space="preserve">All </w:t>
            </w:r>
            <w:r w:rsidR="0053677C">
              <w:rPr>
                <w:rFonts w:ascii="Calibri" w:eastAsia="Times New Roman" w:hAnsi="Calibri" w:cs="Calibri"/>
                <w:color w:val="auto"/>
                <w:sz w:val="20"/>
                <w:szCs w:val="20"/>
                <w:lang w:val="en-GB" w:eastAsia="fr-FR"/>
              </w:rPr>
              <w:t>c</w:t>
            </w:r>
            <w:r w:rsidRPr="00C23847">
              <w:rPr>
                <w:rFonts w:ascii="Calibri" w:eastAsia="Times New Roman" w:hAnsi="Calibri" w:cs="Calibri"/>
                <w:color w:val="auto"/>
                <w:sz w:val="20"/>
                <w:szCs w:val="20"/>
                <w:lang w:val="en-GB" w:eastAsia="fr-FR"/>
              </w:rPr>
              <w:t>ounty governments are required to report quarterly and annually to the C</w:t>
            </w:r>
            <w:r w:rsidR="0053677C">
              <w:rPr>
                <w:rFonts w:ascii="Calibri" w:eastAsia="Times New Roman" w:hAnsi="Calibri" w:cs="Calibri"/>
                <w:color w:val="auto"/>
                <w:sz w:val="20"/>
                <w:szCs w:val="20"/>
                <w:lang w:val="en-GB" w:eastAsia="fr-FR"/>
              </w:rPr>
              <w:t>OB</w:t>
            </w:r>
            <w:r w:rsidRPr="00C23847">
              <w:rPr>
                <w:rFonts w:ascii="Calibri" w:eastAsia="Times New Roman" w:hAnsi="Calibri" w:cs="Calibri"/>
                <w:color w:val="auto"/>
                <w:sz w:val="20"/>
                <w:szCs w:val="20"/>
                <w:lang w:val="en-GB" w:eastAsia="fr-FR"/>
              </w:rPr>
              <w:t>, the OAG</w:t>
            </w:r>
            <w:r w:rsidR="0053677C">
              <w:rPr>
                <w:rFonts w:ascii="Calibri" w:eastAsia="Times New Roman" w:hAnsi="Calibri" w:cs="Calibri"/>
                <w:color w:val="auto"/>
                <w:sz w:val="20"/>
                <w:szCs w:val="20"/>
                <w:lang w:val="en-GB" w:eastAsia="fr-FR"/>
              </w:rPr>
              <w:t>,</w:t>
            </w:r>
            <w:r w:rsidRPr="00C23847">
              <w:rPr>
                <w:rFonts w:ascii="Calibri" w:eastAsia="Times New Roman" w:hAnsi="Calibri" w:cs="Calibri"/>
                <w:color w:val="auto"/>
                <w:sz w:val="20"/>
                <w:szCs w:val="20"/>
                <w:lang w:val="en-GB" w:eastAsia="fr-FR"/>
              </w:rPr>
              <w:t xml:space="preserve"> and the National </w:t>
            </w:r>
            <w:r w:rsidR="0053677C">
              <w:rPr>
                <w:rFonts w:ascii="Calibri" w:eastAsia="Times New Roman" w:hAnsi="Calibri" w:cs="Calibri"/>
                <w:color w:val="auto"/>
                <w:sz w:val="20"/>
                <w:szCs w:val="20"/>
                <w:lang w:val="en-GB" w:eastAsia="fr-FR"/>
              </w:rPr>
              <w:t>T</w:t>
            </w:r>
            <w:r w:rsidRPr="00C23847">
              <w:rPr>
                <w:rFonts w:ascii="Calibri" w:eastAsia="Times New Roman" w:hAnsi="Calibri" w:cs="Calibri"/>
                <w:color w:val="auto"/>
                <w:sz w:val="20"/>
                <w:szCs w:val="20"/>
                <w:lang w:val="en-GB" w:eastAsia="fr-FR"/>
              </w:rPr>
              <w:t>reasury through the production of financial reports in a template provided by the PSASB.</w:t>
            </w:r>
          </w:p>
        </w:tc>
      </w:tr>
      <w:tr w:rsidR="00466728" w:rsidRPr="00C23847" w14:paraId="30970390" w14:textId="77777777" w:rsidTr="00C23847">
        <w:tc>
          <w:tcPr>
            <w:tcW w:w="2718" w:type="dxa"/>
            <w:shd w:val="clear" w:color="auto" w:fill="auto"/>
          </w:tcPr>
          <w:p w14:paraId="2E896587" w14:textId="77777777" w:rsidR="00466728" w:rsidRPr="00C23847" w:rsidRDefault="00466728" w:rsidP="00C23847">
            <w:pPr>
              <w:jc w:val="left"/>
              <w:rPr>
                <w:sz w:val="20"/>
                <w:szCs w:val="20"/>
              </w:rPr>
            </w:pPr>
            <w:r w:rsidRPr="00C23847">
              <w:rPr>
                <w:sz w:val="20"/>
                <w:szCs w:val="20"/>
              </w:rPr>
              <w:t xml:space="preserve">5. Monitoring </w:t>
            </w:r>
          </w:p>
        </w:tc>
        <w:tc>
          <w:tcPr>
            <w:tcW w:w="6775" w:type="dxa"/>
            <w:shd w:val="clear" w:color="auto" w:fill="auto"/>
          </w:tcPr>
          <w:p w14:paraId="6808B1B9" w14:textId="27DEEE31" w:rsidR="00466728" w:rsidRPr="00C23847" w:rsidRDefault="00466728" w:rsidP="00C23847">
            <w:pPr>
              <w:jc w:val="left"/>
              <w:rPr>
                <w:sz w:val="20"/>
                <w:szCs w:val="20"/>
              </w:rPr>
            </w:pPr>
            <w:r w:rsidRPr="00C23847">
              <w:rPr>
                <w:sz w:val="20"/>
                <w:szCs w:val="20"/>
              </w:rPr>
              <w:t xml:space="preserve">PI-26, Internal Audit, found that internal audit has been formally established </w:t>
            </w:r>
            <w:r w:rsidR="0053677C">
              <w:rPr>
                <w:sz w:val="20"/>
                <w:szCs w:val="20"/>
              </w:rPr>
              <w:t xml:space="preserve">and </w:t>
            </w:r>
            <w:r w:rsidRPr="00C23847">
              <w:rPr>
                <w:sz w:val="20"/>
                <w:szCs w:val="20"/>
              </w:rPr>
              <w:t>that audit programs are largely completed but with delays.</w:t>
            </w:r>
          </w:p>
        </w:tc>
      </w:tr>
      <w:tr w:rsidR="00466728" w:rsidRPr="00C23847" w14:paraId="7D597BF1" w14:textId="77777777" w:rsidTr="00C23847">
        <w:tc>
          <w:tcPr>
            <w:tcW w:w="2718" w:type="dxa"/>
            <w:shd w:val="clear" w:color="auto" w:fill="auto"/>
          </w:tcPr>
          <w:p w14:paraId="2C7080BB" w14:textId="2E64985B" w:rsidR="00466728" w:rsidRPr="00C23847" w:rsidRDefault="00466728" w:rsidP="00C23847">
            <w:pPr>
              <w:jc w:val="left"/>
              <w:rPr>
                <w:sz w:val="20"/>
                <w:szCs w:val="20"/>
              </w:rPr>
            </w:pPr>
            <w:r w:rsidRPr="00C23847">
              <w:rPr>
                <w:sz w:val="20"/>
                <w:szCs w:val="20"/>
              </w:rPr>
              <w:t xml:space="preserve">5.1 </w:t>
            </w:r>
            <w:r w:rsidR="00846431" w:rsidRPr="00C23847">
              <w:rPr>
                <w:sz w:val="20"/>
                <w:szCs w:val="20"/>
              </w:rPr>
              <w:t>Ongoing</w:t>
            </w:r>
            <w:r w:rsidRPr="00C23847">
              <w:rPr>
                <w:sz w:val="20"/>
                <w:szCs w:val="20"/>
              </w:rPr>
              <w:t xml:space="preserve"> monitoring </w:t>
            </w:r>
          </w:p>
        </w:tc>
        <w:tc>
          <w:tcPr>
            <w:tcW w:w="6775" w:type="dxa"/>
            <w:shd w:val="clear" w:color="auto" w:fill="auto"/>
          </w:tcPr>
          <w:p w14:paraId="73076278" w14:textId="1C78B871" w:rsidR="00466728" w:rsidRPr="00C23847" w:rsidRDefault="00846431" w:rsidP="00C23847">
            <w:pPr>
              <w:jc w:val="left"/>
              <w:rPr>
                <w:sz w:val="20"/>
                <w:szCs w:val="20"/>
              </w:rPr>
            </w:pPr>
            <w:r w:rsidRPr="00C23847">
              <w:rPr>
                <w:sz w:val="20"/>
                <w:szCs w:val="20"/>
              </w:rPr>
              <w:t>Ongoing</w:t>
            </w:r>
            <w:r w:rsidR="00466728" w:rsidRPr="00C23847">
              <w:rPr>
                <w:sz w:val="20"/>
                <w:szCs w:val="20"/>
              </w:rPr>
              <w:t xml:space="preserve"> monitoring in the </w:t>
            </w:r>
            <w:r w:rsidR="0053677C">
              <w:rPr>
                <w:sz w:val="20"/>
                <w:szCs w:val="20"/>
              </w:rPr>
              <w:t>c</w:t>
            </w:r>
            <w:r w:rsidR="00466728" w:rsidRPr="00C23847">
              <w:rPr>
                <w:sz w:val="20"/>
                <w:szCs w:val="20"/>
              </w:rPr>
              <w:t xml:space="preserve">ounty government is generally </w:t>
            </w:r>
            <w:r w:rsidR="0053677C">
              <w:rPr>
                <w:sz w:val="20"/>
                <w:szCs w:val="20"/>
              </w:rPr>
              <w:t>poor</w:t>
            </w:r>
            <w:r w:rsidR="0053677C" w:rsidRPr="00C23847">
              <w:rPr>
                <w:sz w:val="20"/>
                <w:szCs w:val="20"/>
              </w:rPr>
              <w:t xml:space="preserve"> </w:t>
            </w:r>
            <w:r w:rsidR="00466728" w:rsidRPr="00C23847">
              <w:rPr>
                <w:sz w:val="20"/>
                <w:szCs w:val="20"/>
              </w:rPr>
              <w:t>(PI-8.4 r</w:t>
            </w:r>
            <w:r w:rsidR="008C00CA">
              <w:rPr>
                <w:sz w:val="20"/>
                <w:szCs w:val="20"/>
              </w:rPr>
              <w:t>ated D</w:t>
            </w:r>
            <w:r w:rsidR="00466728" w:rsidRPr="00C23847">
              <w:rPr>
                <w:sz w:val="20"/>
                <w:szCs w:val="20"/>
              </w:rPr>
              <w:t>, PI-11.4 rated D</w:t>
            </w:r>
            <w:r w:rsidR="008C00CA">
              <w:rPr>
                <w:sz w:val="20"/>
                <w:szCs w:val="20"/>
              </w:rPr>
              <w:t>*, PI-12.2 rated D</w:t>
            </w:r>
            <w:r w:rsidR="00466728" w:rsidRPr="00C23847">
              <w:rPr>
                <w:sz w:val="20"/>
                <w:szCs w:val="20"/>
              </w:rPr>
              <w:t>).</w:t>
            </w:r>
          </w:p>
        </w:tc>
      </w:tr>
      <w:tr w:rsidR="00466728" w:rsidRPr="00C23847" w14:paraId="37D0265C" w14:textId="77777777" w:rsidTr="00C23847">
        <w:tc>
          <w:tcPr>
            <w:tcW w:w="2718" w:type="dxa"/>
            <w:shd w:val="clear" w:color="auto" w:fill="auto"/>
          </w:tcPr>
          <w:p w14:paraId="6CF4D18C" w14:textId="77777777" w:rsidR="00466728" w:rsidRPr="00C23847" w:rsidRDefault="00466728" w:rsidP="00C23847">
            <w:pPr>
              <w:jc w:val="left"/>
              <w:rPr>
                <w:sz w:val="20"/>
                <w:szCs w:val="20"/>
              </w:rPr>
            </w:pPr>
            <w:r w:rsidRPr="00C23847">
              <w:rPr>
                <w:sz w:val="20"/>
                <w:szCs w:val="20"/>
              </w:rPr>
              <w:t xml:space="preserve">5.2 Evaluations </w:t>
            </w:r>
          </w:p>
        </w:tc>
        <w:tc>
          <w:tcPr>
            <w:tcW w:w="6775" w:type="dxa"/>
            <w:shd w:val="clear" w:color="auto" w:fill="auto"/>
          </w:tcPr>
          <w:p w14:paraId="0717D196" w14:textId="1FA246EC" w:rsidR="00466728" w:rsidRPr="00C23847" w:rsidRDefault="00466728" w:rsidP="00C23847">
            <w:pPr>
              <w:pStyle w:val="Default"/>
              <w:rPr>
                <w:rFonts w:ascii="Calibri" w:eastAsia="Times New Roman" w:hAnsi="Calibri" w:cs="Calibri"/>
                <w:color w:val="auto"/>
                <w:sz w:val="20"/>
                <w:szCs w:val="20"/>
                <w:lang w:val="en-GB" w:eastAsia="fr-FR"/>
              </w:rPr>
            </w:pPr>
            <w:r w:rsidRPr="00C23847">
              <w:rPr>
                <w:rFonts w:ascii="Calibri" w:eastAsia="Times New Roman" w:hAnsi="Calibri" w:cs="Calibri"/>
                <w:color w:val="auto"/>
                <w:sz w:val="20"/>
                <w:szCs w:val="20"/>
                <w:lang w:val="en-GB" w:eastAsia="fr-FR"/>
              </w:rPr>
              <w:t>PI-11.4. Major investment projects are not evaluated before they are included in the budget</w:t>
            </w:r>
            <w:r w:rsidR="0053677C">
              <w:rPr>
                <w:rFonts w:ascii="Calibri" w:eastAsia="Times New Roman" w:hAnsi="Calibri" w:cs="Calibri"/>
                <w:color w:val="auto"/>
                <w:sz w:val="20"/>
                <w:szCs w:val="20"/>
                <w:lang w:val="en-GB" w:eastAsia="fr-FR"/>
              </w:rPr>
              <w:t>,</w:t>
            </w:r>
            <w:r w:rsidRPr="00C23847">
              <w:rPr>
                <w:rFonts w:ascii="Calibri" w:eastAsia="Times New Roman" w:hAnsi="Calibri" w:cs="Calibri"/>
                <w:color w:val="auto"/>
                <w:sz w:val="20"/>
                <w:szCs w:val="20"/>
                <w:lang w:val="en-GB" w:eastAsia="fr-FR"/>
              </w:rPr>
              <w:t xml:space="preserve"> and </w:t>
            </w:r>
            <w:r w:rsidR="0053677C">
              <w:rPr>
                <w:rFonts w:ascii="Calibri" w:eastAsia="Times New Roman" w:hAnsi="Calibri" w:cs="Calibri"/>
                <w:color w:val="auto"/>
                <w:sz w:val="20"/>
                <w:szCs w:val="20"/>
                <w:lang w:val="en-GB" w:eastAsia="fr-FR"/>
              </w:rPr>
              <w:t>p</w:t>
            </w:r>
            <w:r w:rsidRPr="00C23847">
              <w:rPr>
                <w:rFonts w:ascii="Calibri" w:eastAsia="Times New Roman" w:hAnsi="Calibri" w:cs="Calibri"/>
                <w:color w:val="auto"/>
                <w:sz w:val="20"/>
                <w:szCs w:val="20"/>
                <w:lang w:val="en-GB" w:eastAsia="fr-FR"/>
              </w:rPr>
              <w:t xml:space="preserve">erformance achieved for service delivery </w:t>
            </w:r>
            <w:r w:rsidR="0053677C">
              <w:rPr>
                <w:rFonts w:ascii="Calibri" w:eastAsia="Times New Roman" w:hAnsi="Calibri" w:cs="Calibri"/>
                <w:color w:val="auto"/>
                <w:sz w:val="20"/>
                <w:szCs w:val="20"/>
                <w:lang w:val="en-GB" w:eastAsia="fr-FR"/>
              </w:rPr>
              <w:t>is</w:t>
            </w:r>
            <w:r w:rsidR="0053677C" w:rsidRPr="00C23847">
              <w:rPr>
                <w:rFonts w:ascii="Calibri" w:eastAsia="Times New Roman" w:hAnsi="Calibri" w:cs="Calibri"/>
                <w:color w:val="auto"/>
                <w:sz w:val="20"/>
                <w:szCs w:val="20"/>
                <w:lang w:val="en-GB" w:eastAsia="fr-FR"/>
              </w:rPr>
              <w:t xml:space="preserve"> </w:t>
            </w:r>
            <w:r w:rsidRPr="00C23847">
              <w:rPr>
                <w:rFonts w:ascii="Calibri" w:eastAsia="Times New Roman" w:hAnsi="Calibri" w:cs="Calibri"/>
                <w:color w:val="auto"/>
                <w:sz w:val="20"/>
                <w:szCs w:val="20"/>
                <w:lang w:val="en-GB" w:eastAsia="fr-FR"/>
              </w:rPr>
              <w:t>not evaluated either.</w:t>
            </w:r>
          </w:p>
        </w:tc>
      </w:tr>
      <w:tr w:rsidR="00466728" w:rsidRPr="00C23847" w14:paraId="52072143" w14:textId="77777777" w:rsidTr="00C23847">
        <w:tc>
          <w:tcPr>
            <w:tcW w:w="2718" w:type="dxa"/>
            <w:shd w:val="clear" w:color="auto" w:fill="auto"/>
          </w:tcPr>
          <w:p w14:paraId="475C5A1C" w14:textId="77777777" w:rsidR="00466728" w:rsidRPr="00C23847" w:rsidRDefault="00466728" w:rsidP="00C23847">
            <w:pPr>
              <w:jc w:val="left"/>
              <w:rPr>
                <w:sz w:val="20"/>
                <w:szCs w:val="20"/>
              </w:rPr>
            </w:pPr>
            <w:r w:rsidRPr="00C23847">
              <w:rPr>
                <w:sz w:val="20"/>
                <w:szCs w:val="20"/>
              </w:rPr>
              <w:t xml:space="preserve">5.3 Management responses </w:t>
            </w:r>
          </w:p>
        </w:tc>
        <w:tc>
          <w:tcPr>
            <w:tcW w:w="6775" w:type="dxa"/>
            <w:shd w:val="clear" w:color="auto" w:fill="auto"/>
          </w:tcPr>
          <w:p w14:paraId="3CF9B0F9" w14:textId="42C773CF" w:rsidR="00466728" w:rsidRPr="00C23847" w:rsidRDefault="00466728" w:rsidP="00C23847">
            <w:pPr>
              <w:jc w:val="left"/>
              <w:rPr>
                <w:sz w:val="20"/>
                <w:szCs w:val="20"/>
              </w:rPr>
            </w:pPr>
            <w:r w:rsidRPr="00C23847">
              <w:rPr>
                <w:sz w:val="20"/>
                <w:szCs w:val="20"/>
              </w:rPr>
              <w:t>PI-26.4. Due the lack of an audit committee and inadequate senior management support, there is no clear follow</w:t>
            </w:r>
            <w:r w:rsidR="0053677C">
              <w:rPr>
                <w:sz w:val="20"/>
                <w:szCs w:val="20"/>
              </w:rPr>
              <w:t>-</w:t>
            </w:r>
            <w:r w:rsidRPr="00C23847">
              <w:rPr>
                <w:sz w:val="20"/>
                <w:szCs w:val="20"/>
              </w:rPr>
              <w:t xml:space="preserve">up of the management actions. The management had not responded to the audit reports for the previous </w:t>
            </w:r>
            <w:r w:rsidR="0053677C">
              <w:rPr>
                <w:sz w:val="20"/>
                <w:szCs w:val="20"/>
              </w:rPr>
              <w:t>FY</w:t>
            </w:r>
            <w:r w:rsidRPr="00C23847">
              <w:rPr>
                <w:sz w:val="20"/>
                <w:szCs w:val="20"/>
              </w:rPr>
              <w:t>.</w:t>
            </w:r>
          </w:p>
        </w:tc>
      </w:tr>
    </w:tbl>
    <w:p w14:paraId="7693FB40" w14:textId="77777777" w:rsidR="00AD5071" w:rsidRPr="00890A84" w:rsidRDefault="00AD5071" w:rsidP="00776E84">
      <w:pPr>
        <w:pStyle w:val="Heading2"/>
        <w:numPr>
          <w:ilvl w:val="0"/>
          <w:numId w:val="0"/>
        </w:numPr>
        <w:sectPr w:rsidR="00AD5071" w:rsidRPr="00890A84" w:rsidSect="00B652B6">
          <w:pgSz w:w="12240" w:h="15840"/>
          <w:pgMar w:top="1440" w:right="1440" w:bottom="1440" w:left="1440" w:header="760" w:footer="723" w:gutter="0"/>
          <w:cols w:space="720"/>
          <w:docGrid w:linePitch="326"/>
        </w:sectPr>
      </w:pPr>
    </w:p>
    <w:p w14:paraId="261AC661" w14:textId="07D2C235" w:rsidR="00712968" w:rsidRPr="00196FAE" w:rsidRDefault="00196FAE" w:rsidP="00196FAE">
      <w:pPr>
        <w:pStyle w:val="Heading1"/>
        <w:numPr>
          <w:ilvl w:val="0"/>
          <w:numId w:val="0"/>
        </w:numPr>
        <w:rPr>
          <w:smallCaps w:val="0"/>
        </w:rPr>
      </w:pPr>
      <w:bookmarkStart w:id="137" w:name="_Toc495912186"/>
      <w:bookmarkStart w:id="138" w:name="_Toc532426054"/>
      <w:r>
        <w:rPr>
          <w:smallCaps w:val="0"/>
        </w:rPr>
        <w:t>Annex 3. Sources of I</w:t>
      </w:r>
      <w:r w:rsidR="00712968" w:rsidRPr="00196FAE">
        <w:rPr>
          <w:smallCaps w:val="0"/>
        </w:rPr>
        <w:t>nformation</w:t>
      </w:r>
      <w:bookmarkEnd w:id="137"/>
      <w:bookmarkEnd w:id="138"/>
    </w:p>
    <w:p w14:paraId="1DCC938E" w14:textId="70185C92" w:rsidR="00585338" w:rsidRPr="004D3A84" w:rsidRDefault="00585338" w:rsidP="005849E4">
      <w:pPr>
        <w:pStyle w:val="Heading3"/>
      </w:pPr>
      <w:bookmarkStart w:id="139" w:name="_Toc532426055"/>
      <w:r w:rsidRPr="004D3A84">
        <w:t>Annex 3</w:t>
      </w:r>
      <w:r>
        <w:t>A</w:t>
      </w:r>
      <w:r w:rsidRPr="004D3A84">
        <w:t xml:space="preserve">: List of </w:t>
      </w:r>
      <w:r>
        <w:t>related surveys and analytical work</w:t>
      </w:r>
      <w:bookmarkEnd w:id="139"/>
    </w:p>
    <w:p w14:paraId="0BCD1439" w14:textId="77777777" w:rsidR="00585338" w:rsidRPr="00C23847" w:rsidRDefault="00585338" w:rsidP="001412E3">
      <w:pPr>
        <w:pStyle w:val="ListParagraph"/>
        <w:numPr>
          <w:ilvl w:val="0"/>
          <w:numId w:val="1"/>
        </w:numPr>
        <w:spacing w:after="240"/>
        <w:ind w:left="504"/>
        <w:contextualSpacing w:val="0"/>
        <w:rPr>
          <w:sz w:val="22"/>
        </w:rPr>
      </w:pPr>
      <w:r w:rsidRPr="00C23847">
        <w:rPr>
          <w:sz w:val="22"/>
        </w:rPr>
        <w:t>World Bank and Government of Kenya In-depth Report Recommendations and Action Plan Following the Analysis of Financial Management, Procurement and Human Resource Management in Kenya County Governments (2015).</w:t>
      </w:r>
    </w:p>
    <w:p w14:paraId="60CA7333" w14:textId="77777777" w:rsidR="00585338" w:rsidRPr="00C23847" w:rsidRDefault="00585338" w:rsidP="001412E3">
      <w:pPr>
        <w:pStyle w:val="ListParagraph"/>
        <w:numPr>
          <w:ilvl w:val="0"/>
          <w:numId w:val="1"/>
        </w:numPr>
        <w:spacing w:after="240"/>
        <w:ind w:left="504"/>
        <w:contextualSpacing w:val="0"/>
        <w:rPr>
          <w:sz w:val="22"/>
        </w:rPr>
      </w:pPr>
      <w:r w:rsidRPr="00C23847">
        <w:rPr>
          <w:sz w:val="22"/>
        </w:rPr>
        <w:t>World Bank Public Expenditure Review of 2015.</w:t>
      </w:r>
    </w:p>
    <w:p w14:paraId="51B24FDB" w14:textId="77777777" w:rsidR="00585338" w:rsidRPr="00C23847" w:rsidRDefault="00585338" w:rsidP="001412E3">
      <w:pPr>
        <w:pStyle w:val="ListParagraph"/>
        <w:numPr>
          <w:ilvl w:val="0"/>
          <w:numId w:val="1"/>
        </w:numPr>
        <w:spacing w:after="240"/>
        <w:ind w:left="504"/>
        <w:contextualSpacing w:val="0"/>
        <w:rPr>
          <w:sz w:val="22"/>
        </w:rPr>
      </w:pPr>
      <w:r w:rsidRPr="00C23847">
        <w:rPr>
          <w:sz w:val="22"/>
        </w:rPr>
        <w:t>World Bank Kenya Economic Updates of 2015 and 2016.</w:t>
      </w:r>
    </w:p>
    <w:p w14:paraId="40AE66B7" w14:textId="77777777" w:rsidR="00585338" w:rsidRPr="00C23847" w:rsidRDefault="00585338" w:rsidP="001412E3">
      <w:pPr>
        <w:pStyle w:val="ListParagraph"/>
        <w:numPr>
          <w:ilvl w:val="0"/>
          <w:numId w:val="1"/>
        </w:numPr>
        <w:spacing w:after="240"/>
        <w:ind w:left="504"/>
        <w:contextualSpacing w:val="0"/>
        <w:rPr>
          <w:sz w:val="22"/>
        </w:rPr>
      </w:pPr>
      <w:r w:rsidRPr="00C23847">
        <w:rPr>
          <w:sz w:val="22"/>
        </w:rPr>
        <w:t>World Bank Country Economic Memorandum 2016.</w:t>
      </w:r>
    </w:p>
    <w:p w14:paraId="7DA7525E" w14:textId="77777777" w:rsidR="00585338" w:rsidRPr="00C23847" w:rsidRDefault="00585338" w:rsidP="001412E3">
      <w:pPr>
        <w:pStyle w:val="ListParagraph"/>
        <w:numPr>
          <w:ilvl w:val="0"/>
          <w:numId w:val="1"/>
        </w:numPr>
        <w:spacing w:after="240"/>
        <w:ind w:left="504"/>
        <w:contextualSpacing w:val="0"/>
        <w:rPr>
          <w:sz w:val="22"/>
        </w:rPr>
      </w:pPr>
      <w:r w:rsidRPr="00C23847">
        <w:rPr>
          <w:sz w:val="22"/>
        </w:rPr>
        <w:t>Government of Kenya National Capacity Building Framework Progress and Implementation Reports.</w:t>
      </w:r>
    </w:p>
    <w:p w14:paraId="170FE2D4" w14:textId="77777777" w:rsidR="00585338" w:rsidRPr="00C23847" w:rsidRDefault="00585338" w:rsidP="001412E3">
      <w:pPr>
        <w:pStyle w:val="ListParagraph"/>
        <w:numPr>
          <w:ilvl w:val="0"/>
          <w:numId w:val="1"/>
        </w:numPr>
        <w:spacing w:after="240"/>
        <w:ind w:left="504"/>
        <w:contextualSpacing w:val="0"/>
        <w:rPr>
          <w:sz w:val="22"/>
        </w:rPr>
      </w:pPr>
      <w:r w:rsidRPr="00C23847">
        <w:rPr>
          <w:sz w:val="22"/>
        </w:rPr>
        <w:t>Kenya Economic Survey 2016.</w:t>
      </w:r>
    </w:p>
    <w:p w14:paraId="5AD75A1B" w14:textId="726166CA" w:rsidR="00585338" w:rsidRPr="00C23847" w:rsidRDefault="00585338" w:rsidP="001412E3">
      <w:pPr>
        <w:pStyle w:val="ListParagraph"/>
        <w:numPr>
          <w:ilvl w:val="0"/>
          <w:numId w:val="1"/>
        </w:numPr>
        <w:spacing w:after="240"/>
        <w:ind w:left="504"/>
        <w:contextualSpacing w:val="0"/>
        <w:rPr>
          <w:sz w:val="22"/>
        </w:rPr>
      </w:pPr>
      <w:r w:rsidRPr="00C23847">
        <w:rPr>
          <w:sz w:val="22"/>
        </w:rPr>
        <w:t>End</w:t>
      </w:r>
      <w:r w:rsidR="00B423F6">
        <w:rPr>
          <w:sz w:val="22"/>
        </w:rPr>
        <w:t>-</w:t>
      </w:r>
      <w:r w:rsidRPr="00C23847">
        <w:rPr>
          <w:sz w:val="22"/>
        </w:rPr>
        <w:t>of</w:t>
      </w:r>
      <w:r w:rsidR="00B423F6">
        <w:rPr>
          <w:sz w:val="22"/>
        </w:rPr>
        <w:t>-</w:t>
      </w:r>
      <w:r w:rsidRPr="00C23847">
        <w:rPr>
          <w:sz w:val="22"/>
        </w:rPr>
        <w:t xml:space="preserve">assignment report to the National Treasury by PwC on the provision of technical assistance in the preparation of individual and consolidated financial statements for the </w:t>
      </w:r>
      <w:r w:rsidR="00B423F6">
        <w:rPr>
          <w:sz w:val="22"/>
        </w:rPr>
        <w:t>c</w:t>
      </w:r>
      <w:r w:rsidRPr="00C23847">
        <w:rPr>
          <w:sz w:val="22"/>
        </w:rPr>
        <w:t xml:space="preserve">ounty </w:t>
      </w:r>
      <w:r w:rsidR="00B423F6">
        <w:rPr>
          <w:sz w:val="22"/>
        </w:rPr>
        <w:t>g</w:t>
      </w:r>
      <w:r w:rsidRPr="00C23847">
        <w:rPr>
          <w:sz w:val="22"/>
        </w:rPr>
        <w:t xml:space="preserve">overnment entities for FY2014/15 (June 2016). </w:t>
      </w:r>
    </w:p>
    <w:p w14:paraId="12A89D58" w14:textId="1DB14534" w:rsidR="00585338" w:rsidRPr="00C23847" w:rsidRDefault="00585338" w:rsidP="001412E3">
      <w:pPr>
        <w:pStyle w:val="ListParagraph"/>
        <w:numPr>
          <w:ilvl w:val="0"/>
          <w:numId w:val="1"/>
        </w:numPr>
        <w:spacing w:after="240"/>
        <w:ind w:left="504"/>
        <w:contextualSpacing w:val="0"/>
        <w:rPr>
          <w:sz w:val="22"/>
        </w:rPr>
      </w:pPr>
      <w:r w:rsidRPr="00C23847">
        <w:rPr>
          <w:sz w:val="22"/>
        </w:rPr>
        <w:t xml:space="preserve">Integrated Fiduciary Assessment Report. Program for Results for the Kenya Devolution Support </w:t>
      </w:r>
      <w:r w:rsidR="008B6A0A">
        <w:rPr>
          <w:sz w:val="22"/>
        </w:rPr>
        <w:t>Programme</w:t>
      </w:r>
      <w:r w:rsidR="008B6A0A" w:rsidRPr="00C23847">
        <w:rPr>
          <w:sz w:val="22"/>
        </w:rPr>
        <w:t xml:space="preserve"> </w:t>
      </w:r>
      <w:r w:rsidRPr="00C23847">
        <w:rPr>
          <w:sz w:val="22"/>
        </w:rPr>
        <w:t>(KDSP). December 21, 2015.</w:t>
      </w:r>
    </w:p>
    <w:p w14:paraId="2A6BB141" w14:textId="6310E196" w:rsidR="00585338" w:rsidRPr="00C23847" w:rsidRDefault="00585338" w:rsidP="001412E3">
      <w:pPr>
        <w:pStyle w:val="ListParagraph"/>
        <w:numPr>
          <w:ilvl w:val="0"/>
          <w:numId w:val="1"/>
        </w:numPr>
        <w:spacing w:after="240"/>
        <w:ind w:left="504"/>
        <w:contextualSpacing w:val="0"/>
        <w:rPr>
          <w:sz w:val="22"/>
        </w:rPr>
      </w:pPr>
      <w:r w:rsidRPr="00C23847">
        <w:rPr>
          <w:sz w:val="22"/>
        </w:rPr>
        <w:t>KIPPRA Kenya Economic Report 2016.</w:t>
      </w:r>
    </w:p>
    <w:p w14:paraId="5320C2E0" w14:textId="77777777" w:rsidR="00100EF0" w:rsidRPr="00C23847" w:rsidRDefault="00100EF0" w:rsidP="001412E3">
      <w:pPr>
        <w:pStyle w:val="ListParagraph"/>
        <w:numPr>
          <w:ilvl w:val="0"/>
          <w:numId w:val="1"/>
        </w:numPr>
        <w:spacing w:after="240"/>
        <w:ind w:left="504"/>
        <w:contextualSpacing w:val="0"/>
        <w:rPr>
          <w:sz w:val="22"/>
        </w:rPr>
      </w:pPr>
      <w:r w:rsidRPr="00C23847">
        <w:rPr>
          <w:sz w:val="22"/>
        </w:rPr>
        <w:t>The Constitution of Kenya (2010)</w:t>
      </w:r>
    </w:p>
    <w:p w14:paraId="2AE0F254" w14:textId="26E26083" w:rsidR="00100EF0" w:rsidRPr="00C23847" w:rsidRDefault="00100EF0" w:rsidP="00604DBF">
      <w:pPr>
        <w:pStyle w:val="ListParagraph"/>
        <w:numPr>
          <w:ilvl w:val="1"/>
          <w:numId w:val="14"/>
        </w:numPr>
        <w:spacing w:after="240"/>
        <w:ind w:left="1080"/>
        <w:contextualSpacing w:val="0"/>
        <w:rPr>
          <w:sz w:val="22"/>
        </w:rPr>
      </w:pPr>
      <w:r w:rsidRPr="00C23847">
        <w:rPr>
          <w:sz w:val="22"/>
        </w:rPr>
        <w:t xml:space="preserve">Principles of </w:t>
      </w:r>
      <w:r w:rsidR="004A04CE">
        <w:rPr>
          <w:sz w:val="22"/>
        </w:rPr>
        <w:t>P</w:t>
      </w:r>
      <w:r w:rsidRPr="00C23847">
        <w:rPr>
          <w:sz w:val="22"/>
        </w:rPr>
        <w:t xml:space="preserve">ublic </w:t>
      </w:r>
      <w:r w:rsidR="004A04CE">
        <w:rPr>
          <w:sz w:val="22"/>
        </w:rPr>
        <w:t>F</w:t>
      </w:r>
      <w:r w:rsidRPr="00C23847">
        <w:rPr>
          <w:sz w:val="22"/>
        </w:rPr>
        <w:t>inance (Article 201)</w:t>
      </w:r>
    </w:p>
    <w:p w14:paraId="12BD4A06" w14:textId="33CB2835" w:rsidR="00100EF0" w:rsidRPr="00C23847" w:rsidRDefault="00100EF0" w:rsidP="00604DBF">
      <w:pPr>
        <w:pStyle w:val="ListParagraph"/>
        <w:numPr>
          <w:ilvl w:val="1"/>
          <w:numId w:val="14"/>
        </w:numPr>
        <w:spacing w:after="240"/>
        <w:ind w:left="1080"/>
        <w:contextualSpacing w:val="0"/>
        <w:rPr>
          <w:sz w:val="22"/>
        </w:rPr>
      </w:pPr>
      <w:r w:rsidRPr="00C23847">
        <w:rPr>
          <w:sz w:val="22"/>
        </w:rPr>
        <w:t xml:space="preserve">Institutional Arrangement (Commission for Revenue Allocation, Controller of Budgets, </w:t>
      </w:r>
      <w:r w:rsidR="00BA77EE">
        <w:rPr>
          <w:sz w:val="22"/>
        </w:rPr>
        <w:t>OAG</w:t>
      </w:r>
      <w:r w:rsidRPr="00C23847">
        <w:rPr>
          <w:sz w:val="22"/>
        </w:rPr>
        <w:t xml:space="preserve">, The National Treasury, Parliament and County Assemblies, </w:t>
      </w:r>
      <w:r w:rsidR="00862F8C">
        <w:rPr>
          <w:sz w:val="22"/>
        </w:rPr>
        <w:t>SRC</w:t>
      </w:r>
      <w:r w:rsidRPr="00C23847">
        <w:rPr>
          <w:sz w:val="22"/>
        </w:rPr>
        <w:t xml:space="preserve">, and Central Bank of Kenya). KRA, </w:t>
      </w:r>
      <w:r w:rsidR="00B423F6">
        <w:rPr>
          <w:sz w:val="22"/>
        </w:rPr>
        <w:t>Public Procurement Oversight Authority (</w:t>
      </w:r>
      <w:r w:rsidRPr="00C23847">
        <w:rPr>
          <w:sz w:val="22"/>
        </w:rPr>
        <w:t>PPOA</w:t>
      </w:r>
      <w:r w:rsidR="00B423F6">
        <w:rPr>
          <w:sz w:val="22"/>
        </w:rPr>
        <w:t>)</w:t>
      </w:r>
      <w:r w:rsidRPr="00C23847">
        <w:rPr>
          <w:sz w:val="22"/>
        </w:rPr>
        <w:t>.</w:t>
      </w:r>
    </w:p>
    <w:p w14:paraId="02CD82ED" w14:textId="77A0397F" w:rsidR="00100EF0" w:rsidRPr="00C23847" w:rsidRDefault="00100EF0" w:rsidP="00604DBF">
      <w:pPr>
        <w:pStyle w:val="ListParagraph"/>
        <w:numPr>
          <w:ilvl w:val="0"/>
          <w:numId w:val="1"/>
        </w:numPr>
        <w:spacing w:after="240"/>
        <w:ind w:left="360"/>
        <w:contextualSpacing w:val="0"/>
        <w:rPr>
          <w:sz w:val="22"/>
        </w:rPr>
      </w:pPr>
      <w:r w:rsidRPr="00C23847">
        <w:rPr>
          <w:sz w:val="22"/>
        </w:rPr>
        <w:t>The PFM Act (2012)</w:t>
      </w:r>
    </w:p>
    <w:p w14:paraId="21248129" w14:textId="1B62689A" w:rsidR="00100EF0" w:rsidRPr="00C23847" w:rsidRDefault="00100EF0" w:rsidP="00604DBF">
      <w:pPr>
        <w:pStyle w:val="ListParagraph"/>
        <w:numPr>
          <w:ilvl w:val="0"/>
          <w:numId w:val="1"/>
        </w:numPr>
        <w:spacing w:after="240"/>
        <w:ind w:left="360"/>
        <w:contextualSpacing w:val="0"/>
        <w:rPr>
          <w:sz w:val="22"/>
        </w:rPr>
      </w:pPr>
      <w:r w:rsidRPr="00C23847">
        <w:rPr>
          <w:sz w:val="22"/>
        </w:rPr>
        <w:t>The Public Financial Management Regulations (2015)</w:t>
      </w:r>
    </w:p>
    <w:p w14:paraId="107BCB2E" w14:textId="77777777" w:rsidR="00100EF0" w:rsidRPr="00C23847" w:rsidRDefault="00100EF0" w:rsidP="00604DBF">
      <w:pPr>
        <w:pStyle w:val="ListParagraph"/>
        <w:numPr>
          <w:ilvl w:val="0"/>
          <w:numId w:val="1"/>
        </w:numPr>
        <w:spacing w:after="240"/>
        <w:ind w:left="360"/>
        <w:contextualSpacing w:val="0"/>
        <w:rPr>
          <w:sz w:val="22"/>
        </w:rPr>
      </w:pPr>
      <w:r w:rsidRPr="00C23847">
        <w:rPr>
          <w:sz w:val="22"/>
        </w:rPr>
        <w:t>The Public Procurement and Disposal Act (2015)</w:t>
      </w:r>
    </w:p>
    <w:p w14:paraId="782E608D" w14:textId="77777777" w:rsidR="00100EF0" w:rsidRPr="00C23847" w:rsidRDefault="00100EF0" w:rsidP="00604DBF">
      <w:pPr>
        <w:pStyle w:val="ListParagraph"/>
        <w:numPr>
          <w:ilvl w:val="0"/>
          <w:numId w:val="1"/>
        </w:numPr>
        <w:spacing w:after="240"/>
        <w:ind w:left="360"/>
        <w:contextualSpacing w:val="0"/>
        <w:rPr>
          <w:sz w:val="22"/>
        </w:rPr>
      </w:pPr>
      <w:r w:rsidRPr="00C23847">
        <w:rPr>
          <w:sz w:val="22"/>
        </w:rPr>
        <w:t>Public Audit Act (2015).</w:t>
      </w:r>
    </w:p>
    <w:p w14:paraId="263AEDF2" w14:textId="58CABF70" w:rsidR="00100EF0" w:rsidRPr="00C23847" w:rsidRDefault="00100EF0" w:rsidP="00604DBF">
      <w:pPr>
        <w:pStyle w:val="ListParagraph"/>
        <w:numPr>
          <w:ilvl w:val="0"/>
          <w:numId w:val="1"/>
        </w:numPr>
        <w:spacing w:after="240"/>
        <w:ind w:left="360"/>
        <w:contextualSpacing w:val="0"/>
        <w:rPr>
          <w:sz w:val="22"/>
        </w:rPr>
      </w:pPr>
      <w:r w:rsidRPr="00C23847">
        <w:rPr>
          <w:sz w:val="22"/>
        </w:rPr>
        <w:t>Government of Kenya Review of the Public Finance Management Reforms (PFMR Strategy) 2013</w:t>
      </w:r>
      <w:r w:rsidR="00B423F6">
        <w:rPr>
          <w:sz w:val="22"/>
        </w:rPr>
        <w:t>–</w:t>
      </w:r>
      <w:r w:rsidRPr="00C23847">
        <w:rPr>
          <w:sz w:val="22"/>
        </w:rPr>
        <w:t>2018 report (2016).</w:t>
      </w:r>
    </w:p>
    <w:p w14:paraId="0C0D5FE7" w14:textId="77777777" w:rsidR="00100EF0" w:rsidRPr="00C23847" w:rsidRDefault="00100EF0" w:rsidP="00604DBF">
      <w:pPr>
        <w:pStyle w:val="ListParagraph"/>
        <w:numPr>
          <w:ilvl w:val="0"/>
          <w:numId w:val="1"/>
        </w:numPr>
        <w:spacing w:after="240"/>
        <w:ind w:left="360"/>
        <w:contextualSpacing w:val="0"/>
        <w:rPr>
          <w:sz w:val="22"/>
        </w:rPr>
      </w:pPr>
      <w:r w:rsidRPr="00C23847">
        <w:rPr>
          <w:sz w:val="22"/>
        </w:rPr>
        <w:t>PEFA (2016a). Framework for assessing public financial management.</w:t>
      </w:r>
    </w:p>
    <w:p w14:paraId="39B2D6B7" w14:textId="1F6461D6" w:rsidR="00100EF0" w:rsidRPr="00C23847" w:rsidRDefault="00100EF0" w:rsidP="00604DBF">
      <w:pPr>
        <w:pStyle w:val="ListParagraph"/>
        <w:numPr>
          <w:ilvl w:val="0"/>
          <w:numId w:val="1"/>
        </w:numPr>
        <w:spacing w:after="240"/>
        <w:ind w:left="360"/>
        <w:contextualSpacing w:val="0"/>
        <w:jc w:val="left"/>
        <w:rPr>
          <w:rFonts w:ascii="Arial" w:eastAsia="Arial" w:hAnsi="Arial" w:cs="Arial"/>
          <w:i/>
          <w:color w:val="5B9BD5"/>
          <w:lang w:val="en-US"/>
        </w:rPr>
      </w:pPr>
      <w:r w:rsidRPr="00C23847">
        <w:rPr>
          <w:sz w:val="22"/>
        </w:rPr>
        <w:t>PEFA (2016b). Supplementary guidance for subnational PEFA assessment.</w:t>
      </w:r>
      <w:r w:rsidRPr="00C23847">
        <w:rPr>
          <w:lang w:val="en-US"/>
        </w:rPr>
        <w:br w:type="page"/>
      </w:r>
    </w:p>
    <w:p w14:paraId="086BD17C" w14:textId="3AE3369C" w:rsidR="00CA52CE" w:rsidRPr="004D3A84" w:rsidRDefault="00CA52CE" w:rsidP="004A04CE">
      <w:pPr>
        <w:pStyle w:val="Heading3"/>
        <w:ind w:left="0" w:firstLine="0"/>
      </w:pPr>
      <w:bookmarkStart w:id="140" w:name="_Toc532426056"/>
      <w:r w:rsidRPr="004D3A84">
        <w:t xml:space="preserve">Annex </w:t>
      </w:r>
      <w:r w:rsidR="00921BE3" w:rsidRPr="004D3A84">
        <w:t xml:space="preserve">3B: </w:t>
      </w:r>
      <w:r w:rsidR="00AB486A" w:rsidRPr="004D3A84">
        <w:t>L</w:t>
      </w:r>
      <w:r w:rsidRPr="004D3A84">
        <w:t xml:space="preserve">ist </w:t>
      </w:r>
      <w:r w:rsidR="00AB486A" w:rsidRPr="004D3A84">
        <w:t xml:space="preserve">of </w:t>
      </w:r>
      <w:r w:rsidRPr="004D3A84">
        <w:t xml:space="preserve">persons who have been interviewed and provided information </w:t>
      </w:r>
      <w:r w:rsidR="00921BE3" w:rsidRPr="004D3A84">
        <w:t>for the PFM Performance Report</w:t>
      </w:r>
      <w:bookmarkEnd w:id="140"/>
    </w:p>
    <w:tbl>
      <w:tblPr>
        <w:tblStyle w:val="table-style-blauw-070-none"/>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870"/>
        <w:gridCol w:w="3969"/>
        <w:gridCol w:w="2977"/>
      </w:tblGrid>
      <w:tr w:rsidR="00213444" w:rsidRPr="00C23847" w14:paraId="34E7772E" w14:textId="77777777" w:rsidTr="00C23847">
        <w:trPr>
          <w:cnfStyle w:val="100000000000" w:firstRow="1" w:lastRow="0" w:firstColumn="0" w:lastColumn="0" w:oddVBand="0" w:evenVBand="0" w:oddHBand="0" w:evenHBand="0" w:firstRowFirstColumn="0" w:firstRowLastColumn="0" w:lastRowFirstColumn="0" w:lastRowLastColumn="0"/>
        </w:trPr>
        <w:tc>
          <w:tcPr>
            <w:tcW w:w="18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5029AF" w14:textId="5313077A" w:rsidR="00213444" w:rsidRPr="00C23847" w:rsidRDefault="00B652B6" w:rsidP="00C23847">
            <w:pPr>
              <w:jc w:val="center"/>
              <w:rPr>
                <w:rFonts w:ascii="Calibri" w:hAnsi="Calibri"/>
                <w:sz w:val="20"/>
                <w:szCs w:val="20"/>
              </w:rPr>
            </w:pPr>
            <w:r w:rsidRPr="00C23847">
              <w:rPr>
                <w:rFonts w:ascii="Calibri" w:hAnsi="Calibri"/>
                <w:sz w:val="20"/>
                <w:szCs w:val="20"/>
              </w:rPr>
              <w:t>Name</w:t>
            </w:r>
          </w:p>
        </w:tc>
        <w:tc>
          <w:tcPr>
            <w:tcW w:w="39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5BFBC9" w14:textId="179A60C1" w:rsidR="00213444" w:rsidRPr="00C23847" w:rsidRDefault="00B652B6" w:rsidP="00C23847">
            <w:pPr>
              <w:jc w:val="center"/>
              <w:rPr>
                <w:rFonts w:ascii="Calibri" w:hAnsi="Calibri"/>
                <w:sz w:val="20"/>
                <w:szCs w:val="20"/>
              </w:rPr>
            </w:pPr>
            <w:r w:rsidRPr="00C23847">
              <w:rPr>
                <w:rFonts w:ascii="Calibri" w:hAnsi="Calibri"/>
                <w:sz w:val="20"/>
                <w:szCs w:val="20"/>
              </w:rPr>
              <w:t>Designation</w:t>
            </w:r>
          </w:p>
        </w:tc>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D7265D" w14:textId="751F17A8" w:rsidR="00213444" w:rsidRPr="00C23847" w:rsidRDefault="00B652B6" w:rsidP="00C23847">
            <w:pPr>
              <w:jc w:val="center"/>
              <w:rPr>
                <w:rFonts w:ascii="Calibri" w:hAnsi="Calibri"/>
                <w:sz w:val="20"/>
                <w:szCs w:val="20"/>
              </w:rPr>
            </w:pPr>
            <w:r w:rsidRPr="00C23847">
              <w:rPr>
                <w:rFonts w:ascii="Calibri" w:hAnsi="Calibri"/>
                <w:sz w:val="20"/>
                <w:szCs w:val="20"/>
              </w:rPr>
              <w:t>Email</w:t>
            </w:r>
            <w:r w:rsidR="00B423F6">
              <w:rPr>
                <w:rFonts w:ascii="Calibri" w:hAnsi="Calibri"/>
                <w:sz w:val="20"/>
                <w:szCs w:val="20"/>
              </w:rPr>
              <w:t xml:space="preserve"> </w:t>
            </w:r>
            <w:r w:rsidRPr="00C23847">
              <w:rPr>
                <w:rFonts w:ascii="Calibri" w:hAnsi="Calibri"/>
                <w:sz w:val="20"/>
                <w:szCs w:val="20"/>
              </w:rPr>
              <w:t>Address</w:t>
            </w:r>
          </w:p>
        </w:tc>
      </w:tr>
      <w:tr w:rsidR="00213444" w:rsidRPr="00C23847" w14:paraId="0D5C318D" w14:textId="77777777" w:rsidTr="00C23847">
        <w:trPr>
          <w:cnfStyle w:val="000000100000" w:firstRow="0" w:lastRow="0" w:firstColumn="0" w:lastColumn="0" w:oddVBand="0" w:evenVBand="0" w:oddHBand="1" w:evenHBand="0" w:firstRowFirstColumn="0" w:firstRowLastColumn="0" w:lastRowFirstColumn="0" w:lastRowLastColumn="0"/>
        </w:trPr>
        <w:tc>
          <w:tcPr>
            <w:tcW w:w="1870" w:type="dxa"/>
            <w:tcBorders>
              <w:top w:val="none" w:sz="0" w:space="0" w:color="auto"/>
            </w:tcBorders>
          </w:tcPr>
          <w:p w14:paraId="2ED3FECC" w14:textId="77777777" w:rsidR="00213444" w:rsidRPr="00C23847" w:rsidRDefault="00213444" w:rsidP="001E3161">
            <w:pPr>
              <w:rPr>
                <w:rFonts w:ascii="Calibri" w:hAnsi="Calibri"/>
                <w:sz w:val="20"/>
                <w:szCs w:val="20"/>
              </w:rPr>
            </w:pPr>
            <w:r w:rsidRPr="00C23847">
              <w:rPr>
                <w:rFonts w:ascii="Calibri" w:hAnsi="Calibri"/>
                <w:sz w:val="20"/>
                <w:szCs w:val="20"/>
              </w:rPr>
              <w:t>Priscillah</w:t>
            </w:r>
            <w:r w:rsidR="00AB486A" w:rsidRPr="00C23847">
              <w:rPr>
                <w:rFonts w:ascii="Calibri" w:hAnsi="Calibri"/>
                <w:sz w:val="20"/>
                <w:szCs w:val="20"/>
              </w:rPr>
              <w:t xml:space="preserve"> </w:t>
            </w:r>
            <w:r w:rsidRPr="00C23847">
              <w:rPr>
                <w:rFonts w:ascii="Calibri" w:hAnsi="Calibri"/>
                <w:sz w:val="20"/>
                <w:szCs w:val="20"/>
              </w:rPr>
              <w:t>Mungai</w:t>
            </w:r>
          </w:p>
        </w:tc>
        <w:tc>
          <w:tcPr>
            <w:tcW w:w="3969" w:type="dxa"/>
            <w:tcBorders>
              <w:top w:val="none" w:sz="0" w:space="0" w:color="auto"/>
            </w:tcBorders>
          </w:tcPr>
          <w:p w14:paraId="15E29ED8" w14:textId="77777777" w:rsidR="00213444" w:rsidRPr="00C23847" w:rsidRDefault="00213444" w:rsidP="001E3161">
            <w:pPr>
              <w:rPr>
                <w:rFonts w:ascii="Calibri" w:hAnsi="Calibri"/>
                <w:sz w:val="20"/>
                <w:szCs w:val="20"/>
              </w:rPr>
            </w:pPr>
            <w:r w:rsidRPr="00C23847">
              <w:rPr>
                <w:rFonts w:ascii="Calibri" w:hAnsi="Calibri"/>
                <w:sz w:val="20"/>
                <w:szCs w:val="20"/>
              </w:rPr>
              <w:t>Deputy Director Budget</w:t>
            </w:r>
          </w:p>
        </w:tc>
        <w:tc>
          <w:tcPr>
            <w:tcW w:w="2977" w:type="dxa"/>
            <w:tcBorders>
              <w:top w:val="none" w:sz="0" w:space="0" w:color="auto"/>
            </w:tcBorders>
          </w:tcPr>
          <w:p w14:paraId="31F489EE" w14:textId="77777777" w:rsidR="00213444" w:rsidRPr="00C23847" w:rsidRDefault="008B59A7" w:rsidP="001E3161">
            <w:pPr>
              <w:rPr>
                <w:rFonts w:ascii="Calibri" w:hAnsi="Calibri"/>
                <w:sz w:val="20"/>
                <w:szCs w:val="20"/>
              </w:rPr>
            </w:pPr>
            <w:hyperlink r:id="rId23" w:history="1">
              <w:r w:rsidR="00AF3F6E" w:rsidRPr="00C23847">
                <w:rPr>
                  <w:rStyle w:val="Hyperlink"/>
                  <w:rFonts w:ascii="Calibri" w:hAnsi="Calibri"/>
                  <w:sz w:val="20"/>
                  <w:szCs w:val="20"/>
                </w:rPr>
                <w:t>wprisc3@gmail.com</w:t>
              </w:r>
            </w:hyperlink>
          </w:p>
        </w:tc>
      </w:tr>
      <w:tr w:rsidR="00213444" w:rsidRPr="00C23847" w14:paraId="7D1F7196" w14:textId="77777777" w:rsidTr="00C23847">
        <w:trPr>
          <w:cnfStyle w:val="000000010000" w:firstRow="0" w:lastRow="0" w:firstColumn="0" w:lastColumn="0" w:oddVBand="0" w:evenVBand="0" w:oddHBand="0" w:evenHBand="1" w:firstRowFirstColumn="0" w:firstRowLastColumn="0" w:lastRowFirstColumn="0" w:lastRowLastColumn="0"/>
        </w:trPr>
        <w:tc>
          <w:tcPr>
            <w:tcW w:w="1870" w:type="dxa"/>
            <w:tcBorders>
              <w:top w:val="none" w:sz="0" w:space="0" w:color="auto"/>
            </w:tcBorders>
          </w:tcPr>
          <w:p w14:paraId="24E5A9A5" w14:textId="77777777" w:rsidR="00213444" w:rsidRPr="00C23847" w:rsidRDefault="00213444" w:rsidP="001E3161">
            <w:pPr>
              <w:rPr>
                <w:rFonts w:ascii="Calibri" w:hAnsi="Calibri"/>
                <w:sz w:val="20"/>
                <w:szCs w:val="20"/>
              </w:rPr>
            </w:pPr>
            <w:r w:rsidRPr="00C23847">
              <w:rPr>
                <w:rFonts w:ascii="Calibri" w:hAnsi="Calibri"/>
                <w:sz w:val="20"/>
                <w:szCs w:val="20"/>
              </w:rPr>
              <w:t>Anne Tobiko</w:t>
            </w:r>
          </w:p>
        </w:tc>
        <w:tc>
          <w:tcPr>
            <w:tcW w:w="3969" w:type="dxa"/>
            <w:tcBorders>
              <w:top w:val="none" w:sz="0" w:space="0" w:color="auto"/>
            </w:tcBorders>
          </w:tcPr>
          <w:p w14:paraId="19A9D3FE" w14:textId="77777777" w:rsidR="00213444" w:rsidRPr="00C23847" w:rsidRDefault="00213444" w:rsidP="001E3161">
            <w:pPr>
              <w:rPr>
                <w:rFonts w:ascii="Calibri" w:hAnsi="Calibri"/>
                <w:sz w:val="20"/>
                <w:szCs w:val="20"/>
              </w:rPr>
            </w:pPr>
            <w:r w:rsidRPr="00C23847">
              <w:rPr>
                <w:rFonts w:ascii="Calibri" w:hAnsi="Calibri"/>
                <w:sz w:val="20"/>
                <w:szCs w:val="20"/>
              </w:rPr>
              <w:t>Director, Revenue</w:t>
            </w:r>
          </w:p>
        </w:tc>
        <w:tc>
          <w:tcPr>
            <w:tcW w:w="2977" w:type="dxa"/>
            <w:tcBorders>
              <w:top w:val="none" w:sz="0" w:space="0" w:color="auto"/>
            </w:tcBorders>
          </w:tcPr>
          <w:p w14:paraId="233681D4" w14:textId="77777777" w:rsidR="00213444" w:rsidRPr="00C23847" w:rsidRDefault="008B59A7" w:rsidP="001E3161">
            <w:pPr>
              <w:rPr>
                <w:rFonts w:ascii="Calibri" w:hAnsi="Calibri"/>
                <w:sz w:val="20"/>
                <w:szCs w:val="20"/>
              </w:rPr>
            </w:pPr>
            <w:hyperlink r:id="rId24" w:history="1">
              <w:r w:rsidR="00AF3F6E" w:rsidRPr="00C23847">
                <w:rPr>
                  <w:rStyle w:val="Hyperlink"/>
                  <w:rFonts w:ascii="Calibri" w:hAnsi="Calibri"/>
                  <w:sz w:val="20"/>
                  <w:szCs w:val="20"/>
                </w:rPr>
                <w:t>annsadira@gmail.com</w:t>
              </w:r>
            </w:hyperlink>
          </w:p>
        </w:tc>
      </w:tr>
      <w:tr w:rsidR="00213444" w:rsidRPr="00C23847" w14:paraId="44F0B1D4" w14:textId="77777777" w:rsidTr="00C23847">
        <w:trPr>
          <w:cnfStyle w:val="000000100000" w:firstRow="0" w:lastRow="0" w:firstColumn="0" w:lastColumn="0" w:oddVBand="0" w:evenVBand="0" w:oddHBand="1" w:evenHBand="0" w:firstRowFirstColumn="0" w:firstRowLastColumn="0" w:lastRowFirstColumn="0" w:lastRowLastColumn="0"/>
        </w:trPr>
        <w:tc>
          <w:tcPr>
            <w:tcW w:w="1870" w:type="dxa"/>
            <w:tcBorders>
              <w:top w:val="none" w:sz="0" w:space="0" w:color="auto"/>
            </w:tcBorders>
          </w:tcPr>
          <w:p w14:paraId="3A5583F3" w14:textId="77777777" w:rsidR="00213444" w:rsidRPr="00C23847" w:rsidRDefault="00213444" w:rsidP="001E3161">
            <w:pPr>
              <w:rPr>
                <w:rFonts w:ascii="Calibri" w:hAnsi="Calibri"/>
                <w:sz w:val="20"/>
                <w:szCs w:val="20"/>
              </w:rPr>
            </w:pPr>
            <w:r w:rsidRPr="00C23847">
              <w:rPr>
                <w:rFonts w:ascii="Calibri" w:hAnsi="Calibri"/>
                <w:sz w:val="20"/>
                <w:szCs w:val="20"/>
              </w:rPr>
              <w:t>Jonathan Turere</w:t>
            </w:r>
          </w:p>
        </w:tc>
        <w:tc>
          <w:tcPr>
            <w:tcW w:w="3969" w:type="dxa"/>
            <w:tcBorders>
              <w:top w:val="none" w:sz="0" w:space="0" w:color="auto"/>
            </w:tcBorders>
          </w:tcPr>
          <w:p w14:paraId="7DB3CFE0" w14:textId="77777777" w:rsidR="00213444" w:rsidRPr="00C23847" w:rsidRDefault="00213444" w:rsidP="001E3161">
            <w:pPr>
              <w:rPr>
                <w:rFonts w:ascii="Calibri" w:hAnsi="Calibri"/>
                <w:sz w:val="20"/>
                <w:szCs w:val="20"/>
              </w:rPr>
            </w:pPr>
            <w:r w:rsidRPr="00C23847">
              <w:rPr>
                <w:rFonts w:ascii="Calibri" w:hAnsi="Calibri"/>
                <w:sz w:val="20"/>
                <w:szCs w:val="20"/>
              </w:rPr>
              <w:t>Director, Budget and Economic Planning</w:t>
            </w:r>
          </w:p>
        </w:tc>
        <w:tc>
          <w:tcPr>
            <w:tcW w:w="2977" w:type="dxa"/>
            <w:tcBorders>
              <w:top w:val="none" w:sz="0" w:space="0" w:color="auto"/>
            </w:tcBorders>
          </w:tcPr>
          <w:p w14:paraId="763AB2F7" w14:textId="77777777" w:rsidR="00213444" w:rsidRPr="00C23847" w:rsidRDefault="008B59A7" w:rsidP="001E3161">
            <w:pPr>
              <w:rPr>
                <w:rFonts w:ascii="Calibri" w:hAnsi="Calibri"/>
                <w:sz w:val="20"/>
                <w:szCs w:val="20"/>
              </w:rPr>
            </w:pPr>
            <w:hyperlink r:id="rId25" w:history="1">
              <w:r w:rsidR="00AF3F6E" w:rsidRPr="00C23847">
                <w:rPr>
                  <w:rStyle w:val="Hyperlink"/>
                  <w:rFonts w:ascii="Calibri" w:hAnsi="Calibri"/>
                  <w:sz w:val="20"/>
                  <w:szCs w:val="20"/>
                </w:rPr>
                <w:t>jturere@yahoo.com</w:t>
              </w:r>
            </w:hyperlink>
          </w:p>
        </w:tc>
      </w:tr>
      <w:tr w:rsidR="00213444" w:rsidRPr="00C23847" w14:paraId="38258749" w14:textId="77777777" w:rsidTr="00C23847">
        <w:trPr>
          <w:cnfStyle w:val="000000010000" w:firstRow="0" w:lastRow="0" w:firstColumn="0" w:lastColumn="0" w:oddVBand="0" w:evenVBand="0" w:oddHBand="0" w:evenHBand="1" w:firstRowFirstColumn="0" w:firstRowLastColumn="0" w:lastRowFirstColumn="0" w:lastRowLastColumn="0"/>
        </w:trPr>
        <w:tc>
          <w:tcPr>
            <w:tcW w:w="1870" w:type="dxa"/>
            <w:tcBorders>
              <w:top w:val="none" w:sz="0" w:space="0" w:color="auto"/>
            </w:tcBorders>
          </w:tcPr>
          <w:p w14:paraId="60E2F4D8" w14:textId="77777777" w:rsidR="00213444" w:rsidRPr="00C23847" w:rsidRDefault="00213444" w:rsidP="001E3161">
            <w:pPr>
              <w:rPr>
                <w:rFonts w:ascii="Calibri" w:hAnsi="Calibri"/>
                <w:sz w:val="20"/>
                <w:szCs w:val="20"/>
              </w:rPr>
            </w:pPr>
            <w:r w:rsidRPr="00C23847">
              <w:rPr>
                <w:rFonts w:ascii="Calibri" w:hAnsi="Calibri"/>
                <w:sz w:val="20"/>
                <w:szCs w:val="20"/>
              </w:rPr>
              <w:t>Jackson Pulei</w:t>
            </w:r>
          </w:p>
        </w:tc>
        <w:tc>
          <w:tcPr>
            <w:tcW w:w="3969" w:type="dxa"/>
            <w:tcBorders>
              <w:top w:val="none" w:sz="0" w:space="0" w:color="auto"/>
            </w:tcBorders>
          </w:tcPr>
          <w:p w14:paraId="7DD7F2B5" w14:textId="77777777" w:rsidR="00213444" w:rsidRPr="00C23847" w:rsidRDefault="00213444" w:rsidP="001E3161">
            <w:pPr>
              <w:rPr>
                <w:rFonts w:ascii="Calibri" w:hAnsi="Calibri"/>
                <w:sz w:val="20"/>
                <w:szCs w:val="20"/>
              </w:rPr>
            </w:pPr>
            <w:r w:rsidRPr="00C23847">
              <w:rPr>
                <w:rFonts w:ascii="Calibri" w:hAnsi="Calibri"/>
                <w:sz w:val="20"/>
                <w:szCs w:val="20"/>
              </w:rPr>
              <w:t>Accountant</w:t>
            </w:r>
          </w:p>
        </w:tc>
        <w:tc>
          <w:tcPr>
            <w:tcW w:w="2977" w:type="dxa"/>
            <w:tcBorders>
              <w:top w:val="none" w:sz="0" w:space="0" w:color="auto"/>
            </w:tcBorders>
          </w:tcPr>
          <w:p w14:paraId="60870DB3" w14:textId="77777777" w:rsidR="00213444" w:rsidRPr="00C23847" w:rsidRDefault="008B59A7" w:rsidP="001E3161">
            <w:pPr>
              <w:rPr>
                <w:rFonts w:ascii="Calibri" w:hAnsi="Calibri"/>
                <w:sz w:val="20"/>
                <w:szCs w:val="20"/>
              </w:rPr>
            </w:pPr>
            <w:hyperlink r:id="rId26" w:history="1">
              <w:r w:rsidR="00AF3F6E" w:rsidRPr="00C23847">
                <w:rPr>
                  <w:rStyle w:val="Hyperlink"/>
                  <w:rFonts w:ascii="Calibri" w:hAnsi="Calibri"/>
                  <w:sz w:val="20"/>
                  <w:szCs w:val="20"/>
                </w:rPr>
                <w:t>pulei13@gmail.com</w:t>
              </w:r>
            </w:hyperlink>
          </w:p>
        </w:tc>
      </w:tr>
      <w:tr w:rsidR="00213444" w:rsidRPr="00C23847" w14:paraId="09D001AA" w14:textId="77777777" w:rsidTr="00C23847">
        <w:trPr>
          <w:cnfStyle w:val="000000100000" w:firstRow="0" w:lastRow="0" w:firstColumn="0" w:lastColumn="0" w:oddVBand="0" w:evenVBand="0" w:oddHBand="1" w:evenHBand="0" w:firstRowFirstColumn="0" w:firstRowLastColumn="0" w:lastRowFirstColumn="0" w:lastRowLastColumn="0"/>
        </w:trPr>
        <w:tc>
          <w:tcPr>
            <w:tcW w:w="1870" w:type="dxa"/>
            <w:tcBorders>
              <w:top w:val="none" w:sz="0" w:space="0" w:color="auto"/>
            </w:tcBorders>
          </w:tcPr>
          <w:p w14:paraId="12C3CDA5" w14:textId="77777777" w:rsidR="00213444" w:rsidRPr="00C23847" w:rsidRDefault="00213444" w:rsidP="001E3161">
            <w:pPr>
              <w:rPr>
                <w:rFonts w:ascii="Calibri" w:hAnsi="Calibri"/>
                <w:sz w:val="20"/>
                <w:szCs w:val="20"/>
              </w:rPr>
            </w:pPr>
            <w:r w:rsidRPr="00C23847">
              <w:rPr>
                <w:rFonts w:ascii="Calibri" w:hAnsi="Calibri"/>
                <w:sz w:val="20"/>
                <w:szCs w:val="20"/>
              </w:rPr>
              <w:t>Samson Sirere</w:t>
            </w:r>
          </w:p>
        </w:tc>
        <w:tc>
          <w:tcPr>
            <w:tcW w:w="3969" w:type="dxa"/>
            <w:tcBorders>
              <w:top w:val="none" w:sz="0" w:space="0" w:color="auto"/>
            </w:tcBorders>
          </w:tcPr>
          <w:p w14:paraId="7CB4E969" w14:textId="77777777" w:rsidR="00213444" w:rsidRPr="00C23847" w:rsidRDefault="00213444" w:rsidP="001E3161">
            <w:pPr>
              <w:rPr>
                <w:rFonts w:ascii="Calibri" w:hAnsi="Calibri"/>
                <w:sz w:val="20"/>
                <w:szCs w:val="20"/>
              </w:rPr>
            </w:pPr>
            <w:r w:rsidRPr="00C23847">
              <w:rPr>
                <w:rFonts w:ascii="Calibri" w:hAnsi="Calibri"/>
                <w:sz w:val="20"/>
                <w:szCs w:val="20"/>
              </w:rPr>
              <w:t>Fiscal Analyst, County Assembly</w:t>
            </w:r>
          </w:p>
        </w:tc>
        <w:tc>
          <w:tcPr>
            <w:tcW w:w="2977" w:type="dxa"/>
            <w:tcBorders>
              <w:top w:val="none" w:sz="0" w:space="0" w:color="auto"/>
            </w:tcBorders>
          </w:tcPr>
          <w:p w14:paraId="436B635F" w14:textId="77777777" w:rsidR="00AF3F6E" w:rsidRPr="00C23847" w:rsidRDefault="008B59A7" w:rsidP="001E3161">
            <w:pPr>
              <w:rPr>
                <w:rFonts w:ascii="Calibri" w:hAnsi="Calibri"/>
                <w:sz w:val="20"/>
                <w:szCs w:val="20"/>
              </w:rPr>
            </w:pPr>
            <w:hyperlink r:id="rId27" w:history="1">
              <w:r w:rsidR="00AF3F6E" w:rsidRPr="00C23847">
                <w:rPr>
                  <w:rStyle w:val="Hyperlink"/>
                  <w:rFonts w:ascii="Calibri" w:hAnsi="Calibri"/>
                  <w:sz w:val="20"/>
                  <w:szCs w:val="20"/>
                </w:rPr>
                <w:t>samsonsirere@gmail.com</w:t>
              </w:r>
            </w:hyperlink>
          </w:p>
        </w:tc>
      </w:tr>
      <w:tr w:rsidR="00213444" w:rsidRPr="00C23847" w14:paraId="16CB2D9D" w14:textId="77777777" w:rsidTr="00C23847">
        <w:trPr>
          <w:cnfStyle w:val="000000010000" w:firstRow="0" w:lastRow="0" w:firstColumn="0" w:lastColumn="0" w:oddVBand="0" w:evenVBand="0" w:oddHBand="0" w:evenHBand="1" w:firstRowFirstColumn="0" w:firstRowLastColumn="0" w:lastRowFirstColumn="0" w:lastRowLastColumn="0"/>
        </w:trPr>
        <w:tc>
          <w:tcPr>
            <w:tcW w:w="1870" w:type="dxa"/>
            <w:tcBorders>
              <w:top w:val="none" w:sz="0" w:space="0" w:color="auto"/>
            </w:tcBorders>
          </w:tcPr>
          <w:p w14:paraId="0BDC9B8C" w14:textId="77777777" w:rsidR="00213444" w:rsidRPr="00C23847" w:rsidRDefault="00213444" w:rsidP="001E3161">
            <w:pPr>
              <w:rPr>
                <w:rFonts w:ascii="Calibri" w:hAnsi="Calibri"/>
                <w:sz w:val="20"/>
                <w:szCs w:val="20"/>
              </w:rPr>
            </w:pPr>
            <w:r w:rsidRPr="00C23847">
              <w:rPr>
                <w:rFonts w:ascii="Calibri" w:hAnsi="Calibri"/>
                <w:sz w:val="20"/>
                <w:szCs w:val="20"/>
              </w:rPr>
              <w:t>Leonard Opiyo</w:t>
            </w:r>
          </w:p>
        </w:tc>
        <w:tc>
          <w:tcPr>
            <w:tcW w:w="3969" w:type="dxa"/>
            <w:tcBorders>
              <w:top w:val="none" w:sz="0" w:space="0" w:color="auto"/>
            </w:tcBorders>
          </w:tcPr>
          <w:p w14:paraId="2947F399" w14:textId="77777777" w:rsidR="00213444" w:rsidRPr="00C23847" w:rsidRDefault="00213444" w:rsidP="001E3161">
            <w:pPr>
              <w:rPr>
                <w:rFonts w:ascii="Calibri" w:hAnsi="Calibri"/>
                <w:sz w:val="20"/>
                <w:szCs w:val="20"/>
              </w:rPr>
            </w:pPr>
          </w:p>
        </w:tc>
        <w:tc>
          <w:tcPr>
            <w:tcW w:w="2977" w:type="dxa"/>
            <w:tcBorders>
              <w:top w:val="none" w:sz="0" w:space="0" w:color="auto"/>
            </w:tcBorders>
          </w:tcPr>
          <w:p w14:paraId="4858EEBA" w14:textId="77777777" w:rsidR="00213444" w:rsidRPr="00C23847" w:rsidRDefault="008B59A7" w:rsidP="001E3161">
            <w:pPr>
              <w:rPr>
                <w:rFonts w:ascii="Calibri" w:hAnsi="Calibri"/>
                <w:sz w:val="20"/>
                <w:szCs w:val="20"/>
              </w:rPr>
            </w:pPr>
            <w:hyperlink r:id="rId28" w:history="1">
              <w:r w:rsidR="00AF3F6E" w:rsidRPr="00C23847">
                <w:rPr>
                  <w:rStyle w:val="Hyperlink"/>
                  <w:rFonts w:ascii="Calibri" w:hAnsi="Calibri"/>
                  <w:sz w:val="20"/>
                  <w:szCs w:val="20"/>
                </w:rPr>
                <w:t>opiyoleon@gmail.com</w:t>
              </w:r>
            </w:hyperlink>
          </w:p>
        </w:tc>
      </w:tr>
      <w:tr w:rsidR="00213444" w:rsidRPr="00C23847" w14:paraId="56D51190" w14:textId="77777777" w:rsidTr="00C23847">
        <w:trPr>
          <w:cnfStyle w:val="000000100000" w:firstRow="0" w:lastRow="0" w:firstColumn="0" w:lastColumn="0" w:oddVBand="0" w:evenVBand="0" w:oddHBand="1" w:evenHBand="0" w:firstRowFirstColumn="0" w:firstRowLastColumn="0" w:lastRowFirstColumn="0" w:lastRowLastColumn="0"/>
        </w:trPr>
        <w:tc>
          <w:tcPr>
            <w:tcW w:w="1870" w:type="dxa"/>
            <w:tcBorders>
              <w:top w:val="none" w:sz="0" w:space="0" w:color="auto"/>
            </w:tcBorders>
          </w:tcPr>
          <w:p w14:paraId="0BA1A3EC" w14:textId="77777777" w:rsidR="00213444" w:rsidRPr="00C23847" w:rsidRDefault="00213444" w:rsidP="001E3161">
            <w:pPr>
              <w:rPr>
                <w:rFonts w:ascii="Calibri" w:hAnsi="Calibri"/>
                <w:sz w:val="20"/>
                <w:szCs w:val="20"/>
              </w:rPr>
            </w:pPr>
            <w:r w:rsidRPr="00C23847">
              <w:rPr>
                <w:rFonts w:ascii="Calibri" w:hAnsi="Calibri"/>
                <w:sz w:val="20"/>
                <w:szCs w:val="20"/>
              </w:rPr>
              <w:t>Douglas Keton</w:t>
            </w:r>
          </w:p>
        </w:tc>
        <w:tc>
          <w:tcPr>
            <w:tcW w:w="3969" w:type="dxa"/>
            <w:tcBorders>
              <w:top w:val="none" w:sz="0" w:space="0" w:color="auto"/>
            </w:tcBorders>
          </w:tcPr>
          <w:p w14:paraId="531A5DF0" w14:textId="77777777" w:rsidR="00213444" w:rsidRPr="00C23847" w:rsidRDefault="00213444" w:rsidP="001E3161">
            <w:pPr>
              <w:rPr>
                <w:rFonts w:ascii="Calibri" w:hAnsi="Calibri"/>
                <w:sz w:val="20"/>
                <w:szCs w:val="20"/>
              </w:rPr>
            </w:pPr>
            <w:r w:rsidRPr="00C23847">
              <w:rPr>
                <w:rFonts w:ascii="Calibri" w:hAnsi="Calibri"/>
                <w:sz w:val="20"/>
                <w:szCs w:val="20"/>
              </w:rPr>
              <w:t>Director, Expenditure</w:t>
            </w:r>
          </w:p>
        </w:tc>
        <w:tc>
          <w:tcPr>
            <w:tcW w:w="2977" w:type="dxa"/>
            <w:tcBorders>
              <w:top w:val="none" w:sz="0" w:space="0" w:color="auto"/>
            </w:tcBorders>
          </w:tcPr>
          <w:p w14:paraId="3592ABC9" w14:textId="77777777" w:rsidR="00213444" w:rsidRPr="00C23847" w:rsidRDefault="008B59A7" w:rsidP="001E3161">
            <w:pPr>
              <w:rPr>
                <w:rFonts w:ascii="Calibri" w:hAnsi="Calibri"/>
                <w:sz w:val="20"/>
                <w:szCs w:val="20"/>
              </w:rPr>
            </w:pPr>
            <w:hyperlink r:id="rId29" w:history="1">
              <w:r w:rsidR="00AF3F6E" w:rsidRPr="00C23847">
                <w:rPr>
                  <w:rStyle w:val="Hyperlink"/>
                  <w:rFonts w:ascii="Calibri" w:hAnsi="Calibri"/>
                  <w:sz w:val="20"/>
                  <w:szCs w:val="20"/>
                </w:rPr>
                <w:t>douglasketon@gmail.com</w:t>
              </w:r>
            </w:hyperlink>
          </w:p>
        </w:tc>
      </w:tr>
      <w:tr w:rsidR="00213444" w:rsidRPr="00C23847" w14:paraId="1D9FA250" w14:textId="77777777" w:rsidTr="00C23847">
        <w:trPr>
          <w:cnfStyle w:val="000000010000" w:firstRow="0" w:lastRow="0" w:firstColumn="0" w:lastColumn="0" w:oddVBand="0" w:evenVBand="0" w:oddHBand="0" w:evenHBand="1" w:firstRowFirstColumn="0" w:firstRowLastColumn="0" w:lastRowFirstColumn="0" w:lastRowLastColumn="0"/>
        </w:trPr>
        <w:tc>
          <w:tcPr>
            <w:tcW w:w="1870" w:type="dxa"/>
            <w:tcBorders>
              <w:top w:val="none" w:sz="0" w:space="0" w:color="auto"/>
            </w:tcBorders>
          </w:tcPr>
          <w:p w14:paraId="470FAF75" w14:textId="77777777" w:rsidR="00213444" w:rsidRPr="00C23847" w:rsidRDefault="00213444" w:rsidP="001E3161">
            <w:pPr>
              <w:rPr>
                <w:rFonts w:ascii="Calibri" w:hAnsi="Calibri"/>
                <w:sz w:val="20"/>
                <w:szCs w:val="20"/>
              </w:rPr>
            </w:pPr>
            <w:r w:rsidRPr="00C23847">
              <w:rPr>
                <w:rFonts w:ascii="Calibri" w:hAnsi="Calibri"/>
                <w:sz w:val="20"/>
                <w:szCs w:val="20"/>
              </w:rPr>
              <w:t>Andrew Muange</w:t>
            </w:r>
          </w:p>
        </w:tc>
        <w:tc>
          <w:tcPr>
            <w:tcW w:w="3969" w:type="dxa"/>
            <w:tcBorders>
              <w:top w:val="none" w:sz="0" w:space="0" w:color="auto"/>
            </w:tcBorders>
          </w:tcPr>
          <w:p w14:paraId="3FCAF5CB" w14:textId="77777777" w:rsidR="00213444" w:rsidRPr="00C23847" w:rsidRDefault="00213444" w:rsidP="001E3161">
            <w:pPr>
              <w:rPr>
                <w:rFonts w:ascii="Calibri" w:hAnsi="Calibri"/>
                <w:sz w:val="20"/>
                <w:szCs w:val="20"/>
              </w:rPr>
            </w:pPr>
            <w:r w:rsidRPr="00C23847">
              <w:rPr>
                <w:rFonts w:ascii="Calibri" w:hAnsi="Calibri"/>
                <w:sz w:val="20"/>
                <w:szCs w:val="20"/>
              </w:rPr>
              <w:t xml:space="preserve">Payroll manager </w:t>
            </w:r>
          </w:p>
        </w:tc>
        <w:tc>
          <w:tcPr>
            <w:tcW w:w="2977" w:type="dxa"/>
            <w:tcBorders>
              <w:top w:val="none" w:sz="0" w:space="0" w:color="auto"/>
            </w:tcBorders>
          </w:tcPr>
          <w:p w14:paraId="684441DD" w14:textId="77777777" w:rsidR="00213444" w:rsidRPr="00C23847" w:rsidRDefault="008B59A7" w:rsidP="001E3161">
            <w:pPr>
              <w:rPr>
                <w:rFonts w:ascii="Calibri" w:hAnsi="Calibri"/>
                <w:sz w:val="20"/>
                <w:szCs w:val="20"/>
              </w:rPr>
            </w:pPr>
            <w:hyperlink r:id="rId30" w:history="1">
              <w:r w:rsidR="00AF3F6E" w:rsidRPr="00C23847">
                <w:rPr>
                  <w:rStyle w:val="Hyperlink"/>
                  <w:rFonts w:ascii="Calibri" w:hAnsi="Calibri"/>
                  <w:sz w:val="20"/>
                  <w:szCs w:val="20"/>
                </w:rPr>
                <w:t>andrewmwange@yahoo.com</w:t>
              </w:r>
            </w:hyperlink>
          </w:p>
        </w:tc>
      </w:tr>
      <w:tr w:rsidR="00213444" w:rsidRPr="00C23847" w14:paraId="4730FEC4" w14:textId="77777777" w:rsidTr="00C23847">
        <w:trPr>
          <w:cnfStyle w:val="000000100000" w:firstRow="0" w:lastRow="0" w:firstColumn="0" w:lastColumn="0" w:oddVBand="0" w:evenVBand="0" w:oddHBand="1" w:evenHBand="0" w:firstRowFirstColumn="0" w:firstRowLastColumn="0" w:lastRowFirstColumn="0" w:lastRowLastColumn="0"/>
        </w:trPr>
        <w:tc>
          <w:tcPr>
            <w:tcW w:w="1870" w:type="dxa"/>
            <w:tcBorders>
              <w:top w:val="none" w:sz="0" w:space="0" w:color="auto"/>
            </w:tcBorders>
          </w:tcPr>
          <w:p w14:paraId="1022A78A" w14:textId="77777777" w:rsidR="00213444" w:rsidRPr="00C23847" w:rsidRDefault="00213444" w:rsidP="001E3161">
            <w:pPr>
              <w:rPr>
                <w:rFonts w:ascii="Calibri" w:hAnsi="Calibri"/>
                <w:sz w:val="20"/>
                <w:szCs w:val="20"/>
              </w:rPr>
            </w:pPr>
            <w:r w:rsidRPr="00C23847">
              <w:rPr>
                <w:rFonts w:ascii="Calibri" w:hAnsi="Calibri"/>
                <w:sz w:val="20"/>
                <w:szCs w:val="20"/>
              </w:rPr>
              <w:t>Luke Najulo</w:t>
            </w:r>
          </w:p>
        </w:tc>
        <w:tc>
          <w:tcPr>
            <w:tcW w:w="3969" w:type="dxa"/>
            <w:tcBorders>
              <w:top w:val="none" w:sz="0" w:space="0" w:color="auto"/>
            </w:tcBorders>
          </w:tcPr>
          <w:p w14:paraId="1C820FC2" w14:textId="77777777" w:rsidR="00213444" w:rsidRPr="00C23847" w:rsidRDefault="00213444" w:rsidP="001E3161">
            <w:pPr>
              <w:rPr>
                <w:rFonts w:ascii="Calibri" w:hAnsi="Calibri"/>
                <w:sz w:val="20"/>
                <w:szCs w:val="20"/>
              </w:rPr>
            </w:pPr>
            <w:r w:rsidRPr="00C23847">
              <w:rPr>
                <w:rFonts w:ascii="Calibri" w:hAnsi="Calibri"/>
                <w:sz w:val="20"/>
                <w:szCs w:val="20"/>
              </w:rPr>
              <w:t xml:space="preserve">Procurement officer </w:t>
            </w:r>
          </w:p>
        </w:tc>
        <w:tc>
          <w:tcPr>
            <w:tcW w:w="2977" w:type="dxa"/>
            <w:tcBorders>
              <w:top w:val="none" w:sz="0" w:space="0" w:color="auto"/>
            </w:tcBorders>
          </w:tcPr>
          <w:p w14:paraId="44A348E9" w14:textId="77777777" w:rsidR="00213444" w:rsidRPr="00C23847" w:rsidRDefault="008B59A7" w:rsidP="001E3161">
            <w:pPr>
              <w:rPr>
                <w:rFonts w:ascii="Calibri" w:hAnsi="Calibri"/>
                <w:sz w:val="20"/>
                <w:szCs w:val="20"/>
              </w:rPr>
            </w:pPr>
            <w:hyperlink r:id="rId31" w:history="1">
              <w:r w:rsidR="00AF3F6E" w:rsidRPr="00C23847">
                <w:rPr>
                  <w:rStyle w:val="Hyperlink"/>
                  <w:rFonts w:ascii="Calibri" w:hAnsi="Calibri"/>
                  <w:sz w:val="20"/>
                  <w:szCs w:val="20"/>
                </w:rPr>
                <w:t>lukenajulo@yahoo.com</w:t>
              </w:r>
            </w:hyperlink>
          </w:p>
        </w:tc>
      </w:tr>
      <w:tr w:rsidR="00213444" w:rsidRPr="00C23847" w14:paraId="2D3889F8" w14:textId="77777777" w:rsidTr="00C23847">
        <w:trPr>
          <w:cnfStyle w:val="000000010000" w:firstRow="0" w:lastRow="0" w:firstColumn="0" w:lastColumn="0" w:oddVBand="0" w:evenVBand="0" w:oddHBand="0" w:evenHBand="1" w:firstRowFirstColumn="0" w:firstRowLastColumn="0" w:lastRowFirstColumn="0" w:lastRowLastColumn="0"/>
        </w:trPr>
        <w:tc>
          <w:tcPr>
            <w:tcW w:w="1870" w:type="dxa"/>
            <w:tcBorders>
              <w:top w:val="none" w:sz="0" w:space="0" w:color="auto"/>
            </w:tcBorders>
          </w:tcPr>
          <w:p w14:paraId="3DAA832A" w14:textId="77777777" w:rsidR="00213444" w:rsidRPr="00C23847" w:rsidRDefault="00213444" w:rsidP="001E3161">
            <w:pPr>
              <w:rPr>
                <w:rFonts w:ascii="Calibri" w:hAnsi="Calibri"/>
                <w:sz w:val="20"/>
                <w:szCs w:val="20"/>
              </w:rPr>
            </w:pPr>
            <w:r w:rsidRPr="00C23847">
              <w:rPr>
                <w:rFonts w:ascii="Calibri" w:hAnsi="Calibri"/>
                <w:sz w:val="20"/>
                <w:szCs w:val="20"/>
              </w:rPr>
              <w:t>Jackson Ritei</w:t>
            </w:r>
          </w:p>
        </w:tc>
        <w:tc>
          <w:tcPr>
            <w:tcW w:w="3969" w:type="dxa"/>
            <w:tcBorders>
              <w:top w:val="none" w:sz="0" w:space="0" w:color="auto"/>
            </w:tcBorders>
          </w:tcPr>
          <w:p w14:paraId="5176B38E" w14:textId="77777777" w:rsidR="00213444" w:rsidRPr="00C23847" w:rsidRDefault="00213444" w:rsidP="001E3161">
            <w:pPr>
              <w:rPr>
                <w:rFonts w:ascii="Calibri" w:hAnsi="Calibri"/>
                <w:sz w:val="20"/>
                <w:szCs w:val="20"/>
              </w:rPr>
            </w:pPr>
            <w:r w:rsidRPr="00C23847">
              <w:rPr>
                <w:rFonts w:ascii="Calibri" w:hAnsi="Calibri"/>
                <w:sz w:val="20"/>
                <w:szCs w:val="20"/>
              </w:rPr>
              <w:t xml:space="preserve">Accountant </w:t>
            </w:r>
          </w:p>
        </w:tc>
        <w:tc>
          <w:tcPr>
            <w:tcW w:w="2977" w:type="dxa"/>
            <w:tcBorders>
              <w:top w:val="none" w:sz="0" w:space="0" w:color="auto"/>
            </w:tcBorders>
          </w:tcPr>
          <w:p w14:paraId="51D32B7F" w14:textId="77777777" w:rsidR="00213444" w:rsidRPr="00C23847" w:rsidRDefault="008B59A7" w:rsidP="001E3161">
            <w:pPr>
              <w:rPr>
                <w:rFonts w:ascii="Calibri" w:hAnsi="Calibri"/>
                <w:sz w:val="20"/>
                <w:szCs w:val="20"/>
              </w:rPr>
            </w:pPr>
            <w:hyperlink r:id="rId32" w:history="1">
              <w:r w:rsidR="00AF3F6E" w:rsidRPr="00C23847">
                <w:rPr>
                  <w:rStyle w:val="Hyperlink"/>
                  <w:rFonts w:ascii="Calibri" w:hAnsi="Calibri"/>
                  <w:sz w:val="20"/>
                  <w:szCs w:val="20"/>
                </w:rPr>
                <w:t>Jacksonritei1@gmail.com</w:t>
              </w:r>
            </w:hyperlink>
          </w:p>
        </w:tc>
      </w:tr>
      <w:tr w:rsidR="00213444" w:rsidRPr="00C23847" w14:paraId="6F0204F2" w14:textId="77777777" w:rsidTr="00C23847">
        <w:trPr>
          <w:cnfStyle w:val="000000100000" w:firstRow="0" w:lastRow="0" w:firstColumn="0" w:lastColumn="0" w:oddVBand="0" w:evenVBand="0" w:oddHBand="1" w:evenHBand="0" w:firstRowFirstColumn="0" w:firstRowLastColumn="0" w:lastRowFirstColumn="0" w:lastRowLastColumn="0"/>
        </w:trPr>
        <w:tc>
          <w:tcPr>
            <w:tcW w:w="1870" w:type="dxa"/>
            <w:tcBorders>
              <w:top w:val="none" w:sz="0" w:space="0" w:color="auto"/>
            </w:tcBorders>
          </w:tcPr>
          <w:p w14:paraId="6D11B8F8" w14:textId="77777777" w:rsidR="00213444" w:rsidRPr="00C23847" w:rsidRDefault="00213444" w:rsidP="001E3161">
            <w:pPr>
              <w:rPr>
                <w:rFonts w:ascii="Calibri" w:hAnsi="Calibri"/>
                <w:sz w:val="20"/>
                <w:szCs w:val="20"/>
              </w:rPr>
            </w:pPr>
            <w:r w:rsidRPr="00C23847">
              <w:rPr>
                <w:rFonts w:ascii="Calibri" w:hAnsi="Calibri"/>
                <w:sz w:val="20"/>
                <w:szCs w:val="20"/>
              </w:rPr>
              <w:t>Julius sekoyo</w:t>
            </w:r>
          </w:p>
        </w:tc>
        <w:tc>
          <w:tcPr>
            <w:tcW w:w="3969" w:type="dxa"/>
            <w:tcBorders>
              <w:top w:val="none" w:sz="0" w:space="0" w:color="auto"/>
            </w:tcBorders>
          </w:tcPr>
          <w:p w14:paraId="5BF2060B" w14:textId="77777777" w:rsidR="00213444" w:rsidRPr="00C23847" w:rsidRDefault="00213444" w:rsidP="001E3161">
            <w:pPr>
              <w:rPr>
                <w:rFonts w:ascii="Calibri" w:hAnsi="Calibri"/>
                <w:sz w:val="20"/>
                <w:szCs w:val="20"/>
              </w:rPr>
            </w:pPr>
            <w:r w:rsidRPr="00C23847">
              <w:rPr>
                <w:rFonts w:ascii="Calibri" w:hAnsi="Calibri"/>
                <w:sz w:val="20"/>
                <w:szCs w:val="20"/>
              </w:rPr>
              <w:t xml:space="preserve">Director, Internal audit </w:t>
            </w:r>
          </w:p>
        </w:tc>
        <w:tc>
          <w:tcPr>
            <w:tcW w:w="2977" w:type="dxa"/>
            <w:tcBorders>
              <w:top w:val="none" w:sz="0" w:space="0" w:color="auto"/>
            </w:tcBorders>
          </w:tcPr>
          <w:p w14:paraId="6EDEA8E3" w14:textId="77777777" w:rsidR="00213444" w:rsidRPr="00C23847" w:rsidRDefault="008B59A7" w:rsidP="001E3161">
            <w:pPr>
              <w:rPr>
                <w:rFonts w:ascii="Calibri" w:hAnsi="Calibri"/>
                <w:sz w:val="20"/>
                <w:szCs w:val="20"/>
              </w:rPr>
            </w:pPr>
            <w:hyperlink r:id="rId33" w:history="1">
              <w:r w:rsidR="00AF3F6E" w:rsidRPr="00C23847">
                <w:rPr>
                  <w:rStyle w:val="Hyperlink"/>
                  <w:rFonts w:ascii="Calibri" w:hAnsi="Calibri"/>
                  <w:sz w:val="20"/>
                  <w:szCs w:val="20"/>
                </w:rPr>
                <w:t>juliussekoyo@yahoo.com</w:t>
              </w:r>
            </w:hyperlink>
          </w:p>
        </w:tc>
      </w:tr>
      <w:tr w:rsidR="00213444" w:rsidRPr="00C23847" w14:paraId="4A893656" w14:textId="77777777" w:rsidTr="00C23847">
        <w:trPr>
          <w:cnfStyle w:val="000000010000" w:firstRow="0" w:lastRow="0" w:firstColumn="0" w:lastColumn="0" w:oddVBand="0" w:evenVBand="0" w:oddHBand="0" w:evenHBand="1" w:firstRowFirstColumn="0" w:firstRowLastColumn="0" w:lastRowFirstColumn="0" w:lastRowLastColumn="0"/>
        </w:trPr>
        <w:tc>
          <w:tcPr>
            <w:tcW w:w="1870" w:type="dxa"/>
            <w:tcBorders>
              <w:top w:val="none" w:sz="0" w:space="0" w:color="auto"/>
            </w:tcBorders>
          </w:tcPr>
          <w:p w14:paraId="3B84BB1D" w14:textId="77777777" w:rsidR="00213444" w:rsidRPr="00C23847" w:rsidRDefault="00213444" w:rsidP="001E3161">
            <w:pPr>
              <w:rPr>
                <w:rFonts w:ascii="Calibri" w:hAnsi="Calibri"/>
                <w:sz w:val="20"/>
                <w:szCs w:val="20"/>
              </w:rPr>
            </w:pPr>
            <w:r w:rsidRPr="00C23847">
              <w:rPr>
                <w:rFonts w:ascii="Calibri" w:hAnsi="Calibri"/>
                <w:sz w:val="20"/>
                <w:szCs w:val="20"/>
              </w:rPr>
              <w:t>Daniel Nkilishu</w:t>
            </w:r>
          </w:p>
        </w:tc>
        <w:tc>
          <w:tcPr>
            <w:tcW w:w="3969" w:type="dxa"/>
            <w:tcBorders>
              <w:top w:val="none" w:sz="0" w:space="0" w:color="auto"/>
            </w:tcBorders>
          </w:tcPr>
          <w:p w14:paraId="6E0B2378" w14:textId="77777777" w:rsidR="00213444" w:rsidRPr="00C23847" w:rsidRDefault="00213444" w:rsidP="001E3161">
            <w:pPr>
              <w:rPr>
                <w:rFonts w:ascii="Calibri" w:hAnsi="Calibri"/>
                <w:sz w:val="20"/>
                <w:szCs w:val="20"/>
              </w:rPr>
            </w:pPr>
            <w:r w:rsidRPr="00C23847">
              <w:rPr>
                <w:rFonts w:ascii="Calibri" w:hAnsi="Calibri"/>
                <w:sz w:val="20"/>
                <w:szCs w:val="20"/>
              </w:rPr>
              <w:t>ICT Revenue Officer</w:t>
            </w:r>
          </w:p>
        </w:tc>
        <w:tc>
          <w:tcPr>
            <w:tcW w:w="2977" w:type="dxa"/>
            <w:tcBorders>
              <w:top w:val="none" w:sz="0" w:space="0" w:color="auto"/>
            </w:tcBorders>
          </w:tcPr>
          <w:p w14:paraId="3C5CADED" w14:textId="77777777" w:rsidR="00213444" w:rsidRPr="00C23847" w:rsidRDefault="00213444" w:rsidP="001E3161">
            <w:pPr>
              <w:rPr>
                <w:rFonts w:ascii="Calibri" w:hAnsi="Calibri"/>
                <w:sz w:val="20"/>
                <w:szCs w:val="20"/>
              </w:rPr>
            </w:pPr>
          </w:p>
        </w:tc>
      </w:tr>
    </w:tbl>
    <w:p w14:paraId="0CF667E6" w14:textId="77777777" w:rsidR="00213444" w:rsidRPr="00890A84" w:rsidRDefault="00213444" w:rsidP="00D52523"/>
    <w:p w14:paraId="63FC902F" w14:textId="77777777" w:rsidR="009A4554" w:rsidRPr="00890A84" w:rsidRDefault="009A4554" w:rsidP="001E3161">
      <w:pPr>
        <w:sectPr w:rsidR="009A4554" w:rsidRPr="00890A84" w:rsidSect="00AD5071">
          <w:headerReference w:type="default" r:id="rId34"/>
          <w:pgSz w:w="12240" w:h="15840"/>
          <w:pgMar w:top="1440" w:right="1440" w:bottom="1440" w:left="1440" w:header="760" w:footer="723" w:gutter="0"/>
          <w:cols w:space="720"/>
          <w:docGrid w:linePitch="326"/>
        </w:sectPr>
      </w:pPr>
    </w:p>
    <w:p w14:paraId="6B344CAA" w14:textId="44DB7E6B" w:rsidR="00514EE0" w:rsidRPr="004D3A84" w:rsidRDefault="00CA52CE" w:rsidP="005849E4">
      <w:pPr>
        <w:pStyle w:val="Heading3"/>
      </w:pPr>
      <w:bookmarkStart w:id="141" w:name="_Toc532426057"/>
      <w:r w:rsidRPr="004D3A84">
        <w:t>Annex 3C</w:t>
      </w:r>
      <w:r w:rsidR="001278E8" w:rsidRPr="004D3A84">
        <w:t>:</w:t>
      </w:r>
      <w:r w:rsidRPr="004D3A84">
        <w:t xml:space="preserve"> </w:t>
      </w:r>
      <w:bookmarkStart w:id="142" w:name="_Hlk526573586"/>
      <w:r w:rsidR="009A4554" w:rsidRPr="004D3A84">
        <w:t>S</w:t>
      </w:r>
      <w:r w:rsidRPr="004D3A84">
        <w:t xml:space="preserve">ources of information </w:t>
      </w:r>
      <w:bookmarkEnd w:id="142"/>
      <w:r w:rsidRPr="004D3A84">
        <w:t>used to extract evidence for scoring each indicator</w:t>
      </w:r>
      <w:bookmarkEnd w:id="141"/>
    </w:p>
    <w:p w14:paraId="5620E41A" w14:textId="5C82A04E" w:rsidR="009A4554" w:rsidRPr="00890A84" w:rsidRDefault="009F4975" w:rsidP="00BA6B2B">
      <w:pPr>
        <w:pStyle w:val="Heading5"/>
      </w:pPr>
      <w:r w:rsidRPr="00890A84">
        <w:t>P</w:t>
      </w:r>
      <w:r w:rsidR="004A04CE">
        <w:t>I</w:t>
      </w:r>
      <w:r w:rsidRPr="00890A84">
        <w:t>-1</w:t>
      </w:r>
      <w:r w:rsidR="00B423F6">
        <w:t>.</w:t>
      </w:r>
      <w:r w:rsidRPr="00890A84">
        <w:t xml:space="preserve"> </w:t>
      </w:r>
      <w:r w:rsidR="00B423F6">
        <w:t>A</w:t>
      </w:r>
      <w:r w:rsidRPr="00890A84">
        <w:t xml:space="preserve">ggregate expenditure outturn </w:t>
      </w:r>
    </w:p>
    <w:p w14:paraId="46DBA50B" w14:textId="6F10972B" w:rsidR="009A4554" w:rsidRPr="00C23847" w:rsidRDefault="00585338" w:rsidP="00CF4F79">
      <w:pPr>
        <w:pStyle w:val="ListParagraph"/>
        <w:numPr>
          <w:ilvl w:val="0"/>
          <w:numId w:val="1"/>
        </w:numPr>
        <w:spacing w:after="120"/>
        <w:contextualSpacing w:val="0"/>
        <w:rPr>
          <w:sz w:val="22"/>
        </w:rPr>
      </w:pPr>
      <w:r w:rsidRPr="00C23847">
        <w:rPr>
          <w:sz w:val="22"/>
        </w:rPr>
        <w:t>PI-</w:t>
      </w:r>
      <w:r w:rsidR="009F4975" w:rsidRPr="00C23847">
        <w:rPr>
          <w:sz w:val="22"/>
        </w:rPr>
        <w:t>1 exp</w:t>
      </w:r>
      <w:r w:rsidRPr="00C23847">
        <w:rPr>
          <w:sz w:val="22"/>
        </w:rPr>
        <w:t>enditure</w:t>
      </w:r>
      <w:r w:rsidR="009F4975" w:rsidRPr="00C23847">
        <w:rPr>
          <w:sz w:val="22"/>
        </w:rPr>
        <w:t xml:space="preserve"> calculation</w:t>
      </w:r>
      <w:r w:rsidR="00472154">
        <w:rPr>
          <w:sz w:val="22"/>
        </w:rPr>
        <w:t xml:space="preserve"> </w:t>
      </w:r>
      <w:r w:rsidR="009F4975" w:rsidRPr="00C23847">
        <w:rPr>
          <w:sz w:val="22"/>
        </w:rPr>
        <w:t>-</w:t>
      </w:r>
      <w:r w:rsidR="00472154">
        <w:rPr>
          <w:sz w:val="22"/>
        </w:rPr>
        <w:t xml:space="preserve"> </w:t>
      </w:r>
      <w:r w:rsidR="00514EE0" w:rsidRPr="00C23847">
        <w:rPr>
          <w:sz w:val="22"/>
        </w:rPr>
        <w:t>Kajiado</w:t>
      </w:r>
    </w:p>
    <w:p w14:paraId="73576A8A" w14:textId="0C907659" w:rsidR="009A4554" w:rsidRPr="00890A84" w:rsidRDefault="009F4975" w:rsidP="00BA6B2B">
      <w:pPr>
        <w:pStyle w:val="Heading5"/>
      </w:pPr>
      <w:r w:rsidRPr="00890A84">
        <w:t>P</w:t>
      </w:r>
      <w:r w:rsidR="004A04CE">
        <w:t>I</w:t>
      </w:r>
      <w:r w:rsidRPr="00890A84">
        <w:t>-2</w:t>
      </w:r>
      <w:r w:rsidR="00B423F6">
        <w:t>.</w:t>
      </w:r>
      <w:r w:rsidRPr="00890A84">
        <w:t xml:space="preserve"> </w:t>
      </w:r>
      <w:r w:rsidR="00B423F6">
        <w:t>E</w:t>
      </w:r>
      <w:r w:rsidRPr="00890A84">
        <w:t xml:space="preserve">xpenditure composition outturn </w:t>
      </w:r>
    </w:p>
    <w:p w14:paraId="7B9F1E46" w14:textId="025F0CE4" w:rsidR="009A4554" w:rsidRPr="00C23847" w:rsidRDefault="00472154" w:rsidP="00CF4F79">
      <w:pPr>
        <w:pStyle w:val="ListParagraph"/>
        <w:numPr>
          <w:ilvl w:val="0"/>
          <w:numId w:val="1"/>
        </w:numPr>
        <w:spacing w:after="120"/>
        <w:contextualSpacing w:val="0"/>
        <w:rPr>
          <w:sz w:val="22"/>
        </w:rPr>
      </w:pPr>
      <w:r w:rsidRPr="00C23847">
        <w:rPr>
          <w:sz w:val="22"/>
        </w:rPr>
        <w:t>Emergency Fund Report</w:t>
      </w:r>
    </w:p>
    <w:p w14:paraId="2259643C" w14:textId="0FF76168" w:rsidR="009A4554" w:rsidRPr="00C23847" w:rsidRDefault="009F4975" w:rsidP="00CF4F79">
      <w:pPr>
        <w:pStyle w:val="ListParagraph"/>
        <w:numPr>
          <w:ilvl w:val="0"/>
          <w:numId w:val="1"/>
        </w:numPr>
        <w:spacing w:after="120"/>
        <w:contextualSpacing w:val="0"/>
        <w:rPr>
          <w:sz w:val="22"/>
        </w:rPr>
      </w:pPr>
      <w:r w:rsidRPr="00C23847">
        <w:rPr>
          <w:sz w:val="22"/>
        </w:rPr>
        <w:t xml:space="preserve">Emergency </w:t>
      </w:r>
      <w:r w:rsidR="00472154" w:rsidRPr="00C23847">
        <w:rPr>
          <w:sz w:val="22"/>
        </w:rPr>
        <w:t>F</w:t>
      </w:r>
      <w:r w:rsidRPr="00C23847">
        <w:rPr>
          <w:sz w:val="22"/>
        </w:rPr>
        <w:t>und 2015</w:t>
      </w:r>
      <w:r w:rsidR="00B423F6">
        <w:rPr>
          <w:sz w:val="22"/>
        </w:rPr>
        <w:t xml:space="preserve">, </w:t>
      </w:r>
      <w:r w:rsidRPr="00C23847">
        <w:rPr>
          <w:sz w:val="22"/>
        </w:rPr>
        <w:t xml:space="preserve">2016 </w:t>
      </w:r>
      <w:r w:rsidR="00B423F6">
        <w:rPr>
          <w:sz w:val="22"/>
        </w:rPr>
        <w:t>E</w:t>
      </w:r>
      <w:r w:rsidRPr="00C23847">
        <w:rPr>
          <w:sz w:val="22"/>
        </w:rPr>
        <w:t>xp</w:t>
      </w:r>
      <w:r w:rsidR="00B423F6">
        <w:rPr>
          <w:sz w:val="22"/>
        </w:rPr>
        <w:t>enditure</w:t>
      </w:r>
      <w:r w:rsidRPr="00C23847">
        <w:rPr>
          <w:sz w:val="22"/>
        </w:rPr>
        <w:t xml:space="preserve"> Report</w:t>
      </w:r>
    </w:p>
    <w:p w14:paraId="5A670E90" w14:textId="2224DB76" w:rsidR="009A4554" w:rsidRPr="00C23847" w:rsidRDefault="009F4975" w:rsidP="00CF4F79">
      <w:pPr>
        <w:pStyle w:val="ListParagraph"/>
        <w:numPr>
          <w:ilvl w:val="0"/>
          <w:numId w:val="1"/>
        </w:numPr>
        <w:spacing w:after="120"/>
        <w:contextualSpacing w:val="0"/>
        <w:rPr>
          <w:sz w:val="22"/>
        </w:rPr>
      </w:pPr>
      <w:r w:rsidRPr="00C23847">
        <w:rPr>
          <w:sz w:val="22"/>
        </w:rPr>
        <w:t xml:space="preserve">Emergency </w:t>
      </w:r>
      <w:r w:rsidR="00472154" w:rsidRPr="00C23847">
        <w:rPr>
          <w:sz w:val="22"/>
        </w:rPr>
        <w:t>F</w:t>
      </w:r>
      <w:r w:rsidRPr="00C23847">
        <w:rPr>
          <w:sz w:val="22"/>
        </w:rPr>
        <w:t xml:space="preserve">und </w:t>
      </w:r>
      <w:r w:rsidR="00B423F6">
        <w:rPr>
          <w:sz w:val="22"/>
        </w:rPr>
        <w:t>E</w:t>
      </w:r>
      <w:r w:rsidRPr="00C23847">
        <w:rPr>
          <w:sz w:val="22"/>
        </w:rPr>
        <w:t>xpe</w:t>
      </w:r>
      <w:r w:rsidR="00B423F6">
        <w:rPr>
          <w:sz w:val="22"/>
        </w:rPr>
        <w:t>nditure</w:t>
      </w:r>
      <w:r w:rsidRPr="00C23847">
        <w:rPr>
          <w:sz w:val="22"/>
        </w:rPr>
        <w:t xml:space="preserve"> Report for 2013</w:t>
      </w:r>
      <w:r w:rsidR="00B423F6">
        <w:rPr>
          <w:sz w:val="22"/>
        </w:rPr>
        <w:t>–</w:t>
      </w:r>
      <w:r w:rsidRPr="00C23847">
        <w:rPr>
          <w:sz w:val="22"/>
        </w:rPr>
        <w:t>2014</w:t>
      </w:r>
      <w:r w:rsidR="00B423F6">
        <w:rPr>
          <w:sz w:val="22"/>
        </w:rPr>
        <w:t>–</w:t>
      </w:r>
      <w:r w:rsidRPr="00C23847">
        <w:rPr>
          <w:sz w:val="22"/>
        </w:rPr>
        <w:t>2015</w:t>
      </w:r>
    </w:p>
    <w:p w14:paraId="3EA69011" w14:textId="645FDCD8" w:rsidR="009A4554" w:rsidRPr="00C23847" w:rsidRDefault="009F4975" w:rsidP="00CF4F79">
      <w:pPr>
        <w:pStyle w:val="ListParagraph"/>
        <w:numPr>
          <w:ilvl w:val="0"/>
          <w:numId w:val="1"/>
        </w:numPr>
        <w:spacing w:after="120"/>
        <w:contextualSpacing w:val="0"/>
        <w:rPr>
          <w:sz w:val="22"/>
        </w:rPr>
      </w:pPr>
      <w:r w:rsidRPr="00C23847">
        <w:rPr>
          <w:sz w:val="22"/>
        </w:rPr>
        <w:t xml:space="preserve">Annual </w:t>
      </w:r>
      <w:r w:rsidR="00472154" w:rsidRPr="00C23847">
        <w:rPr>
          <w:sz w:val="22"/>
        </w:rPr>
        <w:t>Financial Statement</w:t>
      </w:r>
      <w:r w:rsidRPr="00C23847">
        <w:rPr>
          <w:sz w:val="22"/>
        </w:rPr>
        <w:t xml:space="preserve">s </w:t>
      </w:r>
    </w:p>
    <w:p w14:paraId="16F1A948" w14:textId="6B040B2B" w:rsidR="009A4554" w:rsidRPr="00C23847" w:rsidRDefault="009F4975" w:rsidP="00CF4F79">
      <w:pPr>
        <w:pStyle w:val="ListParagraph"/>
        <w:numPr>
          <w:ilvl w:val="0"/>
          <w:numId w:val="1"/>
        </w:numPr>
        <w:spacing w:after="120"/>
        <w:contextualSpacing w:val="0"/>
        <w:rPr>
          <w:sz w:val="22"/>
        </w:rPr>
      </w:pPr>
      <w:r w:rsidRPr="00C23847">
        <w:rPr>
          <w:sz w:val="22"/>
        </w:rPr>
        <w:t xml:space="preserve">Appropriation </w:t>
      </w:r>
      <w:r w:rsidR="00472154" w:rsidRPr="00C23847">
        <w:rPr>
          <w:sz w:val="22"/>
        </w:rPr>
        <w:t>A</w:t>
      </w:r>
      <w:r w:rsidRPr="00C23847">
        <w:rPr>
          <w:sz w:val="22"/>
        </w:rPr>
        <w:t xml:space="preserve">cts </w:t>
      </w:r>
    </w:p>
    <w:p w14:paraId="4FF7DF1C" w14:textId="0BCEBB9D" w:rsidR="009A4554" w:rsidRPr="00C23847" w:rsidRDefault="009F4975" w:rsidP="00CF4F79">
      <w:pPr>
        <w:pStyle w:val="ListParagraph"/>
        <w:numPr>
          <w:ilvl w:val="0"/>
          <w:numId w:val="1"/>
        </w:numPr>
        <w:spacing w:after="120"/>
        <w:contextualSpacing w:val="0"/>
        <w:rPr>
          <w:sz w:val="22"/>
        </w:rPr>
      </w:pPr>
      <w:r w:rsidRPr="00C23847">
        <w:rPr>
          <w:sz w:val="22"/>
        </w:rPr>
        <w:t xml:space="preserve">County </w:t>
      </w:r>
      <w:r w:rsidR="00B423F6">
        <w:rPr>
          <w:sz w:val="22"/>
        </w:rPr>
        <w:t>B</w:t>
      </w:r>
      <w:r w:rsidRPr="00C23847">
        <w:rPr>
          <w:sz w:val="22"/>
        </w:rPr>
        <w:t xml:space="preserve">udget </w:t>
      </w:r>
      <w:r w:rsidR="00B423F6">
        <w:rPr>
          <w:sz w:val="22"/>
        </w:rPr>
        <w:t>R</w:t>
      </w:r>
      <w:r w:rsidRPr="00C23847">
        <w:rPr>
          <w:sz w:val="22"/>
        </w:rPr>
        <w:t xml:space="preserve">evenue and </w:t>
      </w:r>
      <w:r w:rsidR="00B423F6">
        <w:rPr>
          <w:sz w:val="22"/>
        </w:rPr>
        <w:t>O</w:t>
      </w:r>
      <w:r w:rsidRPr="00C23847">
        <w:rPr>
          <w:sz w:val="22"/>
        </w:rPr>
        <w:t xml:space="preserve">utlook </w:t>
      </w:r>
      <w:r w:rsidR="00B423F6">
        <w:rPr>
          <w:sz w:val="22"/>
        </w:rPr>
        <w:t>P</w:t>
      </w:r>
      <w:r w:rsidRPr="00C23847">
        <w:rPr>
          <w:sz w:val="22"/>
        </w:rPr>
        <w:t xml:space="preserve">apers </w:t>
      </w:r>
    </w:p>
    <w:p w14:paraId="73371899" w14:textId="4284956B" w:rsidR="009A4554" w:rsidRPr="00C23847" w:rsidRDefault="009F4975" w:rsidP="00CF4F79">
      <w:pPr>
        <w:pStyle w:val="ListParagraph"/>
        <w:numPr>
          <w:ilvl w:val="0"/>
          <w:numId w:val="1"/>
        </w:numPr>
        <w:spacing w:after="120"/>
        <w:contextualSpacing w:val="0"/>
        <w:rPr>
          <w:sz w:val="22"/>
        </w:rPr>
      </w:pPr>
      <w:r w:rsidRPr="00C23847">
        <w:rPr>
          <w:sz w:val="22"/>
        </w:rPr>
        <w:t>En-</w:t>
      </w:r>
      <w:r w:rsidR="00B423F6">
        <w:rPr>
          <w:sz w:val="22"/>
        </w:rPr>
        <w:t>PI</w:t>
      </w:r>
      <w:r w:rsidRPr="00C23847">
        <w:rPr>
          <w:sz w:val="22"/>
        </w:rPr>
        <w:t xml:space="preserve">-1 </w:t>
      </w:r>
      <w:r w:rsidR="00B423F6">
        <w:rPr>
          <w:sz w:val="22"/>
        </w:rPr>
        <w:t>PI</w:t>
      </w:r>
      <w:r w:rsidRPr="00C23847">
        <w:rPr>
          <w:sz w:val="22"/>
        </w:rPr>
        <w:t>-2 exp calculation-</w:t>
      </w:r>
      <w:r w:rsidR="00514EE0" w:rsidRPr="00C23847">
        <w:rPr>
          <w:sz w:val="22"/>
        </w:rPr>
        <w:t>Kajiado</w:t>
      </w:r>
    </w:p>
    <w:p w14:paraId="23B7A736" w14:textId="7364F552" w:rsidR="009A4554" w:rsidRPr="00C23847" w:rsidRDefault="009F4975" w:rsidP="00CF4F79">
      <w:pPr>
        <w:pStyle w:val="ListParagraph"/>
        <w:numPr>
          <w:ilvl w:val="0"/>
          <w:numId w:val="1"/>
        </w:numPr>
        <w:spacing w:after="120"/>
        <w:contextualSpacing w:val="0"/>
        <w:rPr>
          <w:sz w:val="22"/>
        </w:rPr>
      </w:pPr>
      <w:r w:rsidRPr="00C23847">
        <w:rPr>
          <w:sz w:val="22"/>
        </w:rPr>
        <w:t xml:space="preserve">Original budget for </w:t>
      </w:r>
      <w:r w:rsidR="00514EE0" w:rsidRPr="00C23847">
        <w:rPr>
          <w:sz w:val="22"/>
        </w:rPr>
        <w:t>Kajiado</w:t>
      </w:r>
      <w:r w:rsidRPr="00C23847">
        <w:rPr>
          <w:sz w:val="22"/>
        </w:rPr>
        <w:t xml:space="preserve"> </w:t>
      </w:r>
      <w:r w:rsidR="00B423F6">
        <w:rPr>
          <w:sz w:val="22"/>
        </w:rPr>
        <w:t>c</w:t>
      </w:r>
      <w:r w:rsidRPr="00C23847">
        <w:rPr>
          <w:sz w:val="22"/>
        </w:rPr>
        <w:t xml:space="preserve">ounty government </w:t>
      </w:r>
    </w:p>
    <w:p w14:paraId="57967F62" w14:textId="1FD816F8" w:rsidR="009A4554" w:rsidRPr="00890A84" w:rsidRDefault="009F4975" w:rsidP="00BA6B2B">
      <w:pPr>
        <w:pStyle w:val="Heading5"/>
      </w:pPr>
      <w:r w:rsidRPr="00890A84">
        <w:t>P</w:t>
      </w:r>
      <w:r w:rsidR="004A04CE">
        <w:t>I</w:t>
      </w:r>
      <w:r w:rsidRPr="00890A84">
        <w:t>-3</w:t>
      </w:r>
      <w:r w:rsidR="00B423F6">
        <w:t>.</w:t>
      </w:r>
      <w:r w:rsidRPr="00890A84">
        <w:t xml:space="preserve"> </w:t>
      </w:r>
      <w:r w:rsidR="00B423F6">
        <w:t>R</w:t>
      </w:r>
      <w:r w:rsidRPr="00890A84">
        <w:t>evenue outturn</w:t>
      </w:r>
      <w:r w:rsidR="00514EE0" w:rsidRPr="00890A84">
        <w:t>(M2)</w:t>
      </w:r>
    </w:p>
    <w:p w14:paraId="43A1B85B" w14:textId="060F2C7C" w:rsidR="009A4554" w:rsidRPr="00C23847" w:rsidRDefault="009F4975" w:rsidP="00CF4F79">
      <w:pPr>
        <w:pStyle w:val="ListParagraph"/>
        <w:numPr>
          <w:ilvl w:val="0"/>
          <w:numId w:val="1"/>
        </w:numPr>
        <w:spacing w:after="120"/>
        <w:contextualSpacing w:val="0"/>
        <w:rPr>
          <w:sz w:val="22"/>
        </w:rPr>
      </w:pPr>
      <w:r w:rsidRPr="00C23847">
        <w:rPr>
          <w:sz w:val="22"/>
        </w:rPr>
        <w:t xml:space="preserve">Annual </w:t>
      </w:r>
      <w:r w:rsidR="00472154" w:rsidRPr="00C23847">
        <w:rPr>
          <w:sz w:val="22"/>
        </w:rPr>
        <w:t>Financial Statement</w:t>
      </w:r>
      <w:r w:rsidRPr="00C23847">
        <w:rPr>
          <w:sz w:val="22"/>
        </w:rPr>
        <w:t xml:space="preserve">s </w:t>
      </w:r>
    </w:p>
    <w:p w14:paraId="2E2A4829" w14:textId="4D543FE1" w:rsidR="009A4554" w:rsidRPr="00C23847" w:rsidRDefault="008C00CA" w:rsidP="00CF4F79">
      <w:pPr>
        <w:pStyle w:val="ListParagraph"/>
        <w:numPr>
          <w:ilvl w:val="0"/>
          <w:numId w:val="1"/>
        </w:numPr>
        <w:spacing w:after="120"/>
        <w:contextualSpacing w:val="0"/>
        <w:rPr>
          <w:sz w:val="22"/>
        </w:rPr>
      </w:pPr>
      <w:r>
        <w:rPr>
          <w:sz w:val="22"/>
        </w:rPr>
        <w:t>R</w:t>
      </w:r>
      <w:r w:rsidR="009F4975" w:rsidRPr="00C23847">
        <w:rPr>
          <w:sz w:val="22"/>
        </w:rPr>
        <w:t>ev</w:t>
      </w:r>
      <w:r>
        <w:rPr>
          <w:sz w:val="22"/>
        </w:rPr>
        <w:t>enue</w:t>
      </w:r>
      <w:r w:rsidR="009F4975" w:rsidRPr="00C23847">
        <w:rPr>
          <w:sz w:val="22"/>
        </w:rPr>
        <w:t xml:space="preserve"> outturn calculation-</w:t>
      </w:r>
      <w:r w:rsidR="00514EE0" w:rsidRPr="00C23847">
        <w:rPr>
          <w:sz w:val="22"/>
        </w:rPr>
        <w:t>Kajiado</w:t>
      </w:r>
    </w:p>
    <w:p w14:paraId="271F2337" w14:textId="3FF5F439" w:rsidR="009A4554" w:rsidRPr="00C23847" w:rsidRDefault="009F4975" w:rsidP="00CF4F79">
      <w:pPr>
        <w:pStyle w:val="ListParagraph"/>
        <w:numPr>
          <w:ilvl w:val="0"/>
          <w:numId w:val="1"/>
        </w:numPr>
        <w:spacing w:after="120"/>
        <w:contextualSpacing w:val="0"/>
        <w:rPr>
          <w:sz w:val="22"/>
        </w:rPr>
      </w:pPr>
      <w:r w:rsidRPr="00C23847">
        <w:rPr>
          <w:sz w:val="22"/>
        </w:rPr>
        <w:t xml:space="preserve">Original budget for </w:t>
      </w:r>
      <w:r w:rsidR="00514EE0" w:rsidRPr="00C23847">
        <w:rPr>
          <w:sz w:val="22"/>
        </w:rPr>
        <w:t>Kajiado</w:t>
      </w:r>
      <w:r w:rsidRPr="00C23847">
        <w:rPr>
          <w:sz w:val="22"/>
        </w:rPr>
        <w:t xml:space="preserve"> </w:t>
      </w:r>
      <w:r w:rsidR="00B423F6">
        <w:rPr>
          <w:sz w:val="22"/>
        </w:rPr>
        <w:t>c</w:t>
      </w:r>
      <w:r w:rsidRPr="00C23847">
        <w:rPr>
          <w:sz w:val="22"/>
        </w:rPr>
        <w:t xml:space="preserve">ounty government </w:t>
      </w:r>
    </w:p>
    <w:p w14:paraId="7096B20B" w14:textId="7564D288" w:rsidR="009A4554" w:rsidRPr="00890A84" w:rsidRDefault="009F4975" w:rsidP="00BA6B2B">
      <w:pPr>
        <w:pStyle w:val="Heading5"/>
      </w:pPr>
      <w:r w:rsidRPr="00890A84">
        <w:t>P</w:t>
      </w:r>
      <w:r w:rsidR="004A04CE">
        <w:t>I</w:t>
      </w:r>
      <w:r w:rsidRPr="00890A84">
        <w:t>-4</w:t>
      </w:r>
      <w:r w:rsidR="00B423F6">
        <w:t>.</w:t>
      </w:r>
      <w:r w:rsidRPr="00890A84">
        <w:t xml:space="preserve"> </w:t>
      </w:r>
      <w:r w:rsidR="00B423F6">
        <w:t>B</w:t>
      </w:r>
      <w:r w:rsidRPr="00890A84">
        <w:t xml:space="preserve">udget classification </w:t>
      </w:r>
    </w:p>
    <w:p w14:paraId="6039519F" w14:textId="109A70B0" w:rsidR="009A4554" w:rsidRPr="00C23847" w:rsidRDefault="009F4975" w:rsidP="00CF4F79">
      <w:pPr>
        <w:pStyle w:val="ListParagraph"/>
        <w:numPr>
          <w:ilvl w:val="0"/>
          <w:numId w:val="1"/>
        </w:numPr>
        <w:spacing w:after="120"/>
        <w:contextualSpacing w:val="0"/>
        <w:rPr>
          <w:sz w:val="22"/>
        </w:rPr>
      </w:pPr>
      <w:r w:rsidRPr="00C23847">
        <w:rPr>
          <w:sz w:val="22"/>
        </w:rPr>
        <w:t>2016</w:t>
      </w:r>
      <w:r w:rsidR="00B423F6">
        <w:rPr>
          <w:sz w:val="22"/>
        </w:rPr>
        <w:t>/</w:t>
      </w:r>
      <w:r w:rsidRPr="00C23847">
        <w:rPr>
          <w:sz w:val="22"/>
        </w:rPr>
        <w:t>17 budget</w:t>
      </w:r>
    </w:p>
    <w:p w14:paraId="11FD23E5" w14:textId="77777777" w:rsidR="009A4554" w:rsidRPr="00C23847" w:rsidRDefault="009F4975" w:rsidP="00CF4F79">
      <w:pPr>
        <w:pStyle w:val="ListParagraph"/>
        <w:numPr>
          <w:ilvl w:val="0"/>
          <w:numId w:val="1"/>
        </w:numPr>
        <w:spacing w:after="120"/>
        <w:contextualSpacing w:val="0"/>
        <w:rPr>
          <w:sz w:val="22"/>
        </w:rPr>
      </w:pPr>
      <w:r w:rsidRPr="00C23847">
        <w:rPr>
          <w:sz w:val="22"/>
        </w:rPr>
        <w:t>Kajiado county final budget 1415</w:t>
      </w:r>
    </w:p>
    <w:p w14:paraId="3756C795" w14:textId="77777777" w:rsidR="009A4554" w:rsidRPr="00C23847" w:rsidRDefault="009F4975" w:rsidP="00CF4F79">
      <w:pPr>
        <w:pStyle w:val="ListParagraph"/>
        <w:numPr>
          <w:ilvl w:val="0"/>
          <w:numId w:val="1"/>
        </w:numPr>
        <w:spacing w:after="120"/>
        <w:contextualSpacing w:val="0"/>
        <w:rPr>
          <w:sz w:val="22"/>
        </w:rPr>
      </w:pPr>
      <w:r w:rsidRPr="00C23847">
        <w:rPr>
          <w:sz w:val="22"/>
        </w:rPr>
        <w:t>Supplementary budget 201516</w:t>
      </w:r>
    </w:p>
    <w:p w14:paraId="17336C3C" w14:textId="3359175E" w:rsidR="009A4554" w:rsidRPr="00890A84" w:rsidRDefault="009F4975" w:rsidP="00BA6B2B">
      <w:pPr>
        <w:pStyle w:val="Heading5"/>
      </w:pPr>
      <w:r w:rsidRPr="00890A84">
        <w:t>P</w:t>
      </w:r>
      <w:r w:rsidR="004A04CE">
        <w:t>I</w:t>
      </w:r>
      <w:r w:rsidRPr="00890A84">
        <w:t>-5</w:t>
      </w:r>
      <w:r w:rsidR="00B423F6">
        <w:t>.</w:t>
      </w:r>
      <w:r w:rsidRPr="00890A84">
        <w:t xml:space="preserve"> </w:t>
      </w:r>
      <w:r w:rsidR="00B423F6">
        <w:t>B</w:t>
      </w:r>
      <w:r w:rsidRPr="00890A84">
        <w:t xml:space="preserve">udget documentation </w:t>
      </w:r>
    </w:p>
    <w:p w14:paraId="2ACBE9C1" w14:textId="72B615F8" w:rsidR="009A4554" w:rsidRPr="00C23847" w:rsidRDefault="009F4975" w:rsidP="00CF4F79">
      <w:pPr>
        <w:pStyle w:val="ListParagraph"/>
        <w:numPr>
          <w:ilvl w:val="0"/>
          <w:numId w:val="1"/>
        </w:numPr>
        <w:spacing w:after="120"/>
        <w:contextualSpacing w:val="0"/>
        <w:rPr>
          <w:sz w:val="22"/>
        </w:rPr>
      </w:pPr>
      <w:r w:rsidRPr="00C23847">
        <w:rPr>
          <w:sz w:val="22"/>
        </w:rPr>
        <w:t xml:space="preserve">County </w:t>
      </w:r>
      <w:r w:rsidR="00B423F6">
        <w:rPr>
          <w:sz w:val="22"/>
        </w:rPr>
        <w:t>B</w:t>
      </w:r>
      <w:r w:rsidRPr="00C23847">
        <w:rPr>
          <w:sz w:val="22"/>
        </w:rPr>
        <w:t xml:space="preserve">udget </w:t>
      </w:r>
      <w:r w:rsidR="00B423F6">
        <w:rPr>
          <w:sz w:val="22"/>
        </w:rPr>
        <w:t>R</w:t>
      </w:r>
      <w:r w:rsidRPr="00C23847">
        <w:rPr>
          <w:sz w:val="22"/>
        </w:rPr>
        <w:t xml:space="preserve">evenue and </w:t>
      </w:r>
      <w:r w:rsidR="00B423F6">
        <w:rPr>
          <w:sz w:val="22"/>
        </w:rPr>
        <w:t>O</w:t>
      </w:r>
      <w:r w:rsidRPr="00C23847">
        <w:rPr>
          <w:sz w:val="22"/>
        </w:rPr>
        <w:t xml:space="preserve">utlook </w:t>
      </w:r>
      <w:r w:rsidR="00B423F6">
        <w:rPr>
          <w:sz w:val="22"/>
        </w:rPr>
        <w:t>P</w:t>
      </w:r>
      <w:r w:rsidRPr="00C23847">
        <w:rPr>
          <w:sz w:val="22"/>
        </w:rPr>
        <w:t>apers</w:t>
      </w:r>
    </w:p>
    <w:p w14:paraId="6BD34E2D" w14:textId="4E75B02C" w:rsidR="009A4554" w:rsidRPr="00C23847" w:rsidRDefault="009F4975" w:rsidP="00CF4F79">
      <w:pPr>
        <w:pStyle w:val="ListParagraph"/>
        <w:numPr>
          <w:ilvl w:val="0"/>
          <w:numId w:val="1"/>
        </w:numPr>
        <w:spacing w:after="120"/>
        <w:contextualSpacing w:val="0"/>
        <w:rPr>
          <w:sz w:val="22"/>
        </w:rPr>
      </w:pPr>
      <w:r w:rsidRPr="00C23847">
        <w:rPr>
          <w:sz w:val="22"/>
        </w:rPr>
        <w:t>2013</w:t>
      </w:r>
      <w:r w:rsidR="009D494D">
        <w:rPr>
          <w:sz w:val="22"/>
        </w:rPr>
        <w:t>–</w:t>
      </w:r>
      <w:r w:rsidRPr="00C23847">
        <w:rPr>
          <w:sz w:val="22"/>
        </w:rPr>
        <w:t xml:space="preserve">14 </w:t>
      </w:r>
      <w:r w:rsidR="00514EE0" w:rsidRPr="00C23847">
        <w:rPr>
          <w:sz w:val="22"/>
        </w:rPr>
        <w:t>CBROP</w:t>
      </w:r>
      <w:r w:rsidRPr="00C23847">
        <w:rPr>
          <w:sz w:val="22"/>
        </w:rPr>
        <w:t xml:space="preserve"> final</w:t>
      </w:r>
    </w:p>
    <w:p w14:paraId="246B15FA" w14:textId="13F4632D" w:rsidR="009A4554" w:rsidRPr="00C23847" w:rsidRDefault="009F4975" w:rsidP="00CF4F79">
      <w:pPr>
        <w:pStyle w:val="ListParagraph"/>
        <w:numPr>
          <w:ilvl w:val="0"/>
          <w:numId w:val="1"/>
        </w:numPr>
        <w:spacing w:after="120"/>
        <w:contextualSpacing w:val="0"/>
        <w:rPr>
          <w:sz w:val="22"/>
        </w:rPr>
      </w:pPr>
      <w:r w:rsidRPr="00C23847">
        <w:rPr>
          <w:sz w:val="22"/>
        </w:rPr>
        <w:t>2013</w:t>
      </w:r>
      <w:r w:rsidR="009D494D">
        <w:rPr>
          <w:sz w:val="22"/>
        </w:rPr>
        <w:t>–</w:t>
      </w:r>
      <w:r w:rsidRPr="00C23847">
        <w:rPr>
          <w:sz w:val="22"/>
        </w:rPr>
        <w:t xml:space="preserve">14 </w:t>
      </w:r>
      <w:r w:rsidR="00514EE0" w:rsidRPr="00C23847">
        <w:rPr>
          <w:sz w:val="22"/>
        </w:rPr>
        <w:t>CBROP</w:t>
      </w:r>
      <w:r w:rsidRPr="00C23847">
        <w:rPr>
          <w:sz w:val="22"/>
        </w:rPr>
        <w:t xml:space="preserve"> final</w:t>
      </w:r>
    </w:p>
    <w:p w14:paraId="3B36D496" w14:textId="48E0008A" w:rsidR="009A4554" w:rsidRPr="00C23847" w:rsidRDefault="00B423F6" w:rsidP="00CF4F79">
      <w:pPr>
        <w:pStyle w:val="ListParagraph"/>
        <w:numPr>
          <w:ilvl w:val="0"/>
          <w:numId w:val="1"/>
        </w:numPr>
        <w:spacing w:after="120"/>
        <w:contextualSpacing w:val="0"/>
        <w:rPr>
          <w:sz w:val="22"/>
        </w:rPr>
      </w:pPr>
      <w:r>
        <w:rPr>
          <w:sz w:val="22"/>
        </w:rPr>
        <w:t>C</w:t>
      </w:r>
      <w:r w:rsidR="009F4975" w:rsidRPr="00C23847">
        <w:rPr>
          <w:sz w:val="22"/>
        </w:rPr>
        <w:t>B</w:t>
      </w:r>
      <w:r w:rsidRPr="00C23847">
        <w:rPr>
          <w:sz w:val="22"/>
        </w:rPr>
        <w:t>ROP</w:t>
      </w:r>
      <w:r w:rsidR="009F4975" w:rsidRPr="00C23847">
        <w:rPr>
          <w:sz w:val="22"/>
        </w:rPr>
        <w:t xml:space="preserve"> </w:t>
      </w:r>
      <w:r>
        <w:rPr>
          <w:sz w:val="22"/>
        </w:rPr>
        <w:t>20</w:t>
      </w:r>
      <w:r w:rsidR="009F4975" w:rsidRPr="00C23847">
        <w:rPr>
          <w:sz w:val="22"/>
        </w:rPr>
        <w:t>15</w:t>
      </w:r>
    </w:p>
    <w:p w14:paraId="4186643F" w14:textId="77777777" w:rsidR="009A4554" w:rsidRPr="00C23847" w:rsidRDefault="00514EE0" w:rsidP="00CF4F79">
      <w:pPr>
        <w:pStyle w:val="ListParagraph"/>
        <w:numPr>
          <w:ilvl w:val="0"/>
          <w:numId w:val="1"/>
        </w:numPr>
        <w:spacing w:after="120"/>
        <w:contextualSpacing w:val="0"/>
        <w:rPr>
          <w:sz w:val="22"/>
        </w:rPr>
      </w:pPr>
      <w:r w:rsidRPr="00C23847">
        <w:rPr>
          <w:sz w:val="22"/>
        </w:rPr>
        <w:t>CBROP</w:t>
      </w:r>
      <w:r w:rsidR="009F4975" w:rsidRPr="00C23847">
        <w:rPr>
          <w:sz w:val="22"/>
        </w:rPr>
        <w:t xml:space="preserve"> 2016</w:t>
      </w:r>
    </w:p>
    <w:p w14:paraId="5BC091FD" w14:textId="218D6B00" w:rsidR="009A4554" w:rsidRPr="00C23847" w:rsidRDefault="009F4975" w:rsidP="00CF4F79">
      <w:pPr>
        <w:pStyle w:val="ListParagraph"/>
        <w:numPr>
          <w:ilvl w:val="0"/>
          <w:numId w:val="1"/>
        </w:numPr>
        <w:spacing w:after="120"/>
        <w:contextualSpacing w:val="0"/>
        <w:rPr>
          <w:sz w:val="22"/>
        </w:rPr>
      </w:pPr>
      <w:r w:rsidRPr="00C23847">
        <w:rPr>
          <w:sz w:val="22"/>
        </w:rPr>
        <w:t xml:space="preserve">Original budget for </w:t>
      </w:r>
      <w:r w:rsidR="00514EE0" w:rsidRPr="00C23847">
        <w:rPr>
          <w:sz w:val="22"/>
        </w:rPr>
        <w:t>Kajiado</w:t>
      </w:r>
      <w:r w:rsidRPr="00C23847">
        <w:rPr>
          <w:sz w:val="22"/>
        </w:rPr>
        <w:t xml:space="preserve"> </w:t>
      </w:r>
      <w:r w:rsidR="00B423F6">
        <w:rPr>
          <w:sz w:val="22"/>
        </w:rPr>
        <w:t>c</w:t>
      </w:r>
      <w:r w:rsidRPr="00C23847">
        <w:rPr>
          <w:sz w:val="22"/>
        </w:rPr>
        <w:t>ounty government</w:t>
      </w:r>
    </w:p>
    <w:p w14:paraId="05AD6D3B" w14:textId="66A6A05E" w:rsidR="009A4554" w:rsidRPr="00C23847" w:rsidRDefault="009F4975" w:rsidP="00CF4F79">
      <w:pPr>
        <w:pStyle w:val="ListParagraph"/>
        <w:numPr>
          <w:ilvl w:val="0"/>
          <w:numId w:val="1"/>
        </w:numPr>
        <w:spacing w:after="120"/>
        <w:contextualSpacing w:val="0"/>
        <w:rPr>
          <w:sz w:val="22"/>
        </w:rPr>
      </w:pPr>
      <w:r w:rsidRPr="00C23847">
        <w:rPr>
          <w:sz w:val="22"/>
        </w:rPr>
        <w:t xml:space="preserve">Original budget for </w:t>
      </w:r>
      <w:r w:rsidR="00514EE0" w:rsidRPr="00C23847">
        <w:rPr>
          <w:sz w:val="22"/>
        </w:rPr>
        <w:t>Kajiado</w:t>
      </w:r>
      <w:r w:rsidRPr="00C23847">
        <w:rPr>
          <w:sz w:val="22"/>
        </w:rPr>
        <w:t xml:space="preserve"> </w:t>
      </w:r>
      <w:r w:rsidR="00B423F6">
        <w:rPr>
          <w:sz w:val="22"/>
        </w:rPr>
        <w:t>c</w:t>
      </w:r>
      <w:r w:rsidRPr="00C23847">
        <w:rPr>
          <w:sz w:val="22"/>
        </w:rPr>
        <w:t>ounty government 2013</w:t>
      </w:r>
      <w:r w:rsidR="00B423F6">
        <w:rPr>
          <w:sz w:val="22"/>
        </w:rPr>
        <w:t>/</w:t>
      </w:r>
      <w:r w:rsidRPr="00C23847">
        <w:rPr>
          <w:sz w:val="22"/>
        </w:rPr>
        <w:t>14</w:t>
      </w:r>
    </w:p>
    <w:p w14:paraId="69442D7F" w14:textId="760C2DA8" w:rsidR="009A4554" w:rsidRPr="00C23847" w:rsidRDefault="009F4975" w:rsidP="00CF4F79">
      <w:pPr>
        <w:pStyle w:val="ListParagraph"/>
        <w:numPr>
          <w:ilvl w:val="0"/>
          <w:numId w:val="1"/>
        </w:numPr>
        <w:spacing w:after="120"/>
        <w:contextualSpacing w:val="0"/>
        <w:rPr>
          <w:sz w:val="22"/>
        </w:rPr>
      </w:pPr>
      <w:r w:rsidRPr="00C23847">
        <w:rPr>
          <w:sz w:val="22"/>
        </w:rPr>
        <w:t xml:space="preserve">Original budget for </w:t>
      </w:r>
      <w:r w:rsidR="00514EE0" w:rsidRPr="00C23847">
        <w:rPr>
          <w:sz w:val="22"/>
        </w:rPr>
        <w:t>Kajiado</w:t>
      </w:r>
      <w:r w:rsidRPr="00C23847">
        <w:rPr>
          <w:sz w:val="22"/>
        </w:rPr>
        <w:t xml:space="preserve"> </w:t>
      </w:r>
      <w:r w:rsidR="00B423F6">
        <w:rPr>
          <w:sz w:val="22"/>
        </w:rPr>
        <w:t>c</w:t>
      </w:r>
      <w:r w:rsidRPr="00C23847">
        <w:rPr>
          <w:sz w:val="22"/>
        </w:rPr>
        <w:t>ounty government 2014</w:t>
      </w:r>
      <w:r w:rsidR="00B423F6">
        <w:rPr>
          <w:sz w:val="22"/>
        </w:rPr>
        <w:t>/</w:t>
      </w:r>
      <w:r w:rsidRPr="00C23847">
        <w:rPr>
          <w:sz w:val="22"/>
        </w:rPr>
        <w:t>15</w:t>
      </w:r>
    </w:p>
    <w:p w14:paraId="779262C2" w14:textId="62C67967" w:rsidR="009A4554" w:rsidRPr="00C23847" w:rsidRDefault="009F4975" w:rsidP="00CF4F79">
      <w:pPr>
        <w:pStyle w:val="ListParagraph"/>
        <w:numPr>
          <w:ilvl w:val="0"/>
          <w:numId w:val="1"/>
        </w:numPr>
        <w:spacing w:after="120"/>
        <w:contextualSpacing w:val="0"/>
        <w:rPr>
          <w:sz w:val="22"/>
        </w:rPr>
      </w:pPr>
      <w:r w:rsidRPr="00C23847">
        <w:rPr>
          <w:sz w:val="22"/>
        </w:rPr>
        <w:t xml:space="preserve">Original budget for </w:t>
      </w:r>
      <w:r w:rsidR="00514EE0" w:rsidRPr="00C23847">
        <w:rPr>
          <w:sz w:val="22"/>
        </w:rPr>
        <w:t>Kajiado</w:t>
      </w:r>
      <w:r w:rsidRPr="00C23847">
        <w:rPr>
          <w:sz w:val="22"/>
        </w:rPr>
        <w:t xml:space="preserve"> </w:t>
      </w:r>
      <w:r w:rsidR="00B423F6">
        <w:rPr>
          <w:sz w:val="22"/>
        </w:rPr>
        <w:t>c</w:t>
      </w:r>
      <w:r w:rsidRPr="00C23847">
        <w:rPr>
          <w:sz w:val="22"/>
        </w:rPr>
        <w:t>ounty government 2015</w:t>
      </w:r>
      <w:r w:rsidR="00B423F6">
        <w:rPr>
          <w:sz w:val="22"/>
        </w:rPr>
        <w:t>/</w:t>
      </w:r>
      <w:r w:rsidRPr="00C23847">
        <w:rPr>
          <w:sz w:val="22"/>
        </w:rPr>
        <w:t>16</w:t>
      </w:r>
    </w:p>
    <w:p w14:paraId="45E3B5D2" w14:textId="732C5A5A" w:rsidR="009A4554" w:rsidRPr="00C23847" w:rsidRDefault="009F4975" w:rsidP="00CF4F79">
      <w:pPr>
        <w:pStyle w:val="ListParagraph"/>
        <w:numPr>
          <w:ilvl w:val="0"/>
          <w:numId w:val="1"/>
        </w:numPr>
        <w:spacing w:after="120"/>
        <w:contextualSpacing w:val="0"/>
        <w:rPr>
          <w:sz w:val="22"/>
        </w:rPr>
      </w:pPr>
      <w:r w:rsidRPr="00C23847">
        <w:rPr>
          <w:sz w:val="22"/>
        </w:rPr>
        <w:t>2013</w:t>
      </w:r>
      <w:r w:rsidR="00B423F6">
        <w:rPr>
          <w:sz w:val="22"/>
        </w:rPr>
        <w:t>–</w:t>
      </w:r>
      <w:r w:rsidRPr="00C23847">
        <w:rPr>
          <w:sz w:val="22"/>
        </w:rPr>
        <w:t xml:space="preserve">14 </w:t>
      </w:r>
      <w:r w:rsidR="00514EE0" w:rsidRPr="00C23847">
        <w:rPr>
          <w:sz w:val="22"/>
        </w:rPr>
        <w:t>CBROP</w:t>
      </w:r>
      <w:r w:rsidRPr="00C23847">
        <w:rPr>
          <w:sz w:val="22"/>
        </w:rPr>
        <w:t xml:space="preserve"> final</w:t>
      </w:r>
    </w:p>
    <w:p w14:paraId="4BC3112E" w14:textId="55333C69" w:rsidR="009A4554" w:rsidRPr="00C23847" w:rsidRDefault="009F4975" w:rsidP="00CF4F79">
      <w:pPr>
        <w:pStyle w:val="ListParagraph"/>
        <w:numPr>
          <w:ilvl w:val="0"/>
          <w:numId w:val="1"/>
        </w:numPr>
        <w:spacing w:after="120"/>
        <w:contextualSpacing w:val="0"/>
        <w:rPr>
          <w:sz w:val="22"/>
        </w:rPr>
      </w:pPr>
      <w:r w:rsidRPr="00C23847">
        <w:rPr>
          <w:sz w:val="22"/>
        </w:rPr>
        <w:t>2016</w:t>
      </w:r>
      <w:r w:rsidR="00B423F6">
        <w:rPr>
          <w:sz w:val="22"/>
        </w:rPr>
        <w:t>–</w:t>
      </w:r>
      <w:r w:rsidRPr="00C23847">
        <w:rPr>
          <w:sz w:val="22"/>
        </w:rPr>
        <w:t>17 budget</w:t>
      </w:r>
    </w:p>
    <w:p w14:paraId="1576EE07" w14:textId="63E05ECC" w:rsidR="009A4554" w:rsidRPr="00C23847" w:rsidRDefault="009F4975" w:rsidP="00CF4F79">
      <w:pPr>
        <w:pStyle w:val="ListParagraph"/>
        <w:numPr>
          <w:ilvl w:val="0"/>
          <w:numId w:val="1"/>
        </w:numPr>
        <w:spacing w:after="120"/>
        <w:contextualSpacing w:val="0"/>
        <w:rPr>
          <w:sz w:val="22"/>
        </w:rPr>
      </w:pPr>
      <w:r w:rsidRPr="00C23847">
        <w:rPr>
          <w:sz w:val="22"/>
        </w:rPr>
        <w:t xml:space="preserve">Annual </w:t>
      </w:r>
      <w:r w:rsidR="00B423F6">
        <w:rPr>
          <w:sz w:val="22"/>
        </w:rPr>
        <w:t>D</w:t>
      </w:r>
      <w:r w:rsidRPr="00C23847">
        <w:rPr>
          <w:sz w:val="22"/>
        </w:rPr>
        <w:t xml:space="preserve">evelopment </w:t>
      </w:r>
      <w:r w:rsidR="00B423F6">
        <w:rPr>
          <w:sz w:val="22"/>
        </w:rPr>
        <w:t>P</w:t>
      </w:r>
      <w:r w:rsidRPr="00C23847">
        <w:rPr>
          <w:sz w:val="22"/>
        </w:rPr>
        <w:t xml:space="preserve">lan </w:t>
      </w:r>
      <w:r w:rsidR="00B423F6">
        <w:rPr>
          <w:sz w:val="22"/>
        </w:rPr>
        <w:t>20</w:t>
      </w:r>
      <w:r w:rsidRPr="00C23847">
        <w:rPr>
          <w:sz w:val="22"/>
        </w:rPr>
        <w:t>16</w:t>
      </w:r>
      <w:r w:rsidR="00B423F6">
        <w:rPr>
          <w:sz w:val="22"/>
        </w:rPr>
        <w:t>–</w:t>
      </w:r>
      <w:r w:rsidRPr="00C23847">
        <w:rPr>
          <w:sz w:val="22"/>
        </w:rPr>
        <w:t>17 final</w:t>
      </w:r>
    </w:p>
    <w:p w14:paraId="0E962DA1" w14:textId="200B0DFC" w:rsidR="009A4554" w:rsidRPr="00C23847" w:rsidRDefault="009F4975" w:rsidP="00CF4F79">
      <w:pPr>
        <w:pStyle w:val="ListParagraph"/>
        <w:numPr>
          <w:ilvl w:val="0"/>
          <w:numId w:val="1"/>
        </w:numPr>
        <w:spacing w:after="120"/>
        <w:contextualSpacing w:val="0"/>
        <w:rPr>
          <w:sz w:val="22"/>
        </w:rPr>
      </w:pPr>
      <w:r w:rsidRPr="00C23847">
        <w:rPr>
          <w:sz w:val="22"/>
        </w:rPr>
        <w:t xml:space="preserve">Annual </w:t>
      </w:r>
      <w:r w:rsidR="00B423F6">
        <w:rPr>
          <w:sz w:val="22"/>
        </w:rPr>
        <w:t>D</w:t>
      </w:r>
      <w:r w:rsidRPr="00C23847">
        <w:rPr>
          <w:sz w:val="22"/>
        </w:rPr>
        <w:t xml:space="preserve">evelopment </w:t>
      </w:r>
      <w:r w:rsidR="00B423F6">
        <w:rPr>
          <w:sz w:val="22"/>
        </w:rPr>
        <w:t>P</w:t>
      </w:r>
      <w:r w:rsidRPr="00C23847">
        <w:rPr>
          <w:sz w:val="22"/>
        </w:rPr>
        <w:t>lan 2015</w:t>
      </w:r>
      <w:r w:rsidR="00B423F6">
        <w:rPr>
          <w:sz w:val="22"/>
        </w:rPr>
        <w:t>–</w:t>
      </w:r>
      <w:r w:rsidRPr="00C23847">
        <w:rPr>
          <w:sz w:val="22"/>
        </w:rPr>
        <w:t>16</w:t>
      </w:r>
      <w:r w:rsidR="00B423F6">
        <w:rPr>
          <w:sz w:val="22"/>
        </w:rPr>
        <w:t xml:space="preserve"> </w:t>
      </w:r>
      <w:r w:rsidRPr="00C23847">
        <w:rPr>
          <w:sz w:val="22"/>
        </w:rPr>
        <w:t>final</w:t>
      </w:r>
    </w:p>
    <w:p w14:paraId="32613DF9" w14:textId="6AC6B2C9" w:rsidR="009A4554" w:rsidRPr="00C23847" w:rsidRDefault="00B423F6" w:rsidP="00CF4F79">
      <w:pPr>
        <w:pStyle w:val="ListParagraph"/>
        <w:numPr>
          <w:ilvl w:val="0"/>
          <w:numId w:val="1"/>
        </w:numPr>
        <w:spacing w:after="120"/>
        <w:contextualSpacing w:val="0"/>
        <w:rPr>
          <w:sz w:val="22"/>
        </w:rPr>
      </w:pPr>
      <w:r>
        <w:rPr>
          <w:sz w:val="22"/>
        </w:rPr>
        <w:t>C</w:t>
      </w:r>
      <w:r w:rsidRPr="00C23847">
        <w:rPr>
          <w:sz w:val="22"/>
        </w:rPr>
        <w:t>BROP</w:t>
      </w:r>
      <w:r w:rsidR="009F4975" w:rsidRPr="00C23847">
        <w:rPr>
          <w:sz w:val="22"/>
        </w:rPr>
        <w:t xml:space="preserve"> </w:t>
      </w:r>
      <w:r w:rsidR="00472154">
        <w:rPr>
          <w:sz w:val="22"/>
        </w:rPr>
        <w:t>20</w:t>
      </w:r>
      <w:r w:rsidR="009F4975" w:rsidRPr="00C23847">
        <w:rPr>
          <w:sz w:val="22"/>
        </w:rPr>
        <w:t>15</w:t>
      </w:r>
    </w:p>
    <w:p w14:paraId="5793540B" w14:textId="77777777" w:rsidR="009A4554" w:rsidRPr="00C23847" w:rsidRDefault="00514EE0" w:rsidP="00CF4F79">
      <w:pPr>
        <w:pStyle w:val="ListParagraph"/>
        <w:numPr>
          <w:ilvl w:val="0"/>
          <w:numId w:val="1"/>
        </w:numPr>
        <w:spacing w:after="120"/>
        <w:contextualSpacing w:val="0"/>
        <w:rPr>
          <w:sz w:val="22"/>
        </w:rPr>
      </w:pPr>
      <w:r w:rsidRPr="00C23847">
        <w:rPr>
          <w:sz w:val="22"/>
        </w:rPr>
        <w:t>CBROP</w:t>
      </w:r>
      <w:r w:rsidR="009F4975" w:rsidRPr="00C23847">
        <w:rPr>
          <w:sz w:val="22"/>
        </w:rPr>
        <w:t xml:space="preserve"> 2016</w:t>
      </w:r>
    </w:p>
    <w:p w14:paraId="4A0C1AFD"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2015 </w:t>
      </w:r>
    </w:p>
    <w:p w14:paraId="7DC05E1C"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2016 </w:t>
      </w:r>
    </w:p>
    <w:p w14:paraId="5F927F80" w14:textId="4205F28C" w:rsidR="009A4554" w:rsidRPr="00C23847" w:rsidRDefault="009F4975" w:rsidP="00CF4F79">
      <w:pPr>
        <w:pStyle w:val="ListParagraph"/>
        <w:numPr>
          <w:ilvl w:val="0"/>
          <w:numId w:val="1"/>
        </w:numPr>
        <w:spacing w:after="120"/>
        <w:contextualSpacing w:val="0"/>
        <w:rPr>
          <w:sz w:val="22"/>
        </w:rPr>
      </w:pPr>
      <w:r w:rsidRPr="00C23847">
        <w:rPr>
          <w:sz w:val="22"/>
        </w:rPr>
        <w:t xml:space="preserve">Final </w:t>
      </w:r>
      <w:r w:rsidR="00514EE0" w:rsidRPr="00C23847">
        <w:rPr>
          <w:sz w:val="22"/>
        </w:rPr>
        <w:t>CSFP</w:t>
      </w:r>
      <w:r w:rsidRPr="00C23847">
        <w:rPr>
          <w:sz w:val="22"/>
        </w:rPr>
        <w:t xml:space="preserve"> 2016</w:t>
      </w:r>
      <w:r w:rsidR="00B423F6">
        <w:rPr>
          <w:sz w:val="22"/>
        </w:rPr>
        <w:t>/</w:t>
      </w:r>
      <w:r w:rsidRPr="00C23847">
        <w:rPr>
          <w:sz w:val="22"/>
        </w:rPr>
        <w:t xml:space="preserve">17 </w:t>
      </w:r>
    </w:p>
    <w:p w14:paraId="2E9DA1C3" w14:textId="00730069" w:rsidR="009A4554" w:rsidRPr="00C23847" w:rsidRDefault="009F4975" w:rsidP="00CF4F79">
      <w:pPr>
        <w:pStyle w:val="ListParagraph"/>
        <w:numPr>
          <w:ilvl w:val="0"/>
          <w:numId w:val="1"/>
        </w:numPr>
        <w:spacing w:after="120"/>
        <w:contextualSpacing w:val="0"/>
        <w:rPr>
          <w:sz w:val="22"/>
        </w:rPr>
      </w:pPr>
      <w:r w:rsidRPr="00C23847">
        <w:rPr>
          <w:sz w:val="22"/>
        </w:rPr>
        <w:t>Kajiado</w:t>
      </w:r>
      <w:r w:rsidR="00B423F6">
        <w:rPr>
          <w:sz w:val="22"/>
        </w:rPr>
        <w:t xml:space="preserve"> </w:t>
      </w:r>
      <w:r w:rsidR="00514EE0" w:rsidRPr="00C23847">
        <w:rPr>
          <w:sz w:val="22"/>
        </w:rPr>
        <w:t>CSFP</w:t>
      </w:r>
      <w:r w:rsidRPr="00C23847">
        <w:rPr>
          <w:sz w:val="22"/>
        </w:rPr>
        <w:t xml:space="preserve"> 2014 final</w:t>
      </w:r>
    </w:p>
    <w:p w14:paraId="70539166" w14:textId="48B70911" w:rsidR="009A4554" w:rsidRPr="00C23847" w:rsidRDefault="009F4975" w:rsidP="00CF4F79">
      <w:pPr>
        <w:pStyle w:val="ListParagraph"/>
        <w:numPr>
          <w:ilvl w:val="0"/>
          <w:numId w:val="1"/>
        </w:numPr>
        <w:spacing w:after="120"/>
        <w:contextualSpacing w:val="0"/>
        <w:rPr>
          <w:sz w:val="22"/>
        </w:rPr>
      </w:pPr>
      <w:r w:rsidRPr="00C23847">
        <w:rPr>
          <w:sz w:val="22"/>
        </w:rPr>
        <w:t xml:space="preserve">Kajiado county final budget </w:t>
      </w:r>
      <w:r w:rsidR="00B423F6">
        <w:rPr>
          <w:sz w:val="22"/>
        </w:rPr>
        <w:t>20</w:t>
      </w:r>
      <w:r w:rsidRPr="00C23847">
        <w:rPr>
          <w:sz w:val="22"/>
        </w:rPr>
        <w:t>14</w:t>
      </w:r>
      <w:r w:rsidR="00B423F6">
        <w:rPr>
          <w:sz w:val="22"/>
        </w:rPr>
        <w:t>/</w:t>
      </w:r>
      <w:r w:rsidRPr="00C23847">
        <w:rPr>
          <w:sz w:val="22"/>
        </w:rPr>
        <w:t>15</w:t>
      </w:r>
    </w:p>
    <w:p w14:paraId="50FDF4E8" w14:textId="30E3BE33" w:rsidR="009A4554" w:rsidRPr="00C23847" w:rsidRDefault="009F4975" w:rsidP="00CF4F79">
      <w:pPr>
        <w:pStyle w:val="ListParagraph"/>
        <w:numPr>
          <w:ilvl w:val="0"/>
          <w:numId w:val="1"/>
        </w:numPr>
        <w:spacing w:after="120"/>
        <w:contextualSpacing w:val="0"/>
        <w:rPr>
          <w:sz w:val="22"/>
        </w:rPr>
      </w:pPr>
      <w:r w:rsidRPr="00C23847">
        <w:rPr>
          <w:sz w:val="22"/>
        </w:rPr>
        <w:t>Supplementary budget 2015</w:t>
      </w:r>
      <w:r w:rsidR="00B423F6">
        <w:rPr>
          <w:sz w:val="22"/>
        </w:rPr>
        <w:t>/</w:t>
      </w:r>
      <w:r w:rsidRPr="00C23847">
        <w:rPr>
          <w:sz w:val="22"/>
        </w:rPr>
        <w:t>16</w:t>
      </w:r>
    </w:p>
    <w:p w14:paraId="39A9560D" w14:textId="5005FC1F" w:rsidR="009A4554" w:rsidRPr="00890A84" w:rsidRDefault="009F4975" w:rsidP="00BA6B2B">
      <w:pPr>
        <w:pStyle w:val="Heading5"/>
      </w:pPr>
      <w:r w:rsidRPr="00890A84">
        <w:t>P</w:t>
      </w:r>
      <w:r w:rsidR="004A04CE">
        <w:t>I</w:t>
      </w:r>
      <w:r w:rsidRPr="00890A84">
        <w:t>-6</w:t>
      </w:r>
      <w:r w:rsidR="00B423F6">
        <w:t>.</w:t>
      </w:r>
      <w:r w:rsidRPr="00890A84">
        <w:t xml:space="preserve"> </w:t>
      </w:r>
      <w:r w:rsidR="00B423F6">
        <w:t>C</w:t>
      </w:r>
      <w:r w:rsidRPr="00890A84">
        <w:t>ounty government operations outside financial reports</w:t>
      </w:r>
      <w:r w:rsidR="00514EE0" w:rsidRPr="00890A84">
        <w:t>(M2)</w:t>
      </w:r>
    </w:p>
    <w:p w14:paraId="30570E89" w14:textId="5306B4D2" w:rsidR="009A4554" w:rsidRPr="00C23847" w:rsidRDefault="009F4975" w:rsidP="00CF4F79">
      <w:pPr>
        <w:pStyle w:val="ListParagraph"/>
        <w:numPr>
          <w:ilvl w:val="0"/>
          <w:numId w:val="1"/>
        </w:numPr>
        <w:spacing w:after="120"/>
        <w:contextualSpacing w:val="0"/>
        <w:rPr>
          <w:sz w:val="22"/>
        </w:rPr>
      </w:pPr>
      <w:r w:rsidRPr="00C23847">
        <w:rPr>
          <w:sz w:val="22"/>
        </w:rPr>
        <w:t>2016</w:t>
      </w:r>
      <w:r w:rsidR="00456628">
        <w:rPr>
          <w:sz w:val="22"/>
        </w:rPr>
        <w:t>/</w:t>
      </w:r>
      <w:r w:rsidRPr="00C23847">
        <w:rPr>
          <w:sz w:val="22"/>
        </w:rPr>
        <w:t>17 budget</w:t>
      </w:r>
    </w:p>
    <w:p w14:paraId="16D56122" w14:textId="584AF0C1" w:rsidR="009A4554" w:rsidRPr="00C23847" w:rsidRDefault="009F4975" w:rsidP="00CF4F79">
      <w:pPr>
        <w:pStyle w:val="ListParagraph"/>
        <w:numPr>
          <w:ilvl w:val="0"/>
          <w:numId w:val="1"/>
        </w:numPr>
        <w:spacing w:after="120"/>
        <w:contextualSpacing w:val="0"/>
        <w:rPr>
          <w:sz w:val="22"/>
        </w:rPr>
      </w:pPr>
      <w:r w:rsidRPr="00C23847">
        <w:rPr>
          <w:sz w:val="22"/>
        </w:rPr>
        <w:t xml:space="preserve">Kajiado county final budget </w:t>
      </w:r>
      <w:r w:rsidR="00456628">
        <w:rPr>
          <w:sz w:val="22"/>
        </w:rPr>
        <w:t>20</w:t>
      </w:r>
      <w:r w:rsidRPr="00C23847">
        <w:rPr>
          <w:sz w:val="22"/>
        </w:rPr>
        <w:t>14</w:t>
      </w:r>
      <w:r w:rsidR="00456628">
        <w:rPr>
          <w:sz w:val="22"/>
        </w:rPr>
        <w:t>/</w:t>
      </w:r>
      <w:r w:rsidRPr="00C23847">
        <w:rPr>
          <w:sz w:val="22"/>
        </w:rPr>
        <w:t>15</w:t>
      </w:r>
    </w:p>
    <w:p w14:paraId="12FC1425" w14:textId="4E02FBA5" w:rsidR="009A4554" w:rsidRPr="00C23847" w:rsidRDefault="009F4975" w:rsidP="00CF4F79">
      <w:pPr>
        <w:pStyle w:val="ListParagraph"/>
        <w:numPr>
          <w:ilvl w:val="0"/>
          <w:numId w:val="1"/>
        </w:numPr>
        <w:spacing w:after="120"/>
        <w:contextualSpacing w:val="0"/>
        <w:rPr>
          <w:sz w:val="22"/>
        </w:rPr>
      </w:pPr>
      <w:r w:rsidRPr="00C23847">
        <w:rPr>
          <w:sz w:val="22"/>
        </w:rPr>
        <w:t>Supplementary budget 2015</w:t>
      </w:r>
      <w:r w:rsidR="00456628">
        <w:rPr>
          <w:sz w:val="22"/>
        </w:rPr>
        <w:t>/</w:t>
      </w:r>
      <w:r w:rsidRPr="00C23847">
        <w:rPr>
          <w:sz w:val="22"/>
        </w:rPr>
        <w:t>16</w:t>
      </w:r>
    </w:p>
    <w:p w14:paraId="6B9D8B28" w14:textId="43D7677E" w:rsidR="009A4554" w:rsidRPr="00890A84" w:rsidRDefault="009F4975" w:rsidP="00BA6B2B">
      <w:pPr>
        <w:pStyle w:val="Heading5"/>
      </w:pPr>
      <w:r w:rsidRPr="00890A84">
        <w:t>P</w:t>
      </w:r>
      <w:r w:rsidR="004A04CE">
        <w:t>I</w:t>
      </w:r>
      <w:r w:rsidRPr="00890A84">
        <w:t>-7</w:t>
      </w:r>
      <w:r w:rsidR="00456628">
        <w:t>.</w:t>
      </w:r>
      <w:r w:rsidRPr="00890A84">
        <w:t xml:space="preserve"> </w:t>
      </w:r>
      <w:r w:rsidR="00456628">
        <w:t>T</w:t>
      </w:r>
      <w:r w:rsidRPr="00890A84">
        <w:t>ransfers to sub</w:t>
      </w:r>
      <w:r w:rsidR="00456628">
        <w:t>n</w:t>
      </w:r>
      <w:r w:rsidR="00607B97">
        <w:t xml:space="preserve">ational </w:t>
      </w:r>
      <w:r w:rsidR="00456628">
        <w:t>g</w:t>
      </w:r>
      <w:r w:rsidR="00607B97">
        <w:t>overnment</w:t>
      </w:r>
      <w:r w:rsidRPr="00890A84">
        <w:t xml:space="preserve">s </w:t>
      </w:r>
    </w:p>
    <w:p w14:paraId="15F074D2" w14:textId="4864BF00" w:rsidR="009A4554" w:rsidRPr="00890A84" w:rsidRDefault="009F4975" w:rsidP="00BA6B2B">
      <w:pPr>
        <w:pStyle w:val="Heading5"/>
      </w:pPr>
      <w:r w:rsidRPr="00890A84">
        <w:t>P</w:t>
      </w:r>
      <w:r w:rsidR="004A04CE">
        <w:t>I</w:t>
      </w:r>
      <w:r w:rsidRPr="00890A84">
        <w:t>-8</w:t>
      </w:r>
      <w:r w:rsidR="00456628">
        <w:t>.</w:t>
      </w:r>
      <w:r w:rsidRPr="00890A84">
        <w:t xml:space="preserve"> </w:t>
      </w:r>
      <w:r w:rsidR="00456628">
        <w:t>P</w:t>
      </w:r>
      <w:r w:rsidRPr="00890A84">
        <w:t>erformance information for service delivery</w:t>
      </w:r>
      <w:r w:rsidR="00514EE0" w:rsidRPr="00890A84">
        <w:t>(M2)</w:t>
      </w:r>
    </w:p>
    <w:p w14:paraId="44BE565C" w14:textId="4D03271C" w:rsidR="009A4554" w:rsidRPr="00C23847" w:rsidRDefault="009F4975" w:rsidP="00CF4F79">
      <w:pPr>
        <w:pStyle w:val="ListParagraph"/>
        <w:numPr>
          <w:ilvl w:val="0"/>
          <w:numId w:val="1"/>
        </w:numPr>
        <w:spacing w:after="120"/>
        <w:contextualSpacing w:val="0"/>
        <w:rPr>
          <w:sz w:val="22"/>
        </w:rPr>
      </w:pPr>
      <w:r w:rsidRPr="00C23847">
        <w:rPr>
          <w:sz w:val="22"/>
        </w:rPr>
        <w:t>2016</w:t>
      </w:r>
      <w:r w:rsidR="00456628">
        <w:rPr>
          <w:sz w:val="22"/>
        </w:rPr>
        <w:t>/</w:t>
      </w:r>
      <w:r w:rsidRPr="00C23847">
        <w:rPr>
          <w:sz w:val="22"/>
        </w:rPr>
        <w:t>17 budget</w:t>
      </w:r>
    </w:p>
    <w:p w14:paraId="5503D87E" w14:textId="01288EF2" w:rsidR="009A4554" w:rsidRPr="00C23847" w:rsidRDefault="009F4975" w:rsidP="00CF4F79">
      <w:pPr>
        <w:pStyle w:val="ListParagraph"/>
        <w:numPr>
          <w:ilvl w:val="0"/>
          <w:numId w:val="1"/>
        </w:numPr>
        <w:spacing w:after="120"/>
        <w:contextualSpacing w:val="0"/>
        <w:rPr>
          <w:sz w:val="22"/>
        </w:rPr>
      </w:pPr>
      <w:r w:rsidRPr="00C23847">
        <w:rPr>
          <w:sz w:val="22"/>
        </w:rPr>
        <w:t xml:space="preserve">Annual </w:t>
      </w:r>
      <w:r w:rsidR="00456628">
        <w:rPr>
          <w:sz w:val="22"/>
        </w:rPr>
        <w:t>D</w:t>
      </w:r>
      <w:r w:rsidRPr="00C23847">
        <w:rPr>
          <w:sz w:val="22"/>
        </w:rPr>
        <w:t xml:space="preserve">evelopment </w:t>
      </w:r>
      <w:r w:rsidR="00456628">
        <w:rPr>
          <w:sz w:val="22"/>
        </w:rPr>
        <w:t>P</w:t>
      </w:r>
      <w:r w:rsidRPr="00C23847">
        <w:rPr>
          <w:sz w:val="22"/>
        </w:rPr>
        <w:t xml:space="preserve">lan </w:t>
      </w:r>
      <w:r w:rsidR="00456628">
        <w:rPr>
          <w:sz w:val="22"/>
        </w:rPr>
        <w:t>20</w:t>
      </w:r>
      <w:r w:rsidRPr="00C23847">
        <w:rPr>
          <w:sz w:val="22"/>
        </w:rPr>
        <w:t>16</w:t>
      </w:r>
      <w:r w:rsidR="00456628">
        <w:rPr>
          <w:sz w:val="22"/>
        </w:rPr>
        <w:t>–</w:t>
      </w:r>
      <w:r w:rsidRPr="00C23847">
        <w:rPr>
          <w:sz w:val="22"/>
        </w:rPr>
        <w:t>17 final</w:t>
      </w:r>
    </w:p>
    <w:p w14:paraId="0F954825" w14:textId="140B4E1B" w:rsidR="009A4554" w:rsidRPr="00C23847" w:rsidRDefault="009F4975" w:rsidP="00CF4F79">
      <w:pPr>
        <w:pStyle w:val="ListParagraph"/>
        <w:numPr>
          <w:ilvl w:val="0"/>
          <w:numId w:val="1"/>
        </w:numPr>
        <w:spacing w:after="120"/>
        <w:contextualSpacing w:val="0"/>
        <w:rPr>
          <w:sz w:val="22"/>
        </w:rPr>
      </w:pPr>
      <w:r w:rsidRPr="00C23847">
        <w:rPr>
          <w:sz w:val="22"/>
        </w:rPr>
        <w:t xml:space="preserve">Annual </w:t>
      </w:r>
      <w:r w:rsidR="00085387">
        <w:rPr>
          <w:sz w:val="22"/>
        </w:rPr>
        <w:t>D</w:t>
      </w:r>
      <w:r w:rsidRPr="00C23847">
        <w:rPr>
          <w:sz w:val="22"/>
        </w:rPr>
        <w:t xml:space="preserve">evelopment </w:t>
      </w:r>
      <w:r w:rsidR="00085387">
        <w:rPr>
          <w:sz w:val="22"/>
        </w:rPr>
        <w:t>P</w:t>
      </w:r>
      <w:r w:rsidRPr="00C23847">
        <w:rPr>
          <w:sz w:val="22"/>
        </w:rPr>
        <w:t>lan 2015</w:t>
      </w:r>
      <w:r w:rsidR="00085387">
        <w:rPr>
          <w:sz w:val="22"/>
        </w:rPr>
        <w:t>–</w:t>
      </w:r>
      <w:r w:rsidRPr="00C23847">
        <w:rPr>
          <w:sz w:val="22"/>
        </w:rPr>
        <w:t>16</w:t>
      </w:r>
      <w:r w:rsidR="00085387">
        <w:rPr>
          <w:sz w:val="22"/>
        </w:rPr>
        <w:t xml:space="preserve"> </w:t>
      </w:r>
      <w:r w:rsidRPr="00C23847">
        <w:rPr>
          <w:sz w:val="22"/>
        </w:rPr>
        <w:t>final</w:t>
      </w:r>
    </w:p>
    <w:p w14:paraId="6CFD7C45" w14:textId="64923414" w:rsidR="009A4554" w:rsidRPr="00C23847" w:rsidRDefault="009F4975" w:rsidP="00CF4F79">
      <w:pPr>
        <w:pStyle w:val="ListParagraph"/>
        <w:numPr>
          <w:ilvl w:val="0"/>
          <w:numId w:val="1"/>
        </w:numPr>
        <w:spacing w:after="120"/>
        <w:contextualSpacing w:val="0"/>
        <w:rPr>
          <w:sz w:val="22"/>
        </w:rPr>
      </w:pPr>
      <w:r w:rsidRPr="00C23847">
        <w:rPr>
          <w:sz w:val="22"/>
        </w:rPr>
        <w:t xml:space="preserve">Kajiado county final budget </w:t>
      </w:r>
      <w:r w:rsidR="00085387">
        <w:rPr>
          <w:sz w:val="22"/>
        </w:rPr>
        <w:t>20</w:t>
      </w:r>
      <w:r w:rsidRPr="00C23847">
        <w:rPr>
          <w:sz w:val="22"/>
        </w:rPr>
        <w:t>14</w:t>
      </w:r>
      <w:r w:rsidR="00085387">
        <w:rPr>
          <w:sz w:val="22"/>
        </w:rPr>
        <w:t>/</w:t>
      </w:r>
      <w:r w:rsidRPr="00C23847">
        <w:rPr>
          <w:sz w:val="22"/>
        </w:rPr>
        <w:t>15</w:t>
      </w:r>
    </w:p>
    <w:p w14:paraId="5395522F" w14:textId="331BBD58" w:rsidR="009A4554" w:rsidRPr="00C23847" w:rsidRDefault="009F4975" w:rsidP="00CF4F79">
      <w:pPr>
        <w:pStyle w:val="ListParagraph"/>
        <w:numPr>
          <w:ilvl w:val="0"/>
          <w:numId w:val="1"/>
        </w:numPr>
        <w:spacing w:after="120"/>
        <w:contextualSpacing w:val="0"/>
        <w:rPr>
          <w:sz w:val="22"/>
        </w:rPr>
      </w:pPr>
      <w:r w:rsidRPr="00C23847">
        <w:rPr>
          <w:sz w:val="22"/>
        </w:rPr>
        <w:t xml:space="preserve">Program </w:t>
      </w:r>
      <w:r w:rsidR="00472154" w:rsidRPr="00C23847">
        <w:rPr>
          <w:sz w:val="22"/>
        </w:rPr>
        <w:t xml:space="preserve">Performance Report </w:t>
      </w:r>
      <w:r w:rsidRPr="00C23847">
        <w:rPr>
          <w:sz w:val="22"/>
        </w:rPr>
        <w:t>for 2014</w:t>
      </w:r>
      <w:r w:rsidR="00085387">
        <w:rPr>
          <w:sz w:val="22"/>
        </w:rPr>
        <w:t>–</w:t>
      </w:r>
      <w:r w:rsidRPr="00C23847">
        <w:rPr>
          <w:sz w:val="22"/>
        </w:rPr>
        <w:t>2015 and 2015</w:t>
      </w:r>
      <w:r w:rsidR="00085387">
        <w:rPr>
          <w:sz w:val="22"/>
        </w:rPr>
        <w:t>–</w:t>
      </w:r>
      <w:r w:rsidRPr="00C23847">
        <w:rPr>
          <w:sz w:val="22"/>
        </w:rPr>
        <w:t>2016</w:t>
      </w:r>
    </w:p>
    <w:p w14:paraId="227EBD4D" w14:textId="77777777" w:rsidR="009A4554" w:rsidRPr="00C23847" w:rsidRDefault="009F4975" w:rsidP="00CF4F79">
      <w:pPr>
        <w:pStyle w:val="ListParagraph"/>
        <w:numPr>
          <w:ilvl w:val="0"/>
          <w:numId w:val="1"/>
        </w:numPr>
        <w:spacing w:after="120"/>
        <w:contextualSpacing w:val="0"/>
        <w:rPr>
          <w:sz w:val="22"/>
        </w:rPr>
      </w:pPr>
      <w:r w:rsidRPr="00C23847">
        <w:rPr>
          <w:sz w:val="22"/>
        </w:rPr>
        <w:t>Supplementary budget 2015</w:t>
      </w:r>
      <w:r w:rsidR="00514EE0" w:rsidRPr="00C23847">
        <w:rPr>
          <w:sz w:val="22"/>
        </w:rPr>
        <w:t>/</w:t>
      </w:r>
      <w:r w:rsidRPr="00C23847">
        <w:rPr>
          <w:sz w:val="22"/>
        </w:rPr>
        <w:t>16</w:t>
      </w:r>
    </w:p>
    <w:p w14:paraId="7330FFD9" w14:textId="6ED3161B" w:rsidR="009A4554" w:rsidRPr="00890A84" w:rsidRDefault="009F4975" w:rsidP="00BA6B2B">
      <w:pPr>
        <w:pStyle w:val="Heading5"/>
      </w:pPr>
      <w:r w:rsidRPr="00890A84">
        <w:t>P</w:t>
      </w:r>
      <w:r w:rsidR="004A04CE">
        <w:t>I</w:t>
      </w:r>
      <w:r w:rsidRPr="00890A84">
        <w:t>-9</w:t>
      </w:r>
      <w:r w:rsidR="00085387">
        <w:t>.</w:t>
      </w:r>
      <w:r w:rsidRPr="00890A84">
        <w:t xml:space="preserve"> </w:t>
      </w:r>
      <w:r w:rsidR="00085387">
        <w:t>P</w:t>
      </w:r>
      <w:r w:rsidRPr="00890A84">
        <w:t xml:space="preserve">ublic access to fiscal information </w:t>
      </w:r>
    </w:p>
    <w:p w14:paraId="39D40F9C" w14:textId="5BA22D69" w:rsidR="009A4554" w:rsidRPr="00C23847" w:rsidRDefault="009F4975" w:rsidP="00CF4F79">
      <w:pPr>
        <w:pStyle w:val="ListParagraph"/>
        <w:numPr>
          <w:ilvl w:val="0"/>
          <w:numId w:val="1"/>
        </w:numPr>
        <w:spacing w:after="120"/>
        <w:contextualSpacing w:val="0"/>
        <w:rPr>
          <w:sz w:val="22"/>
        </w:rPr>
      </w:pPr>
      <w:r w:rsidRPr="00C23847">
        <w:rPr>
          <w:sz w:val="22"/>
        </w:rPr>
        <w:t xml:space="preserve">Appropriation </w:t>
      </w:r>
      <w:r w:rsidR="00472154" w:rsidRPr="00C23847">
        <w:rPr>
          <w:sz w:val="22"/>
        </w:rPr>
        <w:t>A</w:t>
      </w:r>
      <w:r w:rsidRPr="00C23847">
        <w:rPr>
          <w:sz w:val="22"/>
        </w:rPr>
        <w:t>ct 2013</w:t>
      </w:r>
    </w:p>
    <w:p w14:paraId="17679D2E" w14:textId="330403CB" w:rsidR="009A4554" w:rsidRPr="00C23847" w:rsidRDefault="009F4975" w:rsidP="00CF4F79">
      <w:pPr>
        <w:pStyle w:val="ListParagraph"/>
        <w:numPr>
          <w:ilvl w:val="0"/>
          <w:numId w:val="1"/>
        </w:numPr>
        <w:spacing w:after="120"/>
        <w:contextualSpacing w:val="0"/>
        <w:rPr>
          <w:sz w:val="22"/>
        </w:rPr>
      </w:pPr>
      <w:r w:rsidRPr="00C23847">
        <w:rPr>
          <w:sz w:val="22"/>
        </w:rPr>
        <w:t xml:space="preserve">Appropriation </w:t>
      </w:r>
      <w:r w:rsidR="00CF4F79">
        <w:rPr>
          <w:sz w:val="22"/>
        </w:rPr>
        <w:t>A</w:t>
      </w:r>
      <w:r w:rsidRPr="00C23847">
        <w:rPr>
          <w:sz w:val="22"/>
        </w:rPr>
        <w:t>ct 2014</w:t>
      </w:r>
    </w:p>
    <w:p w14:paraId="7D05A874" w14:textId="3C12517F" w:rsidR="009A4554" w:rsidRPr="00C23847" w:rsidRDefault="009F4975" w:rsidP="00CF4F79">
      <w:pPr>
        <w:pStyle w:val="ListParagraph"/>
        <w:numPr>
          <w:ilvl w:val="0"/>
          <w:numId w:val="1"/>
        </w:numPr>
        <w:spacing w:after="120"/>
        <w:contextualSpacing w:val="0"/>
        <w:rPr>
          <w:sz w:val="22"/>
        </w:rPr>
      </w:pPr>
      <w:r w:rsidRPr="00C23847">
        <w:rPr>
          <w:sz w:val="22"/>
        </w:rPr>
        <w:t xml:space="preserve">Appropriation </w:t>
      </w:r>
      <w:r w:rsidR="00CF4F79">
        <w:rPr>
          <w:sz w:val="22"/>
        </w:rPr>
        <w:t>A</w:t>
      </w:r>
      <w:r w:rsidRPr="00C23847">
        <w:rPr>
          <w:sz w:val="22"/>
        </w:rPr>
        <w:t>ct 2015</w:t>
      </w:r>
    </w:p>
    <w:p w14:paraId="5D1C5390" w14:textId="4FCEC4D4" w:rsidR="009A4554" w:rsidRPr="00890A84" w:rsidRDefault="009F4975" w:rsidP="00BA6B2B">
      <w:pPr>
        <w:pStyle w:val="Heading5"/>
      </w:pPr>
      <w:r w:rsidRPr="00890A84">
        <w:t>P</w:t>
      </w:r>
      <w:r w:rsidR="004A04CE">
        <w:t>I</w:t>
      </w:r>
      <w:r w:rsidRPr="00890A84">
        <w:t>-10</w:t>
      </w:r>
      <w:r w:rsidR="00CF4F79">
        <w:t>. F</w:t>
      </w:r>
      <w:r w:rsidRPr="00890A84">
        <w:t xml:space="preserve">iscal risk reporting </w:t>
      </w:r>
      <w:r w:rsidR="00514EE0" w:rsidRPr="00890A84">
        <w:t>(M2)</w:t>
      </w:r>
    </w:p>
    <w:p w14:paraId="22BEAB08" w14:textId="77777777" w:rsidR="009A4554" w:rsidRPr="00C23847" w:rsidRDefault="009F4975" w:rsidP="00CF4F79">
      <w:pPr>
        <w:pStyle w:val="ListParagraph"/>
        <w:numPr>
          <w:ilvl w:val="0"/>
          <w:numId w:val="1"/>
        </w:numPr>
        <w:spacing w:after="120"/>
        <w:contextualSpacing w:val="0"/>
        <w:rPr>
          <w:sz w:val="22"/>
        </w:rPr>
      </w:pPr>
      <w:r w:rsidRPr="00C23847">
        <w:rPr>
          <w:sz w:val="22"/>
        </w:rPr>
        <w:t>Budgets</w:t>
      </w:r>
    </w:p>
    <w:p w14:paraId="07B42515" w14:textId="5ADE0CA3" w:rsidR="009A4554" w:rsidRPr="00C23847" w:rsidRDefault="009F4975" w:rsidP="00CF4F79">
      <w:pPr>
        <w:pStyle w:val="ListParagraph"/>
        <w:numPr>
          <w:ilvl w:val="0"/>
          <w:numId w:val="1"/>
        </w:numPr>
        <w:spacing w:after="120"/>
        <w:contextualSpacing w:val="0"/>
        <w:rPr>
          <w:sz w:val="22"/>
        </w:rPr>
      </w:pPr>
      <w:r w:rsidRPr="00C23847">
        <w:rPr>
          <w:sz w:val="22"/>
        </w:rPr>
        <w:t>2016</w:t>
      </w:r>
      <w:r w:rsidR="00CF4F79">
        <w:rPr>
          <w:sz w:val="22"/>
        </w:rPr>
        <w:t>/</w:t>
      </w:r>
      <w:r w:rsidRPr="00C23847">
        <w:rPr>
          <w:sz w:val="22"/>
        </w:rPr>
        <w:t>17 budget</w:t>
      </w:r>
    </w:p>
    <w:p w14:paraId="24FF3B92" w14:textId="4D8653DF" w:rsidR="009A4554" w:rsidRPr="00C23847" w:rsidRDefault="009F4975" w:rsidP="00CF4F79">
      <w:pPr>
        <w:pStyle w:val="ListParagraph"/>
        <w:numPr>
          <w:ilvl w:val="0"/>
          <w:numId w:val="1"/>
        </w:numPr>
        <w:spacing w:after="120"/>
        <w:contextualSpacing w:val="0"/>
        <w:rPr>
          <w:sz w:val="22"/>
        </w:rPr>
      </w:pPr>
      <w:r w:rsidRPr="00C23847">
        <w:rPr>
          <w:sz w:val="22"/>
        </w:rPr>
        <w:t xml:space="preserve">Kajiado county final budget </w:t>
      </w:r>
      <w:r w:rsidR="00CF4F79">
        <w:rPr>
          <w:sz w:val="22"/>
        </w:rPr>
        <w:t>20</w:t>
      </w:r>
      <w:r w:rsidRPr="00C23847">
        <w:rPr>
          <w:sz w:val="22"/>
        </w:rPr>
        <w:t>14</w:t>
      </w:r>
      <w:r w:rsidR="00CF4F79">
        <w:rPr>
          <w:sz w:val="22"/>
        </w:rPr>
        <w:t>/</w:t>
      </w:r>
      <w:r w:rsidRPr="00C23847">
        <w:rPr>
          <w:sz w:val="22"/>
        </w:rPr>
        <w:t>15</w:t>
      </w:r>
    </w:p>
    <w:p w14:paraId="6E9D1891" w14:textId="77777777" w:rsidR="009A4554" w:rsidRPr="00C23847" w:rsidRDefault="00514EE0" w:rsidP="00CF4F79">
      <w:pPr>
        <w:pStyle w:val="ListParagraph"/>
        <w:numPr>
          <w:ilvl w:val="0"/>
          <w:numId w:val="1"/>
        </w:numPr>
        <w:spacing w:after="120"/>
        <w:contextualSpacing w:val="0"/>
        <w:rPr>
          <w:sz w:val="22"/>
        </w:rPr>
      </w:pPr>
      <w:r w:rsidRPr="00C23847">
        <w:rPr>
          <w:sz w:val="22"/>
        </w:rPr>
        <w:t>CBROP</w:t>
      </w:r>
    </w:p>
    <w:p w14:paraId="1BC46C49" w14:textId="517390CA" w:rsidR="009A4554" w:rsidRPr="00C23847" w:rsidRDefault="00CF4F79" w:rsidP="00CF4F79">
      <w:pPr>
        <w:pStyle w:val="ListParagraph"/>
        <w:numPr>
          <w:ilvl w:val="0"/>
          <w:numId w:val="1"/>
        </w:numPr>
        <w:spacing w:after="120"/>
        <w:contextualSpacing w:val="0"/>
        <w:rPr>
          <w:sz w:val="22"/>
        </w:rPr>
      </w:pPr>
      <w:r>
        <w:rPr>
          <w:sz w:val="22"/>
        </w:rPr>
        <w:t>C</w:t>
      </w:r>
      <w:r w:rsidRPr="00C23847">
        <w:rPr>
          <w:sz w:val="22"/>
        </w:rPr>
        <w:t>BROP</w:t>
      </w:r>
      <w:r w:rsidR="009F4975" w:rsidRPr="00C23847">
        <w:rPr>
          <w:sz w:val="22"/>
        </w:rPr>
        <w:t xml:space="preserve"> </w:t>
      </w:r>
      <w:r>
        <w:rPr>
          <w:sz w:val="22"/>
        </w:rPr>
        <w:t>20</w:t>
      </w:r>
      <w:r w:rsidR="009F4975" w:rsidRPr="00C23847">
        <w:rPr>
          <w:sz w:val="22"/>
        </w:rPr>
        <w:t>15</w:t>
      </w:r>
    </w:p>
    <w:p w14:paraId="597AFEDD" w14:textId="77777777" w:rsidR="009A4554" w:rsidRPr="00C23847" w:rsidRDefault="00514EE0" w:rsidP="00CF4F79">
      <w:pPr>
        <w:pStyle w:val="ListParagraph"/>
        <w:numPr>
          <w:ilvl w:val="0"/>
          <w:numId w:val="1"/>
        </w:numPr>
        <w:spacing w:after="120"/>
        <w:contextualSpacing w:val="0"/>
        <w:rPr>
          <w:sz w:val="22"/>
        </w:rPr>
      </w:pPr>
      <w:r w:rsidRPr="00C23847">
        <w:rPr>
          <w:sz w:val="22"/>
        </w:rPr>
        <w:t>CBROP</w:t>
      </w:r>
      <w:r w:rsidR="009F4975" w:rsidRPr="00C23847">
        <w:rPr>
          <w:sz w:val="22"/>
        </w:rPr>
        <w:t xml:space="preserve"> 2016</w:t>
      </w:r>
    </w:p>
    <w:p w14:paraId="5E905606"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p>
    <w:p w14:paraId="62411A0A"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2015</w:t>
      </w:r>
    </w:p>
    <w:p w14:paraId="7690E71E"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2016</w:t>
      </w:r>
    </w:p>
    <w:p w14:paraId="2FFF62E9" w14:textId="59867969" w:rsidR="009A4554" w:rsidRPr="00C23847" w:rsidRDefault="009F4975" w:rsidP="00CF4F79">
      <w:pPr>
        <w:pStyle w:val="ListParagraph"/>
        <w:numPr>
          <w:ilvl w:val="0"/>
          <w:numId w:val="1"/>
        </w:numPr>
        <w:spacing w:after="120"/>
        <w:contextualSpacing w:val="0"/>
        <w:rPr>
          <w:sz w:val="22"/>
        </w:rPr>
      </w:pPr>
      <w:r w:rsidRPr="00C23847">
        <w:rPr>
          <w:sz w:val="22"/>
        </w:rPr>
        <w:t xml:space="preserve">Final </w:t>
      </w:r>
      <w:r w:rsidR="00514EE0" w:rsidRPr="00C23847">
        <w:rPr>
          <w:sz w:val="22"/>
        </w:rPr>
        <w:t>CSFP</w:t>
      </w:r>
      <w:r w:rsidRPr="00C23847">
        <w:rPr>
          <w:sz w:val="22"/>
        </w:rPr>
        <w:t xml:space="preserve"> 2016</w:t>
      </w:r>
      <w:r w:rsidR="00CF4F79">
        <w:rPr>
          <w:sz w:val="22"/>
        </w:rPr>
        <w:t>/</w:t>
      </w:r>
      <w:r w:rsidRPr="00C23847">
        <w:rPr>
          <w:sz w:val="22"/>
        </w:rPr>
        <w:t>17</w:t>
      </w:r>
    </w:p>
    <w:p w14:paraId="7382459B" w14:textId="1F2F25B9" w:rsidR="009A4554" w:rsidRPr="00890A84" w:rsidRDefault="009F4975" w:rsidP="00BA6B2B">
      <w:pPr>
        <w:pStyle w:val="Heading5"/>
      </w:pPr>
      <w:r w:rsidRPr="00890A84">
        <w:t>P</w:t>
      </w:r>
      <w:r w:rsidR="004A04CE">
        <w:t>I</w:t>
      </w:r>
      <w:r w:rsidRPr="00890A84">
        <w:t>-11</w:t>
      </w:r>
      <w:r w:rsidR="00CF4F79">
        <w:t>.</w:t>
      </w:r>
      <w:r w:rsidRPr="00890A84">
        <w:t xml:space="preserve"> </w:t>
      </w:r>
      <w:r w:rsidR="00CF4F79">
        <w:t>P</w:t>
      </w:r>
      <w:r w:rsidRPr="00890A84">
        <w:t>ublic investment management</w:t>
      </w:r>
      <w:r w:rsidR="00514EE0" w:rsidRPr="00890A84">
        <w:t>(M2)</w:t>
      </w:r>
    </w:p>
    <w:p w14:paraId="67B537A7" w14:textId="5DF41717" w:rsidR="009A4554" w:rsidRPr="00890A84" w:rsidRDefault="009F4975" w:rsidP="00BA6B2B">
      <w:pPr>
        <w:pStyle w:val="Heading5"/>
      </w:pPr>
      <w:r w:rsidRPr="00890A84">
        <w:t>P</w:t>
      </w:r>
      <w:r w:rsidR="004A04CE">
        <w:t>I</w:t>
      </w:r>
      <w:r w:rsidRPr="00890A84">
        <w:t>-12</w:t>
      </w:r>
      <w:r w:rsidR="00CF4F79">
        <w:t>.</w:t>
      </w:r>
      <w:r w:rsidRPr="00890A84">
        <w:t xml:space="preserve"> </w:t>
      </w:r>
      <w:r w:rsidR="00CF4F79">
        <w:t>P</w:t>
      </w:r>
      <w:r w:rsidRPr="00890A84">
        <w:t xml:space="preserve">ublic asset management </w:t>
      </w:r>
    </w:p>
    <w:p w14:paraId="2E24F4AF" w14:textId="7FEE638E" w:rsidR="009A4554" w:rsidRPr="00890A84" w:rsidRDefault="009F4975" w:rsidP="00BA6B2B">
      <w:pPr>
        <w:pStyle w:val="Heading5"/>
      </w:pPr>
      <w:r w:rsidRPr="00890A84">
        <w:t>P</w:t>
      </w:r>
      <w:r w:rsidR="004A04CE">
        <w:t>I</w:t>
      </w:r>
      <w:r w:rsidRPr="00890A84">
        <w:t>-13</w:t>
      </w:r>
      <w:r w:rsidR="00CF4F79">
        <w:t>.</w:t>
      </w:r>
      <w:r w:rsidRPr="00890A84">
        <w:t xml:space="preserve"> </w:t>
      </w:r>
      <w:r w:rsidR="00CF4F79">
        <w:t>D</w:t>
      </w:r>
      <w:r w:rsidRPr="00890A84">
        <w:t xml:space="preserve">ebt management </w:t>
      </w:r>
    </w:p>
    <w:p w14:paraId="5ACBB072" w14:textId="1019FCD1" w:rsidR="009A4554" w:rsidRPr="00C23847" w:rsidRDefault="009F4975" w:rsidP="00CF4F79">
      <w:pPr>
        <w:pStyle w:val="ListParagraph"/>
        <w:numPr>
          <w:ilvl w:val="0"/>
          <w:numId w:val="1"/>
        </w:numPr>
        <w:spacing w:after="120"/>
        <w:contextualSpacing w:val="0"/>
        <w:rPr>
          <w:sz w:val="22"/>
        </w:rPr>
      </w:pPr>
      <w:r w:rsidRPr="00C23847">
        <w:rPr>
          <w:sz w:val="22"/>
        </w:rPr>
        <w:t>2016</w:t>
      </w:r>
      <w:r w:rsidR="00CF4F79">
        <w:rPr>
          <w:sz w:val="22"/>
        </w:rPr>
        <w:t>/</w:t>
      </w:r>
      <w:r w:rsidRPr="00C23847">
        <w:rPr>
          <w:sz w:val="22"/>
        </w:rPr>
        <w:t>17 budget</w:t>
      </w:r>
    </w:p>
    <w:p w14:paraId="533CDB35" w14:textId="36794659" w:rsidR="009A4554" w:rsidRPr="00C23847" w:rsidRDefault="009F4975" w:rsidP="00CF4F79">
      <w:pPr>
        <w:pStyle w:val="ListParagraph"/>
        <w:numPr>
          <w:ilvl w:val="0"/>
          <w:numId w:val="1"/>
        </w:numPr>
        <w:spacing w:after="120"/>
        <w:contextualSpacing w:val="0"/>
        <w:rPr>
          <w:sz w:val="22"/>
        </w:rPr>
      </w:pPr>
      <w:r w:rsidRPr="00C23847">
        <w:rPr>
          <w:sz w:val="22"/>
        </w:rPr>
        <w:t xml:space="preserve">Kajiado county final budget </w:t>
      </w:r>
      <w:r w:rsidR="00CF4F79">
        <w:rPr>
          <w:sz w:val="22"/>
        </w:rPr>
        <w:t>20</w:t>
      </w:r>
      <w:r w:rsidRPr="00C23847">
        <w:rPr>
          <w:sz w:val="22"/>
        </w:rPr>
        <w:t>14</w:t>
      </w:r>
      <w:r w:rsidR="00CF4F79">
        <w:rPr>
          <w:sz w:val="22"/>
        </w:rPr>
        <w:t>/</w:t>
      </w:r>
      <w:r w:rsidRPr="00C23847">
        <w:rPr>
          <w:sz w:val="22"/>
        </w:rPr>
        <w:t>15</w:t>
      </w:r>
    </w:p>
    <w:p w14:paraId="60B25944" w14:textId="658C9600" w:rsidR="009A4554" w:rsidRPr="00C23847" w:rsidRDefault="009F4975" w:rsidP="00CF4F79">
      <w:pPr>
        <w:pStyle w:val="ListParagraph"/>
        <w:numPr>
          <w:ilvl w:val="0"/>
          <w:numId w:val="1"/>
        </w:numPr>
        <w:spacing w:after="120"/>
        <w:contextualSpacing w:val="0"/>
        <w:rPr>
          <w:sz w:val="22"/>
        </w:rPr>
      </w:pPr>
      <w:r w:rsidRPr="00C23847">
        <w:rPr>
          <w:sz w:val="22"/>
        </w:rPr>
        <w:t>Supplementary budget 2015</w:t>
      </w:r>
      <w:r w:rsidR="00CF4F79">
        <w:rPr>
          <w:sz w:val="22"/>
        </w:rPr>
        <w:t>/</w:t>
      </w:r>
      <w:r w:rsidRPr="00C23847">
        <w:rPr>
          <w:sz w:val="22"/>
        </w:rPr>
        <w:t>16</w:t>
      </w:r>
    </w:p>
    <w:p w14:paraId="35177DD0" w14:textId="7A0F0EA9" w:rsidR="009A4554" w:rsidRPr="00890A84" w:rsidRDefault="009F4975" w:rsidP="00BA6B2B">
      <w:pPr>
        <w:pStyle w:val="Heading5"/>
      </w:pPr>
      <w:r w:rsidRPr="00890A84">
        <w:t>P</w:t>
      </w:r>
      <w:r w:rsidR="004A04CE">
        <w:t>I</w:t>
      </w:r>
      <w:r w:rsidRPr="00890A84">
        <w:t>-14</w:t>
      </w:r>
      <w:r w:rsidR="00CF4F79">
        <w:t>.</w:t>
      </w:r>
      <w:r w:rsidRPr="00890A84">
        <w:t xml:space="preserve"> </w:t>
      </w:r>
      <w:r w:rsidR="00CF4F79">
        <w:t>M</w:t>
      </w:r>
      <w:r w:rsidRPr="00890A84">
        <w:t>acroeconomic and fiscal forecasting</w:t>
      </w:r>
      <w:r w:rsidR="00514EE0" w:rsidRPr="00890A84">
        <w:t>(M2)</w:t>
      </w:r>
    </w:p>
    <w:p w14:paraId="614274EB" w14:textId="77777777" w:rsidR="009A4554" w:rsidRPr="00C23847" w:rsidRDefault="009F4975" w:rsidP="00CF4F79">
      <w:pPr>
        <w:pStyle w:val="ListParagraph"/>
        <w:numPr>
          <w:ilvl w:val="0"/>
          <w:numId w:val="1"/>
        </w:numPr>
        <w:spacing w:after="120"/>
        <w:contextualSpacing w:val="0"/>
        <w:rPr>
          <w:sz w:val="22"/>
        </w:rPr>
      </w:pPr>
      <w:r w:rsidRPr="00C23847">
        <w:rPr>
          <w:sz w:val="22"/>
        </w:rPr>
        <w:t>Budgets</w:t>
      </w:r>
    </w:p>
    <w:p w14:paraId="4D8C4BD7" w14:textId="35FFA057" w:rsidR="009A4554" w:rsidRPr="00C23847" w:rsidRDefault="009F4975" w:rsidP="00CF4F79">
      <w:pPr>
        <w:pStyle w:val="ListParagraph"/>
        <w:numPr>
          <w:ilvl w:val="0"/>
          <w:numId w:val="1"/>
        </w:numPr>
        <w:spacing w:after="120"/>
        <w:contextualSpacing w:val="0"/>
        <w:rPr>
          <w:sz w:val="22"/>
        </w:rPr>
      </w:pPr>
      <w:r w:rsidRPr="00C23847">
        <w:rPr>
          <w:sz w:val="22"/>
        </w:rPr>
        <w:t>2016</w:t>
      </w:r>
      <w:r w:rsidR="00CF4F79">
        <w:rPr>
          <w:sz w:val="22"/>
        </w:rPr>
        <w:t>/</w:t>
      </w:r>
      <w:r w:rsidRPr="00C23847">
        <w:rPr>
          <w:sz w:val="22"/>
        </w:rPr>
        <w:t>17 budget</w:t>
      </w:r>
    </w:p>
    <w:p w14:paraId="1A46433C" w14:textId="744D44F6" w:rsidR="009A4554" w:rsidRPr="00C23847" w:rsidRDefault="009F4975" w:rsidP="00CF4F79">
      <w:pPr>
        <w:pStyle w:val="ListParagraph"/>
        <w:numPr>
          <w:ilvl w:val="0"/>
          <w:numId w:val="1"/>
        </w:numPr>
        <w:spacing w:after="120"/>
        <w:contextualSpacing w:val="0"/>
        <w:rPr>
          <w:sz w:val="22"/>
        </w:rPr>
      </w:pPr>
      <w:r w:rsidRPr="00C23847">
        <w:rPr>
          <w:sz w:val="22"/>
        </w:rPr>
        <w:t xml:space="preserve">Kajiado county final budget </w:t>
      </w:r>
      <w:r w:rsidR="00CF4F79">
        <w:rPr>
          <w:sz w:val="22"/>
        </w:rPr>
        <w:t>20</w:t>
      </w:r>
      <w:r w:rsidRPr="00C23847">
        <w:rPr>
          <w:sz w:val="22"/>
        </w:rPr>
        <w:t>14</w:t>
      </w:r>
      <w:r w:rsidR="00CF4F79">
        <w:rPr>
          <w:sz w:val="22"/>
        </w:rPr>
        <w:t>/</w:t>
      </w:r>
      <w:r w:rsidRPr="00C23847">
        <w:rPr>
          <w:sz w:val="22"/>
        </w:rPr>
        <w:t>15</w:t>
      </w:r>
    </w:p>
    <w:p w14:paraId="148E1D41" w14:textId="535B7C70" w:rsidR="009A4554" w:rsidRPr="00C23847" w:rsidRDefault="009F4975" w:rsidP="00CF4F79">
      <w:pPr>
        <w:pStyle w:val="ListParagraph"/>
        <w:numPr>
          <w:ilvl w:val="0"/>
          <w:numId w:val="1"/>
        </w:numPr>
        <w:spacing w:after="120"/>
        <w:contextualSpacing w:val="0"/>
        <w:rPr>
          <w:sz w:val="22"/>
        </w:rPr>
      </w:pPr>
      <w:r w:rsidRPr="00C23847">
        <w:rPr>
          <w:sz w:val="22"/>
        </w:rPr>
        <w:t>Supplementary budget 2015</w:t>
      </w:r>
      <w:r w:rsidR="00CF4F79">
        <w:rPr>
          <w:sz w:val="22"/>
        </w:rPr>
        <w:t>/</w:t>
      </w:r>
      <w:r w:rsidRPr="00C23847">
        <w:rPr>
          <w:sz w:val="22"/>
        </w:rPr>
        <w:t>16</w:t>
      </w:r>
    </w:p>
    <w:p w14:paraId="2B0512E4" w14:textId="77777777" w:rsidR="009A4554" w:rsidRPr="00C23847" w:rsidRDefault="00514EE0" w:rsidP="00CF4F79">
      <w:pPr>
        <w:pStyle w:val="ListParagraph"/>
        <w:numPr>
          <w:ilvl w:val="0"/>
          <w:numId w:val="1"/>
        </w:numPr>
        <w:spacing w:after="120"/>
        <w:contextualSpacing w:val="0"/>
        <w:rPr>
          <w:sz w:val="22"/>
        </w:rPr>
      </w:pPr>
      <w:r w:rsidRPr="00C23847">
        <w:rPr>
          <w:sz w:val="22"/>
        </w:rPr>
        <w:t>CBROP</w:t>
      </w:r>
    </w:p>
    <w:p w14:paraId="7CB28B38" w14:textId="2EB26B9F" w:rsidR="009A4554" w:rsidRPr="00C23847" w:rsidRDefault="009F4975" w:rsidP="00CF4F79">
      <w:pPr>
        <w:pStyle w:val="ListParagraph"/>
        <w:numPr>
          <w:ilvl w:val="0"/>
          <w:numId w:val="1"/>
        </w:numPr>
        <w:spacing w:after="120"/>
        <w:contextualSpacing w:val="0"/>
        <w:rPr>
          <w:sz w:val="22"/>
        </w:rPr>
      </w:pPr>
      <w:r w:rsidRPr="00C23847">
        <w:rPr>
          <w:sz w:val="22"/>
        </w:rPr>
        <w:t>2013</w:t>
      </w:r>
      <w:r w:rsidR="00472154">
        <w:rPr>
          <w:sz w:val="22"/>
        </w:rPr>
        <w:t>–</w:t>
      </w:r>
      <w:r w:rsidRPr="00C23847">
        <w:rPr>
          <w:sz w:val="22"/>
        </w:rPr>
        <w:t xml:space="preserve">14 </w:t>
      </w:r>
      <w:r w:rsidR="00514EE0" w:rsidRPr="00C23847">
        <w:rPr>
          <w:sz w:val="22"/>
        </w:rPr>
        <w:t>CBROP</w:t>
      </w:r>
      <w:r w:rsidRPr="00C23847">
        <w:rPr>
          <w:sz w:val="22"/>
        </w:rPr>
        <w:t xml:space="preserve"> final</w:t>
      </w:r>
    </w:p>
    <w:p w14:paraId="6893CDBD" w14:textId="2D979B95" w:rsidR="009A4554" w:rsidRPr="00C23847" w:rsidRDefault="00CF4F79" w:rsidP="00CF4F79">
      <w:pPr>
        <w:pStyle w:val="ListParagraph"/>
        <w:numPr>
          <w:ilvl w:val="0"/>
          <w:numId w:val="1"/>
        </w:numPr>
        <w:spacing w:after="120"/>
        <w:contextualSpacing w:val="0"/>
        <w:rPr>
          <w:sz w:val="22"/>
        </w:rPr>
      </w:pPr>
      <w:r>
        <w:rPr>
          <w:sz w:val="22"/>
        </w:rPr>
        <w:t>C</w:t>
      </w:r>
      <w:r w:rsidRPr="00C23847">
        <w:rPr>
          <w:sz w:val="22"/>
        </w:rPr>
        <w:t>BROP</w:t>
      </w:r>
      <w:r w:rsidR="009F4975" w:rsidRPr="00C23847">
        <w:rPr>
          <w:sz w:val="22"/>
        </w:rPr>
        <w:t xml:space="preserve"> </w:t>
      </w:r>
      <w:r>
        <w:rPr>
          <w:sz w:val="22"/>
        </w:rPr>
        <w:t>20</w:t>
      </w:r>
      <w:r w:rsidR="009F4975" w:rsidRPr="00C23847">
        <w:rPr>
          <w:sz w:val="22"/>
        </w:rPr>
        <w:t>15</w:t>
      </w:r>
    </w:p>
    <w:p w14:paraId="0948C92B" w14:textId="77777777" w:rsidR="009A4554" w:rsidRPr="00C23847" w:rsidRDefault="00514EE0" w:rsidP="00CF4F79">
      <w:pPr>
        <w:pStyle w:val="ListParagraph"/>
        <w:numPr>
          <w:ilvl w:val="0"/>
          <w:numId w:val="1"/>
        </w:numPr>
        <w:spacing w:after="120"/>
        <w:contextualSpacing w:val="0"/>
        <w:rPr>
          <w:sz w:val="22"/>
        </w:rPr>
      </w:pPr>
      <w:r w:rsidRPr="00C23847">
        <w:rPr>
          <w:sz w:val="22"/>
        </w:rPr>
        <w:t>CBROP</w:t>
      </w:r>
      <w:r w:rsidR="009F4975" w:rsidRPr="00C23847">
        <w:rPr>
          <w:sz w:val="22"/>
        </w:rPr>
        <w:t xml:space="preserve"> 2016</w:t>
      </w:r>
    </w:p>
    <w:p w14:paraId="485A339D"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p>
    <w:p w14:paraId="477AE254"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2015</w:t>
      </w:r>
    </w:p>
    <w:p w14:paraId="5049979E"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2016</w:t>
      </w:r>
    </w:p>
    <w:p w14:paraId="324A5FD7" w14:textId="2634DCFD" w:rsidR="009A4554" w:rsidRPr="00C23847" w:rsidRDefault="009F4975" w:rsidP="00CF4F79">
      <w:pPr>
        <w:pStyle w:val="ListParagraph"/>
        <w:numPr>
          <w:ilvl w:val="0"/>
          <w:numId w:val="1"/>
        </w:numPr>
        <w:spacing w:after="120"/>
        <w:contextualSpacing w:val="0"/>
        <w:rPr>
          <w:sz w:val="22"/>
        </w:rPr>
      </w:pPr>
      <w:r w:rsidRPr="00C23847">
        <w:rPr>
          <w:sz w:val="22"/>
        </w:rPr>
        <w:t xml:space="preserve">Final </w:t>
      </w:r>
      <w:r w:rsidR="00514EE0" w:rsidRPr="00C23847">
        <w:rPr>
          <w:sz w:val="22"/>
        </w:rPr>
        <w:t>CSFP</w:t>
      </w:r>
      <w:r w:rsidRPr="00C23847">
        <w:rPr>
          <w:sz w:val="22"/>
        </w:rPr>
        <w:t xml:space="preserve"> 2016</w:t>
      </w:r>
      <w:r w:rsidR="00CF4F79">
        <w:rPr>
          <w:sz w:val="22"/>
        </w:rPr>
        <w:t>/</w:t>
      </w:r>
      <w:r w:rsidRPr="00C23847">
        <w:rPr>
          <w:sz w:val="22"/>
        </w:rPr>
        <w:t>17</w:t>
      </w:r>
    </w:p>
    <w:p w14:paraId="6A4B93F8" w14:textId="0CDD1CD9" w:rsidR="009A4554" w:rsidRPr="00890A84" w:rsidRDefault="009F4975" w:rsidP="00BA6B2B">
      <w:pPr>
        <w:pStyle w:val="Heading5"/>
      </w:pPr>
      <w:r w:rsidRPr="00890A84">
        <w:t>P</w:t>
      </w:r>
      <w:r w:rsidR="004A04CE">
        <w:t>I</w:t>
      </w:r>
      <w:r w:rsidRPr="00890A84">
        <w:t>-15</w:t>
      </w:r>
      <w:r w:rsidR="00CF4F79">
        <w:t>.</w:t>
      </w:r>
      <w:r w:rsidRPr="00890A84">
        <w:t xml:space="preserve"> </w:t>
      </w:r>
      <w:r w:rsidR="00CF4F79">
        <w:t>F</w:t>
      </w:r>
      <w:r w:rsidRPr="00890A84">
        <w:t>iscal strategy</w:t>
      </w:r>
      <w:r w:rsidR="00514EE0" w:rsidRPr="00890A84">
        <w:t>(M2)</w:t>
      </w:r>
    </w:p>
    <w:p w14:paraId="70787B44" w14:textId="77777777" w:rsidR="009A4554" w:rsidRPr="00C23847" w:rsidRDefault="00514EE0" w:rsidP="00CF4F79">
      <w:pPr>
        <w:pStyle w:val="ListParagraph"/>
        <w:numPr>
          <w:ilvl w:val="0"/>
          <w:numId w:val="1"/>
        </w:numPr>
        <w:spacing w:after="120"/>
        <w:contextualSpacing w:val="0"/>
        <w:rPr>
          <w:sz w:val="22"/>
        </w:rPr>
      </w:pPr>
      <w:r w:rsidRPr="00C23847">
        <w:rPr>
          <w:sz w:val="22"/>
        </w:rPr>
        <w:t>CBROP</w:t>
      </w:r>
    </w:p>
    <w:p w14:paraId="591DC84D" w14:textId="19A86AFB" w:rsidR="009A4554" w:rsidRPr="00C23847" w:rsidRDefault="009F4975" w:rsidP="00CF4F79">
      <w:pPr>
        <w:pStyle w:val="ListParagraph"/>
        <w:numPr>
          <w:ilvl w:val="0"/>
          <w:numId w:val="1"/>
        </w:numPr>
        <w:spacing w:after="120"/>
        <w:contextualSpacing w:val="0"/>
        <w:rPr>
          <w:sz w:val="22"/>
        </w:rPr>
      </w:pPr>
      <w:r w:rsidRPr="00C23847">
        <w:rPr>
          <w:sz w:val="22"/>
        </w:rPr>
        <w:t>2013</w:t>
      </w:r>
      <w:r w:rsidR="00CF4F79">
        <w:rPr>
          <w:sz w:val="22"/>
        </w:rPr>
        <w:t>–</w:t>
      </w:r>
      <w:r w:rsidRPr="00C23847">
        <w:rPr>
          <w:sz w:val="22"/>
        </w:rPr>
        <w:t xml:space="preserve">14 </w:t>
      </w:r>
      <w:r w:rsidR="00514EE0" w:rsidRPr="00C23847">
        <w:rPr>
          <w:sz w:val="22"/>
        </w:rPr>
        <w:t>CBROP</w:t>
      </w:r>
      <w:r w:rsidRPr="00C23847">
        <w:rPr>
          <w:sz w:val="22"/>
        </w:rPr>
        <w:t xml:space="preserve"> final</w:t>
      </w:r>
    </w:p>
    <w:p w14:paraId="669A21B0" w14:textId="2C386212" w:rsidR="009A4554" w:rsidRPr="00C23847" w:rsidRDefault="00CF4F79" w:rsidP="00CF4F79">
      <w:pPr>
        <w:pStyle w:val="ListParagraph"/>
        <w:numPr>
          <w:ilvl w:val="0"/>
          <w:numId w:val="1"/>
        </w:numPr>
        <w:spacing w:after="120"/>
        <w:contextualSpacing w:val="0"/>
        <w:rPr>
          <w:sz w:val="22"/>
        </w:rPr>
      </w:pPr>
      <w:r>
        <w:rPr>
          <w:sz w:val="22"/>
        </w:rPr>
        <w:t>C</w:t>
      </w:r>
      <w:r w:rsidRPr="00C23847">
        <w:rPr>
          <w:sz w:val="22"/>
        </w:rPr>
        <w:t>BROP</w:t>
      </w:r>
      <w:r w:rsidR="009F4975" w:rsidRPr="00C23847">
        <w:rPr>
          <w:sz w:val="22"/>
        </w:rPr>
        <w:t xml:space="preserve"> </w:t>
      </w:r>
      <w:r>
        <w:rPr>
          <w:sz w:val="22"/>
        </w:rPr>
        <w:t>20</w:t>
      </w:r>
      <w:r w:rsidR="009F4975" w:rsidRPr="00C23847">
        <w:rPr>
          <w:sz w:val="22"/>
        </w:rPr>
        <w:t>15</w:t>
      </w:r>
    </w:p>
    <w:p w14:paraId="420B5679" w14:textId="77777777" w:rsidR="009A4554" w:rsidRPr="00C23847" w:rsidRDefault="00514EE0" w:rsidP="00CF4F79">
      <w:pPr>
        <w:pStyle w:val="ListParagraph"/>
        <w:numPr>
          <w:ilvl w:val="0"/>
          <w:numId w:val="1"/>
        </w:numPr>
        <w:spacing w:after="120"/>
        <w:contextualSpacing w:val="0"/>
        <w:rPr>
          <w:sz w:val="22"/>
        </w:rPr>
      </w:pPr>
      <w:r w:rsidRPr="00C23847">
        <w:rPr>
          <w:sz w:val="22"/>
        </w:rPr>
        <w:t>CBROP</w:t>
      </w:r>
      <w:r w:rsidR="009F4975" w:rsidRPr="00C23847">
        <w:rPr>
          <w:sz w:val="22"/>
        </w:rPr>
        <w:t xml:space="preserve"> 2016</w:t>
      </w:r>
    </w:p>
    <w:p w14:paraId="48012B43"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p>
    <w:p w14:paraId="6FE571DE"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2015</w:t>
      </w:r>
    </w:p>
    <w:p w14:paraId="504E4B42"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2016</w:t>
      </w:r>
    </w:p>
    <w:p w14:paraId="66A9F552"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2016</w:t>
      </w:r>
      <w:r w:rsidRPr="00C23847">
        <w:rPr>
          <w:sz w:val="22"/>
        </w:rPr>
        <w:t>/</w:t>
      </w:r>
      <w:r w:rsidR="009F4975" w:rsidRPr="00C23847">
        <w:rPr>
          <w:sz w:val="22"/>
        </w:rPr>
        <w:t>17</w:t>
      </w:r>
    </w:p>
    <w:p w14:paraId="21353C88" w14:textId="0585722D" w:rsidR="009A4554" w:rsidRPr="00890A84" w:rsidRDefault="009F4975" w:rsidP="00BA6B2B">
      <w:pPr>
        <w:pStyle w:val="Heading5"/>
      </w:pPr>
      <w:r w:rsidRPr="00890A84">
        <w:t>P</w:t>
      </w:r>
      <w:r w:rsidR="004A04CE">
        <w:t>I</w:t>
      </w:r>
      <w:r w:rsidRPr="00890A84">
        <w:t>-16</w:t>
      </w:r>
      <w:r w:rsidR="00CF4F79">
        <w:t>.</w:t>
      </w:r>
      <w:r w:rsidRPr="00890A84">
        <w:t xml:space="preserve"> </w:t>
      </w:r>
      <w:r w:rsidR="00CF4F79">
        <w:t>M</w:t>
      </w:r>
      <w:r w:rsidRPr="00890A84">
        <w:t xml:space="preserve">edium-term perspective in expenditure budgeting </w:t>
      </w:r>
    </w:p>
    <w:p w14:paraId="125FFCE9" w14:textId="554CF3A6" w:rsidR="009A4554" w:rsidRPr="00C23847" w:rsidRDefault="009F4975" w:rsidP="00CF4F79">
      <w:pPr>
        <w:pStyle w:val="ListParagraph"/>
        <w:numPr>
          <w:ilvl w:val="0"/>
          <w:numId w:val="1"/>
        </w:numPr>
        <w:spacing w:after="120"/>
        <w:contextualSpacing w:val="0"/>
        <w:rPr>
          <w:sz w:val="22"/>
        </w:rPr>
      </w:pPr>
      <w:r w:rsidRPr="00C23847">
        <w:rPr>
          <w:sz w:val="22"/>
        </w:rPr>
        <w:t>2016</w:t>
      </w:r>
      <w:r w:rsidR="00CF4F79">
        <w:rPr>
          <w:sz w:val="22"/>
        </w:rPr>
        <w:t>/</w:t>
      </w:r>
      <w:r w:rsidRPr="00C23847">
        <w:rPr>
          <w:sz w:val="22"/>
        </w:rPr>
        <w:t>17 budget</w:t>
      </w:r>
    </w:p>
    <w:p w14:paraId="07761F69" w14:textId="77777777" w:rsidR="009A4554" w:rsidRPr="00C23847" w:rsidRDefault="009F4975" w:rsidP="00CF4F79">
      <w:pPr>
        <w:pStyle w:val="ListParagraph"/>
        <w:numPr>
          <w:ilvl w:val="0"/>
          <w:numId w:val="1"/>
        </w:numPr>
        <w:spacing w:after="120"/>
        <w:contextualSpacing w:val="0"/>
        <w:rPr>
          <w:sz w:val="22"/>
        </w:rPr>
      </w:pPr>
      <w:r w:rsidRPr="00C23847">
        <w:rPr>
          <w:sz w:val="22"/>
        </w:rPr>
        <w:t xml:space="preserve">Kajiado county final budget </w:t>
      </w:r>
      <w:r w:rsidR="00514EE0" w:rsidRPr="00C23847">
        <w:rPr>
          <w:sz w:val="22"/>
        </w:rPr>
        <w:t>20</w:t>
      </w:r>
      <w:r w:rsidRPr="00C23847">
        <w:rPr>
          <w:sz w:val="22"/>
        </w:rPr>
        <w:t>14</w:t>
      </w:r>
      <w:r w:rsidR="00514EE0" w:rsidRPr="00C23847">
        <w:rPr>
          <w:sz w:val="22"/>
        </w:rPr>
        <w:t>/</w:t>
      </w:r>
      <w:r w:rsidRPr="00C23847">
        <w:rPr>
          <w:sz w:val="22"/>
        </w:rPr>
        <w:t>15</w:t>
      </w:r>
    </w:p>
    <w:p w14:paraId="599FAB6D" w14:textId="77777777" w:rsidR="009A4554" w:rsidRPr="00C23847" w:rsidRDefault="009F4975" w:rsidP="00CF4F79">
      <w:pPr>
        <w:pStyle w:val="ListParagraph"/>
        <w:numPr>
          <w:ilvl w:val="0"/>
          <w:numId w:val="1"/>
        </w:numPr>
        <w:spacing w:after="120"/>
        <w:contextualSpacing w:val="0"/>
        <w:rPr>
          <w:sz w:val="22"/>
        </w:rPr>
      </w:pPr>
      <w:r w:rsidRPr="00C23847">
        <w:rPr>
          <w:sz w:val="22"/>
        </w:rPr>
        <w:t>Supplementary budget 2015</w:t>
      </w:r>
      <w:r w:rsidR="00514EE0" w:rsidRPr="00C23847">
        <w:rPr>
          <w:sz w:val="22"/>
        </w:rPr>
        <w:t>/</w:t>
      </w:r>
      <w:r w:rsidRPr="00C23847">
        <w:rPr>
          <w:sz w:val="22"/>
        </w:rPr>
        <w:t>16</w:t>
      </w:r>
    </w:p>
    <w:p w14:paraId="5D805BD9"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2015</w:t>
      </w:r>
    </w:p>
    <w:p w14:paraId="20507936" w14:textId="77777777" w:rsidR="009A4554" w:rsidRPr="00C23847" w:rsidRDefault="00514EE0" w:rsidP="00CF4F79">
      <w:pPr>
        <w:pStyle w:val="ListParagraph"/>
        <w:numPr>
          <w:ilvl w:val="0"/>
          <w:numId w:val="1"/>
        </w:numPr>
        <w:spacing w:after="120"/>
        <w:contextualSpacing w:val="0"/>
        <w:rPr>
          <w:sz w:val="22"/>
        </w:rPr>
      </w:pPr>
      <w:r w:rsidRPr="00C23847">
        <w:rPr>
          <w:sz w:val="22"/>
        </w:rPr>
        <w:t>CSFP</w:t>
      </w:r>
      <w:r w:rsidR="009F4975" w:rsidRPr="00C23847">
        <w:rPr>
          <w:sz w:val="22"/>
        </w:rPr>
        <w:t xml:space="preserve"> 2016</w:t>
      </w:r>
    </w:p>
    <w:p w14:paraId="4A46DD3D" w14:textId="042C17B3" w:rsidR="009A4554" w:rsidRPr="00C23847" w:rsidRDefault="009F4975" w:rsidP="00CF4F79">
      <w:pPr>
        <w:pStyle w:val="ListParagraph"/>
        <w:numPr>
          <w:ilvl w:val="0"/>
          <w:numId w:val="1"/>
        </w:numPr>
        <w:spacing w:after="120"/>
        <w:contextualSpacing w:val="0"/>
        <w:rPr>
          <w:sz w:val="22"/>
        </w:rPr>
      </w:pPr>
      <w:r w:rsidRPr="00C23847">
        <w:rPr>
          <w:sz w:val="22"/>
        </w:rPr>
        <w:t xml:space="preserve">Final </w:t>
      </w:r>
      <w:r w:rsidR="00514EE0" w:rsidRPr="00C23847">
        <w:rPr>
          <w:sz w:val="22"/>
        </w:rPr>
        <w:t>CSFP</w:t>
      </w:r>
      <w:r w:rsidRPr="00C23847">
        <w:rPr>
          <w:sz w:val="22"/>
        </w:rPr>
        <w:t xml:space="preserve"> 2016</w:t>
      </w:r>
      <w:r w:rsidR="00CF4F79">
        <w:rPr>
          <w:sz w:val="22"/>
        </w:rPr>
        <w:t>/</w:t>
      </w:r>
      <w:r w:rsidRPr="00C23847">
        <w:rPr>
          <w:sz w:val="22"/>
        </w:rPr>
        <w:t>17</w:t>
      </w:r>
    </w:p>
    <w:p w14:paraId="1BA25816" w14:textId="6B79CB56" w:rsidR="009A4554" w:rsidRPr="00C23847" w:rsidRDefault="009F4975" w:rsidP="00CF4F79">
      <w:pPr>
        <w:pStyle w:val="ListParagraph"/>
        <w:numPr>
          <w:ilvl w:val="0"/>
          <w:numId w:val="1"/>
        </w:numPr>
        <w:spacing w:after="120"/>
        <w:contextualSpacing w:val="0"/>
        <w:rPr>
          <w:sz w:val="22"/>
        </w:rPr>
      </w:pPr>
      <w:r w:rsidRPr="00C23847">
        <w:rPr>
          <w:sz w:val="22"/>
        </w:rPr>
        <w:t xml:space="preserve">Kajiado </w:t>
      </w:r>
      <w:r w:rsidR="00CF4F79">
        <w:rPr>
          <w:sz w:val="22"/>
        </w:rPr>
        <w:t>c</w:t>
      </w:r>
      <w:r w:rsidRPr="00C23847">
        <w:rPr>
          <w:sz w:val="22"/>
        </w:rPr>
        <w:t>ounty budget 2016</w:t>
      </w:r>
      <w:r w:rsidR="00514EE0" w:rsidRPr="00C23847">
        <w:rPr>
          <w:sz w:val="22"/>
        </w:rPr>
        <w:t>/</w:t>
      </w:r>
      <w:r w:rsidRPr="00C23847">
        <w:rPr>
          <w:sz w:val="22"/>
        </w:rPr>
        <w:t>17</w:t>
      </w:r>
    </w:p>
    <w:p w14:paraId="3E19FF30" w14:textId="559F4503" w:rsidR="009A4554" w:rsidRPr="00C23847" w:rsidRDefault="00CF4F79" w:rsidP="00CF4F79">
      <w:pPr>
        <w:pStyle w:val="ListParagraph"/>
        <w:numPr>
          <w:ilvl w:val="0"/>
          <w:numId w:val="1"/>
        </w:numPr>
        <w:spacing w:after="120"/>
        <w:contextualSpacing w:val="0"/>
        <w:rPr>
          <w:sz w:val="22"/>
        </w:rPr>
      </w:pPr>
      <w:r w:rsidRPr="00C23847">
        <w:rPr>
          <w:sz w:val="22"/>
        </w:rPr>
        <w:t>PBB</w:t>
      </w:r>
      <w:r w:rsidR="00514EE0" w:rsidRPr="00C23847">
        <w:rPr>
          <w:sz w:val="22"/>
        </w:rPr>
        <w:t xml:space="preserve"> budget estimates 2015/</w:t>
      </w:r>
      <w:r w:rsidR="009F4975" w:rsidRPr="00C23847">
        <w:rPr>
          <w:sz w:val="22"/>
        </w:rPr>
        <w:t>16</w:t>
      </w:r>
    </w:p>
    <w:p w14:paraId="065F9AF3" w14:textId="60A531DA" w:rsidR="009A4554" w:rsidRPr="00890A84" w:rsidRDefault="009F4975" w:rsidP="00BA6B2B">
      <w:pPr>
        <w:pStyle w:val="Heading5"/>
      </w:pPr>
      <w:r w:rsidRPr="00890A84">
        <w:t>P</w:t>
      </w:r>
      <w:r w:rsidR="004A04CE">
        <w:t>I</w:t>
      </w:r>
      <w:r w:rsidRPr="00890A84">
        <w:t>-17</w:t>
      </w:r>
      <w:r w:rsidR="00CF4F79">
        <w:t>.</w:t>
      </w:r>
      <w:r w:rsidRPr="00890A84">
        <w:t xml:space="preserve"> </w:t>
      </w:r>
      <w:r w:rsidR="00CF4F79">
        <w:t>B</w:t>
      </w:r>
      <w:r w:rsidRPr="00890A84">
        <w:t>udget preparation process</w:t>
      </w:r>
      <w:r w:rsidR="00514EE0" w:rsidRPr="00890A84">
        <w:t>(M2)</w:t>
      </w:r>
    </w:p>
    <w:p w14:paraId="1CC80CD5" w14:textId="008A88CA" w:rsidR="009A4554" w:rsidRPr="00C23847" w:rsidRDefault="009F4975" w:rsidP="00CF4F79">
      <w:pPr>
        <w:pStyle w:val="ListParagraph"/>
        <w:numPr>
          <w:ilvl w:val="0"/>
          <w:numId w:val="1"/>
        </w:numPr>
        <w:spacing w:after="120"/>
        <w:contextualSpacing w:val="0"/>
        <w:rPr>
          <w:sz w:val="22"/>
        </w:rPr>
      </w:pPr>
      <w:r w:rsidRPr="00C23847">
        <w:rPr>
          <w:sz w:val="22"/>
        </w:rPr>
        <w:t xml:space="preserve">Budget </w:t>
      </w:r>
      <w:r w:rsidR="00472154" w:rsidRPr="00C23847">
        <w:rPr>
          <w:sz w:val="22"/>
        </w:rPr>
        <w:t>C</w:t>
      </w:r>
      <w:r w:rsidRPr="00C23847">
        <w:rPr>
          <w:sz w:val="22"/>
        </w:rPr>
        <w:t xml:space="preserve">ircular </w:t>
      </w:r>
      <w:r w:rsidR="00514EE0" w:rsidRPr="00C23847">
        <w:rPr>
          <w:sz w:val="22"/>
        </w:rPr>
        <w:t>20</w:t>
      </w:r>
      <w:r w:rsidRPr="00C23847">
        <w:rPr>
          <w:sz w:val="22"/>
        </w:rPr>
        <w:t>16</w:t>
      </w:r>
      <w:r w:rsidR="00514EE0" w:rsidRPr="00C23847">
        <w:rPr>
          <w:sz w:val="22"/>
        </w:rPr>
        <w:t>/</w:t>
      </w:r>
      <w:r w:rsidRPr="00C23847">
        <w:rPr>
          <w:sz w:val="22"/>
        </w:rPr>
        <w:t>17</w:t>
      </w:r>
    </w:p>
    <w:p w14:paraId="41A115D4" w14:textId="0467F960" w:rsidR="009A4554" w:rsidRPr="00C23847" w:rsidRDefault="009F4975" w:rsidP="00CF4F79">
      <w:pPr>
        <w:pStyle w:val="ListParagraph"/>
        <w:numPr>
          <w:ilvl w:val="0"/>
          <w:numId w:val="1"/>
        </w:numPr>
        <w:spacing w:after="120"/>
        <w:contextualSpacing w:val="0"/>
        <w:rPr>
          <w:sz w:val="22"/>
        </w:rPr>
      </w:pPr>
      <w:r w:rsidRPr="00C23847">
        <w:rPr>
          <w:sz w:val="22"/>
        </w:rPr>
        <w:t xml:space="preserve">Budget </w:t>
      </w:r>
      <w:r w:rsidR="00472154" w:rsidRPr="00C23847">
        <w:rPr>
          <w:sz w:val="22"/>
        </w:rPr>
        <w:t>C</w:t>
      </w:r>
      <w:r w:rsidRPr="00C23847">
        <w:rPr>
          <w:sz w:val="22"/>
        </w:rPr>
        <w:t xml:space="preserve">ircular </w:t>
      </w:r>
      <w:r w:rsidR="00514EE0" w:rsidRPr="00C23847">
        <w:rPr>
          <w:sz w:val="22"/>
        </w:rPr>
        <w:t>20</w:t>
      </w:r>
      <w:r w:rsidRPr="00C23847">
        <w:rPr>
          <w:sz w:val="22"/>
        </w:rPr>
        <w:t>17</w:t>
      </w:r>
      <w:r w:rsidR="00514EE0" w:rsidRPr="00C23847">
        <w:rPr>
          <w:sz w:val="22"/>
        </w:rPr>
        <w:t>/</w:t>
      </w:r>
      <w:r w:rsidRPr="00C23847">
        <w:rPr>
          <w:sz w:val="22"/>
        </w:rPr>
        <w:t>18</w:t>
      </w:r>
    </w:p>
    <w:p w14:paraId="5BCF46AC" w14:textId="7AEE935F" w:rsidR="009A4554" w:rsidRPr="00C23847" w:rsidRDefault="009F4975" w:rsidP="00CF4F79">
      <w:pPr>
        <w:pStyle w:val="ListParagraph"/>
        <w:numPr>
          <w:ilvl w:val="0"/>
          <w:numId w:val="1"/>
        </w:numPr>
        <w:spacing w:after="120"/>
        <w:contextualSpacing w:val="0"/>
        <w:rPr>
          <w:sz w:val="22"/>
        </w:rPr>
      </w:pPr>
      <w:r w:rsidRPr="00C23847">
        <w:rPr>
          <w:sz w:val="22"/>
        </w:rPr>
        <w:t xml:space="preserve">Budget </w:t>
      </w:r>
      <w:r w:rsidR="00472154" w:rsidRPr="00C23847">
        <w:rPr>
          <w:sz w:val="22"/>
        </w:rPr>
        <w:t>C</w:t>
      </w:r>
      <w:r w:rsidRPr="00C23847">
        <w:rPr>
          <w:sz w:val="22"/>
        </w:rPr>
        <w:t xml:space="preserve">ircular </w:t>
      </w:r>
      <w:r w:rsidR="00514EE0" w:rsidRPr="00C23847">
        <w:rPr>
          <w:sz w:val="22"/>
        </w:rPr>
        <w:t>20</w:t>
      </w:r>
      <w:r w:rsidRPr="00C23847">
        <w:rPr>
          <w:sz w:val="22"/>
        </w:rPr>
        <w:t>15</w:t>
      </w:r>
      <w:r w:rsidR="00514EE0" w:rsidRPr="00C23847">
        <w:rPr>
          <w:sz w:val="22"/>
        </w:rPr>
        <w:t>/16</w:t>
      </w:r>
    </w:p>
    <w:p w14:paraId="39D71A76" w14:textId="25BC8C56" w:rsidR="009A4554" w:rsidRPr="00890A84" w:rsidRDefault="009F4975" w:rsidP="00BA6B2B">
      <w:pPr>
        <w:pStyle w:val="Heading5"/>
      </w:pPr>
      <w:r w:rsidRPr="00890A84">
        <w:t>P</w:t>
      </w:r>
      <w:r w:rsidR="004A04CE">
        <w:t>I</w:t>
      </w:r>
      <w:r w:rsidRPr="00890A84">
        <w:t>-18</w:t>
      </w:r>
      <w:r w:rsidR="00CF4F79">
        <w:t>.</w:t>
      </w:r>
      <w:r w:rsidRPr="00890A84">
        <w:t xml:space="preserve"> </w:t>
      </w:r>
      <w:r w:rsidR="00CF4F79">
        <w:t>L</w:t>
      </w:r>
      <w:r w:rsidRPr="00890A84">
        <w:t xml:space="preserve">egislative scrutiny of budgets </w:t>
      </w:r>
    </w:p>
    <w:p w14:paraId="0C1F02E0" w14:textId="4D607C9C" w:rsidR="009A4554" w:rsidRPr="00C23847" w:rsidRDefault="00BC1180" w:rsidP="00CF4F79">
      <w:pPr>
        <w:pStyle w:val="ListParagraph"/>
        <w:numPr>
          <w:ilvl w:val="0"/>
          <w:numId w:val="1"/>
        </w:numPr>
        <w:spacing w:after="120"/>
        <w:contextualSpacing w:val="0"/>
        <w:rPr>
          <w:sz w:val="22"/>
        </w:rPr>
      </w:pPr>
      <w:r w:rsidRPr="00C23847">
        <w:rPr>
          <w:sz w:val="22"/>
        </w:rPr>
        <w:t xml:space="preserve">Kajiado County Assembly </w:t>
      </w:r>
      <w:r w:rsidR="004A04CE">
        <w:rPr>
          <w:sz w:val="22"/>
        </w:rPr>
        <w:t>-</w:t>
      </w:r>
      <w:r w:rsidRPr="00C23847">
        <w:rPr>
          <w:sz w:val="22"/>
        </w:rPr>
        <w:t xml:space="preserve"> Orders of the day</w:t>
      </w:r>
    </w:p>
    <w:p w14:paraId="1CBE1555" w14:textId="56D710E9" w:rsidR="009A4554" w:rsidRPr="00890A84" w:rsidRDefault="009F4975" w:rsidP="00BA6B2B">
      <w:pPr>
        <w:pStyle w:val="Heading5"/>
      </w:pPr>
      <w:r w:rsidRPr="00890A84">
        <w:t>P</w:t>
      </w:r>
      <w:r w:rsidR="004A04CE">
        <w:t>I</w:t>
      </w:r>
      <w:r w:rsidRPr="00890A84">
        <w:t>-19</w:t>
      </w:r>
      <w:r w:rsidR="00CF4F79">
        <w:t>.</w:t>
      </w:r>
      <w:r w:rsidRPr="00890A84">
        <w:t xml:space="preserve"> </w:t>
      </w:r>
      <w:r w:rsidR="00CF4F79">
        <w:t>R</w:t>
      </w:r>
      <w:r w:rsidRPr="00890A84">
        <w:t xml:space="preserve">evenue administration </w:t>
      </w:r>
    </w:p>
    <w:p w14:paraId="43451C12" w14:textId="62E83E2D" w:rsidR="009A4554" w:rsidRPr="00C23847" w:rsidRDefault="009F4975" w:rsidP="00CF4F79">
      <w:pPr>
        <w:pStyle w:val="ListParagraph"/>
        <w:numPr>
          <w:ilvl w:val="0"/>
          <w:numId w:val="1"/>
        </w:numPr>
        <w:spacing w:after="120"/>
        <w:contextualSpacing w:val="0"/>
        <w:rPr>
          <w:sz w:val="22"/>
        </w:rPr>
      </w:pPr>
      <w:r w:rsidRPr="00C23847">
        <w:rPr>
          <w:sz w:val="22"/>
        </w:rPr>
        <w:t xml:space="preserve">County </w:t>
      </w:r>
      <w:r w:rsidR="00CF4F79" w:rsidRPr="00C23847">
        <w:rPr>
          <w:sz w:val="22"/>
        </w:rPr>
        <w:t>Revenue Administration Act</w:t>
      </w:r>
      <w:r w:rsidRPr="00C23847">
        <w:rPr>
          <w:sz w:val="22"/>
        </w:rPr>
        <w:t>, 2016</w:t>
      </w:r>
    </w:p>
    <w:p w14:paraId="4D52AF3D" w14:textId="3E087942" w:rsidR="009A4554" w:rsidRPr="00C23847" w:rsidRDefault="009F4975" w:rsidP="00CF4F79">
      <w:pPr>
        <w:pStyle w:val="ListParagraph"/>
        <w:numPr>
          <w:ilvl w:val="0"/>
          <w:numId w:val="1"/>
        </w:numPr>
        <w:spacing w:after="120"/>
        <w:contextualSpacing w:val="0"/>
        <w:rPr>
          <w:sz w:val="22"/>
        </w:rPr>
      </w:pPr>
      <w:r w:rsidRPr="00C23847">
        <w:rPr>
          <w:sz w:val="22"/>
        </w:rPr>
        <w:t xml:space="preserve">County </w:t>
      </w:r>
      <w:r w:rsidR="00CF4F79" w:rsidRPr="00C23847">
        <w:rPr>
          <w:sz w:val="22"/>
        </w:rPr>
        <w:t>Trade Licence Act</w:t>
      </w:r>
      <w:r w:rsidRPr="00C23847">
        <w:rPr>
          <w:sz w:val="22"/>
        </w:rPr>
        <w:t>, 2014</w:t>
      </w:r>
    </w:p>
    <w:p w14:paraId="781982AF" w14:textId="78290B9F" w:rsidR="009A4554" w:rsidRPr="00C23847" w:rsidRDefault="009F4975" w:rsidP="00CF4F79">
      <w:pPr>
        <w:pStyle w:val="ListParagraph"/>
        <w:numPr>
          <w:ilvl w:val="0"/>
          <w:numId w:val="1"/>
        </w:numPr>
        <w:spacing w:after="120"/>
        <w:contextualSpacing w:val="0"/>
        <w:rPr>
          <w:sz w:val="22"/>
        </w:rPr>
      </w:pPr>
      <w:r w:rsidRPr="00C23847">
        <w:rPr>
          <w:sz w:val="22"/>
        </w:rPr>
        <w:t xml:space="preserve">Finance </w:t>
      </w:r>
      <w:r w:rsidR="006B3D13" w:rsidRPr="00C23847">
        <w:rPr>
          <w:sz w:val="22"/>
        </w:rPr>
        <w:t>B</w:t>
      </w:r>
      <w:r w:rsidRPr="00C23847">
        <w:rPr>
          <w:sz w:val="22"/>
        </w:rPr>
        <w:t>ill 2016</w:t>
      </w:r>
      <w:r w:rsidR="00CF4F79">
        <w:rPr>
          <w:sz w:val="22"/>
        </w:rPr>
        <w:t xml:space="preserve"> </w:t>
      </w:r>
      <w:r w:rsidRPr="00C23847">
        <w:rPr>
          <w:sz w:val="22"/>
        </w:rPr>
        <w:t>-</w:t>
      </w:r>
      <w:r w:rsidR="00CF4F79">
        <w:rPr>
          <w:sz w:val="22"/>
        </w:rPr>
        <w:t xml:space="preserve"> </w:t>
      </w:r>
      <w:r w:rsidRPr="00C23847">
        <w:rPr>
          <w:sz w:val="22"/>
        </w:rPr>
        <w:t xml:space="preserve">final adjusted on </w:t>
      </w:r>
      <w:r w:rsidR="00CF4F79">
        <w:rPr>
          <w:sz w:val="22"/>
        </w:rPr>
        <w:t>J</w:t>
      </w:r>
      <w:r w:rsidRPr="00C23847">
        <w:rPr>
          <w:sz w:val="22"/>
        </w:rPr>
        <w:t xml:space="preserve">une </w:t>
      </w:r>
      <w:r w:rsidR="00CF4F79" w:rsidRPr="00C23847">
        <w:rPr>
          <w:sz w:val="22"/>
        </w:rPr>
        <w:t>23</w:t>
      </w:r>
      <w:r w:rsidR="00CF4F79">
        <w:rPr>
          <w:sz w:val="22"/>
        </w:rPr>
        <w:t xml:space="preserve">, </w:t>
      </w:r>
      <w:r w:rsidRPr="00C23847">
        <w:rPr>
          <w:sz w:val="22"/>
        </w:rPr>
        <w:t>2016</w:t>
      </w:r>
    </w:p>
    <w:p w14:paraId="05B77761" w14:textId="7CA25BD7" w:rsidR="009A4554" w:rsidRPr="00C23847" w:rsidRDefault="009F4975" w:rsidP="00CF4F79">
      <w:pPr>
        <w:pStyle w:val="ListParagraph"/>
        <w:numPr>
          <w:ilvl w:val="0"/>
          <w:numId w:val="1"/>
        </w:numPr>
        <w:spacing w:after="120"/>
        <w:contextualSpacing w:val="0"/>
        <w:rPr>
          <w:sz w:val="22"/>
        </w:rPr>
      </w:pPr>
      <w:r w:rsidRPr="00C23847">
        <w:rPr>
          <w:sz w:val="22"/>
        </w:rPr>
        <w:t xml:space="preserve">Kajiado </w:t>
      </w:r>
      <w:r w:rsidR="00CC5BC5" w:rsidRPr="00C23847">
        <w:rPr>
          <w:sz w:val="22"/>
        </w:rPr>
        <w:t>C</w:t>
      </w:r>
      <w:r w:rsidRPr="00C23847">
        <w:rPr>
          <w:sz w:val="22"/>
        </w:rPr>
        <w:t xml:space="preserve">ounty </w:t>
      </w:r>
      <w:r w:rsidR="00CF4F79" w:rsidRPr="00C23847">
        <w:rPr>
          <w:sz w:val="22"/>
        </w:rPr>
        <w:t>Revenue Administration Bill</w:t>
      </w:r>
      <w:r w:rsidRPr="00C23847">
        <w:rPr>
          <w:sz w:val="22"/>
        </w:rPr>
        <w:t>, 2016</w:t>
      </w:r>
    </w:p>
    <w:p w14:paraId="6A6B64D4" w14:textId="4D703F9A" w:rsidR="009A4554" w:rsidRPr="00C23847" w:rsidRDefault="009F4975" w:rsidP="00CF4F79">
      <w:pPr>
        <w:pStyle w:val="ListParagraph"/>
        <w:numPr>
          <w:ilvl w:val="0"/>
          <w:numId w:val="1"/>
        </w:numPr>
        <w:spacing w:after="120"/>
        <w:contextualSpacing w:val="0"/>
        <w:rPr>
          <w:sz w:val="22"/>
        </w:rPr>
      </w:pPr>
      <w:r w:rsidRPr="00C23847">
        <w:rPr>
          <w:sz w:val="22"/>
        </w:rPr>
        <w:t xml:space="preserve">Kajiado </w:t>
      </w:r>
      <w:r w:rsidR="00CF4F79" w:rsidRPr="00C23847">
        <w:rPr>
          <w:sz w:val="22"/>
        </w:rPr>
        <w:t>Rating Bill</w:t>
      </w:r>
      <w:r w:rsidRPr="00C23847">
        <w:rPr>
          <w:sz w:val="22"/>
        </w:rPr>
        <w:t>, 2014</w:t>
      </w:r>
    </w:p>
    <w:p w14:paraId="350819BE" w14:textId="77777777" w:rsidR="009A4554" w:rsidRPr="00C23847" w:rsidRDefault="009F4975" w:rsidP="00CF4F79">
      <w:pPr>
        <w:pStyle w:val="ListParagraph"/>
        <w:numPr>
          <w:ilvl w:val="0"/>
          <w:numId w:val="1"/>
        </w:numPr>
        <w:spacing w:after="120"/>
        <w:contextualSpacing w:val="0"/>
        <w:rPr>
          <w:sz w:val="22"/>
        </w:rPr>
      </w:pPr>
      <w:r w:rsidRPr="00C23847">
        <w:rPr>
          <w:sz w:val="22"/>
        </w:rPr>
        <w:t>Reminder letter for payment of due levies through public address system</w:t>
      </w:r>
    </w:p>
    <w:p w14:paraId="12D06A1D" w14:textId="59AFC8FF" w:rsidR="009A4554" w:rsidRPr="00C23847" w:rsidRDefault="006B3D13" w:rsidP="00CF4F79">
      <w:pPr>
        <w:pStyle w:val="ListParagraph"/>
        <w:numPr>
          <w:ilvl w:val="0"/>
          <w:numId w:val="1"/>
        </w:numPr>
        <w:spacing w:after="120"/>
        <w:contextualSpacing w:val="0"/>
        <w:rPr>
          <w:sz w:val="22"/>
        </w:rPr>
      </w:pPr>
      <w:r w:rsidRPr="00C23847">
        <w:rPr>
          <w:sz w:val="22"/>
        </w:rPr>
        <w:t xml:space="preserve">Revenue </w:t>
      </w:r>
      <w:r w:rsidR="009F4975" w:rsidRPr="00C23847">
        <w:rPr>
          <w:sz w:val="22"/>
        </w:rPr>
        <w:t xml:space="preserve">Audit </w:t>
      </w:r>
      <w:r w:rsidRPr="00C23847">
        <w:rPr>
          <w:sz w:val="22"/>
        </w:rPr>
        <w:t>R</w:t>
      </w:r>
      <w:r w:rsidR="009F4975" w:rsidRPr="00C23847">
        <w:rPr>
          <w:sz w:val="22"/>
        </w:rPr>
        <w:t xml:space="preserve">eport </w:t>
      </w:r>
    </w:p>
    <w:p w14:paraId="60839713" w14:textId="5C58A2B6" w:rsidR="009A4554" w:rsidRPr="00C23847" w:rsidRDefault="009F4975" w:rsidP="00CF4F79">
      <w:pPr>
        <w:pStyle w:val="ListParagraph"/>
        <w:numPr>
          <w:ilvl w:val="0"/>
          <w:numId w:val="1"/>
        </w:numPr>
        <w:spacing w:after="120"/>
        <w:contextualSpacing w:val="0"/>
        <w:rPr>
          <w:sz w:val="22"/>
        </w:rPr>
      </w:pPr>
      <w:r w:rsidRPr="00C23847">
        <w:rPr>
          <w:sz w:val="22"/>
        </w:rPr>
        <w:t xml:space="preserve">Response to </w:t>
      </w:r>
      <w:r w:rsidR="006B3D13" w:rsidRPr="00C23847">
        <w:rPr>
          <w:sz w:val="22"/>
        </w:rPr>
        <w:t>Revenue Audit Report</w:t>
      </w:r>
    </w:p>
    <w:p w14:paraId="3347AB1D" w14:textId="3D2F753F" w:rsidR="009A4554" w:rsidRPr="00C23847" w:rsidRDefault="008C00CA" w:rsidP="00CF4F79">
      <w:pPr>
        <w:pStyle w:val="ListParagraph"/>
        <w:numPr>
          <w:ilvl w:val="0"/>
          <w:numId w:val="1"/>
        </w:numPr>
        <w:spacing w:after="120"/>
        <w:contextualSpacing w:val="0"/>
        <w:rPr>
          <w:sz w:val="22"/>
        </w:rPr>
      </w:pPr>
      <w:r>
        <w:rPr>
          <w:sz w:val="22"/>
        </w:rPr>
        <w:t>Stock of revenue arrears from July 1st, 2014 to A</w:t>
      </w:r>
      <w:r w:rsidR="009F4975" w:rsidRPr="00C23847">
        <w:rPr>
          <w:sz w:val="22"/>
        </w:rPr>
        <w:t>pril 6th, 2017.</w:t>
      </w:r>
      <w:r w:rsidRPr="00C23847">
        <w:rPr>
          <w:sz w:val="22"/>
        </w:rPr>
        <w:t xml:space="preserve"> </w:t>
      </w:r>
    </w:p>
    <w:p w14:paraId="5F7C50FF" w14:textId="5672BCA3" w:rsidR="009A4554" w:rsidRPr="00890A84" w:rsidRDefault="009F4975" w:rsidP="00BA6B2B">
      <w:pPr>
        <w:pStyle w:val="Heading5"/>
      </w:pPr>
      <w:r w:rsidRPr="00890A84">
        <w:t>P</w:t>
      </w:r>
      <w:r w:rsidR="004A04CE">
        <w:t>I</w:t>
      </w:r>
      <w:r w:rsidRPr="00890A84">
        <w:t>-20</w:t>
      </w:r>
      <w:r w:rsidR="00CF4F79">
        <w:t>.</w:t>
      </w:r>
      <w:r w:rsidRPr="00890A84">
        <w:t xml:space="preserve"> </w:t>
      </w:r>
      <w:r w:rsidR="00CF4F79">
        <w:t>A</w:t>
      </w:r>
      <w:r w:rsidRPr="00890A84">
        <w:t>ccounting for revenue</w:t>
      </w:r>
      <w:r w:rsidR="00514EE0" w:rsidRPr="00890A84">
        <w:t>(M1</w:t>
      </w:r>
      <w:r w:rsidR="00FC0ED2">
        <w:t>)</w:t>
      </w:r>
    </w:p>
    <w:p w14:paraId="3F3C4232" w14:textId="0F1573BA" w:rsidR="009A4554" w:rsidRPr="00C23847" w:rsidRDefault="009F4975" w:rsidP="00CF4F79">
      <w:pPr>
        <w:pStyle w:val="ListParagraph"/>
        <w:numPr>
          <w:ilvl w:val="0"/>
          <w:numId w:val="1"/>
        </w:numPr>
        <w:spacing w:after="120"/>
        <w:contextualSpacing w:val="0"/>
        <w:rPr>
          <w:sz w:val="22"/>
        </w:rPr>
      </w:pPr>
      <w:r w:rsidRPr="00C23847">
        <w:rPr>
          <w:sz w:val="22"/>
        </w:rPr>
        <w:t xml:space="preserve">Monthly </w:t>
      </w:r>
      <w:r w:rsidR="006B3D13" w:rsidRPr="00C23847">
        <w:rPr>
          <w:sz w:val="22"/>
        </w:rPr>
        <w:t xml:space="preserve">Revenue Report </w:t>
      </w:r>
      <w:r w:rsidRPr="00C23847">
        <w:rPr>
          <w:sz w:val="22"/>
        </w:rPr>
        <w:t>2016</w:t>
      </w:r>
      <w:r w:rsidR="006B3D13">
        <w:rPr>
          <w:sz w:val="22"/>
        </w:rPr>
        <w:t>–</w:t>
      </w:r>
      <w:r w:rsidRPr="00C23847">
        <w:rPr>
          <w:sz w:val="22"/>
        </w:rPr>
        <w:t>17</w:t>
      </w:r>
    </w:p>
    <w:p w14:paraId="05C43FCD" w14:textId="45056D87" w:rsidR="009A4554" w:rsidRPr="00C23847" w:rsidRDefault="009F4975" w:rsidP="00CF4F79">
      <w:pPr>
        <w:pStyle w:val="ListParagraph"/>
        <w:numPr>
          <w:ilvl w:val="0"/>
          <w:numId w:val="1"/>
        </w:numPr>
        <w:spacing w:after="120"/>
        <w:contextualSpacing w:val="0"/>
        <w:rPr>
          <w:sz w:val="22"/>
        </w:rPr>
      </w:pPr>
      <w:r w:rsidRPr="00C23847">
        <w:rPr>
          <w:sz w:val="22"/>
        </w:rPr>
        <w:t xml:space="preserve">Quarterly </w:t>
      </w:r>
      <w:r w:rsidR="006B3D13" w:rsidRPr="00C23847">
        <w:rPr>
          <w:sz w:val="22"/>
        </w:rPr>
        <w:t xml:space="preserve">Revenue Report </w:t>
      </w:r>
      <w:r w:rsidRPr="00C23847">
        <w:rPr>
          <w:sz w:val="22"/>
        </w:rPr>
        <w:t>2014</w:t>
      </w:r>
      <w:r w:rsidR="006B3D13">
        <w:rPr>
          <w:sz w:val="22"/>
        </w:rPr>
        <w:t>-</w:t>
      </w:r>
      <w:r w:rsidRPr="00C23847">
        <w:rPr>
          <w:sz w:val="22"/>
        </w:rPr>
        <w:t>15</w:t>
      </w:r>
    </w:p>
    <w:p w14:paraId="54D04176" w14:textId="7C47AE67" w:rsidR="009A4554" w:rsidRPr="00C23847" w:rsidRDefault="009F4975" w:rsidP="00CF4F79">
      <w:pPr>
        <w:pStyle w:val="ListParagraph"/>
        <w:numPr>
          <w:ilvl w:val="0"/>
          <w:numId w:val="1"/>
        </w:numPr>
        <w:spacing w:after="120"/>
        <w:contextualSpacing w:val="0"/>
        <w:rPr>
          <w:sz w:val="22"/>
        </w:rPr>
      </w:pPr>
      <w:r w:rsidRPr="00C23847">
        <w:rPr>
          <w:sz w:val="22"/>
        </w:rPr>
        <w:t xml:space="preserve">Quarterly </w:t>
      </w:r>
      <w:r w:rsidR="006B3D13" w:rsidRPr="00C23847">
        <w:rPr>
          <w:sz w:val="22"/>
        </w:rPr>
        <w:t xml:space="preserve">Revenue Report </w:t>
      </w:r>
      <w:r w:rsidRPr="00C23847">
        <w:rPr>
          <w:sz w:val="22"/>
        </w:rPr>
        <w:t>2015</w:t>
      </w:r>
      <w:r w:rsidR="006B3D13">
        <w:rPr>
          <w:sz w:val="22"/>
        </w:rPr>
        <w:t>–</w:t>
      </w:r>
      <w:r w:rsidRPr="00C23847">
        <w:rPr>
          <w:sz w:val="22"/>
        </w:rPr>
        <w:t>16</w:t>
      </w:r>
    </w:p>
    <w:p w14:paraId="546C293A" w14:textId="64FAA7DE" w:rsidR="009A4554" w:rsidRPr="00C23847" w:rsidRDefault="009F4975" w:rsidP="00CF4F79">
      <w:pPr>
        <w:pStyle w:val="ListParagraph"/>
        <w:numPr>
          <w:ilvl w:val="0"/>
          <w:numId w:val="1"/>
        </w:numPr>
        <w:spacing w:after="120"/>
        <w:contextualSpacing w:val="0"/>
        <w:rPr>
          <w:sz w:val="22"/>
        </w:rPr>
      </w:pPr>
      <w:r w:rsidRPr="00C23847">
        <w:rPr>
          <w:sz w:val="22"/>
        </w:rPr>
        <w:t xml:space="preserve">Revenue </w:t>
      </w:r>
      <w:r w:rsidR="00472154" w:rsidRPr="00C23847">
        <w:rPr>
          <w:sz w:val="22"/>
        </w:rPr>
        <w:t xml:space="preserve">Analysis by Revenue Type </w:t>
      </w:r>
      <w:r w:rsidRPr="00C23847">
        <w:rPr>
          <w:sz w:val="22"/>
        </w:rPr>
        <w:t>2012</w:t>
      </w:r>
      <w:r w:rsidR="00472154">
        <w:rPr>
          <w:sz w:val="22"/>
        </w:rPr>
        <w:t>–</w:t>
      </w:r>
      <w:r w:rsidRPr="00C23847">
        <w:rPr>
          <w:sz w:val="22"/>
        </w:rPr>
        <w:t>2014 by year</w:t>
      </w:r>
    </w:p>
    <w:p w14:paraId="54767C59" w14:textId="77777777" w:rsidR="009A4554" w:rsidRPr="00C23847" w:rsidRDefault="009F4975" w:rsidP="00CF4F79">
      <w:pPr>
        <w:pStyle w:val="ListParagraph"/>
        <w:numPr>
          <w:ilvl w:val="0"/>
          <w:numId w:val="1"/>
        </w:numPr>
        <w:spacing w:after="120"/>
        <w:contextualSpacing w:val="0"/>
        <w:rPr>
          <w:sz w:val="22"/>
        </w:rPr>
      </w:pPr>
      <w:r w:rsidRPr="00C23847">
        <w:rPr>
          <w:sz w:val="22"/>
        </w:rPr>
        <w:t>Banking extract</w:t>
      </w:r>
    </w:p>
    <w:p w14:paraId="608D39D9" w14:textId="77777777" w:rsidR="009A4554" w:rsidRPr="00C23847" w:rsidRDefault="009F4975" w:rsidP="00CF4F79">
      <w:pPr>
        <w:pStyle w:val="ListParagraph"/>
        <w:numPr>
          <w:ilvl w:val="0"/>
          <w:numId w:val="1"/>
        </w:numPr>
        <w:spacing w:after="120"/>
        <w:contextualSpacing w:val="0"/>
        <w:rPr>
          <w:sz w:val="22"/>
        </w:rPr>
      </w:pPr>
      <w:r w:rsidRPr="00C23847">
        <w:rPr>
          <w:sz w:val="22"/>
        </w:rPr>
        <w:t>Banking slip</w:t>
      </w:r>
    </w:p>
    <w:p w14:paraId="24F119AB" w14:textId="0A48A2F4" w:rsidR="009A4554" w:rsidRPr="00C23847" w:rsidRDefault="009F4975" w:rsidP="00CF4F79">
      <w:pPr>
        <w:pStyle w:val="ListParagraph"/>
        <w:numPr>
          <w:ilvl w:val="0"/>
          <w:numId w:val="1"/>
        </w:numPr>
        <w:spacing w:after="120"/>
        <w:contextualSpacing w:val="0"/>
        <w:rPr>
          <w:sz w:val="22"/>
        </w:rPr>
      </w:pPr>
      <w:r w:rsidRPr="00C23847">
        <w:rPr>
          <w:sz w:val="22"/>
        </w:rPr>
        <w:t xml:space="preserve">Daily deposits to revenue account at </w:t>
      </w:r>
      <w:r w:rsidR="006B3D13" w:rsidRPr="00C23847">
        <w:rPr>
          <w:sz w:val="22"/>
        </w:rPr>
        <w:t>KCB</w:t>
      </w:r>
    </w:p>
    <w:p w14:paraId="507274CF" w14:textId="67BB7FAD" w:rsidR="009A4554" w:rsidRPr="00890A84" w:rsidRDefault="009F4975" w:rsidP="00BA6B2B">
      <w:pPr>
        <w:pStyle w:val="Heading5"/>
      </w:pPr>
      <w:r w:rsidRPr="00890A84">
        <w:t>P</w:t>
      </w:r>
      <w:r w:rsidR="004A04CE">
        <w:t>I</w:t>
      </w:r>
      <w:r w:rsidRPr="00890A84">
        <w:t>-21</w:t>
      </w:r>
      <w:r w:rsidR="006B3D13">
        <w:t>.</w:t>
      </w:r>
      <w:r w:rsidRPr="00890A84">
        <w:t xml:space="preserve"> </w:t>
      </w:r>
      <w:r w:rsidR="006B3D13">
        <w:t>P</w:t>
      </w:r>
      <w:r w:rsidRPr="00890A84">
        <w:t>redictability of in-year resource allocation</w:t>
      </w:r>
      <w:r w:rsidR="00514EE0" w:rsidRPr="00890A84">
        <w:t>(M1)</w:t>
      </w:r>
    </w:p>
    <w:p w14:paraId="51F8122C" w14:textId="1F1E0BC8" w:rsidR="009A4554" w:rsidRPr="00C23847" w:rsidRDefault="009F4975" w:rsidP="006B3D13">
      <w:pPr>
        <w:pStyle w:val="ListParagraph"/>
        <w:numPr>
          <w:ilvl w:val="0"/>
          <w:numId w:val="1"/>
        </w:numPr>
        <w:spacing w:after="120"/>
        <w:contextualSpacing w:val="0"/>
        <w:rPr>
          <w:sz w:val="22"/>
        </w:rPr>
      </w:pPr>
      <w:r w:rsidRPr="00C23847">
        <w:rPr>
          <w:sz w:val="22"/>
        </w:rPr>
        <w:t xml:space="preserve">Certificate of balances </w:t>
      </w:r>
      <w:r w:rsidR="00BC1180" w:rsidRPr="00C23847">
        <w:rPr>
          <w:sz w:val="22"/>
        </w:rPr>
        <w:t>June</w:t>
      </w:r>
      <w:r w:rsidR="006B3D13">
        <w:rPr>
          <w:sz w:val="22"/>
        </w:rPr>
        <w:t xml:space="preserve"> </w:t>
      </w:r>
      <w:r w:rsidR="006B3D13" w:rsidRPr="00C23847">
        <w:rPr>
          <w:sz w:val="22"/>
        </w:rPr>
        <w:t>30</w:t>
      </w:r>
      <w:r w:rsidRPr="00C23847">
        <w:rPr>
          <w:sz w:val="22"/>
        </w:rPr>
        <w:t>, 2016</w:t>
      </w:r>
    </w:p>
    <w:p w14:paraId="34DE0E2F" w14:textId="77777777" w:rsidR="009A4554" w:rsidRPr="00C23847" w:rsidRDefault="009F4975" w:rsidP="006B3D13">
      <w:pPr>
        <w:pStyle w:val="ListParagraph"/>
        <w:numPr>
          <w:ilvl w:val="0"/>
          <w:numId w:val="1"/>
        </w:numPr>
        <w:spacing w:after="120"/>
        <w:contextualSpacing w:val="0"/>
        <w:rPr>
          <w:sz w:val="22"/>
        </w:rPr>
      </w:pPr>
      <w:r w:rsidRPr="00C23847">
        <w:rPr>
          <w:sz w:val="22"/>
        </w:rPr>
        <w:t>List of bank accounts</w:t>
      </w:r>
    </w:p>
    <w:p w14:paraId="45D2DFA4" w14:textId="77777777" w:rsidR="009A4554" w:rsidRPr="00C23847" w:rsidRDefault="009F4975" w:rsidP="006B3D13">
      <w:pPr>
        <w:pStyle w:val="ListParagraph"/>
        <w:numPr>
          <w:ilvl w:val="0"/>
          <w:numId w:val="1"/>
        </w:numPr>
        <w:spacing w:after="120"/>
        <w:contextualSpacing w:val="0"/>
        <w:rPr>
          <w:sz w:val="22"/>
        </w:rPr>
      </w:pPr>
      <w:r w:rsidRPr="00C23847">
        <w:rPr>
          <w:sz w:val="22"/>
        </w:rPr>
        <w:t>Cash flow projections</w:t>
      </w:r>
    </w:p>
    <w:p w14:paraId="45DA63C1" w14:textId="1F877220" w:rsidR="009A4554" w:rsidRPr="00C23847" w:rsidRDefault="009F4975" w:rsidP="006B3D13">
      <w:pPr>
        <w:pStyle w:val="ListParagraph"/>
        <w:numPr>
          <w:ilvl w:val="0"/>
          <w:numId w:val="1"/>
        </w:numPr>
        <w:spacing w:after="120"/>
        <w:contextualSpacing w:val="0"/>
        <w:rPr>
          <w:sz w:val="22"/>
        </w:rPr>
      </w:pPr>
      <w:r w:rsidRPr="00C23847">
        <w:rPr>
          <w:sz w:val="22"/>
        </w:rPr>
        <w:t>Requisitions v</w:t>
      </w:r>
      <w:r w:rsidR="006B3D13">
        <w:rPr>
          <w:sz w:val="22"/>
        </w:rPr>
        <w:t>er</w:t>
      </w:r>
      <w:r w:rsidRPr="00C23847">
        <w:rPr>
          <w:sz w:val="22"/>
        </w:rPr>
        <w:t>s</w:t>
      </w:r>
      <w:r w:rsidR="006B3D13">
        <w:rPr>
          <w:sz w:val="22"/>
        </w:rPr>
        <w:t>us</w:t>
      </w:r>
      <w:r w:rsidRPr="00C23847">
        <w:rPr>
          <w:sz w:val="22"/>
        </w:rPr>
        <w:t xml:space="preserve"> cash balances</w:t>
      </w:r>
    </w:p>
    <w:p w14:paraId="6631C066" w14:textId="2A31FEFB" w:rsidR="009A4554" w:rsidRPr="00C23847" w:rsidRDefault="009F4975" w:rsidP="006B3D13">
      <w:pPr>
        <w:pStyle w:val="ListParagraph"/>
        <w:numPr>
          <w:ilvl w:val="0"/>
          <w:numId w:val="1"/>
        </w:numPr>
        <w:spacing w:after="120"/>
        <w:contextualSpacing w:val="0"/>
        <w:rPr>
          <w:sz w:val="22"/>
        </w:rPr>
      </w:pPr>
      <w:r w:rsidRPr="00C23847">
        <w:rPr>
          <w:sz w:val="22"/>
        </w:rPr>
        <w:t>2016</w:t>
      </w:r>
      <w:r w:rsidR="006B3D13">
        <w:rPr>
          <w:sz w:val="22"/>
        </w:rPr>
        <w:t>/</w:t>
      </w:r>
      <w:r w:rsidRPr="00C23847">
        <w:rPr>
          <w:sz w:val="22"/>
        </w:rPr>
        <w:t>17 budget</w:t>
      </w:r>
    </w:p>
    <w:p w14:paraId="1DAEE85E" w14:textId="77777777" w:rsidR="009A4554" w:rsidRPr="00C23847" w:rsidRDefault="00514EE0" w:rsidP="006B3D13">
      <w:pPr>
        <w:pStyle w:val="ListParagraph"/>
        <w:numPr>
          <w:ilvl w:val="0"/>
          <w:numId w:val="1"/>
        </w:numPr>
        <w:spacing w:after="120"/>
        <w:contextualSpacing w:val="0"/>
        <w:rPr>
          <w:sz w:val="22"/>
        </w:rPr>
      </w:pPr>
      <w:r w:rsidRPr="00C23847">
        <w:rPr>
          <w:sz w:val="22"/>
        </w:rPr>
        <w:t>CSFP</w:t>
      </w:r>
      <w:r w:rsidR="009F4975" w:rsidRPr="00C23847">
        <w:rPr>
          <w:sz w:val="22"/>
        </w:rPr>
        <w:t xml:space="preserve"> 2015</w:t>
      </w:r>
    </w:p>
    <w:p w14:paraId="5A15136C" w14:textId="77777777" w:rsidR="009A4554" w:rsidRPr="00C23847" w:rsidRDefault="00514EE0" w:rsidP="006B3D13">
      <w:pPr>
        <w:pStyle w:val="ListParagraph"/>
        <w:numPr>
          <w:ilvl w:val="0"/>
          <w:numId w:val="1"/>
        </w:numPr>
        <w:spacing w:after="120"/>
        <w:contextualSpacing w:val="0"/>
        <w:rPr>
          <w:sz w:val="22"/>
        </w:rPr>
      </w:pPr>
      <w:r w:rsidRPr="00C23847">
        <w:rPr>
          <w:sz w:val="22"/>
        </w:rPr>
        <w:t>CSFP</w:t>
      </w:r>
      <w:r w:rsidR="009F4975" w:rsidRPr="00C23847">
        <w:rPr>
          <w:sz w:val="22"/>
        </w:rPr>
        <w:t xml:space="preserve"> 2016</w:t>
      </w:r>
    </w:p>
    <w:p w14:paraId="7596F5B1" w14:textId="04D38C5E" w:rsidR="009A4554" w:rsidRPr="00C23847" w:rsidRDefault="009F4975" w:rsidP="006B3D13">
      <w:pPr>
        <w:pStyle w:val="ListParagraph"/>
        <w:numPr>
          <w:ilvl w:val="0"/>
          <w:numId w:val="1"/>
        </w:numPr>
        <w:spacing w:after="120"/>
        <w:contextualSpacing w:val="0"/>
        <w:rPr>
          <w:sz w:val="22"/>
        </w:rPr>
      </w:pPr>
      <w:r w:rsidRPr="00C23847">
        <w:rPr>
          <w:sz w:val="22"/>
        </w:rPr>
        <w:t xml:space="preserve">County </w:t>
      </w:r>
      <w:r w:rsidR="006B3D13" w:rsidRPr="00C23847">
        <w:rPr>
          <w:sz w:val="22"/>
        </w:rPr>
        <w:t>Appropriation Act</w:t>
      </w:r>
      <w:r w:rsidRPr="00C23847">
        <w:rPr>
          <w:sz w:val="22"/>
        </w:rPr>
        <w:t>, 2015</w:t>
      </w:r>
    </w:p>
    <w:p w14:paraId="3B5C70E0" w14:textId="42BC9451" w:rsidR="009A4554" w:rsidRPr="00C23847" w:rsidRDefault="009F4975" w:rsidP="006B3D13">
      <w:pPr>
        <w:pStyle w:val="ListParagraph"/>
        <w:numPr>
          <w:ilvl w:val="0"/>
          <w:numId w:val="1"/>
        </w:numPr>
        <w:spacing w:after="120"/>
        <w:contextualSpacing w:val="0"/>
        <w:rPr>
          <w:sz w:val="22"/>
        </w:rPr>
      </w:pPr>
      <w:r w:rsidRPr="00C23847">
        <w:rPr>
          <w:sz w:val="22"/>
        </w:rPr>
        <w:t xml:space="preserve">Final </w:t>
      </w:r>
      <w:r w:rsidR="00514EE0" w:rsidRPr="00C23847">
        <w:rPr>
          <w:sz w:val="22"/>
        </w:rPr>
        <w:t>CSFP</w:t>
      </w:r>
      <w:r w:rsidRPr="00C23847">
        <w:rPr>
          <w:sz w:val="22"/>
        </w:rPr>
        <w:t xml:space="preserve"> 2016</w:t>
      </w:r>
      <w:r w:rsidR="006B3D13">
        <w:rPr>
          <w:sz w:val="22"/>
        </w:rPr>
        <w:t>/</w:t>
      </w:r>
      <w:r w:rsidRPr="00C23847">
        <w:rPr>
          <w:sz w:val="22"/>
        </w:rPr>
        <w:t>17</w:t>
      </w:r>
    </w:p>
    <w:p w14:paraId="646318AA" w14:textId="77777777" w:rsidR="009A4554" w:rsidRPr="00C23847" w:rsidRDefault="009F4975" w:rsidP="006B3D13">
      <w:pPr>
        <w:pStyle w:val="ListParagraph"/>
        <w:numPr>
          <w:ilvl w:val="0"/>
          <w:numId w:val="1"/>
        </w:numPr>
        <w:spacing w:after="120"/>
        <w:contextualSpacing w:val="0"/>
        <w:rPr>
          <w:sz w:val="22"/>
        </w:rPr>
      </w:pPr>
      <w:r w:rsidRPr="00C23847">
        <w:rPr>
          <w:sz w:val="22"/>
        </w:rPr>
        <w:t xml:space="preserve">Forwarding letter for </w:t>
      </w:r>
      <w:r w:rsidR="00514EE0" w:rsidRPr="00C23847">
        <w:rPr>
          <w:sz w:val="22"/>
        </w:rPr>
        <w:t>CSFP</w:t>
      </w:r>
    </w:p>
    <w:p w14:paraId="48B6230D" w14:textId="0E4518E4" w:rsidR="009A4554" w:rsidRPr="00C23847" w:rsidRDefault="009F4975" w:rsidP="006B3D13">
      <w:pPr>
        <w:pStyle w:val="ListParagraph"/>
        <w:numPr>
          <w:ilvl w:val="0"/>
          <w:numId w:val="1"/>
        </w:numPr>
        <w:spacing w:after="120"/>
        <w:contextualSpacing w:val="0"/>
        <w:rPr>
          <w:sz w:val="22"/>
        </w:rPr>
      </w:pPr>
      <w:r w:rsidRPr="00C23847">
        <w:rPr>
          <w:sz w:val="22"/>
        </w:rPr>
        <w:t xml:space="preserve">Kajiado county final budget </w:t>
      </w:r>
      <w:r w:rsidR="006B3D13">
        <w:rPr>
          <w:sz w:val="22"/>
        </w:rPr>
        <w:t>20</w:t>
      </w:r>
      <w:r w:rsidRPr="00C23847">
        <w:rPr>
          <w:sz w:val="22"/>
        </w:rPr>
        <w:t>14</w:t>
      </w:r>
      <w:r w:rsidR="006B3D13">
        <w:rPr>
          <w:sz w:val="22"/>
        </w:rPr>
        <w:t>/</w:t>
      </w:r>
      <w:r w:rsidRPr="00C23847">
        <w:rPr>
          <w:sz w:val="22"/>
        </w:rPr>
        <w:t>15</w:t>
      </w:r>
    </w:p>
    <w:p w14:paraId="0E6B75C7" w14:textId="3F611A4B" w:rsidR="009A4554" w:rsidRPr="00C23847" w:rsidRDefault="009F4975" w:rsidP="006B3D13">
      <w:pPr>
        <w:pStyle w:val="ListParagraph"/>
        <w:numPr>
          <w:ilvl w:val="0"/>
          <w:numId w:val="1"/>
        </w:numPr>
        <w:spacing w:after="120"/>
        <w:contextualSpacing w:val="0"/>
        <w:rPr>
          <w:sz w:val="22"/>
        </w:rPr>
      </w:pPr>
      <w:r w:rsidRPr="00C23847">
        <w:rPr>
          <w:sz w:val="22"/>
        </w:rPr>
        <w:t>Requisitions v</w:t>
      </w:r>
      <w:r w:rsidR="006B3D13">
        <w:rPr>
          <w:sz w:val="22"/>
        </w:rPr>
        <w:t>er</w:t>
      </w:r>
      <w:r w:rsidRPr="00C23847">
        <w:rPr>
          <w:sz w:val="22"/>
        </w:rPr>
        <w:t>s</w:t>
      </w:r>
      <w:r w:rsidR="006B3D13">
        <w:rPr>
          <w:sz w:val="22"/>
        </w:rPr>
        <w:t>us</w:t>
      </w:r>
      <w:r w:rsidRPr="00C23847">
        <w:rPr>
          <w:sz w:val="22"/>
        </w:rPr>
        <w:t xml:space="preserve"> cash balances </w:t>
      </w:r>
    </w:p>
    <w:p w14:paraId="4B9214C8" w14:textId="234E2C51" w:rsidR="009A4554" w:rsidRPr="00C23847" w:rsidRDefault="009F4975" w:rsidP="006B3D13">
      <w:pPr>
        <w:pStyle w:val="ListParagraph"/>
        <w:numPr>
          <w:ilvl w:val="0"/>
          <w:numId w:val="1"/>
        </w:numPr>
        <w:spacing w:after="120"/>
        <w:contextualSpacing w:val="0"/>
        <w:rPr>
          <w:sz w:val="22"/>
        </w:rPr>
      </w:pPr>
      <w:r w:rsidRPr="00C23847">
        <w:rPr>
          <w:sz w:val="22"/>
        </w:rPr>
        <w:t xml:space="preserve">Copy of letter forwarding supplementary budget to the </w:t>
      </w:r>
      <w:r w:rsidR="00472154">
        <w:rPr>
          <w:sz w:val="22"/>
        </w:rPr>
        <w:t>C</w:t>
      </w:r>
      <w:r w:rsidRPr="00C23847">
        <w:rPr>
          <w:sz w:val="22"/>
        </w:rPr>
        <w:t xml:space="preserve">ounty </w:t>
      </w:r>
      <w:r w:rsidR="00472154">
        <w:rPr>
          <w:sz w:val="22"/>
        </w:rPr>
        <w:t>A</w:t>
      </w:r>
      <w:r w:rsidRPr="00C23847">
        <w:rPr>
          <w:sz w:val="22"/>
        </w:rPr>
        <w:t>ssembly</w:t>
      </w:r>
    </w:p>
    <w:p w14:paraId="3E340D0E" w14:textId="611F91DA" w:rsidR="009A4554" w:rsidRPr="00C23847" w:rsidRDefault="009F4975" w:rsidP="006B3D13">
      <w:pPr>
        <w:pStyle w:val="ListParagraph"/>
        <w:numPr>
          <w:ilvl w:val="0"/>
          <w:numId w:val="1"/>
        </w:numPr>
        <w:spacing w:after="120"/>
        <w:contextualSpacing w:val="0"/>
        <w:rPr>
          <w:sz w:val="22"/>
        </w:rPr>
      </w:pPr>
      <w:r w:rsidRPr="00C23847">
        <w:rPr>
          <w:sz w:val="22"/>
        </w:rPr>
        <w:t xml:space="preserve">County </w:t>
      </w:r>
      <w:r w:rsidR="006B3D13" w:rsidRPr="00C23847">
        <w:rPr>
          <w:sz w:val="22"/>
        </w:rPr>
        <w:t>Supplementary Appropriation Act</w:t>
      </w:r>
      <w:r w:rsidRPr="00C23847">
        <w:rPr>
          <w:sz w:val="22"/>
        </w:rPr>
        <w:t>, 2015</w:t>
      </w:r>
    </w:p>
    <w:p w14:paraId="6DE5A81A" w14:textId="77777777" w:rsidR="009A4554" w:rsidRPr="00C23847" w:rsidRDefault="009F4975" w:rsidP="006B3D13">
      <w:pPr>
        <w:pStyle w:val="ListParagraph"/>
        <w:numPr>
          <w:ilvl w:val="0"/>
          <w:numId w:val="1"/>
        </w:numPr>
        <w:spacing w:after="120"/>
        <w:contextualSpacing w:val="0"/>
        <w:rPr>
          <w:sz w:val="22"/>
        </w:rPr>
      </w:pPr>
      <w:r w:rsidRPr="00C23847">
        <w:rPr>
          <w:sz w:val="22"/>
        </w:rPr>
        <w:t xml:space="preserve">Forwarding letter for </w:t>
      </w:r>
      <w:r w:rsidR="00514EE0" w:rsidRPr="00C23847">
        <w:rPr>
          <w:sz w:val="22"/>
        </w:rPr>
        <w:t>CSFP</w:t>
      </w:r>
    </w:p>
    <w:p w14:paraId="1E6EDB5E" w14:textId="77777777" w:rsidR="009A4554" w:rsidRPr="00C23847" w:rsidRDefault="009F4975" w:rsidP="006B3D13">
      <w:pPr>
        <w:pStyle w:val="ListParagraph"/>
        <w:numPr>
          <w:ilvl w:val="0"/>
          <w:numId w:val="1"/>
        </w:numPr>
        <w:spacing w:after="120"/>
        <w:contextualSpacing w:val="0"/>
        <w:rPr>
          <w:sz w:val="22"/>
        </w:rPr>
      </w:pPr>
      <w:r w:rsidRPr="00C23847">
        <w:rPr>
          <w:sz w:val="22"/>
        </w:rPr>
        <w:t>Public hearing proposal</w:t>
      </w:r>
    </w:p>
    <w:p w14:paraId="1DE26A9C" w14:textId="77777777" w:rsidR="009A4554" w:rsidRPr="00C23847" w:rsidRDefault="009F4975" w:rsidP="006B3D13">
      <w:pPr>
        <w:pStyle w:val="ListParagraph"/>
        <w:numPr>
          <w:ilvl w:val="0"/>
          <w:numId w:val="1"/>
        </w:numPr>
        <w:spacing w:after="120"/>
        <w:contextualSpacing w:val="0"/>
        <w:rPr>
          <w:sz w:val="22"/>
        </w:rPr>
      </w:pPr>
      <w:r w:rsidRPr="00C23847">
        <w:rPr>
          <w:sz w:val="22"/>
        </w:rPr>
        <w:t>Public participation advert</w:t>
      </w:r>
    </w:p>
    <w:p w14:paraId="1220A4C3" w14:textId="77777777" w:rsidR="009A4554" w:rsidRPr="00C23847" w:rsidRDefault="009F4975" w:rsidP="006B3D13">
      <w:pPr>
        <w:pStyle w:val="ListParagraph"/>
        <w:numPr>
          <w:ilvl w:val="0"/>
          <w:numId w:val="1"/>
        </w:numPr>
        <w:spacing w:after="120"/>
        <w:contextualSpacing w:val="0"/>
        <w:rPr>
          <w:sz w:val="22"/>
        </w:rPr>
      </w:pPr>
      <w:r w:rsidRPr="00C23847">
        <w:rPr>
          <w:sz w:val="22"/>
        </w:rPr>
        <w:t>Supplementary budget 2015/16</w:t>
      </w:r>
    </w:p>
    <w:p w14:paraId="095D8843" w14:textId="570B775F" w:rsidR="009A4554" w:rsidRPr="00890A84" w:rsidRDefault="009F4975" w:rsidP="00BA6B2B">
      <w:pPr>
        <w:pStyle w:val="Heading5"/>
      </w:pPr>
      <w:r w:rsidRPr="00890A84">
        <w:t>P</w:t>
      </w:r>
      <w:r w:rsidR="004A04CE">
        <w:t>I</w:t>
      </w:r>
      <w:r w:rsidRPr="00890A84">
        <w:t>-22</w:t>
      </w:r>
      <w:r w:rsidR="006B3D13">
        <w:t>.</w:t>
      </w:r>
      <w:r w:rsidRPr="00890A84">
        <w:t xml:space="preserve"> </w:t>
      </w:r>
      <w:r w:rsidR="006B3D13">
        <w:t>E</w:t>
      </w:r>
      <w:r w:rsidRPr="00890A84">
        <w:t>xpenditure arrears</w:t>
      </w:r>
      <w:r w:rsidR="00514EE0" w:rsidRPr="00890A84">
        <w:t>(M1)</w:t>
      </w:r>
    </w:p>
    <w:p w14:paraId="64412763" w14:textId="6DEF60B5" w:rsidR="009A4554" w:rsidRPr="00C23847" w:rsidRDefault="009F4975" w:rsidP="006B3D13">
      <w:pPr>
        <w:pStyle w:val="ListParagraph"/>
        <w:numPr>
          <w:ilvl w:val="0"/>
          <w:numId w:val="1"/>
        </w:numPr>
        <w:spacing w:after="120"/>
        <w:contextualSpacing w:val="0"/>
        <w:rPr>
          <w:sz w:val="22"/>
        </w:rPr>
      </w:pPr>
      <w:r w:rsidRPr="00C23847">
        <w:rPr>
          <w:sz w:val="22"/>
        </w:rPr>
        <w:t>Financial statement for 2014</w:t>
      </w:r>
      <w:r w:rsidR="00472154">
        <w:rPr>
          <w:sz w:val="22"/>
        </w:rPr>
        <w:t>–</w:t>
      </w:r>
      <w:r w:rsidRPr="00C23847">
        <w:rPr>
          <w:sz w:val="22"/>
        </w:rPr>
        <w:t>15</w:t>
      </w:r>
    </w:p>
    <w:p w14:paraId="7D9C3AAC" w14:textId="5CB53BCB" w:rsidR="009A4554" w:rsidRPr="00890A84" w:rsidRDefault="009F4975" w:rsidP="00BA6B2B">
      <w:pPr>
        <w:pStyle w:val="Heading5"/>
      </w:pPr>
      <w:r w:rsidRPr="00890A84">
        <w:t>P</w:t>
      </w:r>
      <w:r w:rsidR="004A04CE">
        <w:t>I</w:t>
      </w:r>
      <w:r w:rsidRPr="00890A84">
        <w:t>-24</w:t>
      </w:r>
      <w:r w:rsidR="006B3D13">
        <w:t>.</w:t>
      </w:r>
      <w:r w:rsidRPr="00890A84">
        <w:t xml:space="preserve"> </w:t>
      </w:r>
      <w:r w:rsidR="006B3D13">
        <w:t>P</w:t>
      </w:r>
      <w:r w:rsidRPr="00890A84">
        <w:t>rocurement</w:t>
      </w:r>
      <w:r w:rsidR="00514EE0" w:rsidRPr="00890A84">
        <w:t>(M2)</w:t>
      </w:r>
    </w:p>
    <w:p w14:paraId="6D83D4F0" w14:textId="2FC3CFB6" w:rsidR="009A4554" w:rsidRPr="00C23847" w:rsidRDefault="009F4975" w:rsidP="006B3D13">
      <w:pPr>
        <w:pStyle w:val="ListParagraph"/>
        <w:numPr>
          <w:ilvl w:val="0"/>
          <w:numId w:val="1"/>
        </w:numPr>
        <w:spacing w:after="120"/>
        <w:contextualSpacing w:val="0"/>
        <w:rPr>
          <w:sz w:val="22"/>
        </w:rPr>
      </w:pPr>
      <w:r w:rsidRPr="00C23847">
        <w:rPr>
          <w:sz w:val="22"/>
        </w:rPr>
        <w:t>Contracts for 2013</w:t>
      </w:r>
      <w:r w:rsidR="006B3D13">
        <w:rPr>
          <w:sz w:val="22"/>
        </w:rPr>
        <w:t>–</w:t>
      </w:r>
      <w:r w:rsidRPr="00C23847">
        <w:rPr>
          <w:sz w:val="22"/>
        </w:rPr>
        <w:t>14</w:t>
      </w:r>
    </w:p>
    <w:p w14:paraId="758CF026" w14:textId="0604415A" w:rsidR="009A4554" w:rsidRPr="00C23847" w:rsidRDefault="009F4975" w:rsidP="006B3D13">
      <w:pPr>
        <w:pStyle w:val="ListParagraph"/>
        <w:numPr>
          <w:ilvl w:val="0"/>
          <w:numId w:val="1"/>
        </w:numPr>
        <w:spacing w:after="120"/>
        <w:contextualSpacing w:val="0"/>
        <w:rPr>
          <w:sz w:val="22"/>
        </w:rPr>
      </w:pPr>
      <w:r w:rsidRPr="00C23847">
        <w:rPr>
          <w:sz w:val="22"/>
        </w:rPr>
        <w:t>Contracts for 2014</w:t>
      </w:r>
      <w:r w:rsidR="006B3D13">
        <w:rPr>
          <w:sz w:val="22"/>
        </w:rPr>
        <w:t>–</w:t>
      </w:r>
      <w:r w:rsidRPr="00C23847">
        <w:rPr>
          <w:sz w:val="22"/>
        </w:rPr>
        <w:t>15</w:t>
      </w:r>
    </w:p>
    <w:p w14:paraId="3AE5D079" w14:textId="6C4BD111" w:rsidR="009A4554" w:rsidRPr="00C23847" w:rsidRDefault="009F4975" w:rsidP="006B3D13">
      <w:pPr>
        <w:pStyle w:val="ListParagraph"/>
        <w:numPr>
          <w:ilvl w:val="0"/>
          <w:numId w:val="1"/>
        </w:numPr>
        <w:spacing w:after="120"/>
        <w:contextualSpacing w:val="0"/>
        <w:rPr>
          <w:sz w:val="22"/>
        </w:rPr>
      </w:pPr>
      <w:r w:rsidRPr="00C23847">
        <w:rPr>
          <w:sz w:val="22"/>
        </w:rPr>
        <w:t>Contracts for 2014</w:t>
      </w:r>
      <w:r w:rsidR="006B3D13">
        <w:rPr>
          <w:sz w:val="22"/>
        </w:rPr>
        <w:t>–</w:t>
      </w:r>
      <w:r w:rsidRPr="00C23847">
        <w:rPr>
          <w:sz w:val="22"/>
        </w:rPr>
        <w:t>15</w:t>
      </w:r>
    </w:p>
    <w:p w14:paraId="1D7B96BD" w14:textId="33A05BEF" w:rsidR="009A4554" w:rsidRPr="00C23847" w:rsidRDefault="009F4975" w:rsidP="006B3D13">
      <w:pPr>
        <w:pStyle w:val="ListParagraph"/>
        <w:numPr>
          <w:ilvl w:val="0"/>
          <w:numId w:val="1"/>
        </w:numPr>
        <w:spacing w:after="120"/>
        <w:contextualSpacing w:val="0"/>
        <w:rPr>
          <w:sz w:val="22"/>
        </w:rPr>
      </w:pPr>
      <w:r w:rsidRPr="00C23847">
        <w:rPr>
          <w:sz w:val="22"/>
        </w:rPr>
        <w:t>Contracts for 2015</w:t>
      </w:r>
      <w:r w:rsidR="006B3D13">
        <w:rPr>
          <w:sz w:val="22"/>
        </w:rPr>
        <w:t>–</w:t>
      </w:r>
      <w:r w:rsidRPr="00C23847">
        <w:rPr>
          <w:sz w:val="22"/>
        </w:rPr>
        <w:t xml:space="preserve">16 </w:t>
      </w:r>
    </w:p>
    <w:p w14:paraId="29528FE7" w14:textId="29F3A2E3" w:rsidR="009A4554" w:rsidRPr="00C23847" w:rsidRDefault="009F4975" w:rsidP="006B3D13">
      <w:pPr>
        <w:pStyle w:val="ListParagraph"/>
        <w:numPr>
          <w:ilvl w:val="0"/>
          <w:numId w:val="1"/>
        </w:numPr>
        <w:spacing w:after="120"/>
        <w:contextualSpacing w:val="0"/>
        <w:rPr>
          <w:sz w:val="22"/>
        </w:rPr>
      </w:pPr>
      <w:r w:rsidRPr="00C23847">
        <w:rPr>
          <w:sz w:val="22"/>
        </w:rPr>
        <w:t>Contracts for 2015</w:t>
      </w:r>
      <w:r w:rsidR="006B3D13">
        <w:rPr>
          <w:sz w:val="22"/>
        </w:rPr>
        <w:t>–</w:t>
      </w:r>
      <w:r w:rsidRPr="00C23847">
        <w:rPr>
          <w:sz w:val="22"/>
        </w:rPr>
        <w:t xml:space="preserve">16 </w:t>
      </w:r>
    </w:p>
    <w:p w14:paraId="5F675015" w14:textId="257B6E49" w:rsidR="009A4554" w:rsidRPr="00890A84" w:rsidRDefault="009F4975" w:rsidP="00BA6B2B">
      <w:pPr>
        <w:pStyle w:val="Heading5"/>
      </w:pPr>
      <w:r w:rsidRPr="00890A84">
        <w:t>P</w:t>
      </w:r>
      <w:r w:rsidR="004A04CE">
        <w:t>I</w:t>
      </w:r>
      <w:r w:rsidRPr="00890A84">
        <w:t>-25</w:t>
      </w:r>
      <w:r w:rsidR="006B3D13">
        <w:t>.</w:t>
      </w:r>
      <w:r w:rsidRPr="00890A84">
        <w:t xml:space="preserve"> </w:t>
      </w:r>
      <w:r w:rsidR="006B3D13">
        <w:t>I</w:t>
      </w:r>
      <w:r w:rsidRPr="00890A84">
        <w:t>nternal controls on non-salary expenditure</w:t>
      </w:r>
      <w:r w:rsidR="00514EE0" w:rsidRPr="00890A84">
        <w:t>(M2)</w:t>
      </w:r>
    </w:p>
    <w:p w14:paraId="19781431" w14:textId="2DF6E01F" w:rsidR="009A4554" w:rsidRPr="00C23847" w:rsidRDefault="009F4975" w:rsidP="006B3D13">
      <w:pPr>
        <w:pStyle w:val="ListParagraph"/>
        <w:numPr>
          <w:ilvl w:val="0"/>
          <w:numId w:val="1"/>
        </w:numPr>
        <w:spacing w:after="120"/>
        <w:contextualSpacing w:val="0"/>
        <w:rPr>
          <w:sz w:val="22"/>
        </w:rPr>
      </w:pPr>
      <w:r w:rsidRPr="00C23847">
        <w:rPr>
          <w:sz w:val="22"/>
        </w:rPr>
        <w:t xml:space="preserve">Audit </w:t>
      </w:r>
      <w:r w:rsidR="006B3D13" w:rsidRPr="00C23847">
        <w:rPr>
          <w:sz w:val="22"/>
        </w:rPr>
        <w:t>Report Revenue</w:t>
      </w:r>
    </w:p>
    <w:p w14:paraId="2EAB581F" w14:textId="0B429F52" w:rsidR="009A4554" w:rsidRPr="00C23847" w:rsidRDefault="009F4975" w:rsidP="006B3D13">
      <w:pPr>
        <w:pStyle w:val="ListParagraph"/>
        <w:numPr>
          <w:ilvl w:val="0"/>
          <w:numId w:val="1"/>
        </w:numPr>
        <w:spacing w:after="120"/>
        <w:contextualSpacing w:val="0"/>
        <w:rPr>
          <w:sz w:val="22"/>
        </w:rPr>
      </w:pPr>
      <w:r w:rsidRPr="00C23847">
        <w:rPr>
          <w:sz w:val="22"/>
        </w:rPr>
        <w:t xml:space="preserve">Auditor </w:t>
      </w:r>
      <w:r w:rsidR="006B3D13" w:rsidRPr="00C23847">
        <w:rPr>
          <w:sz w:val="22"/>
        </w:rPr>
        <w:t xml:space="preserve">General Report </w:t>
      </w:r>
      <w:r w:rsidRPr="00C23847">
        <w:rPr>
          <w:sz w:val="22"/>
        </w:rPr>
        <w:t>2014</w:t>
      </w:r>
      <w:r w:rsidR="006B3D13">
        <w:rPr>
          <w:sz w:val="22"/>
        </w:rPr>
        <w:t>–</w:t>
      </w:r>
      <w:r w:rsidRPr="00C23847">
        <w:rPr>
          <w:sz w:val="22"/>
        </w:rPr>
        <w:t>2015</w:t>
      </w:r>
    </w:p>
    <w:p w14:paraId="7E605933" w14:textId="77777777" w:rsidR="009A4554" w:rsidRPr="00C23847" w:rsidRDefault="009F4975" w:rsidP="006B3D13">
      <w:pPr>
        <w:pStyle w:val="ListParagraph"/>
        <w:numPr>
          <w:ilvl w:val="0"/>
          <w:numId w:val="1"/>
        </w:numPr>
        <w:spacing w:after="120"/>
        <w:contextualSpacing w:val="0"/>
        <w:rPr>
          <w:sz w:val="22"/>
        </w:rPr>
      </w:pPr>
      <w:r w:rsidRPr="00C23847">
        <w:rPr>
          <w:sz w:val="22"/>
        </w:rPr>
        <w:t>Cash flow projections</w:t>
      </w:r>
    </w:p>
    <w:p w14:paraId="514B05B8" w14:textId="15E6B421" w:rsidR="009A4554" w:rsidRPr="00C23847" w:rsidRDefault="009F4975" w:rsidP="006B3D13">
      <w:pPr>
        <w:pStyle w:val="ListParagraph"/>
        <w:numPr>
          <w:ilvl w:val="0"/>
          <w:numId w:val="1"/>
        </w:numPr>
        <w:spacing w:after="120"/>
        <w:contextualSpacing w:val="0"/>
        <w:rPr>
          <w:sz w:val="22"/>
        </w:rPr>
      </w:pPr>
      <w:r w:rsidRPr="00C23847">
        <w:rPr>
          <w:sz w:val="22"/>
        </w:rPr>
        <w:t xml:space="preserve">Emergency </w:t>
      </w:r>
      <w:r w:rsidR="006B3D13" w:rsidRPr="00C23847">
        <w:rPr>
          <w:sz w:val="22"/>
        </w:rPr>
        <w:t>Fund</w:t>
      </w:r>
      <w:r w:rsidRPr="00C23847">
        <w:rPr>
          <w:sz w:val="22"/>
        </w:rPr>
        <w:t xml:space="preserve"> 2015.2016 </w:t>
      </w:r>
      <w:r w:rsidR="006B3D13" w:rsidRPr="00C23847">
        <w:rPr>
          <w:sz w:val="22"/>
        </w:rPr>
        <w:t>Exp</w:t>
      </w:r>
      <w:r w:rsidR="006B3D13">
        <w:rPr>
          <w:sz w:val="22"/>
        </w:rPr>
        <w:t>enditure</w:t>
      </w:r>
      <w:r w:rsidRPr="00C23847">
        <w:rPr>
          <w:sz w:val="22"/>
        </w:rPr>
        <w:t xml:space="preserve"> Report</w:t>
      </w:r>
    </w:p>
    <w:p w14:paraId="462737FD" w14:textId="31CA5870" w:rsidR="009A4554" w:rsidRPr="00C23847" w:rsidRDefault="009F4975" w:rsidP="006B3D13">
      <w:pPr>
        <w:pStyle w:val="ListParagraph"/>
        <w:numPr>
          <w:ilvl w:val="0"/>
          <w:numId w:val="1"/>
        </w:numPr>
        <w:spacing w:after="120"/>
        <w:contextualSpacing w:val="0"/>
        <w:rPr>
          <w:sz w:val="22"/>
        </w:rPr>
      </w:pPr>
      <w:r w:rsidRPr="00C23847">
        <w:rPr>
          <w:sz w:val="22"/>
        </w:rPr>
        <w:t xml:space="preserve">Emergency </w:t>
      </w:r>
      <w:r w:rsidR="006B3D13" w:rsidRPr="00C23847">
        <w:rPr>
          <w:sz w:val="22"/>
        </w:rPr>
        <w:t>Fund Expe</w:t>
      </w:r>
      <w:r w:rsidR="006B3D13">
        <w:rPr>
          <w:sz w:val="22"/>
        </w:rPr>
        <w:t>nditure</w:t>
      </w:r>
      <w:r w:rsidR="006B3D13" w:rsidRPr="00C23847">
        <w:rPr>
          <w:sz w:val="22"/>
        </w:rPr>
        <w:t xml:space="preserve"> </w:t>
      </w:r>
      <w:r w:rsidRPr="00C23847">
        <w:rPr>
          <w:sz w:val="22"/>
        </w:rPr>
        <w:t>Report for 2013</w:t>
      </w:r>
      <w:r w:rsidR="006B3D13">
        <w:rPr>
          <w:sz w:val="22"/>
        </w:rPr>
        <w:t>–</w:t>
      </w:r>
      <w:r w:rsidRPr="00C23847">
        <w:rPr>
          <w:sz w:val="22"/>
        </w:rPr>
        <w:t>2014</w:t>
      </w:r>
      <w:r w:rsidR="006B3D13">
        <w:rPr>
          <w:sz w:val="22"/>
        </w:rPr>
        <w:t>–</w:t>
      </w:r>
      <w:r w:rsidRPr="00C23847">
        <w:rPr>
          <w:sz w:val="22"/>
        </w:rPr>
        <w:t>2015</w:t>
      </w:r>
    </w:p>
    <w:p w14:paraId="699BBE13" w14:textId="6714E787" w:rsidR="009A4554" w:rsidRPr="00C23847" w:rsidRDefault="006B3D13" w:rsidP="006B3D13">
      <w:pPr>
        <w:pStyle w:val="ListParagraph"/>
        <w:numPr>
          <w:ilvl w:val="0"/>
          <w:numId w:val="1"/>
        </w:numPr>
        <w:spacing w:after="120"/>
        <w:contextualSpacing w:val="0"/>
        <w:rPr>
          <w:sz w:val="22"/>
        </w:rPr>
      </w:pPr>
      <w:r w:rsidRPr="00C23847">
        <w:rPr>
          <w:sz w:val="22"/>
        </w:rPr>
        <w:t>PFM R</w:t>
      </w:r>
      <w:r w:rsidR="009F4975" w:rsidRPr="00C23847">
        <w:rPr>
          <w:sz w:val="22"/>
        </w:rPr>
        <w:t>egulations 2015</w:t>
      </w:r>
    </w:p>
    <w:p w14:paraId="16D7BE97" w14:textId="7F86BA53" w:rsidR="009A4554" w:rsidRPr="00C23847" w:rsidRDefault="009F4975" w:rsidP="006B3D13">
      <w:pPr>
        <w:pStyle w:val="ListParagraph"/>
        <w:numPr>
          <w:ilvl w:val="0"/>
          <w:numId w:val="1"/>
        </w:numPr>
        <w:spacing w:after="120"/>
        <w:contextualSpacing w:val="0"/>
        <w:rPr>
          <w:sz w:val="22"/>
        </w:rPr>
      </w:pPr>
      <w:r w:rsidRPr="00C23847">
        <w:rPr>
          <w:sz w:val="22"/>
        </w:rPr>
        <w:t xml:space="preserve">Public </w:t>
      </w:r>
      <w:r w:rsidR="006B3D13" w:rsidRPr="00C23847">
        <w:rPr>
          <w:sz w:val="22"/>
        </w:rPr>
        <w:t>Finance Management Act</w:t>
      </w:r>
      <w:r w:rsidR="006B3D13">
        <w:rPr>
          <w:sz w:val="22"/>
        </w:rPr>
        <w:t>,</w:t>
      </w:r>
      <w:r w:rsidR="006B3D13" w:rsidRPr="00C23847">
        <w:rPr>
          <w:sz w:val="22"/>
        </w:rPr>
        <w:t xml:space="preserve"> </w:t>
      </w:r>
      <w:r w:rsidRPr="00C23847">
        <w:rPr>
          <w:sz w:val="22"/>
        </w:rPr>
        <w:t>2012</w:t>
      </w:r>
    </w:p>
    <w:p w14:paraId="6DB7589B" w14:textId="77777777" w:rsidR="009A4554" w:rsidRPr="00C23847" w:rsidRDefault="009F4975" w:rsidP="006B3D13">
      <w:pPr>
        <w:pStyle w:val="ListParagraph"/>
        <w:numPr>
          <w:ilvl w:val="0"/>
          <w:numId w:val="1"/>
        </w:numPr>
        <w:spacing w:after="120"/>
        <w:contextualSpacing w:val="0"/>
        <w:rPr>
          <w:sz w:val="22"/>
        </w:rPr>
      </w:pPr>
      <w:r w:rsidRPr="00C23847">
        <w:rPr>
          <w:sz w:val="22"/>
        </w:rPr>
        <w:t>Sample payment voucher to show approval process</w:t>
      </w:r>
    </w:p>
    <w:p w14:paraId="2DCF2387" w14:textId="61478171" w:rsidR="009A4554" w:rsidRPr="00890A84" w:rsidRDefault="009F4975" w:rsidP="00BA6B2B">
      <w:pPr>
        <w:pStyle w:val="Heading5"/>
      </w:pPr>
      <w:r w:rsidRPr="00890A84">
        <w:t>P</w:t>
      </w:r>
      <w:r w:rsidR="004A04CE">
        <w:t>I</w:t>
      </w:r>
      <w:r w:rsidRPr="00890A84">
        <w:t>-26</w:t>
      </w:r>
      <w:r w:rsidR="006B3D13">
        <w:t>.</w:t>
      </w:r>
      <w:r w:rsidRPr="00890A84">
        <w:t xml:space="preserve"> </w:t>
      </w:r>
      <w:r w:rsidR="006B3D13">
        <w:t>I</w:t>
      </w:r>
      <w:r w:rsidRPr="00890A84">
        <w:t>nternal audit</w:t>
      </w:r>
      <w:r w:rsidR="00514EE0" w:rsidRPr="00890A84">
        <w:t>(M1)</w:t>
      </w:r>
    </w:p>
    <w:p w14:paraId="7E92B733" w14:textId="6C2E0412" w:rsidR="009A4554" w:rsidRPr="00C23847" w:rsidRDefault="009F4975" w:rsidP="006B3D13">
      <w:pPr>
        <w:pStyle w:val="ListParagraph"/>
        <w:numPr>
          <w:ilvl w:val="0"/>
          <w:numId w:val="1"/>
        </w:numPr>
        <w:spacing w:after="120"/>
        <w:contextualSpacing w:val="0"/>
        <w:rPr>
          <w:sz w:val="22"/>
        </w:rPr>
      </w:pPr>
      <w:r w:rsidRPr="00C23847">
        <w:rPr>
          <w:sz w:val="22"/>
        </w:rPr>
        <w:t xml:space="preserve">Kajiado </w:t>
      </w:r>
      <w:r w:rsidR="006B3D13" w:rsidRPr="00C23847">
        <w:rPr>
          <w:sz w:val="22"/>
        </w:rPr>
        <w:t>County Assembly</w:t>
      </w:r>
    </w:p>
    <w:p w14:paraId="5D8B1277" w14:textId="2533A8AD" w:rsidR="009A4554" w:rsidRPr="00C23847" w:rsidRDefault="009F4975" w:rsidP="006B3D13">
      <w:pPr>
        <w:pStyle w:val="ListParagraph"/>
        <w:numPr>
          <w:ilvl w:val="0"/>
          <w:numId w:val="1"/>
        </w:numPr>
        <w:spacing w:after="120"/>
        <w:contextualSpacing w:val="0"/>
        <w:rPr>
          <w:sz w:val="22"/>
        </w:rPr>
      </w:pPr>
      <w:r w:rsidRPr="00C23847">
        <w:rPr>
          <w:sz w:val="22"/>
        </w:rPr>
        <w:t>Audit reports-</w:t>
      </w:r>
      <w:r w:rsidR="00514EE0" w:rsidRPr="00C23847">
        <w:rPr>
          <w:sz w:val="22"/>
        </w:rPr>
        <w:t>Kajiado</w:t>
      </w:r>
      <w:r w:rsidRPr="00C23847">
        <w:rPr>
          <w:sz w:val="22"/>
        </w:rPr>
        <w:t xml:space="preserve"> </w:t>
      </w:r>
      <w:r w:rsidR="006B3D13" w:rsidRPr="00C23847">
        <w:rPr>
          <w:sz w:val="22"/>
        </w:rPr>
        <w:t>A</w:t>
      </w:r>
      <w:r w:rsidRPr="00C23847">
        <w:rPr>
          <w:sz w:val="22"/>
        </w:rPr>
        <w:t>ssembly</w:t>
      </w:r>
    </w:p>
    <w:p w14:paraId="3B5051A6" w14:textId="59FF6AEC" w:rsidR="009A4554" w:rsidRPr="00C23847" w:rsidRDefault="009F4975" w:rsidP="006B3D13">
      <w:pPr>
        <w:pStyle w:val="ListParagraph"/>
        <w:numPr>
          <w:ilvl w:val="0"/>
          <w:numId w:val="1"/>
        </w:numPr>
        <w:spacing w:after="120"/>
        <w:contextualSpacing w:val="0"/>
        <w:rPr>
          <w:sz w:val="22"/>
        </w:rPr>
      </w:pPr>
      <w:r w:rsidRPr="00C23847">
        <w:rPr>
          <w:sz w:val="22"/>
        </w:rPr>
        <w:t>Audit report response -</w:t>
      </w:r>
      <w:r w:rsidR="006B3D13">
        <w:rPr>
          <w:sz w:val="22"/>
        </w:rPr>
        <w:t xml:space="preserve"> </w:t>
      </w:r>
      <w:r w:rsidR="006B3D13" w:rsidRPr="00C23847">
        <w:rPr>
          <w:sz w:val="22"/>
        </w:rPr>
        <w:t>CLP</w:t>
      </w:r>
    </w:p>
    <w:p w14:paraId="13590ECC" w14:textId="33373384" w:rsidR="009A4554" w:rsidRPr="00C23847" w:rsidRDefault="009F4975" w:rsidP="006B3D13">
      <w:pPr>
        <w:pStyle w:val="ListParagraph"/>
        <w:numPr>
          <w:ilvl w:val="0"/>
          <w:numId w:val="1"/>
        </w:numPr>
        <w:spacing w:after="120"/>
        <w:contextualSpacing w:val="0"/>
        <w:rPr>
          <w:sz w:val="22"/>
        </w:rPr>
      </w:pPr>
      <w:r w:rsidRPr="00C23847">
        <w:rPr>
          <w:sz w:val="22"/>
        </w:rPr>
        <w:t xml:space="preserve">Audit </w:t>
      </w:r>
      <w:r w:rsidR="006B3D13">
        <w:rPr>
          <w:sz w:val="22"/>
        </w:rPr>
        <w:t>R</w:t>
      </w:r>
      <w:r w:rsidRPr="00C23847">
        <w:rPr>
          <w:sz w:val="22"/>
        </w:rPr>
        <w:t>eport</w:t>
      </w:r>
      <w:r w:rsidR="006B3D13">
        <w:rPr>
          <w:sz w:val="22"/>
        </w:rPr>
        <w:t xml:space="preserve"> </w:t>
      </w:r>
      <w:r w:rsidRPr="00C23847">
        <w:rPr>
          <w:sz w:val="22"/>
        </w:rPr>
        <w:t xml:space="preserve">- </w:t>
      </w:r>
      <w:r w:rsidR="006B3D13">
        <w:rPr>
          <w:sz w:val="22"/>
        </w:rPr>
        <w:t>S</w:t>
      </w:r>
      <w:r w:rsidRPr="00C23847">
        <w:rPr>
          <w:sz w:val="22"/>
        </w:rPr>
        <w:t>ergeants</w:t>
      </w:r>
    </w:p>
    <w:p w14:paraId="5A995225" w14:textId="67C0142F" w:rsidR="009A4554" w:rsidRPr="00C23847" w:rsidRDefault="009F4975" w:rsidP="006B3D13">
      <w:pPr>
        <w:pStyle w:val="ListParagraph"/>
        <w:numPr>
          <w:ilvl w:val="0"/>
          <w:numId w:val="1"/>
        </w:numPr>
        <w:spacing w:after="120"/>
        <w:contextualSpacing w:val="0"/>
        <w:rPr>
          <w:sz w:val="22"/>
        </w:rPr>
      </w:pPr>
      <w:r w:rsidRPr="00C23847">
        <w:rPr>
          <w:sz w:val="22"/>
        </w:rPr>
        <w:t xml:space="preserve">Car </w:t>
      </w:r>
      <w:r w:rsidR="006B3D13" w:rsidRPr="00C23847">
        <w:rPr>
          <w:sz w:val="22"/>
        </w:rPr>
        <w:t>Loan and Mortgage Audit Report</w:t>
      </w:r>
      <w:r w:rsidR="006B3D13">
        <w:rPr>
          <w:sz w:val="22"/>
        </w:rPr>
        <w:t xml:space="preserve"> </w:t>
      </w:r>
      <w:r w:rsidRPr="00C23847">
        <w:rPr>
          <w:sz w:val="22"/>
        </w:rPr>
        <w:t>-</w:t>
      </w:r>
      <w:r w:rsidR="006B3D13">
        <w:rPr>
          <w:sz w:val="22"/>
        </w:rPr>
        <w:t xml:space="preserve"> </w:t>
      </w:r>
      <w:r w:rsidRPr="00C23847">
        <w:rPr>
          <w:sz w:val="22"/>
        </w:rPr>
        <w:t>2015</w:t>
      </w:r>
      <w:r w:rsidR="006B3D13">
        <w:rPr>
          <w:sz w:val="22"/>
        </w:rPr>
        <w:t>–</w:t>
      </w:r>
      <w:r w:rsidRPr="00C23847">
        <w:rPr>
          <w:sz w:val="22"/>
        </w:rPr>
        <w:t>2016</w:t>
      </w:r>
    </w:p>
    <w:p w14:paraId="46F12B76" w14:textId="4ED348FB" w:rsidR="009A4554" w:rsidRPr="00C23847" w:rsidRDefault="006B3D13" w:rsidP="006B3D13">
      <w:pPr>
        <w:pStyle w:val="ListParagraph"/>
        <w:numPr>
          <w:ilvl w:val="0"/>
          <w:numId w:val="1"/>
        </w:numPr>
        <w:spacing w:after="120"/>
        <w:contextualSpacing w:val="0"/>
        <w:rPr>
          <w:sz w:val="22"/>
        </w:rPr>
      </w:pPr>
      <w:r w:rsidRPr="00C23847">
        <w:rPr>
          <w:sz w:val="22"/>
        </w:rPr>
        <w:t>Finance Audit Report</w:t>
      </w:r>
      <w:r>
        <w:rPr>
          <w:sz w:val="22"/>
        </w:rPr>
        <w:t xml:space="preserve"> </w:t>
      </w:r>
      <w:r w:rsidR="009F4975" w:rsidRPr="00C23847">
        <w:rPr>
          <w:sz w:val="22"/>
        </w:rPr>
        <w:t>-</w:t>
      </w:r>
      <w:r>
        <w:rPr>
          <w:sz w:val="22"/>
        </w:rPr>
        <w:t xml:space="preserve"> </w:t>
      </w:r>
      <w:r w:rsidR="009F4975" w:rsidRPr="00C23847">
        <w:rPr>
          <w:sz w:val="22"/>
        </w:rPr>
        <w:t>2015</w:t>
      </w:r>
      <w:r>
        <w:rPr>
          <w:sz w:val="22"/>
        </w:rPr>
        <w:t>–</w:t>
      </w:r>
      <w:r w:rsidR="009F4975" w:rsidRPr="00C23847">
        <w:rPr>
          <w:sz w:val="22"/>
        </w:rPr>
        <w:t>2016</w:t>
      </w:r>
    </w:p>
    <w:p w14:paraId="2D1D156D" w14:textId="0C1808E6" w:rsidR="009A4554" w:rsidRPr="00C23847" w:rsidRDefault="009F4975" w:rsidP="006B3D13">
      <w:pPr>
        <w:pStyle w:val="ListParagraph"/>
        <w:numPr>
          <w:ilvl w:val="0"/>
          <w:numId w:val="1"/>
        </w:numPr>
        <w:spacing w:after="120"/>
        <w:contextualSpacing w:val="0"/>
        <w:rPr>
          <w:sz w:val="22"/>
        </w:rPr>
      </w:pPr>
      <w:r w:rsidRPr="00C23847">
        <w:rPr>
          <w:sz w:val="22"/>
        </w:rPr>
        <w:t xml:space="preserve">Hansard </w:t>
      </w:r>
      <w:r w:rsidR="006B3D13" w:rsidRPr="00C23847">
        <w:rPr>
          <w:sz w:val="22"/>
        </w:rPr>
        <w:t>Audit Report</w:t>
      </w:r>
    </w:p>
    <w:p w14:paraId="4FCBBBFB" w14:textId="1AA3B355" w:rsidR="009A4554" w:rsidRPr="00C23847" w:rsidRDefault="009F4975" w:rsidP="006B3D13">
      <w:pPr>
        <w:pStyle w:val="ListParagraph"/>
        <w:numPr>
          <w:ilvl w:val="0"/>
          <w:numId w:val="1"/>
        </w:numPr>
        <w:spacing w:after="120"/>
        <w:contextualSpacing w:val="0"/>
        <w:rPr>
          <w:sz w:val="22"/>
        </w:rPr>
      </w:pPr>
      <w:r w:rsidRPr="00C23847">
        <w:rPr>
          <w:sz w:val="22"/>
        </w:rPr>
        <w:t>I</w:t>
      </w:r>
      <w:r w:rsidR="004A04CE">
        <w:rPr>
          <w:sz w:val="22"/>
        </w:rPr>
        <w:t>CT</w:t>
      </w:r>
      <w:r w:rsidRPr="00C23847">
        <w:rPr>
          <w:sz w:val="22"/>
        </w:rPr>
        <w:t xml:space="preserve"> </w:t>
      </w:r>
      <w:r w:rsidR="006B3D13" w:rsidRPr="00C23847">
        <w:rPr>
          <w:sz w:val="22"/>
        </w:rPr>
        <w:t>Audit Report</w:t>
      </w:r>
    </w:p>
    <w:p w14:paraId="55F76DAA" w14:textId="152377CF" w:rsidR="009A4554" w:rsidRPr="00C23847" w:rsidRDefault="009F4975" w:rsidP="006B3D13">
      <w:pPr>
        <w:pStyle w:val="ListParagraph"/>
        <w:numPr>
          <w:ilvl w:val="0"/>
          <w:numId w:val="1"/>
        </w:numPr>
        <w:spacing w:after="120"/>
        <w:contextualSpacing w:val="0"/>
        <w:rPr>
          <w:sz w:val="22"/>
        </w:rPr>
      </w:pPr>
      <w:r w:rsidRPr="00C23847">
        <w:rPr>
          <w:sz w:val="22"/>
        </w:rPr>
        <w:t xml:space="preserve">Report </w:t>
      </w:r>
      <w:r w:rsidR="006B3D13" w:rsidRPr="00C23847">
        <w:rPr>
          <w:sz w:val="22"/>
        </w:rPr>
        <w:t>Human Resource M</w:t>
      </w:r>
      <w:r w:rsidR="006B3D13">
        <w:rPr>
          <w:sz w:val="22"/>
        </w:rPr>
        <w:t>anagemen</w:t>
      </w:r>
      <w:r w:rsidR="006B3D13" w:rsidRPr="00C23847">
        <w:rPr>
          <w:sz w:val="22"/>
        </w:rPr>
        <w:t>t Audit</w:t>
      </w:r>
    </w:p>
    <w:p w14:paraId="1036F8AA" w14:textId="42DE2472" w:rsidR="009A4554" w:rsidRPr="00C23847" w:rsidRDefault="006B3D13" w:rsidP="006B3D13">
      <w:pPr>
        <w:pStyle w:val="ListParagraph"/>
        <w:numPr>
          <w:ilvl w:val="0"/>
          <w:numId w:val="1"/>
        </w:numPr>
        <w:spacing w:after="120"/>
        <w:contextualSpacing w:val="0"/>
        <w:rPr>
          <w:sz w:val="22"/>
        </w:rPr>
      </w:pPr>
      <w:r w:rsidRPr="00C23847">
        <w:rPr>
          <w:sz w:val="22"/>
        </w:rPr>
        <w:t>Research Services Audit Report</w:t>
      </w:r>
    </w:p>
    <w:p w14:paraId="27EE466F" w14:textId="1CC2987E" w:rsidR="009A4554" w:rsidRPr="00C23847" w:rsidRDefault="009F4975" w:rsidP="006B3D13">
      <w:pPr>
        <w:pStyle w:val="ListParagraph"/>
        <w:numPr>
          <w:ilvl w:val="0"/>
          <w:numId w:val="1"/>
        </w:numPr>
        <w:spacing w:after="120"/>
        <w:contextualSpacing w:val="0"/>
        <w:rPr>
          <w:sz w:val="22"/>
        </w:rPr>
      </w:pPr>
      <w:r w:rsidRPr="00C23847">
        <w:rPr>
          <w:sz w:val="22"/>
        </w:rPr>
        <w:t xml:space="preserve">Ward </w:t>
      </w:r>
      <w:r w:rsidR="006B3D13" w:rsidRPr="00C23847">
        <w:rPr>
          <w:sz w:val="22"/>
        </w:rPr>
        <w:t>Offices Audit Report</w:t>
      </w:r>
      <w:r w:rsidR="006B3D13">
        <w:rPr>
          <w:sz w:val="22"/>
        </w:rPr>
        <w:t xml:space="preserve"> </w:t>
      </w:r>
      <w:r w:rsidRPr="00C23847">
        <w:rPr>
          <w:sz w:val="22"/>
        </w:rPr>
        <w:t>-</w:t>
      </w:r>
      <w:r w:rsidR="006B3D13">
        <w:rPr>
          <w:sz w:val="22"/>
        </w:rPr>
        <w:t xml:space="preserve"> </w:t>
      </w:r>
      <w:r w:rsidR="00472154" w:rsidRPr="00C23847">
        <w:rPr>
          <w:sz w:val="22"/>
        </w:rPr>
        <w:t>A</w:t>
      </w:r>
      <w:r w:rsidRPr="00C23847">
        <w:rPr>
          <w:sz w:val="22"/>
        </w:rPr>
        <w:t>mended</w:t>
      </w:r>
    </w:p>
    <w:p w14:paraId="7B10DE65" w14:textId="0CB7EEF5" w:rsidR="009A4554" w:rsidRPr="00C23847" w:rsidRDefault="009F4975" w:rsidP="006B3D13">
      <w:pPr>
        <w:pStyle w:val="ListParagraph"/>
        <w:numPr>
          <w:ilvl w:val="0"/>
          <w:numId w:val="1"/>
        </w:numPr>
        <w:spacing w:after="120"/>
        <w:contextualSpacing w:val="0"/>
        <w:rPr>
          <w:sz w:val="22"/>
        </w:rPr>
      </w:pPr>
      <w:r w:rsidRPr="00C23847">
        <w:rPr>
          <w:sz w:val="22"/>
        </w:rPr>
        <w:t>Annual work plan 2015</w:t>
      </w:r>
      <w:r w:rsidR="00472154">
        <w:rPr>
          <w:sz w:val="22"/>
        </w:rPr>
        <w:t>–</w:t>
      </w:r>
      <w:r w:rsidRPr="00C23847">
        <w:rPr>
          <w:sz w:val="22"/>
        </w:rPr>
        <w:t>2016</w:t>
      </w:r>
    </w:p>
    <w:p w14:paraId="5130D33C" w14:textId="0756EDAC" w:rsidR="009A4554" w:rsidRPr="00C23847" w:rsidRDefault="009F4975" w:rsidP="006B3D13">
      <w:pPr>
        <w:pStyle w:val="ListParagraph"/>
        <w:numPr>
          <w:ilvl w:val="0"/>
          <w:numId w:val="1"/>
        </w:numPr>
        <w:spacing w:after="120"/>
        <w:contextualSpacing w:val="0"/>
        <w:rPr>
          <w:sz w:val="22"/>
        </w:rPr>
      </w:pPr>
      <w:r w:rsidRPr="00C23847">
        <w:rPr>
          <w:sz w:val="22"/>
        </w:rPr>
        <w:t>Annual work plan 2016</w:t>
      </w:r>
      <w:r w:rsidR="00472154">
        <w:rPr>
          <w:sz w:val="22"/>
        </w:rPr>
        <w:t>–</w:t>
      </w:r>
      <w:r w:rsidRPr="00C23847">
        <w:rPr>
          <w:sz w:val="22"/>
        </w:rPr>
        <w:t>2017</w:t>
      </w:r>
    </w:p>
    <w:p w14:paraId="59247917" w14:textId="7377CAC1" w:rsidR="009A4554" w:rsidRPr="00C23847" w:rsidRDefault="009F4975" w:rsidP="006B3D13">
      <w:pPr>
        <w:pStyle w:val="ListParagraph"/>
        <w:numPr>
          <w:ilvl w:val="0"/>
          <w:numId w:val="1"/>
        </w:numPr>
        <w:spacing w:after="120"/>
        <w:contextualSpacing w:val="0"/>
        <w:rPr>
          <w:sz w:val="22"/>
        </w:rPr>
      </w:pPr>
      <w:r w:rsidRPr="00C23847">
        <w:rPr>
          <w:sz w:val="22"/>
        </w:rPr>
        <w:t xml:space="preserve">Audit </w:t>
      </w:r>
      <w:r w:rsidR="00473E7D" w:rsidRPr="00C23847">
        <w:rPr>
          <w:sz w:val="22"/>
        </w:rPr>
        <w:t>Committee Charter</w:t>
      </w:r>
    </w:p>
    <w:p w14:paraId="67464E74" w14:textId="2CE88998" w:rsidR="009A4554" w:rsidRPr="00C23847" w:rsidRDefault="009F4975" w:rsidP="006B3D13">
      <w:pPr>
        <w:pStyle w:val="ListParagraph"/>
        <w:numPr>
          <w:ilvl w:val="0"/>
          <w:numId w:val="1"/>
        </w:numPr>
        <w:spacing w:after="120"/>
        <w:contextualSpacing w:val="0"/>
        <w:rPr>
          <w:sz w:val="22"/>
        </w:rPr>
      </w:pPr>
      <w:r w:rsidRPr="00C23847">
        <w:rPr>
          <w:sz w:val="22"/>
        </w:rPr>
        <w:t xml:space="preserve">Audits concluded in the county assembly </w:t>
      </w:r>
      <w:r w:rsidR="004A04CE">
        <w:rPr>
          <w:sz w:val="22"/>
        </w:rPr>
        <w:t>FY</w:t>
      </w:r>
      <w:r w:rsidRPr="00C23847">
        <w:rPr>
          <w:sz w:val="22"/>
        </w:rPr>
        <w:t>2015</w:t>
      </w:r>
    </w:p>
    <w:p w14:paraId="0F3CB5F3" w14:textId="77777777" w:rsidR="009A4554" w:rsidRPr="00C23847" w:rsidRDefault="009F4975" w:rsidP="006B3D13">
      <w:pPr>
        <w:pStyle w:val="ListParagraph"/>
        <w:numPr>
          <w:ilvl w:val="0"/>
          <w:numId w:val="1"/>
        </w:numPr>
        <w:spacing w:after="120"/>
        <w:contextualSpacing w:val="0"/>
        <w:rPr>
          <w:sz w:val="22"/>
        </w:rPr>
      </w:pPr>
      <w:r w:rsidRPr="00C23847">
        <w:rPr>
          <w:sz w:val="22"/>
        </w:rPr>
        <w:t>Internal audit charter</w:t>
      </w:r>
    </w:p>
    <w:p w14:paraId="271CDDC8" w14:textId="2E72BE5A" w:rsidR="009A4554" w:rsidRPr="00C23847" w:rsidRDefault="009F4975" w:rsidP="006B3D13">
      <w:pPr>
        <w:pStyle w:val="ListParagraph"/>
        <w:numPr>
          <w:ilvl w:val="1"/>
          <w:numId w:val="2"/>
        </w:numPr>
        <w:spacing w:after="120"/>
        <w:ind w:left="1080"/>
        <w:contextualSpacing w:val="0"/>
        <w:rPr>
          <w:sz w:val="22"/>
        </w:rPr>
      </w:pPr>
      <w:r w:rsidRPr="00C23847">
        <w:rPr>
          <w:sz w:val="22"/>
        </w:rPr>
        <w:t xml:space="preserve">Internal </w:t>
      </w:r>
      <w:r w:rsidR="00472154" w:rsidRPr="00C23847">
        <w:rPr>
          <w:sz w:val="22"/>
        </w:rPr>
        <w:t>Audit Report</w:t>
      </w:r>
      <w:r w:rsidRPr="00C23847">
        <w:rPr>
          <w:sz w:val="22"/>
        </w:rPr>
        <w:t xml:space="preserve"> - </w:t>
      </w:r>
      <w:r w:rsidR="00472154" w:rsidRPr="00C23847">
        <w:rPr>
          <w:sz w:val="22"/>
        </w:rPr>
        <w:t>Dev Project Report</w:t>
      </w:r>
    </w:p>
    <w:p w14:paraId="19750578" w14:textId="1C55953D" w:rsidR="009A4554" w:rsidRPr="00C23847" w:rsidRDefault="009F4975" w:rsidP="006B3D13">
      <w:pPr>
        <w:pStyle w:val="ListParagraph"/>
        <w:numPr>
          <w:ilvl w:val="1"/>
          <w:numId w:val="2"/>
        </w:numPr>
        <w:spacing w:after="120"/>
        <w:ind w:left="1080"/>
        <w:contextualSpacing w:val="0"/>
        <w:rPr>
          <w:sz w:val="22"/>
        </w:rPr>
      </w:pPr>
      <w:r w:rsidRPr="00C23847">
        <w:rPr>
          <w:sz w:val="22"/>
        </w:rPr>
        <w:t xml:space="preserve">Management </w:t>
      </w:r>
      <w:r w:rsidR="00472154" w:rsidRPr="00C23847">
        <w:rPr>
          <w:sz w:val="22"/>
        </w:rPr>
        <w:t>Response to Dev</w:t>
      </w:r>
      <w:r w:rsidR="00472154">
        <w:rPr>
          <w:sz w:val="22"/>
        </w:rPr>
        <w:t xml:space="preserve"> </w:t>
      </w:r>
      <w:r w:rsidR="00472154" w:rsidRPr="00C23847">
        <w:rPr>
          <w:sz w:val="22"/>
        </w:rPr>
        <w:t>Proj Report</w:t>
      </w:r>
    </w:p>
    <w:p w14:paraId="395F8ED5" w14:textId="4965148F" w:rsidR="009A4554" w:rsidRPr="00C23847" w:rsidRDefault="009F4975" w:rsidP="006B3D13">
      <w:pPr>
        <w:pStyle w:val="ListParagraph"/>
        <w:numPr>
          <w:ilvl w:val="1"/>
          <w:numId w:val="2"/>
        </w:numPr>
        <w:spacing w:after="120"/>
        <w:ind w:left="1080"/>
        <w:contextualSpacing w:val="0"/>
        <w:rPr>
          <w:sz w:val="22"/>
        </w:rPr>
      </w:pPr>
      <w:r w:rsidRPr="00C23847">
        <w:rPr>
          <w:sz w:val="22"/>
        </w:rPr>
        <w:t xml:space="preserve">Internal </w:t>
      </w:r>
      <w:r w:rsidR="00472154" w:rsidRPr="00C23847">
        <w:rPr>
          <w:sz w:val="22"/>
        </w:rPr>
        <w:t xml:space="preserve">Audit Report </w:t>
      </w:r>
      <w:r w:rsidRPr="00C23847">
        <w:rPr>
          <w:sz w:val="22"/>
        </w:rPr>
        <w:t>-</w:t>
      </w:r>
      <w:r w:rsidR="00472154">
        <w:rPr>
          <w:sz w:val="22"/>
        </w:rPr>
        <w:t xml:space="preserve"> </w:t>
      </w:r>
      <w:r w:rsidR="00472154" w:rsidRPr="00C23847">
        <w:rPr>
          <w:sz w:val="22"/>
        </w:rPr>
        <w:t>PSB</w:t>
      </w:r>
    </w:p>
    <w:p w14:paraId="21F74ABC" w14:textId="3C568C39" w:rsidR="009A4554" w:rsidRPr="00C23847" w:rsidRDefault="009F4975" w:rsidP="006B3D13">
      <w:pPr>
        <w:pStyle w:val="ListParagraph"/>
        <w:numPr>
          <w:ilvl w:val="1"/>
          <w:numId w:val="2"/>
        </w:numPr>
        <w:spacing w:after="120"/>
        <w:ind w:left="1080"/>
        <w:contextualSpacing w:val="0"/>
        <w:rPr>
          <w:sz w:val="22"/>
        </w:rPr>
      </w:pPr>
      <w:r w:rsidRPr="00C23847">
        <w:rPr>
          <w:sz w:val="22"/>
        </w:rPr>
        <w:t xml:space="preserve">Management </w:t>
      </w:r>
      <w:r w:rsidR="00472154" w:rsidRPr="00C23847">
        <w:rPr>
          <w:sz w:val="22"/>
        </w:rPr>
        <w:t>Response</w:t>
      </w:r>
      <w:r w:rsidRPr="00C23847">
        <w:rPr>
          <w:sz w:val="22"/>
        </w:rPr>
        <w:t xml:space="preserve"> to </w:t>
      </w:r>
      <w:r w:rsidR="00472154" w:rsidRPr="00C23847">
        <w:rPr>
          <w:sz w:val="22"/>
        </w:rPr>
        <w:t>PSB</w:t>
      </w:r>
      <w:r w:rsidRPr="00C23847">
        <w:rPr>
          <w:sz w:val="22"/>
        </w:rPr>
        <w:t xml:space="preserve"> </w:t>
      </w:r>
      <w:r w:rsidR="00472154" w:rsidRPr="00C23847">
        <w:rPr>
          <w:sz w:val="22"/>
        </w:rPr>
        <w:t>Report</w:t>
      </w:r>
    </w:p>
    <w:p w14:paraId="26FAE178" w14:textId="586B0864" w:rsidR="009A4554" w:rsidRPr="00C23847" w:rsidRDefault="009F4975" w:rsidP="006B3D13">
      <w:pPr>
        <w:pStyle w:val="ListParagraph"/>
        <w:numPr>
          <w:ilvl w:val="1"/>
          <w:numId w:val="2"/>
        </w:numPr>
        <w:spacing w:after="120"/>
        <w:ind w:left="1080"/>
        <w:contextualSpacing w:val="0"/>
        <w:rPr>
          <w:sz w:val="22"/>
        </w:rPr>
      </w:pPr>
      <w:r w:rsidRPr="00C23847">
        <w:rPr>
          <w:sz w:val="22"/>
        </w:rPr>
        <w:t xml:space="preserve">Internal </w:t>
      </w:r>
      <w:r w:rsidR="00472154" w:rsidRPr="00C23847">
        <w:rPr>
          <w:sz w:val="22"/>
        </w:rPr>
        <w:t xml:space="preserve">Audit Report </w:t>
      </w:r>
      <w:r w:rsidRPr="00C23847">
        <w:rPr>
          <w:sz w:val="22"/>
        </w:rPr>
        <w:t>-</w:t>
      </w:r>
      <w:r w:rsidR="004A04CE">
        <w:rPr>
          <w:sz w:val="22"/>
        </w:rPr>
        <w:t xml:space="preserve"> </w:t>
      </w:r>
      <w:r w:rsidR="00472154" w:rsidRPr="00C23847">
        <w:rPr>
          <w:sz w:val="22"/>
        </w:rPr>
        <w:t>R</w:t>
      </w:r>
      <w:r w:rsidRPr="00C23847">
        <w:rPr>
          <w:sz w:val="22"/>
        </w:rPr>
        <w:t>ecurrent</w:t>
      </w:r>
    </w:p>
    <w:p w14:paraId="01A883E7" w14:textId="68AEC2B9" w:rsidR="009A4554" w:rsidRPr="00C23847" w:rsidRDefault="009F4975" w:rsidP="006B3D13">
      <w:pPr>
        <w:pStyle w:val="ListParagraph"/>
        <w:numPr>
          <w:ilvl w:val="1"/>
          <w:numId w:val="2"/>
        </w:numPr>
        <w:spacing w:after="120"/>
        <w:ind w:left="1080"/>
        <w:contextualSpacing w:val="0"/>
        <w:rPr>
          <w:sz w:val="22"/>
        </w:rPr>
      </w:pPr>
      <w:r w:rsidRPr="00C23847">
        <w:rPr>
          <w:sz w:val="22"/>
        </w:rPr>
        <w:t xml:space="preserve">Management </w:t>
      </w:r>
      <w:r w:rsidR="00472154" w:rsidRPr="00C23847">
        <w:rPr>
          <w:sz w:val="22"/>
        </w:rPr>
        <w:t>Response t</w:t>
      </w:r>
      <w:r w:rsidRPr="00C23847">
        <w:rPr>
          <w:sz w:val="22"/>
        </w:rPr>
        <w:t xml:space="preserve">o </w:t>
      </w:r>
      <w:r w:rsidR="00472154" w:rsidRPr="00C23847">
        <w:rPr>
          <w:sz w:val="22"/>
        </w:rPr>
        <w:t>Recurrent Report</w:t>
      </w:r>
    </w:p>
    <w:p w14:paraId="38D8D716" w14:textId="7B6E0EBC" w:rsidR="009A4554" w:rsidRPr="00C23847" w:rsidRDefault="009F4975" w:rsidP="006B3D13">
      <w:pPr>
        <w:pStyle w:val="ListParagraph"/>
        <w:numPr>
          <w:ilvl w:val="0"/>
          <w:numId w:val="1"/>
        </w:numPr>
        <w:spacing w:after="120"/>
        <w:contextualSpacing w:val="0"/>
        <w:rPr>
          <w:sz w:val="22"/>
        </w:rPr>
      </w:pPr>
      <w:r w:rsidRPr="00C23847">
        <w:rPr>
          <w:sz w:val="22"/>
        </w:rPr>
        <w:t>Audits concluded</w:t>
      </w:r>
      <w:r w:rsidR="00472154">
        <w:rPr>
          <w:sz w:val="22"/>
        </w:rPr>
        <w:t xml:space="preserve"> </w:t>
      </w:r>
      <w:r w:rsidRPr="00C23847">
        <w:rPr>
          <w:sz w:val="22"/>
        </w:rPr>
        <w:t xml:space="preserve">- </w:t>
      </w:r>
      <w:r w:rsidR="00472154" w:rsidRPr="00C23847">
        <w:rPr>
          <w:sz w:val="22"/>
        </w:rPr>
        <w:t>County Executive</w:t>
      </w:r>
    </w:p>
    <w:p w14:paraId="37131B06" w14:textId="7607210E" w:rsidR="009A4554" w:rsidRPr="00890A84" w:rsidRDefault="009F4975" w:rsidP="00BA6B2B">
      <w:pPr>
        <w:pStyle w:val="Heading5"/>
      </w:pPr>
      <w:r w:rsidRPr="00890A84">
        <w:t>P</w:t>
      </w:r>
      <w:r w:rsidR="004A04CE">
        <w:t>I</w:t>
      </w:r>
      <w:r w:rsidRPr="00890A84">
        <w:t>-27</w:t>
      </w:r>
      <w:r w:rsidR="00472154">
        <w:t>.</w:t>
      </w:r>
      <w:r w:rsidRPr="00890A84">
        <w:t xml:space="preserve"> </w:t>
      </w:r>
      <w:r w:rsidR="00472154">
        <w:t>F</w:t>
      </w:r>
      <w:r w:rsidRPr="00890A84">
        <w:t>inancial data integrity</w:t>
      </w:r>
      <w:r w:rsidR="00514EE0" w:rsidRPr="00890A84">
        <w:t>(M2)</w:t>
      </w:r>
    </w:p>
    <w:p w14:paraId="73007F22" w14:textId="4EA32EB4" w:rsidR="009A4554" w:rsidRPr="00890A84" w:rsidRDefault="009F4975" w:rsidP="00BA6B2B">
      <w:pPr>
        <w:pStyle w:val="Heading5"/>
      </w:pPr>
      <w:r w:rsidRPr="00890A84">
        <w:t>P</w:t>
      </w:r>
      <w:r w:rsidR="004A04CE">
        <w:t>I</w:t>
      </w:r>
      <w:r w:rsidRPr="00890A84">
        <w:t>-28</w:t>
      </w:r>
      <w:r w:rsidR="00472154">
        <w:t>.</w:t>
      </w:r>
      <w:r w:rsidRPr="00890A84">
        <w:t xml:space="preserve"> </w:t>
      </w:r>
      <w:r w:rsidR="00472154">
        <w:t>I</w:t>
      </w:r>
      <w:r w:rsidRPr="00890A84">
        <w:t>n-year budget reports</w:t>
      </w:r>
      <w:r w:rsidR="00514EE0" w:rsidRPr="00890A84">
        <w:t>(M1)</w:t>
      </w:r>
    </w:p>
    <w:p w14:paraId="751A1FE7" w14:textId="654389FA" w:rsidR="009A4554" w:rsidRPr="00C23847" w:rsidRDefault="009F4975" w:rsidP="006B3D13">
      <w:pPr>
        <w:pStyle w:val="ListParagraph"/>
        <w:numPr>
          <w:ilvl w:val="0"/>
          <w:numId w:val="1"/>
        </w:numPr>
        <w:spacing w:after="120"/>
        <w:contextualSpacing w:val="0"/>
        <w:rPr>
          <w:sz w:val="22"/>
        </w:rPr>
      </w:pPr>
      <w:r w:rsidRPr="00C23847">
        <w:rPr>
          <w:sz w:val="22"/>
        </w:rPr>
        <w:t xml:space="preserve">Annual </w:t>
      </w:r>
      <w:r w:rsidR="00472154" w:rsidRPr="00C23847">
        <w:rPr>
          <w:sz w:val="22"/>
        </w:rPr>
        <w:t xml:space="preserve">Financial Statement </w:t>
      </w:r>
      <w:r w:rsidR="00472154">
        <w:rPr>
          <w:sz w:val="22"/>
        </w:rPr>
        <w:t>J</w:t>
      </w:r>
      <w:r w:rsidRPr="00C23847">
        <w:rPr>
          <w:sz w:val="22"/>
        </w:rPr>
        <w:t xml:space="preserve">une </w:t>
      </w:r>
      <w:r w:rsidR="00472154">
        <w:rPr>
          <w:sz w:val="22"/>
        </w:rPr>
        <w:t xml:space="preserve">30, </w:t>
      </w:r>
      <w:r w:rsidRPr="00C23847">
        <w:rPr>
          <w:sz w:val="22"/>
        </w:rPr>
        <w:t>2014</w:t>
      </w:r>
    </w:p>
    <w:p w14:paraId="0646D822" w14:textId="0CF0FE1C" w:rsidR="009A4554" w:rsidRPr="00C23847" w:rsidRDefault="009F4975" w:rsidP="006B3D13">
      <w:pPr>
        <w:pStyle w:val="ListParagraph"/>
        <w:numPr>
          <w:ilvl w:val="0"/>
          <w:numId w:val="1"/>
        </w:numPr>
        <w:spacing w:after="120"/>
        <w:contextualSpacing w:val="0"/>
        <w:rPr>
          <w:sz w:val="22"/>
        </w:rPr>
      </w:pPr>
      <w:r w:rsidRPr="00C23847">
        <w:rPr>
          <w:sz w:val="22"/>
        </w:rPr>
        <w:t xml:space="preserve">Annual </w:t>
      </w:r>
      <w:r w:rsidR="00472154" w:rsidRPr="00C23847">
        <w:rPr>
          <w:sz w:val="22"/>
        </w:rPr>
        <w:t xml:space="preserve">Financial Statement </w:t>
      </w:r>
      <w:r w:rsidR="00472154">
        <w:rPr>
          <w:sz w:val="22"/>
        </w:rPr>
        <w:t>J</w:t>
      </w:r>
      <w:r w:rsidRPr="00C23847">
        <w:rPr>
          <w:sz w:val="22"/>
        </w:rPr>
        <w:t xml:space="preserve">une </w:t>
      </w:r>
      <w:r w:rsidR="00472154">
        <w:rPr>
          <w:sz w:val="22"/>
        </w:rPr>
        <w:t xml:space="preserve">30, </w:t>
      </w:r>
      <w:r w:rsidRPr="00C23847">
        <w:rPr>
          <w:sz w:val="22"/>
        </w:rPr>
        <w:t>2015</w:t>
      </w:r>
    </w:p>
    <w:p w14:paraId="66DE4387" w14:textId="07D95E6E" w:rsidR="009A4554" w:rsidRPr="00C23847" w:rsidRDefault="009F4975" w:rsidP="006B3D13">
      <w:pPr>
        <w:pStyle w:val="ListParagraph"/>
        <w:numPr>
          <w:ilvl w:val="0"/>
          <w:numId w:val="1"/>
        </w:numPr>
        <w:spacing w:after="120"/>
        <w:contextualSpacing w:val="0"/>
        <w:rPr>
          <w:sz w:val="22"/>
        </w:rPr>
      </w:pPr>
      <w:r w:rsidRPr="00C23847">
        <w:rPr>
          <w:sz w:val="22"/>
        </w:rPr>
        <w:t xml:space="preserve">Annual </w:t>
      </w:r>
      <w:r w:rsidR="00472154" w:rsidRPr="00C23847">
        <w:rPr>
          <w:sz w:val="22"/>
        </w:rPr>
        <w:t xml:space="preserve">Financial Statement </w:t>
      </w:r>
      <w:r w:rsidR="00472154">
        <w:rPr>
          <w:sz w:val="22"/>
        </w:rPr>
        <w:t>J</w:t>
      </w:r>
      <w:r w:rsidRPr="00C23847">
        <w:rPr>
          <w:sz w:val="22"/>
        </w:rPr>
        <w:t xml:space="preserve">une </w:t>
      </w:r>
      <w:r w:rsidR="00472154">
        <w:rPr>
          <w:sz w:val="22"/>
        </w:rPr>
        <w:t xml:space="preserve">30, </w:t>
      </w:r>
      <w:r w:rsidRPr="00C23847">
        <w:rPr>
          <w:sz w:val="22"/>
        </w:rPr>
        <w:t>2016</w:t>
      </w:r>
    </w:p>
    <w:p w14:paraId="77D16E34" w14:textId="10AE30C2" w:rsidR="009A4554" w:rsidRPr="00890A84" w:rsidRDefault="009F4975" w:rsidP="00BA6B2B">
      <w:pPr>
        <w:pStyle w:val="Heading5"/>
      </w:pPr>
      <w:r w:rsidRPr="00890A84">
        <w:t>P</w:t>
      </w:r>
      <w:r w:rsidR="004A04CE">
        <w:t>I</w:t>
      </w:r>
      <w:r w:rsidRPr="00890A84">
        <w:t>-29</w:t>
      </w:r>
      <w:r w:rsidR="00472154">
        <w:t>.</w:t>
      </w:r>
      <w:r w:rsidRPr="00890A84">
        <w:t xml:space="preserve"> </w:t>
      </w:r>
      <w:r w:rsidR="00472154">
        <w:t>A</w:t>
      </w:r>
      <w:r w:rsidRPr="00890A84">
        <w:t xml:space="preserve">nnual financial reports </w:t>
      </w:r>
    </w:p>
    <w:p w14:paraId="387DAAC4" w14:textId="05913CD9" w:rsidR="009A4554" w:rsidRPr="00C23847" w:rsidRDefault="00472154" w:rsidP="006B3D13">
      <w:pPr>
        <w:pStyle w:val="ListParagraph"/>
        <w:numPr>
          <w:ilvl w:val="0"/>
          <w:numId w:val="1"/>
        </w:numPr>
        <w:spacing w:after="120"/>
        <w:contextualSpacing w:val="0"/>
        <w:rPr>
          <w:sz w:val="22"/>
        </w:rPr>
      </w:pPr>
      <w:r w:rsidRPr="00C23847">
        <w:rPr>
          <w:sz w:val="22"/>
        </w:rPr>
        <w:t xml:space="preserve">Annual Financial Statement </w:t>
      </w:r>
      <w:r>
        <w:rPr>
          <w:sz w:val="22"/>
        </w:rPr>
        <w:t>J</w:t>
      </w:r>
      <w:r w:rsidRPr="00C23847">
        <w:rPr>
          <w:sz w:val="22"/>
        </w:rPr>
        <w:t xml:space="preserve">une </w:t>
      </w:r>
      <w:r>
        <w:rPr>
          <w:sz w:val="22"/>
        </w:rPr>
        <w:t xml:space="preserve">30, </w:t>
      </w:r>
      <w:r w:rsidRPr="00C23847">
        <w:rPr>
          <w:sz w:val="22"/>
        </w:rPr>
        <w:t>2014</w:t>
      </w:r>
    </w:p>
    <w:p w14:paraId="60D1A90A" w14:textId="10071B65" w:rsidR="00472154" w:rsidRPr="00C23847" w:rsidRDefault="00472154" w:rsidP="00472154">
      <w:pPr>
        <w:pStyle w:val="ListParagraph"/>
        <w:numPr>
          <w:ilvl w:val="0"/>
          <w:numId w:val="1"/>
        </w:numPr>
        <w:spacing w:after="120"/>
        <w:contextualSpacing w:val="0"/>
        <w:rPr>
          <w:sz w:val="22"/>
        </w:rPr>
      </w:pPr>
      <w:r w:rsidRPr="00C23847">
        <w:rPr>
          <w:sz w:val="22"/>
        </w:rPr>
        <w:t xml:space="preserve">Annual Financial Statement </w:t>
      </w:r>
      <w:r>
        <w:rPr>
          <w:sz w:val="22"/>
        </w:rPr>
        <w:t>J</w:t>
      </w:r>
      <w:r w:rsidRPr="00C23847">
        <w:rPr>
          <w:sz w:val="22"/>
        </w:rPr>
        <w:t xml:space="preserve">une </w:t>
      </w:r>
      <w:r>
        <w:rPr>
          <w:sz w:val="22"/>
        </w:rPr>
        <w:t xml:space="preserve">30, </w:t>
      </w:r>
      <w:r w:rsidRPr="00C23847">
        <w:rPr>
          <w:sz w:val="22"/>
        </w:rPr>
        <w:t>2015</w:t>
      </w:r>
    </w:p>
    <w:p w14:paraId="33137D2C" w14:textId="12E3ECDA" w:rsidR="009A4554" w:rsidRPr="00C23847" w:rsidRDefault="00472154" w:rsidP="00472154">
      <w:pPr>
        <w:pStyle w:val="ListParagraph"/>
        <w:numPr>
          <w:ilvl w:val="0"/>
          <w:numId w:val="1"/>
        </w:numPr>
        <w:spacing w:after="120"/>
        <w:contextualSpacing w:val="0"/>
        <w:rPr>
          <w:sz w:val="22"/>
        </w:rPr>
      </w:pPr>
      <w:r w:rsidRPr="00C23847">
        <w:rPr>
          <w:sz w:val="22"/>
        </w:rPr>
        <w:t xml:space="preserve">Annual Financial Statement </w:t>
      </w:r>
      <w:r>
        <w:rPr>
          <w:sz w:val="22"/>
        </w:rPr>
        <w:t>J</w:t>
      </w:r>
      <w:r w:rsidRPr="00C23847">
        <w:rPr>
          <w:sz w:val="22"/>
        </w:rPr>
        <w:t xml:space="preserve">une </w:t>
      </w:r>
      <w:r>
        <w:rPr>
          <w:sz w:val="22"/>
        </w:rPr>
        <w:t xml:space="preserve">30, </w:t>
      </w:r>
      <w:r w:rsidRPr="00C23847">
        <w:rPr>
          <w:sz w:val="22"/>
        </w:rPr>
        <w:t>2016</w:t>
      </w:r>
    </w:p>
    <w:p w14:paraId="0DB5CE8A" w14:textId="74A92DB1" w:rsidR="009A4554" w:rsidRPr="00C23847" w:rsidRDefault="009F4975" w:rsidP="006B3D13">
      <w:pPr>
        <w:pStyle w:val="ListParagraph"/>
        <w:numPr>
          <w:ilvl w:val="0"/>
          <w:numId w:val="1"/>
        </w:numPr>
        <w:spacing w:after="120"/>
        <w:contextualSpacing w:val="0"/>
        <w:rPr>
          <w:sz w:val="22"/>
        </w:rPr>
      </w:pPr>
      <w:r w:rsidRPr="00C23847">
        <w:rPr>
          <w:sz w:val="22"/>
        </w:rPr>
        <w:t>Financial statements 2013</w:t>
      </w:r>
      <w:r w:rsidR="00472154">
        <w:rPr>
          <w:sz w:val="22"/>
        </w:rPr>
        <w:t>–</w:t>
      </w:r>
      <w:r w:rsidRPr="00C23847">
        <w:rPr>
          <w:sz w:val="22"/>
        </w:rPr>
        <w:t>2014 final copy</w:t>
      </w:r>
    </w:p>
    <w:p w14:paraId="12C13789" w14:textId="473864ED" w:rsidR="009A4554" w:rsidRPr="00C23847" w:rsidRDefault="00472154" w:rsidP="006B3D13">
      <w:pPr>
        <w:pStyle w:val="ListParagraph"/>
        <w:numPr>
          <w:ilvl w:val="0"/>
          <w:numId w:val="1"/>
        </w:numPr>
        <w:spacing w:after="120"/>
        <w:contextualSpacing w:val="0"/>
        <w:rPr>
          <w:sz w:val="22"/>
        </w:rPr>
      </w:pPr>
      <w:r>
        <w:rPr>
          <w:sz w:val="22"/>
        </w:rPr>
        <w:t>Financial statements 2014–</w:t>
      </w:r>
      <w:r w:rsidR="009F4975" w:rsidRPr="00C23847">
        <w:rPr>
          <w:sz w:val="22"/>
        </w:rPr>
        <w:t>2015-final-amended</w:t>
      </w:r>
    </w:p>
    <w:p w14:paraId="197C4D7A" w14:textId="4D02235D" w:rsidR="009A4554" w:rsidRPr="00C23847" w:rsidRDefault="009F4975" w:rsidP="006B3D13">
      <w:pPr>
        <w:pStyle w:val="ListParagraph"/>
        <w:numPr>
          <w:ilvl w:val="0"/>
          <w:numId w:val="1"/>
        </w:numPr>
        <w:spacing w:after="120"/>
        <w:contextualSpacing w:val="0"/>
        <w:rPr>
          <w:sz w:val="22"/>
        </w:rPr>
      </w:pPr>
      <w:r w:rsidRPr="00C23847">
        <w:rPr>
          <w:sz w:val="22"/>
        </w:rPr>
        <w:t xml:space="preserve">Kajiado </w:t>
      </w:r>
      <w:r w:rsidR="00CC5BC5" w:rsidRPr="00C23847">
        <w:rPr>
          <w:sz w:val="22"/>
        </w:rPr>
        <w:t>C</w:t>
      </w:r>
      <w:r w:rsidRPr="00C23847">
        <w:rPr>
          <w:sz w:val="22"/>
        </w:rPr>
        <w:t>ounty amended fin</w:t>
      </w:r>
      <w:r w:rsidR="00472154">
        <w:rPr>
          <w:sz w:val="22"/>
        </w:rPr>
        <w:t>ancial</w:t>
      </w:r>
      <w:r w:rsidRPr="00C23847">
        <w:rPr>
          <w:sz w:val="22"/>
        </w:rPr>
        <w:t xml:space="preserve"> statements 2015</w:t>
      </w:r>
      <w:r w:rsidR="00472154">
        <w:rPr>
          <w:sz w:val="22"/>
        </w:rPr>
        <w:t>–</w:t>
      </w:r>
      <w:r w:rsidRPr="00C23847">
        <w:rPr>
          <w:sz w:val="22"/>
        </w:rPr>
        <w:t>2016</w:t>
      </w:r>
    </w:p>
    <w:p w14:paraId="50B4F878" w14:textId="0666787C" w:rsidR="009A4554" w:rsidRPr="00890A84" w:rsidRDefault="009F4975" w:rsidP="00BA6B2B">
      <w:pPr>
        <w:pStyle w:val="Heading5"/>
      </w:pPr>
      <w:r w:rsidRPr="00890A84">
        <w:t>P</w:t>
      </w:r>
      <w:r w:rsidR="004A04CE">
        <w:t>I</w:t>
      </w:r>
      <w:r w:rsidRPr="00890A84">
        <w:t>-30</w:t>
      </w:r>
      <w:r w:rsidR="00472154">
        <w:t>.</w:t>
      </w:r>
      <w:r w:rsidRPr="00890A84">
        <w:t xml:space="preserve"> </w:t>
      </w:r>
      <w:r w:rsidR="00472154">
        <w:t>E</w:t>
      </w:r>
      <w:r w:rsidRPr="00890A84">
        <w:t>xternal audit</w:t>
      </w:r>
      <w:r w:rsidR="00514EE0" w:rsidRPr="00890A84">
        <w:t>(M1)</w:t>
      </w:r>
    </w:p>
    <w:p w14:paraId="49ACE172" w14:textId="2428DFED" w:rsidR="009A4554" w:rsidRPr="00C23847" w:rsidRDefault="009F4975" w:rsidP="006B3D13">
      <w:pPr>
        <w:pStyle w:val="ListParagraph"/>
        <w:numPr>
          <w:ilvl w:val="0"/>
          <w:numId w:val="1"/>
        </w:numPr>
        <w:spacing w:after="120"/>
        <w:contextualSpacing w:val="0"/>
        <w:rPr>
          <w:sz w:val="22"/>
        </w:rPr>
      </w:pPr>
      <w:r w:rsidRPr="00C23847">
        <w:rPr>
          <w:sz w:val="22"/>
        </w:rPr>
        <w:t>Audit opinion 2013</w:t>
      </w:r>
      <w:r w:rsidR="00472154">
        <w:rPr>
          <w:sz w:val="22"/>
        </w:rPr>
        <w:t>–</w:t>
      </w:r>
      <w:r w:rsidRPr="00C23847">
        <w:rPr>
          <w:sz w:val="22"/>
        </w:rPr>
        <w:t>14</w:t>
      </w:r>
    </w:p>
    <w:p w14:paraId="36D77654" w14:textId="4F234763" w:rsidR="006D4DDB" w:rsidRPr="00C23847" w:rsidRDefault="009F4975" w:rsidP="006B3D13">
      <w:pPr>
        <w:pStyle w:val="ListParagraph"/>
        <w:numPr>
          <w:ilvl w:val="0"/>
          <w:numId w:val="1"/>
        </w:numPr>
        <w:spacing w:after="120"/>
        <w:contextualSpacing w:val="0"/>
        <w:rPr>
          <w:rFonts w:eastAsia="Calibri"/>
          <w:i/>
          <w:color w:val="0070C0"/>
        </w:rPr>
      </w:pPr>
      <w:r w:rsidRPr="00C23847">
        <w:rPr>
          <w:sz w:val="22"/>
        </w:rPr>
        <w:t>Audit opinion 2014</w:t>
      </w:r>
      <w:r w:rsidR="00472154">
        <w:rPr>
          <w:sz w:val="22"/>
        </w:rPr>
        <w:t>–</w:t>
      </w:r>
      <w:r w:rsidRPr="00C23847">
        <w:rPr>
          <w:sz w:val="22"/>
        </w:rPr>
        <w:t>15</w:t>
      </w:r>
      <w:r w:rsidR="006D4DDB">
        <w:br w:type="page"/>
      </w:r>
    </w:p>
    <w:p w14:paraId="18025D41" w14:textId="02B05860" w:rsidR="00FD169B" w:rsidRPr="007B5FCE" w:rsidRDefault="007B5FCE" w:rsidP="007B5FCE">
      <w:pPr>
        <w:pStyle w:val="Heading1"/>
        <w:numPr>
          <w:ilvl w:val="0"/>
          <w:numId w:val="0"/>
        </w:numPr>
        <w:rPr>
          <w:smallCaps w:val="0"/>
        </w:rPr>
      </w:pPr>
      <w:bookmarkStart w:id="143" w:name="_Toc532426058"/>
      <w:bookmarkStart w:id="144" w:name="_Hlk526677701"/>
      <w:r>
        <w:rPr>
          <w:smallCaps w:val="0"/>
        </w:rPr>
        <w:t>Annex 4: County P</w:t>
      </w:r>
      <w:r w:rsidR="00FD169B" w:rsidRPr="007B5FCE">
        <w:rPr>
          <w:smallCaps w:val="0"/>
        </w:rPr>
        <w:t>rofile</w:t>
      </w:r>
      <w:bookmarkEnd w:id="143"/>
    </w:p>
    <w:bookmarkEnd w:id="144"/>
    <w:p w14:paraId="3B4CBECC" w14:textId="4E444E2E" w:rsidR="00323A8C" w:rsidRPr="00C23847" w:rsidRDefault="00323A8C" w:rsidP="00C23847">
      <w:pPr>
        <w:spacing w:after="240"/>
        <w:rPr>
          <w:sz w:val="22"/>
          <w:lang w:val="en-US"/>
        </w:rPr>
      </w:pPr>
      <w:r w:rsidRPr="00C23847">
        <w:rPr>
          <w:sz w:val="22"/>
          <w:lang w:val="en-US"/>
        </w:rPr>
        <w:t xml:space="preserve">Kajiado County is one of the 47 counties in the Republic of Kenya. It is located in the Rift Valley </w:t>
      </w:r>
      <w:r w:rsidR="00473E7D">
        <w:rPr>
          <w:sz w:val="22"/>
          <w:lang w:val="en-US"/>
        </w:rPr>
        <w:t>i</w:t>
      </w:r>
      <w:r w:rsidRPr="00C23847">
        <w:rPr>
          <w:sz w:val="22"/>
          <w:lang w:val="en-US"/>
        </w:rPr>
        <w:t xml:space="preserve">n the southern part of Kenya. It borders the Republic of Tanzania to the </w:t>
      </w:r>
      <w:r w:rsidR="00473E7D">
        <w:rPr>
          <w:sz w:val="22"/>
          <w:lang w:val="en-US"/>
        </w:rPr>
        <w:t>s</w:t>
      </w:r>
      <w:r w:rsidRPr="00C23847">
        <w:rPr>
          <w:sz w:val="22"/>
          <w:lang w:val="en-US"/>
        </w:rPr>
        <w:t>outh</w:t>
      </w:r>
      <w:r w:rsidR="00473E7D">
        <w:rPr>
          <w:sz w:val="22"/>
          <w:lang w:val="en-US"/>
        </w:rPr>
        <w:t>w</w:t>
      </w:r>
      <w:r w:rsidRPr="00C23847">
        <w:rPr>
          <w:sz w:val="22"/>
          <w:lang w:val="en-US"/>
        </w:rPr>
        <w:t xml:space="preserve">est, Taita Taveta County to the </w:t>
      </w:r>
      <w:r w:rsidR="00473E7D">
        <w:rPr>
          <w:sz w:val="22"/>
          <w:lang w:val="en-US"/>
        </w:rPr>
        <w:t>s</w:t>
      </w:r>
      <w:r w:rsidRPr="00C23847">
        <w:rPr>
          <w:sz w:val="22"/>
          <w:lang w:val="en-US"/>
        </w:rPr>
        <w:t>outh</w:t>
      </w:r>
      <w:r w:rsidR="00473E7D">
        <w:rPr>
          <w:sz w:val="22"/>
          <w:lang w:val="en-US"/>
        </w:rPr>
        <w:t>e</w:t>
      </w:r>
      <w:r w:rsidRPr="00C23847">
        <w:rPr>
          <w:sz w:val="22"/>
          <w:lang w:val="en-US"/>
        </w:rPr>
        <w:t xml:space="preserve">ast, Machakos and Makueni Counties to the </w:t>
      </w:r>
      <w:r w:rsidR="00473E7D">
        <w:rPr>
          <w:sz w:val="22"/>
          <w:lang w:val="en-US"/>
        </w:rPr>
        <w:t>e</w:t>
      </w:r>
      <w:r w:rsidRPr="00C23847">
        <w:rPr>
          <w:sz w:val="22"/>
          <w:lang w:val="en-US"/>
        </w:rPr>
        <w:t xml:space="preserve">ast, Nairobi County to the </w:t>
      </w:r>
      <w:r w:rsidR="00473E7D">
        <w:rPr>
          <w:sz w:val="22"/>
          <w:lang w:val="en-US"/>
        </w:rPr>
        <w:t>n</w:t>
      </w:r>
      <w:r w:rsidRPr="00C23847">
        <w:rPr>
          <w:sz w:val="22"/>
          <w:lang w:val="en-US"/>
        </w:rPr>
        <w:t>orth</w:t>
      </w:r>
      <w:r w:rsidR="00473E7D">
        <w:rPr>
          <w:sz w:val="22"/>
          <w:lang w:val="en-US"/>
        </w:rPr>
        <w:t>e</w:t>
      </w:r>
      <w:r w:rsidRPr="00C23847">
        <w:rPr>
          <w:sz w:val="22"/>
          <w:lang w:val="en-US"/>
        </w:rPr>
        <w:t xml:space="preserve">ast, Kiambu County to the </w:t>
      </w:r>
      <w:r w:rsidR="00473E7D">
        <w:rPr>
          <w:sz w:val="22"/>
          <w:lang w:val="en-US"/>
        </w:rPr>
        <w:t>n</w:t>
      </w:r>
      <w:r w:rsidRPr="00C23847">
        <w:rPr>
          <w:sz w:val="22"/>
          <w:lang w:val="en-US"/>
        </w:rPr>
        <w:t>orth</w:t>
      </w:r>
      <w:r w:rsidR="00473E7D">
        <w:rPr>
          <w:sz w:val="22"/>
          <w:lang w:val="en-US"/>
        </w:rPr>
        <w:t>,</w:t>
      </w:r>
      <w:r w:rsidRPr="00C23847">
        <w:rPr>
          <w:sz w:val="22"/>
          <w:lang w:val="en-US"/>
        </w:rPr>
        <w:t xml:space="preserve"> and Narok County to the west.</w:t>
      </w:r>
    </w:p>
    <w:p w14:paraId="6349A101" w14:textId="7956DCEC" w:rsidR="00323A8C" w:rsidRPr="00C23847" w:rsidRDefault="00323A8C" w:rsidP="00C23847">
      <w:pPr>
        <w:spacing w:after="240"/>
        <w:rPr>
          <w:sz w:val="22"/>
          <w:lang w:val="en-US"/>
        </w:rPr>
      </w:pPr>
      <w:r w:rsidRPr="00C23847">
        <w:rPr>
          <w:sz w:val="22"/>
          <w:lang w:val="en-US"/>
        </w:rPr>
        <w:t xml:space="preserve">This </w:t>
      </w:r>
      <w:r w:rsidR="00473E7D">
        <w:rPr>
          <w:sz w:val="22"/>
          <w:lang w:val="en-US"/>
        </w:rPr>
        <w:t>c</w:t>
      </w:r>
      <w:r w:rsidRPr="00C23847">
        <w:rPr>
          <w:sz w:val="22"/>
          <w:lang w:val="en-US"/>
        </w:rPr>
        <w:t>ounty consists of seven administrative districts</w:t>
      </w:r>
      <w:r w:rsidR="00473E7D">
        <w:rPr>
          <w:sz w:val="22"/>
          <w:lang w:val="en-US"/>
        </w:rPr>
        <w:t>:</w:t>
      </w:r>
      <w:r w:rsidRPr="00C23847">
        <w:rPr>
          <w:sz w:val="22"/>
          <w:lang w:val="en-US"/>
        </w:rPr>
        <w:t xml:space="preserve"> Kajiado Central, Isinya, Loitokitok, Magadi, Mashuru, Namanga</w:t>
      </w:r>
      <w:r w:rsidR="00473E7D">
        <w:rPr>
          <w:sz w:val="22"/>
          <w:lang w:val="en-US"/>
        </w:rPr>
        <w:t>,</w:t>
      </w:r>
      <w:r w:rsidRPr="00C23847">
        <w:rPr>
          <w:sz w:val="22"/>
          <w:lang w:val="en-US"/>
        </w:rPr>
        <w:t xml:space="preserve"> and Ngong. Kajiado County is adjacent to the </w:t>
      </w:r>
      <w:r w:rsidR="00473E7D">
        <w:rPr>
          <w:sz w:val="22"/>
          <w:lang w:val="en-US"/>
        </w:rPr>
        <w:t>c</w:t>
      </w:r>
      <w:r w:rsidRPr="00C23847">
        <w:rPr>
          <w:sz w:val="22"/>
          <w:lang w:val="en-US"/>
        </w:rPr>
        <w:t>apital of Kenya, Nairobi. The county capital is Kajiado but the largest town is Ngong. It has a population of 687,312 and an area of 21,292.7 km². The county borders Nairobi and extends to the Tanzania border further south. Its main tourist attraction is wildlife.</w:t>
      </w:r>
    </w:p>
    <w:p w14:paraId="4C4C07A2" w14:textId="1D58E15F" w:rsidR="00323A8C" w:rsidRPr="00C23847" w:rsidRDefault="00323A8C" w:rsidP="00C23847">
      <w:pPr>
        <w:spacing w:after="240"/>
        <w:rPr>
          <w:sz w:val="22"/>
          <w:lang w:val="en-US"/>
        </w:rPr>
      </w:pPr>
      <w:r w:rsidRPr="00C23847">
        <w:rPr>
          <w:sz w:val="22"/>
          <w:lang w:val="en-US"/>
        </w:rPr>
        <w:t>Kajiado County is divided into five administrative subcounties</w:t>
      </w:r>
      <w:r w:rsidR="00457CF7" w:rsidRPr="00457CF7">
        <w:rPr>
          <w:sz w:val="22"/>
          <w:lang w:val="en-US"/>
        </w:rPr>
        <w:t xml:space="preserve"> </w:t>
      </w:r>
      <w:r w:rsidR="00457CF7" w:rsidRPr="00C23847">
        <w:rPr>
          <w:sz w:val="22"/>
          <w:lang w:val="en-US"/>
        </w:rPr>
        <w:t>with a total of 17 administrative divisions</w:t>
      </w:r>
      <w:r w:rsidRPr="00C23847">
        <w:rPr>
          <w:sz w:val="22"/>
          <w:lang w:val="en-US"/>
        </w:rPr>
        <w:t>:</w:t>
      </w:r>
    </w:p>
    <w:p w14:paraId="1BCDA074" w14:textId="77777777"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Kajiado Central</w:t>
      </w:r>
    </w:p>
    <w:p w14:paraId="3A914A5F" w14:textId="77777777"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Kajiado North</w:t>
      </w:r>
    </w:p>
    <w:p w14:paraId="72DEFC3F" w14:textId="77777777"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Loitokitok</w:t>
      </w:r>
    </w:p>
    <w:p w14:paraId="6F7FDFA4" w14:textId="77777777"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Isinya</w:t>
      </w:r>
    </w:p>
    <w:p w14:paraId="17B38001" w14:textId="77777777"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Mashuuru</w:t>
      </w:r>
    </w:p>
    <w:p w14:paraId="44FA99C2" w14:textId="24720318" w:rsidR="00323A8C" w:rsidRPr="00C23847" w:rsidRDefault="00323A8C" w:rsidP="00C23847">
      <w:pPr>
        <w:spacing w:after="240"/>
        <w:rPr>
          <w:sz w:val="22"/>
          <w:lang w:val="en-US"/>
        </w:rPr>
      </w:pPr>
      <w:r w:rsidRPr="00C23847">
        <w:rPr>
          <w:sz w:val="22"/>
          <w:lang w:val="en-US"/>
        </w:rPr>
        <w:t xml:space="preserve">The proportion of the county population living below </w:t>
      </w:r>
      <w:r w:rsidR="00473E7D">
        <w:rPr>
          <w:sz w:val="22"/>
          <w:lang w:val="en-US"/>
        </w:rPr>
        <w:t xml:space="preserve">the </w:t>
      </w:r>
      <w:r w:rsidRPr="00C23847">
        <w:rPr>
          <w:sz w:val="22"/>
          <w:lang w:val="en-US"/>
        </w:rPr>
        <w:t>poverty line is approximately 47 percent as compared to the country</w:t>
      </w:r>
      <w:r w:rsidR="00473E7D">
        <w:rPr>
          <w:sz w:val="22"/>
          <w:lang w:val="en-US"/>
        </w:rPr>
        <w:t>’</w:t>
      </w:r>
      <w:r w:rsidRPr="00C23847">
        <w:rPr>
          <w:sz w:val="22"/>
          <w:lang w:val="en-US"/>
        </w:rPr>
        <w:t>s 46 percent. The county records a lower rate of population living below the poverty line</w:t>
      </w:r>
      <w:r w:rsidR="00473E7D">
        <w:rPr>
          <w:sz w:val="22"/>
          <w:lang w:val="en-US"/>
        </w:rPr>
        <w:t>:</w:t>
      </w:r>
      <w:r w:rsidRPr="00C23847">
        <w:rPr>
          <w:sz w:val="22"/>
          <w:lang w:val="en-US"/>
        </w:rPr>
        <w:t xml:space="preserve"> Kajiado North at 40 percent </w:t>
      </w:r>
      <w:r w:rsidR="00473E7D">
        <w:rPr>
          <w:sz w:val="22"/>
          <w:lang w:val="en-US"/>
        </w:rPr>
        <w:t>and</w:t>
      </w:r>
      <w:r w:rsidRPr="00C23847">
        <w:rPr>
          <w:sz w:val="22"/>
          <w:lang w:val="en-US"/>
        </w:rPr>
        <w:t xml:space="preserve"> Kajiado West and South at 50 percent.</w:t>
      </w:r>
    </w:p>
    <w:p w14:paraId="027DAFD9" w14:textId="77777777" w:rsidR="00323A8C" w:rsidRPr="00C23847" w:rsidRDefault="00323A8C" w:rsidP="00C23847">
      <w:pPr>
        <w:spacing w:after="240"/>
        <w:rPr>
          <w:sz w:val="22"/>
          <w:lang w:val="en-US"/>
        </w:rPr>
      </w:pPr>
      <w:r w:rsidRPr="00C23847">
        <w:rPr>
          <w:sz w:val="22"/>
          <w:lang w:val="en-US"/>
        </w:rPr>
        <w:t>The poverty and hunger situation is aggravated by frequent drought and lack of diversification of economic activities among other factors.</w:t>
      </w:r>
    </w:p>
    <w:p w14:paraId="7EF6FB8B" w14:textId="44ED72EE" w:rsidR="00323A8C" w:rsidRPr="00C23847" w:rsidRDefault="00323A8C" w:rsidP="00C23847">
      <w:pPr>
        <w:spacing w:after="240"/>
        <w:rPr>
          <w:sz w:val="22"/>
          <w:lang w:val="en-US"/>
        </w:rPr>
      </w:pPr>
      <w:r w:rsidRPr="00C23847">
        <w:rPr>
          <w:sz w:val="22"/>
          <w:lang w:val="en-US"/>
        </w:rPr>
        <w:t>The county has an annual population growth rate of 5.5 percent and in 2012</w:t>
      </w:r>
      <w:r w:rsidR="00473E7D">
        <w:rPr>
          <w:sz w:val="22"/>
          <w:lang w:val="en-US"/>
        </w:rPr>
        <w:t>,</w:t>
      </w:r>
      <w:r w:rsidRPr="00C23847">
        <w:rPr>
          <w:sz w:val="22"/>
          <w:lang w:val="en-US"/>
        </w:rPr>
        <w:t xml:space="preserve"> </w:t>
      </w:r>
      <w:r w:rsidR="00473E7D">
        <w:rPr>
          <w:sz w:val="22"/>
          <w:lang w:val="en-US"/>
        </w:rPr>
        <w:t xml:space="preserve">the </w:t>
      </w:r>
      <w:r w:rsidRPr="00C23847">
        <w:rPr>
          <w:sz w:val="22"/>
          <w:lang w:val="en-US"/>
        </w:rPr>
        <w:t>total population was estimated at 807,069</w:t>
      </w:r>
      <w:r w:rsidR="00473E7D">
        <w:rPr>
          <w:sz w:val="22"/>
          <w:lang w:val="en-US"/>
        </w:rPr>
        <w:t>,</w:t>
      </w:r>
      <w:r w:rsidRPr="00C23847">
        <w:rPr>
          <w:sz w:val="22"/>
          <w:lang w:val="en-US"/>
        </w:rPr>
        <w:t xml:space="preserve"> with 401,784 being females and 405,285 males </w:t>
      </w:r>
      <w:r w:rsidR="00473E7D">
        <w:rPr>
          <w:sz w:val="22"/>
          <w:lang w:val="en-US"/>
        </w:rPr>
        <w:t>(</w:t>
      </w:r>
      <w:r w:rsidRPr="00C23847">
        <w:rPr>
          <w:sz w:val="22"/>
          <w:lang w:val="en-US"/>
        </w:rPr>
        <w:t>according to Kenya National Bureau of Statistics, 2013</w:t>
      </w:r>
      <w:r w:rsidR="00473E7D">
        <w:rPr>
          <w:sz w:val="22"/>
          <w:lang w:val="en-US"/>
        </w:rPr>
        <w:t>).</w:t>
      </w:r>
    </w:p>
    <w:p w14:paraId="4A2084CF" w14:textId="1CEB289E" w:rsidR="00323A8C" w:rsidRPr="00C23847" w:rsidRDefault="00323A8C" w:rsidP="00C23847">
      <w:pPr>
        <w:spacing w:after="240"/>
        <w:rPr>
          <w:sz w:val="22"/>
          <w:lang w:val="en-US"/>
        </w:rPr>
      </w:pPr>
      <w:r w:rsidRPr="00C23847">
        <w:rPr>
          <w:sz w:val="22"/>
          <w:lang w:val="en-US"/>
        </w:rPr>
        <w:t xml:space="preserve">As per the population </w:t>
      </w:r>
      <w:r w:rsidR="00473E7D">
        <w:rPr>
          <w:sz w:val="22"/>
          <w:lang w:val="en-US"/>
        </w:rPr>
        <w:t>c</w:t>
      </w:r>
      <w:r w:rsidRPr="00C23847">
        <w:rPr>
          <w:sz w:val="22"/>
          <w:lang w:val="en-US"/>
        </w:rPr>
        <w:t>ensus conducted in 2009, Kajiado North constituency was the most populated with a population of 202,651</w:t>
      </w:r>
      <w:r w:rsidR="00473E7D">
        <w:rPr>
          <w:sz w:val="22"/>
          <w:lang w:val="en-US"/>
        </w:rPr>
        <w:t>,</w:t>
      </w:r>
      <w:r w:rsidRPr="00C23847">
        <w:rPr>
          <w:sz w:val="22"/>
          <w:lang w:val="en-US"/>
        </w:rPr>
        <w:t xml:space="preserve"> which represents 29.5 percent of </w:t>
      </w:r>
      <w:r w:rsidR="00473E7D">
        <w:rPr>
          <w:sz w:val="22"/>
          <w:lang w:val="en-US"/>
        </w:rPr>
        <w:t xml:space="preserve">the </w:t>
      </w:r>
      <w:r w:rsidRPr="00C23847">
        <w:rPr>
          <w:sz w:val="22"/>
          <w:lang w:val="en-US"/>
        </w:rPr>
        <w:t>county</w:t>
      </w:r>
      <w:r w:rsidR="00473E7D">
        <w:rPr>
          <w:sz w:val="22"/>
          <w:lang w:val="en-US"/>
        </w:rPr>
        <w:t>’</w:t>
      </w:r>
      <w:r w:rsidRPr="00C23847">
        <w:rPr>
          <w:sz w:val="22"/>
          <w:lang w:val="en-US"/>
        </w:rPr>
        <w:t xml:space="preserve">s </w:t>
      </w:r>
      <w:r w:rsidR="00473E7D" w:rsidRPr="00C23847">
        <w:rPr>
          <w:sz w:val="22"/>
          <w:lang w:val="en-US"/>
        </w:rPr>
        <w:t xml:space="preserve">total </w:t>
      </w:r>
      <w:r w:rsidRPr="00C23847">
        <w:rPr>
          <w:sz w:val="22"/>
          <w:lang w:val="en-US"/>
        </w:rPr>
        <w:t>population</w:t>
      </w:r>
      <w:r w:rsidR="00473E7D">
        <w:rPr>
          <w:sz w:val="22"/>
          <w:lang w:val="en-US"/>
        </w:rPr>
        <w:t>.</w:t>
      </w:r>
      <w:r w:rsidRPr="00C23847">
        <w:rPr>
          <w:sz w:val="22"/>
          <w:lang w:val="en-US"/>
        </w:rPr>
        <w:t xml:space="preserve"> Kajiado Central has the lowest population of 102,978</w:t>
      </w:r>
      <w:r w:rsidR="00473E7D">
        <w:rPr>
          <w:sz w:val="22"/>
          <w:lang w:val="en-US"/>
        </w:rPr>
        <w:t>,</w:t>
      </w:r>
      <w:r w:rsidRPr="00C23847">
        <w:rPr>
          <w:sz w:val="22"/>
          <w:lang w:val="en-US"/>
        </w:rPr>
        <w:t xml:space="preserve"> which represents 15 percent of the county’s </w:t>
      </w:r>
      <w:r w:rsidR="00473E7D" w:rsidRPr="00C23847">
        <w:rPr>
          <w:sz w:val="22"/>
          <w:lang w:val="en-US"/>
        </w:rPr>
        <w:t xml:space="preserve">total </w:t>
      </w:r>
      <w:r w:rsidRPr="00C23847">
        <w:rPr>
          <w:sz w:val="22"/>
          <w:lang w:val="en-US"/>
        </w:rPr>
        <w:t xml:space="preserve">population. The high population in Kajiado North is attributed to its proximity to Nairobi </w:t>
      </w:r>
      <w:r w:rsidR="00473E7D">
        <w:rPr>
          <w:sz w:val="22"/>
          <w:lang w:val="en-US"/>
        </w:rPr>
        <w:t>C</w:t>
      </w:r>
      <w:r w:rsidRPr="00C23847">
        <w:rPr>
          <w:sz w:val="22"/>
          <w:lang w:val="en-US"/>
        </w:rPr>
        <w:t>ity where many people working in the city reside in Ngong</w:t>
      </w:r>
      <w:r w:rsidR="00473E7D">
        <w:rPr>
          <w:sz w:val="22"/>
          <w:lang w:val="en-US"/>
        </w:rPr>
        <w:t>.</w:t>
      </w:r>
    </w:p>
    <w:p w14:paraId="2DEE99FD" w14:textId="4B8DB45C" w:rsidR="00323A8C" w:rsidRPr="00C23847" w:rsidRDefault="00323A8C" w:rsidP="00C23847">
      <w:pPr>
        <w:spacing w:after="240"/>
        <w:rPr>
          <w:sz w:val="22"/>
          <w:lang w:val="en-US"/>
        </w:rPr>
      </w:pPr>
      <w:r w:rsidRPr="00C23847">
        <w:rPr>
          <w:sz w:val="22"/>
          <w:lang w:val="en-US"/>
        </w:rPr>
        <w:t xml:space="preserve">Statistics for the </w:t>
      </w:r>
      <w:r w:rsidR="00457CF7">
        <w:rPr>
          <w:sz w:val="22"/>
          <w:lang w:val="en-US"/>
        </w:rPr>
        <w:t>c</w:t>
      </w:r>
      <w:r w:rsidRPr="00C23847">
        <w:rPr>
          <w:sz w:val="22"/>
          <w:lang w:val="en-US"/>
        </w:rPr>
        <w:t xml:space="preserve">ounty (in </w:t>
      </w:r>
      <w:r w:rsidR="00457CF7">
        <w:rPr>
          <w:sz w:val="22"/>
          <w:lang w:val="en-US"/>
        </w:rPr>
        <w:t>p</w:t>
      </w:r>
      <w:r w:rsidRPr="00C23847">
        <w:rPr>
          <w:sz w:val="22"/>
          <w:lang w:val="en-US"/>
        </w:rPr>
        <w:t>ercent</w:t>
      </w:r>
      <w:r w:rsidR="00457CF7">
        <w:rPr>
          <w:sz w:val="22"/>
          <w:lang w:val="en-US"/>
        </w:rPr>
        <w:t>age</w:t>
      </w:r>
      <w:r w:rsidRPr="00C23847">
        <w:rPr>
          <w:sz w:val="22"/>
          <w:lang w:val="en-US"/>
        </w:rPr>
        <w:t>):</w:t>
      </w:r>
    </w:p>
    <w:p w14:paraId="35964126" w14:textId="164CFA4D"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Literacy: 55.4</w:t>
      </w:r>
    </w:p>
    <w:p w14:paraId="604E1828" w14:textId="2A51A6A3" w:rsidR="00323A8C" w:rsidRPr="00C23847" w:rsidRDefault="00473E7D" w:rsidP="006B3D13">
      <w:pPr>
        <w:pStyle w:val="ListParagraph"/>
        <w:numPr>
          <w:ilvl w:val="0"/>
          <w:numId w:val="15"/>
        </w:numPr>
        <w:spacing w:after="240"/>
        <w:contextualSpacing w:val="0"/>
        <w:rPr>
          <w:sz w:val="22"/>
          <w:lang w:val="en-US"/>
        </w:rPr>
      </w:pPr>
      <w:r>
        <w:rPr>
          <w:sz w:val="22"/>
          <w:lang w:val="en-US"/>
        </w:rPr>
        <w:t>S</w:t>
      </w:r>
      <w:r w:rsidR="00323A8C" w:rsidRPr="00C23847">
        <w:rPr>
          <w:sz w:val="22"/>
          <w:lang w:val="en-US"/>
        </w:rPr>
        <w:t xml:space="preserve">chool </w:t>
      </w:r>
      <w:r>
        <w:rPr>
          <w:sz w:val="22"/>
          <w:lang w:val="en-US"/>
        </w:rPr>
        <w:t xml:space="preserve">attendance </w:t>
      </w:r>
      <w:r w:rsidR="00323A8C" w:rsidRPr="00C23847">
        <w:rPr>
          <w:sz w:val="22"/>
          <w:lang w:val="en-US"/>
        </w:rPr>
        <w:t>(15</w:t>
      </w:r>
      <w:r>
        <w:rPr>
          <w:sz w:val="22"/>
          <w:lang w:val="en-US"/>
        </w:rPr>
        <w:t>–</w:t>
      </w:r>
      <w:r w:rsidR="00323A8C" w:rsidRPr="00C23847">
        <w:rPr>
          <w:sz w:val="22"/>
          <w:lang w:val="en-US"/>
        </w:rPr>
        <w:t xml:space="preserve">18 </w:t>
      </w:r>
      <w:r>
        <w:rPr>
          <w:sz w:val="22"/>
          <w:lang w:val="en-US"/>
        </w:rPr>
        <w:t>years</w:t>
      </w:r>
      <w:r w:rsidR="00323A8C" w:rsidRPr="00C23847">
        <w:rPr>
          <w:sz w:val="22"/>
          <w:lang w:val="en-US"/>
        </w:rPr>
        <w:t>): 44.9</w:t>
      </w:r>
    </w:p>
    <w:p w14:paraId="2F01B011" w14:textId="5A4EBCF5"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 xml:space="preserve">Paved </w:t>
      </w:r>
      <w:r w:rsidR="00473E7D">
        <w:rPr>
          <w:sz w:val="22"/>
          <w:lang w:val="en-US"/>
        </w:rPr>
        <w:t>r</w:t>
      </w:r>
      <w:r w:rsidRPr="00C23847">
        <w:rPr>
          <w:sz w:val="22"/>
          <w:lang w:val="en-US"/>
        </w:rPr>
        <w:t>oads: 5.9</w:t>
      </w:r>
    </w:p>
    <w:p w14:paraId="6ECC477A" w14:textId="25C169E8"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 xml:space="preserve">Good </w:t>
      </w:r>
      <w:r w:rsidR="00473E7D">
        <w:rPr>
          <w:sz w:val="22"/>
          <w:lang w:val="en-US"/>
        </w:rPr>
        <w:t>r</w:t>
      </w:r>
      <w:r w:rsidRPr="00C23847">
        <w:rPr>
          <w:sz w:val="22"/>
          <w:lang w:val="en-US"/>
        </w:rPr>
        <w:t>oads: 38.4</w:t>
      </w:r>
    </w:p>
    <w:p w14:paraId="2DDF0237" w14:textId="52497868" w:rsidR="00323A8C" w:rsidRPr="00C23847" w:rsidRDefault="00323A8C" w:rsidP="006B3D13">
      <w:pPr>
        <w:pStyle w:val="ListParagraph"/>
        <w:numPr>
          <w:ilvl w:val="0"/>
          <w:numId w:val="15"/>
        </w:numPr>
        <w:spacing w:after="240"/>
        <w:contextualSpacing w:val="0"/>
        <w:rPr>
          <w:sz w:val="22"/>
          <w:lang w:val="en-US"/>
        </w:rPr>
      </w:pPr>
      <w:r w:rsidRPr="00C23847">
        <w:rPr>
          <w:sz w:val="22"/>
          <w:lang w:val="en-US"/>
        </w:rPr>
        <w:t xml:space="preserve">Electricity </w:t>
      </w:r>
      <w:r w:rsidR="00473E7D">
        <w:rPr>
          <w:sz w:val="22"/>
          <w:lang w:val="en-US"/>
        </w:rPr>
        <w:t>a</w:t>
      </w:r>
      <w:r w:rsidRPr="00C23847">
        <w:rPr>
          <w:sz w:val="22"/>
          <w:lang w:val="en-US"/>
        </w:rPr>
        <w:t>ccess: 39.8</w:t>
      </w:r>
    </w:p>
    <w:p w14:paraId="38D54258" w14:textId="33F32DAC" w:rsidR="00323A8C" w:rsidRPr="00C23847" w:rsidRDefault="00323A8C" w:rsidP="00C23847">
      <w:pPr>
        <w:pStyle w:val="italic0"/>
        <w:spacing w:after="240"/>
        <w:rPr>
          <w:i w:val="0"/>
          <w:sz w:val="22"/>
          <w:lang w:val="en-US"/>
        </w:rPr>
      </w:pPr>
      <w:r w:rsidRPr="00C23847">
        <w:rPr>
          <w:sz w:val="22"/>
          <w:lang w:val="en-US"/>
        </w:rPr>
        <w:t xml:space="preserve">Source: </w:t>
      </w:r>
      <w:r w:rsidRPr="00C23847">
        <w:rPr>
          <w:i w:val="0"/>
          <w:sz w:val="22"/>
          <w:lang w:val="en-US"/>
        </w:rPr>
        <w:t>USAid Kenya</w:t>
      </w:r>
      <w:r w:rsidR="00473E7D">
        <w:rPr>
          <w:i w:val="0"/>
          <w:sz w:val="22"/>
          <w:lang w:val="en-US"/>
        </w:rPr>
        <w:t>.</w:t>
      </w:r>
    </w:p>
    <w:p w14:paraId="1CEBD2DC" w14:textId="77777777" w:rsidR="00323A8C" w:rsidRPr="00C23847" w:rsidRDefault="00323A8C" w:rsidP="00C23847">
      <w:pPr>
        <w:spacing w:after="240"/>
        <w:rPr>
          <w:sz w:val="22"/>
          <w:lang w:val="en-US"/>
        </w:rPr>
      </w:pPr>
      <w:r w:rsidRPr="00C23847">
        <w:rPr>
          <w:sz w:val="22"/>
          <w:lang w:val="en-US"/>
        </w:rPr>
        <w:t>The most extreme difference in secondary school education and above is in Kajiado County where the top ward (Ongata Rongai) has nearly 59 percent of the population with secondary education plus, while the bottom ward (Mosiro) has only 2 percent.</w:t>
      </w:r>
    </w:p>
    <w:p w14:paraId="1E0510AD" w14:textId="77777777" w:rsidR="00323A8C" w:rsidRPr="00000222" w:rsidRDefault="00323A8C" w:rsidP="00323A8C">
      <w:pPr>
        <w:rPr>
          <w:lang w:val="en-US"/>
        </w:rPr>
      </w:pPr>
    </w:p>
    <w:p w14:paraId="4E2FE03C" w14:textId="3AFD65A1" w:rsidR="00323A8C" w:rsidRDefault="00323A8C">
      <w:pPr>
        <w:jc w:val="left"/>
        <w:rPr>
          <w:lang w:val="en-US"/>
        </w:rPr>
        <w:sectPr w:rsidR="00323A8C" w:rsidSect="00323A8C">
          <w:headerReference w:type="default" r:id="rId35"/>
          <w:pgSz w:w="12240" w:h="15840"/>
          <w:pgMar w:top="1440" w:right="1440" w:bottom="1440" w:left="1440" w:header="760" w:footer="723" w:gutter="0"/>
          <w:cols w:space="720"/>
          <w:docGrid w:linePitch="326"/>
        </w:sectPr>
      </w:pPr>
    </w:p>
    <w:p w14:paraId="50B7AFC6" w14:textId="6F4BFCBD" w:rsidR="006D4DDB" w:rsidRPr="007B5FCE" w:rsidRDefault="00FD169B" w:rsidP="007B5FCE">
      <w:pPr>
        <w:pStyle w:val="Heading1"/>
        <w:numPr>
          <w:ilvl w:val="0"/>
          <w:numId w:val="0"/>
        </w:numPr>
        <w:rPr>
          <w:smallCaps w:val="0"/>
        </w:rPr>
      </w:pPr>
      <w:bookmarkStart w:id="145" w:name="_Toc532426059"/>
      <w:r w:rsidRPr="007B5FCE">
        <w:rPr>
          <w:smallCaps w:val="0"/>
        </w:rPr>
        <w:t xml:space="preserve">Annex 5: </w:t>
      </w:r>
      <w:r w:rsidR="006D4DDB" w:rsidRPr="007B5FCE">
        <w:rPr>
          <w:smallCaps w:val="0"/>
        </w:rPr>
        <w:t xml:space="preserve">Calculation </w:t>
      </w:r>
      <w:r w:rsidR="007B5FCE">
        <w:rPr>
          <w:smallCaps w:val="0"/>
        </w:rPr>
        <w:t>S</w:t>
      </w:r>
      <w:r w:rsidR="006D4DDB" w:rsidRPr="007B5FCE">
        <w:rPr>
          <w:smallCaps w:val="0"/>
        </w:rPr>
        <w:t>heet for PFM Indicators PI-1 and PI-2 (i)</w:t>
      </w:r>
      <w:bookmarkEnd w:id="145"/>
    </w:p>
    <w:p w14:paraId="31DF28F4" w14:textId="679D2211" w:rsidR="006D4DDB" w:rsidRPr="00C23847" w:rsidRDefault="006D4DDB" w:rsidP="00C23847">
      <w:pPr>
        <w:pStyle w:val="TableStyle"/>
        <w:rPr>
          <w:rStyle w:val="Strong"/>
          <w:b/>
          <w:bCs w:val="0"/>
        </w:rPr>
      </w:pPr>
      <w:r w:rsidRPr="00C23847">
        <w:rPr>
          <w:rStyle w:val="Strong"/>
          <w:b/>
          <w:bCs w:val="0"/>
        </w:rPr>
        <w:t>Year 2013/14 (</w:t>
      </w:r>
      <w:r w:rsidR="00E73ED7">
        <w:rPr>
          <w:rStyle w:val="Strong"/>
          <w:b/>
          <w:bCs w:val="0"/>
        </w:rPr>
        <w:t>Ksh</w:t>
      </w:r>
      <w:r w:rsidR="00457CF7">
        <w:rPr>
          <w:rStyle w:val="Strong"/>
          <w:b/>
          <w:bCs w:val="0"/>
        </w:rPr>
        <w:t>,</w:t>
      </w:r>
      <w:r w:rsidRPr="00C23847">
        <w:rPr>
          <w:rStyle w:val="Strong"/>
          <w:b/>
          <w:bCs w:val="0"/>
        </w:rPr>
        <w:t xml:space="preserve"> million</w:t>
      </w:r>
      <w:r w:rsidR="00457CF7">
        <w:rPr>
          <w:rStyle w:val="Strong"/>
          <w:b/>
          <w:bCs w:val="0"/>
        </w:rPr>
        <w:t>s</w:t>
      </w:r>
      <w:r w:rsidRPr="00C23847">
        <w:rPr>
          <w:rStyle w:val="Strong"/>
          <w:b/>
          <w:bCs w:val="0"/>
        </w:rPr>
        <w:t xml:space="preserve"> </w:t>
      </w:r>
      <w:r w:rsidR="00457CF7">
        <w:rPr>
          <w:rStyle w:val="Strong"/>
          <w:b/>
          <w:bCs w:val="0"/>
        </w:rPr>
        <w:t>and</w:t>
      </w:r>
      <w:r w:rsidR="00457CF7" w:rsidRPr="00C23847">
        <w:rPr>
          <w:rStyle w:val="Strong"/>
          <w:b/>
          <w:bCs w:val="0"/>
        </w:rPr>
        <w:t xml:space="preserve"> </w:t>
      </w:r>
      <w:r w:rsidRPr="00C23847">
        <w:rPr>
          <w:rStyle w:val="Strong"/>
          <w:b/>
          <w:bCs w:val="0"/>
        </w:rPr>
        <w:t>%)</w:t>
      </w:r>
    </w:p>
    <w:tbl>
      <w:tblPr>
        <w:tblW w:w="1313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28"/>
        <w:gridCol w:w="1775"/>
        <w:gridCol w:w="1774"/>
        <w:gridCol w:w="2088"/>
        <w:gridCol w:w="2171"/>
        <w:gridCol w:w="2111"/>
        <w:gridCol w:w="989"/>
      </w:tblGrid>
      <w:tr w:rsidR="006D4DDB" w:rsidRPr="00C23847" w14:paraId="0E1E74A8" w14:textId="77777777" w:rsidTr="00C23847">
        <w:tc>
          <w:tcPr>
            <w:tcW w:w="2228" w:type="dxa"/>
            <w:shd w:val="clear" w:color="auto" w:fill="5B9BD5"/>
            <w:noWrap/>
            <w:hideMark/>
          </w:tcPr>
          <w:p w14:paraId="5932F34D"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Functional Head</w:t>
            </w:r>
          </w:p>
        </w:tc>
        <w:tc>
          <w:tcPr>
            <w:tcW w:w="1775" w:type="dxa"/>
            <w:shd w:val="clear" w:color="auto" w:fill="5B9BD5"/>
            <w:noWrap/>
            <w:hideMark/>
          </w:tcPr>
          <w:p w14:paraId="12ACC8F0"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Budget</w:t>
            </w:r>
          </w:p>
        </w:tc>
        <w:tc>
          <w:tcPr>
            <w:tcW w:w="1774" w:type="dxa"/>
            <w:shd w:val="clear" w:color="auto" w:fill="5B9BD5"/>
            <w:noWrap/>
            <w:hideMark/>
          </w:tcPr>
          <w:p w14:paraId="09A54B40"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Actual</w:t>
            </w:r>
          </w:p>
        </w:tc>
        <w:tc>
          <w:tcPr>
            <w:tcW w:w="2088" w:type="dxa"/>
            <w:shd w:val="clear" w:color="auto" w:fill="5B9BD5"/>
            <w:hideMark/>
          </w:tcPr>
          <w:p w14:paraId="2544823C"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Adjusted Budget</w:t>
            </w:r>
          </w:p>
        </w:tc>
        <w:tc>
          <w:tcPr>
            <w:tcW w:w="2171" w:type="dxa"/>
            <w:shd w:val="clear" w:color="auto" w:fill="5B9BD5"/>
            <w:hideMark/>
          </w:tcPr>
          <w:p w14:paraId="5045032D"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Deviation</w:t>
            </w:r>
          </w:p>
        </w:tc>
        <w:tc>
          <w:tcPr>
            <w:tcW w:w="2111" w:type="dxa"/>
            <w:shd w:val="clear" w:color="auto" w:fill="5B9BD5"/>
            <w:hideMark/>
          </w:tcPr>
          <w:p w14:paraId="0297A4DA"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Absolute Deviation</w:t>
            </w:r>
          </w:p>
        </w:tc>
        <w:tc>
          <w:tcPr>
            <w:tcW w:w="989" w:type="dxa"/>
            <w:shd w:val="clear" w:color="auto" w:fill="5B9BD5"/>
            <w:noWrap/>
            <w:hideMark/>
          </w:tcPr>
          <w:p w14:paraId="0E9BE7F6"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w:t>
            </w:r>
          </w:p>
        </w:tc>
      </w:tr>
      <w:tr w:rsidR="006D4DDB" w:rsidRPr="00C23847" w14:paraId="1EC31A26" w14:textId="77777777" w:rsidTr="00C23847">
        <w:tc>
          <w:tcPr>
            <w:tcW w:w="2228" w:type="dxa"/>
            <w:shd w:val="clear" w:color="auto" w:fill="auto"/>
            <w:noWrap/>
            <w:hideMark/>
          </w:tcPr>
          <w:p w14:paraId="416E028F" w14:textId="1230E2C9" w:rsidR="006D4DDB" w:rsidRPr="00C23847" w:rsidRDefault="006D4DDB" w:rsidP="00C23847">
            <w:pPr>
              <w:jc w:val="left"/>
              <w:rPr>
                <w:sz w:val="20"/>
                <w:szCs w:val="20"/>
              </w:rPr>
            </w:pPr>
            <w:r w:rsidRPr="00C23847">
              <w:rPr>
                <w:sz w:val="20"/>
                <w:szCs w:val="20"/>
              </w:rPr>
              <w:t xml:space="preserve">County </w:t>
            </w:r>
            <w:r w:rsidR="00DF24D0">
              <w:rPr>
                <w:sz w:val="20"/>
                <w:szCs w:val="20"/>
              </w:rPr>
              <w:t>A</w:t>
            </w:r>
            <w:r w:rsidRPr="00C23847">
              <w:rPr>
                <w:sz w:val="20"/>
                <w:szCs w:val="20"/>
              </w:rPr>
              <w:t>ssembly</w:t>
            </w:r>
          </w:p>
        </w:tc>
        <w:tc>
          <w:tcPr>
            <w:tcW w:w="1775" w:type="dxa"/>
            <w:shd w:val="clear" w:color="auto" w:fill="auto"/>
            <w:noWrap/>
            <w:hideMark/>
          </w:tcPr>
          <w:p w14:paraId="34650443" w14:textId="77777777" w:rsidR="006D4DDB" w:rsidRPr="00C23847" w:rsidRDefault="006D4DDB" w:rsidP="00C23847">
            <w:pPr>
              <w:jc w:val="center"/>
              <w:rPr>
                <w:sz w:val="20"/>
                <w:szCs w:val="20"/>
              </w:rPr>
            </w:pPr>
            <w:r w:rsidRPr="00C23847">
              <w:rPr>
                <w:sz w:val="20"/>
                <w:szCs w:val="20"/>
              </w:rPr>
              <w:t>670,271,602</w:t>
            </w:r>
          </w:p>
        </w:tc>
        <w:tc>
          <w:tcPr>
            <w:tcW w:w="1774" w:type="dxa"/>
            <w:shd w:val="clear" w:color="auto" w:fill="auto"/>
            <w:noWrap/>
            <w:hideMark/>
          </w:tcPr>
          <w:p w14:paraId="22614FCA" w14:textId="77777777" w:rsidR="006D4DDB" w:rsidRPr="00C23847" w:rsidRDefault="006D4DDB" w:rsidP="00C23847">
            <w:pPr>
              <w:jc w:val="center"/>
              <w:rPr>
                <w:sz w:val="20"/>
                <w:szCs w:val="20"/>
              </w:rPr>
            </w:pPr>
            <w:r w:rsidRPr="00C23847">
              <w:rPr>
                <w:sz w:val="20"/>
                <w:szCs w:val="20"/>
              </w:rPr>
              <w:t>518,918,957.05</w:t>
            </w:r>
          </w:p>
        </w:tc>
        <w:tc>
          <w:tcPr>
            <w:tcW w:w="2088" w:type="dxa"/>
            <w:shd w:val="clear" w:color="auto" w:fill="auto"/>
            <w:noWrap/>
            <w:hideMark/>
          </w:tcPr>
          <w:p w14:paraId="0A3EBCDF" w14:textId="77777777" w:rsidR="006D4DDB" w:rsidRPr="00C23847" w:rsidRDefault="006D4DDB" w:rsidP="00C23847">
            <w:pPr>
              <w:jc w:val="center"/>
              <w:rPr>
                <w:sz w:val="20"/>
                <w:szCs w:val="20"/>
              </w:rPr>
            </w:pPr>
            <w:r w:rsidRPr="00C23847">
              <w:rPr>
                <w:sz w:val="20"/>
                <w:szCs w:val="20"/>
              </w:rPr>
              <w:t>497,437,579.86</w:t>
            </w:r>
          </w:p>
        </w:tc>
        <w:tc>
          <w:tcPr>
            <w:tcW w:w="2171" w:type="dxa"/>
            <w:shd w:val="clear" w:color="auto" w:fill="auto"/>
            <w:noWrap/>
            <w:hideMark/>
          </w:tcPr>
          <w:p w14:paraId="23E06B3D" w14:textId="77777777" w:rsidR="006D4DDB" w:rsidRPr="00C23847" w:rsidRDefault="006D4DDB" w:rsidP="00260F29">
            <w:pPr>
              <w:tabs>
                <w:tab w:val="decimal" w:pos="1292"/>
              </w:tabs>
              <w:jc w:val="left"/>
              <w:rPr>
                <w:sz w:val="20"/>
                <w:szCs w:val="20"/>
              </w:rPr>
            </w:pPr>
            <w:r w:rsidRPr="00C23847">
              <w:rPr>
                <w:sz w:val="20"/>
                <w:szCs w:val="20"/>
              </w:rPr>
              <w:t>21,481,377.19</w:t>
            </w:r>
          </w:p>
        </w:tc>
        <w:tc>
          <w:tcPr>
            <w:tcW w:w="2111" w:type="dxa"/>
            <w:shd w:val="clear" w:color="auto" w:fill="auto"/>
            <w:noWrap/>
            <w:hideMark/>
          </w:tcPr>
          <w:p w14:paraId="737ECDC9" w14:textId="77777777" w:rsidR="006D4DDB" w:rsidRPr="00C23847" w:rsidRDefault="006D4DDB" w:rsidP="00260F29">
            <w:pPr>
              <w:tabs>
                <w:tab w:val="decimal" w:pos="1292"/>
              </w:tabs>
              <w:jc w:val="left"/>
              <w:rPr>
                <w:sz w:val="20"/>
                <w:szCs w:val="20"/>
              </w:rPr>
            </w:pPr>
            <w:r w:rsidRPr="00C23847">
              <w:rPr>
                <w:sz w:val="20"/>
                <w:szCs w:val="20"/>
              </w:rPr>
              <w:t>21,481,377.19</w:t>
            </w:r>
          </w:p>
        </w:tc>
        <w:tc>
          <w:tcPr>
            <w:tcW w:w="989" w:type="dxa"/>
            <w:shd w:val="clear" w:color="auto" w:fill="auto"/>
            <w:noWrap/>
            <w:hideMark/>
          </w:tcPr>
          <w:p w14:paraId="62A994EC" w14:textId="77777777" w:rsidR="006D4DDB" w:rsidRPr="00C23847" w:rsidRDefault="006D4DDB" w:rsidP="00C23847">
            <w:pPr>
              <w:jc w:val="center"/>
              <w:rPr>
                <w:sz w:val="20"/>
                <w:szCs w:val="20"/>
              </w:rPr>
            </w:pPr>
            <w:r w:rsidRPr="00C23847">
              <w:rPr>
                <w:sz w:val="20"/>
                <w:szCs w:val="20"/>
              </w:rPr>
              <w:t>4</w:t>
            </w:r>
          </w:p>
        </w:tc>
      </w:tr>
      <w:tr w:rsidR="006D4DDB" w:rsidRPr="00C23847" w14:paraId="62184163" w14:textId="77777777" w:rsidTr="00C23847">
        <w:tc>
          <w:tcPr>
            <w:tcW w:w="2228" w:type="dxa"/>
            <w:shd w:val="clear" w:color="auto" w:fill="auto"/>
            <w:noWrap/>
            <w:hideMark/>
          </w:tcPr>
          <w:p w14:paraId="3DCED34F" w14:textId="77777777" w:rsidR="006D4DDB" w:rsidRPr="00C23847" w:rsidRDefault="006D4DDB" w:rsidP="00C23847">
            <w:pPr>
              <w:jc w:val="left"/>
              <w:rPr>
                <w:sz w:val="20"/>
                <w:szCs w:val="20"/>
              </w:rPr>
            </w:pPr>
            <w:r w:rsidRPr="00C23847">
              <w:rPr>
                <w:sz w:val="20"/>
                <w:szCs w:val="20"/>
              </w:rPr>
              <w:t>Office of the governor</w:t>
            </w:r>
          </w:p>
        </w:tc>
        <w:tc>
          <w:tcPr>
            <w:tcW w:w="1775" w:type="dxa"/>
            <w:shd w:val="clear" w:color="auto" w:fill="auto"/>
            <w:noWrap/>
            <w:hideMark/>
          </w:tcPr>
          <w:p w14:paraId="428D5DAF" w14:textId="77777777" w:rsidR="006D4DDB" w:rsidRPr="00C23847" w:rsidRDefault="006D4DDB" w:rsidP="00C23847">
            <w:pPr>
              <w:jc w:val="center"/>
              <w:rPr>
                <w:sz w:val="20"/>
                <w:szCs w:val="20"/>
              </w:rPr>
            </w:pPr>
            <w:r w:rsidRPr="00C23847">
              <w:rPr>
                <w:sz w:val="20"/>
                <w:szCs w:val="20"/>
              </w:rPr>
              <w:t>192,574,787</w:t>
            </w:r>
          </w:p>
        </w:tc>
        <w:tc>
          <w:tcPr>
            <w:tcW w:w="1774" w:type="dxa"/>
            <w:shd w:val="clear" w:color="auto" w:fill="auto"/>
            <w:noWrap/>
            <w:hideMark/>
          </w:tcPr>
          <w:p w14:paraId="444FD033" w14:textId="77777777" w:rsidR="006D4DDB" w:rsidRPr="00C23847" w:rsidRDefault="006D4DDB" w:rsidP="00C23847">
            <w:pPr>
              <w:jc w:val="center"/>
              <w:rPr>
                <w:sz w:val="20"/>
                <w:szCs w:val="20"/>
              </w:rPr>
            </w:pPr>
            <w:r w:rsidRPr="00C23847">
              <w:rPr>
                <w:sz w:val="20"/>
                <w:szCs w:val="20"/>
              </w:rPr>
              <w:t>186,697,157</w:t>
            </w:r>
          </w:p>
        </w:tc>
        <w:tc>
          <w:tcPr>
            <w:tcW w:w="2088" w:type="dxa"/>
            <w:shd w:val="clear" w:color="auto" w:fill="auto"/>
            <w:noWrap/>
            <w:hideMark/>
          </w:tcPr>
          <w:p w14:paraId="44F31543" w14:textId="77777777" w:rsidR="006D4DDB" w:rsidRPr="00C23847" w:rsidRDefault="006D4DDB" w:rsidP="00C23847">
            <w:pPr>
              <w:jc w:val="center"/>
              <w:rPr>
                <w:sz w:val="20"/>
                <w:szCs w:val="20"/>
              </w:rPr>
            </w:pPr>
            <w:r w:rsidRPr="00C23847">
              <w:rPr>
                <w:sz w:val="20"/>
                <w:szCs w:val="20"/>
              </w:rPr>
              <w:t>142,918,088.28</w:t>
            </w:r>
          </w:p>
        </w:tc>
        <w:tc>
          <w:tcPr>
            <w:tcW w:w="2171" w:type="dxa"/>
            <w:shd w:val="clear" w:color="auto" w:fill="auto"/>
            <w:noWrap/>
            <w:hideMark/>
          </w:tcPr>
          <w:p w14:paraId="3C8371EC" w14:textId="77777777" w:rsidR="006D4DDB" w:rsidRPr="00C23847" w:rsidRDefault="006D4DDB" w:rsidP="00260F29">
            <w:pPr>
              <w:tabs>
                <w:tab w:val="decimal" w:pos="1292"/>
              </w:tabs>
              <w:jc w:val="left"/>
              <w:rPr>
                <w:sz w:val="20"/>
                <w:szCs w:val="20"/>
              </w:rPr>
            </w:pPr>
            <w:r w:rsidRPr="00C23847">
              <w:rPr>
                <w:sz w:val="20"/>
                <w:szCs w:val="20"/>
              </w:rPr>
              <w:t>43,779,068.72</w:t>
            </w:r>
          </w:p>
        </w:tc>
        <w:tc>
          <w:tcPr>
            <w:tcW w:w="2111" w:type="dxa"/>
            <w:shd w:val="clear" w:color="auto" w:fill="auto"/>
            <w:noWrap/>
            <w:hideMark/>
          </w:tcPr>
          <w:p w14:paraId="19B6489F" w14:textId="77777777" w:rsidR="006D4DDB" w:rsidRPr="00C23847" w:rsidRDefault="006D4DDB" w:rsidP="00260F29">
            <w:pPr>
              <w:tabs>
                <w:tab w:val="decimal" w:pos="1292"/>
              </w:tabs>
              <w:jc w:val="left"/>
              <w:rPr>
                <w:sz w:val="20"/>
                <w:szCs w:val="20"/>
              </w:rPr>
            </w:pPr>
            <w:r w:rsidRPr="00C23847">
              <w:rPr>
                <w:sz w:val="20"/>
                <w:szCs w:val="20"/>
              </w:rPr>
              <w:t>43,779,068.72</w:t>
            </w:r>
          </w:p>
        </w:tc>
        <w:tc>
          <w:tcPr>
            <w:tcW w:w="989" w:type="dxa"/>
            <w:shd w:val="clear" w:color="auto" w:fill="auto"/>
            <w:noWrap/>
            <w:hideMark/>
          </w:tcPr>
          <w:p w14:paraId="010CC618" w14:textId="77777777" w:rsidR="006D4DDB" w:rsidRPr="00C23847" w:rsidRDefault="006D4DDB" w:rsidP="00C23847">
            <w:pPr>
              <w:jc w:val="center"/>
              <w:rPr>
                <w:sz w:val="20"/>
                <w:szCs w:val="20"/>
              </w:rPr>
            </w:pPr>
            <w:r w:rsidRPr="00C23847">
              <w:rPr>
                <w:sz w:val="20"/>
                <w:szCs w:val="20"/>
              </w:rPr>
              <w:t>31</w:t>
            </w:r>
          </w:p>
        </w:tc>
      </w:tr>
      <w:tr w:rsidR="006D4DDB" w:rsidRPr="00C23847" w14:paraId="12A16977" w14:textId="77777777" w:rsidTr="00C23847">
        <w:tc>
          <w:tcPr>
            <w:tcW w:w="2228" w:type="dxa"/>
            <w:shd w:val="clear" w:color="auto" w:fill="auto"/>
            <w:noWrap/>
            <w:hideMark/>
          </w:tcPr>
          <w:p w14:paraId="5791556C" w14:textId="3478EA92" w:rsidR="006D4DDB" w:rsidRPr="00C23847" w:rsidRDefault="006D4DDB" w:rsidP="00C23847">
            <w:pPr>
              <w:jc w:val="left"/>
              <w:rPr>
                <w:sz w:val="20"/>
                <w:szCs w:val="20"/>
              </w:rPr>
            </w:pPr>
            <w:r w:rsidRPr="00C23847">
              <w:rPr>
                <w:sz w:val="20"/>
                <w:szCs w:val="20"/>
              </w:rPr>
              <w:t xml:space="preserve">County </w:t>
            </w:r>
            <w:r w:rsidR="00DF24D0" w:rsidRPr="00C23847">
              <w:rPr>
                <w:sz w:val="20"/>
                <w:szCs w:val="20"/>
              </w:rPr>
              <w:t>Public Service</w:t>
            </w:r>
          </w:p>
        </w:tc>
        <w:tc>
          <w:tcPr>
            <w:tcW w:w="1775" w:type="dxa"/>
            <w:shd w:val="clear" w:color="auto" w:fill="auto"/>
            <w:noWrap/>
            <w:hideMark/>
          </w:tcPr>
          <w:p w14:paraId="7D86E919" w14:textId="77777777" w:rsidR="006D4DDB" w:rsidRPr="00C23847" w:rsidRDefault="006D4DDB" w:rsidP="00C23847">
            <w:pPr>
              <w:jc w:val="center"/>
              <w:rPr>
                <w:sz w:val="20"/>
                <w:szCs w:val="20"/>
              </w:rPr>
            </w:pPr>
            <w:r w:rsidRPr="00C23847">
              <w:rPr>
                <w:sz w:val="20"/>
                <w:szCs w:val="20"/>
              </w:rPr>
              <w:t>844,516,448</w:t>
            </w:r>
          </w:p>
        </w:tc>
        <w:tc>
          <w:tcPr>
            <w:tcW w:w="1774" w:type="dxa"/>
            <w:shd w:val="clear" w:color="auto" w:fill="auto"/>
            <w:noWrap/>
            <w:hideMark/>
          </w:tcPr>
          <w:p w14:paraId="3BA94E42" w14:textId="77777777" w:rsidR="006D4DDB" w:rsidRPr="00C23847" w:rsidRDefault="006D4DDB" w:rsidP="00C23847">
            <w:pPr>
              <w:jc w:val="center"/>
              <w:rPr>
                <w:sz w:val="20"/>
                <w:szCs w:val="20"/>
              </w:rPr>
            </w:pPr>
            <w:r w:rsidRPr="00C23847">
              <w:rPr>
                <w:sz w:val="20"/>
                <w:szCs w:val="20"/>
              </w:rPr>
              <w:t>841,735,444</w:t>
            </w:r>
          </w:p>
        </w:tc>
        <w:tc>
          <w:tcPr>
            <w:tcW w:w="2088" w:type="dxa"/>
            <w:shd w:val="clear" w:color="auto" w:fill="auto"/>
            <w:noWrap/>
            <w:hideMark/>
          </w:tcPr>
          <w:p w14:paraId="692BFC49" w14:textId="77777777" w:rsidR="006D4DDB" w:rsidRPr="00C23847" w:rsidRDefault="006D4DDB" w:rsidP="00C23847">
            <w:pPr>
              <w:jc w:val="center"/>
              <w:rPr>
                <w:sz w:val="20"/>
                <w:szCs w:val="20"/>
              </w:rPr>
            </w:pPr>
            <w:r w:rsidRPr="00C23847">
              <w:rPr>
                <w:sz w:val="20"/>
                <w:szCs w:val="20"/>
              </w:rPr>
              <w:t>626,752,225.21</w:t>
            </w:r>
          </w:p>
        </w:tc>
        <w:tc>
          <w:tcPr>
            <w:tcW w:w="2171" w:type="dxa"/>
            <w:shd w:val="clear" w:color="auto" w:fill="auto"/>
            <w:noWrap/>
            <w:hideMark/>
          </w:tcPr>
          <w:p w14:paraId="577A7334" w14:textId="77777777" w:rsidR="006D4DDB" w:rsidRPr="00C23847" w:rsidRDefault="006D4DDB" w:rsidP="00260F29">
            <w:pPr>
              <w:tabs>
                <w:tab w:val="decimal" w:pos="1292"/>
              </w:tabs>
              <w:jc w:val="left"/>
              <w:rPr>
                <w:sz w:val="20"/>
                <w:szCs w:val="20"/>
              </w:rPr>
            </w:pPr>
            <w:r w:rsidRPr="00C23847">
              <w:rPr>
                <w:sz w:val="20"/>
                <w:szCs w:val="20"/>
              </w:rPr>
              <w:t>214,983,218.79</w:t>
            </w:r>
          </w:p>
        </w:tc>
        <w:tc>
          <w:tcPr>
            <w:tcW w:w="2111" w:type="dxa"/>
            <w:shd w:val="clear" w:color="auto" w:fill="auto"/>
            <w:noWrap/>
            <w:hideMark/>
          </w:tcPr>
          <w:p w14:paraId="0FA2874E" w14:textId="77777777" w:rsidR="006D4DDB" w:rsidRPr="00C23847" w:rsidRDefault="006D4DDB" w:rsidP="00260F29">
            <w:pPr>
              <w:tabs>
                <w:tab w:val="decimal" w:pos="1292"/>
              </w:tabs>
              <w:jc w:val="left"/>
              <w:rPr>
                <w:sz w:val="20"/>
                <w:szCs w:val="20"/>
              </w:rPr>
            </w:pPr>
            <w:r w:rsidRPr="00C23847">
              <w:rPr>
                <w:sz w:val="20"/>
                <w:szCs w:val="20"/>
              </w:rPr>
              <w:t>214,983,218.79</w:t>
            </w:r>
          </w:p>
        </w:tc>
        <w:tc>
          <w:tcPr>
            <w:tcW w:w="989" w:type="dxa"/>
            <w:shd w:val="clear" w:color="auto" w:fill="auto"/>
            <w:noWrap/>
            <w:hideMark/>
          </w:tcPr>
          <w:p w14:paraId="692D8703" w14:textId="77777777" w:rsidR="006D4DDB" w:rsidRPr="00C23847" w:rsidRDefault="006D4DDB" w:rsidP="00C23847">
            <w:pPr>
              <w:jc w:val="center"/>
              <w:rPr>
                <w:sz w:val="20"/>
                <w:szCs w:val="20"/>
              </w:rPr>
            </w:pPr>
            <w:r w:rsidRPr="00C23847">
              <w:rPr>
                <w:sz w:val="20"/>
                <w:szCs w:val="20"/>
              </w:rPr>
              <w:t>34</w:t>
            </w:r>
          </w:p>
        </w:tc>
      </w:tr>
      <w:tr w:rsidR="006D4DDB" w:rsidRPr="00C23847" w14:paraId="705ECDBD" w14:textId="77777777" w:rsidTr="00C23847">
        <w:tc>
          <w:tcPr>
            <w:tcW w:w="2228" w:type="dxa"/>
            <w:shd w:val="clear" w:color="auto" w:fill="auto"/>
            <w:noWrap/>
            <w:hideMark/>
          </w:tcPr>
          <w:p w14:paraId="5557B8DF" w14:textId="2D6186AB" w:rsidR="006D4DDB" w:rsidRPr="00C23847" w:rsidRDefault="006D4DDB" w:rsidP="00C23847">
            <w:pPr>
              <w:jc w:val="left"/>
              <w:rPr>
                <w:sz w:val="20"/>
                <w:szCs w:val="20"/>
              </w:rPr>
            </w:pPr>
            <w:r w:rsidRPr="00C23847">
              <w:rPr>
                <w:sz w:val="20"/>
                <w:szCs w:val="20"/>
              </w:rPr>
              <w:t xml:space="preserve">County </w:t>
            </w:r>
            <w:r w:rsidR="00DF24D0" w:rsidRPr="00C23847">
              <w:rPr>
                <w:sz w:val="20"/>
                <w:szCs w:val="20"/>
              </w:rPr>
              <w:t>Public Service Board</w:t>
            </w:r>
          </w:p>
        </w:tc>
        <w:tc>
          <w:tcPr>
            <w:tcW w:w="1775" w:type="dxa"/>
            <w:shd w:val="clear" w:color="auto" w:fill="auto"/>
            <w:noWrap/>
            <w:hideMark/>
          </w:tcPr>
          <w:p w14:paraId="215C1729" w14:textId="77777777" w:rsidR="006D4DDB" w:rsidRPr="00C23847" w:rsidRDefault="006D4DDB" w:rsidP="00C23847">
            <w:pPr>
              <w:jc w:val="center"/>
              <w:rPr>
                <w:sz w:val="20"/>
                <w:szCs w:val="20"/>
              </w:rPr>
            </w:pPr>
            <w:r w:rsidRPr="00C23847">
              <w:rPr>
                <w:sz w:val="20"/>
                <w:szCs w:val="20"/>
              </w:rPr>
              <w:t>60,672,414</w:t>
            </w:r>
          </w:p>
        </w:tc>
        <w:tc>
          <w:tcPr>
            <w:tcW w:w="1774" w:type="dxa"/>
            <w:shd w:val="clear" w:color="auto" w:fill="auto"/>
            <w:noWrap/>
            <w:hideMark/>
          </w:tcPr>
          <w:p w14:paraId="64F132B2" w14:textId="77777777" w:rsidR="006D4DDB" w:rsidRPr="00C23847" w:rsidRDefault="006D4DDB" w:rsidP="00C23847">
            <w:pPr>
              <w:jc w:val="center"/>
              <w:rPr>
                <w:sz w:val="20"/>
                <w:szCs w:val="20"/>
              </w:rPr>
            </w:pPr>
            <w:r w:rsidRPr="00C23847">
              <w:rPr>
                <w:sz w:val="20"/>
                <w:szCs w:val="20"/>
              </w:rPr>
              <w:t>55,673,917</w:t>
            </w:r>
          </w:p>
        </w:tc>
        <w:tc>
          <w:tcPr>
            <w:tcW w:w="2088" w:type="dxa"/>
            <w:shd w:val="clear" w:color="auto" w:fill="auto"/>
            <w:noWrap/>
            <w:hideMark/>
          </w:tcPr>
          <w:p w14:paraId="1432B65A" w14:textId="77777777" w:rsidR="006D4DDB" w:rsidRPr="00C23847" w:rsidRDefault="006D4DDB" w:rsidP="00C23847">
            <w:pPr>
              <w:jc w:val="center"/>
              <w:rPr>
                <w:sz w:val="20"/>
                <w:szCs w:val="20"/>
              </w:rPr>
            </w:pPr>
            <w:r w:rsidRPr="00C23847">
              <w:rPr>
                <w:sz w:val="20"/>
                <w:szCs w:val="20"/>
              </w:rPr>
              <w:t>45,027,625.66</w:t>
            </w:r>
          </w:p>
        </w:tc>
        <w:tc>
          <w:tcPr>
            <w:tcW w:w="2171" w:type="dxa"/>
            <w:shd w:val="clear" w:color="auto" w:fill="auto"/>
            <w:noWrap/>
            <w:hideMark/>
          </w:tcPr>
          <w:p w14:paraId="788A4C72" w14:textId="77777777" w:rsidR="006D4DDB" w:rsidRPr="00C23847" w:rsidRDefault="006D4DDB" w:rsidP="00260F29">
            <w:pPr>
              <w:tabs>
                <w:tab w:val="decimal" w:pos="1292"/>
              </w:tabs>
              <w:jc w:val="left"/>
              <w:rPr>
                <w:sz w:val="20"/>
                <w:szCs w:val="20"/>
              </w:rPr>
            </w:pPr>
            <w:r w:rsidRPr="00C23847">
              <w:rPr>
                <w:sz w:val="20"/>
                <w:szCs w:val="20"/>
              </w:rPr>
              <w:t>10,646,291.34</w:t>
            </w:r>
          </w:p>
        </w:tc>
        <w:tc>
          <w:tcPr>
            <w:tcW w:w="2111" w:type="dxa"/>
            <w:shd w:val="clear" w:color="auto" w:fill="auto"/>
            <w:noWrap/>
            <w:hideMark/>
          </w:tcPr>
          <w:p w14:paraId="6CA3A2A1" w14:textId="77777777" w:rsidR="006D4DDB" w:rsidRPr="00C23847" w:rsidRDefault="006D4DDB" w:rsidP="00260F29">
            <w:pPr>
              <w:tabs>
                <w:tab w:val="decimal" w:pos="1292"/>
              </w:tabs>
              <w:jc w:val="left"/>
              <w:rPr>
                <w:sz w:val="20"/>
                <w:szCs w:val="20"/>
              </w:rPr>
            </w:pPr>
            <w:r w:rsidRPr="00C23847">
              <w:rPr>
                <w:sz w:val="20"/>
                <w:szCs w:val="20"/>
              </w:rPr>
              <w:t>10,646,291.34</w:t>
            </w:r>
          </w:p>
        </w:tc>
        <w:tc>
          <w:tcPr>
            <w:tcW w:w="989" w:type="dxa"/>
            <w:shd w:val="clear" w:color="auto" w:fill="auto"/>
            <w:noWrap/>
            <w:hideMark/>
          </w:tcPr>
          <w:p w14:paraId="5CA2E602" w14:textId="77777777" w:rsidR="006D4DDB" w:rsidRPr="00C23847" w:rsidRDefault="006D4DDB" w:rsidP="00C23847">
            <w:pPr>
              <w:jc w:val="center"/>
              <w:rPr>
                <w:sz w:val="20"/>
                <w:szCs w:val="20"/>
              </w:rPr>
            </w:pPr>
            <w:r w:rsidRPr="00C23847">
              <w:rPr>
                <w:sz w:val="20"/>
                <w:szCs w:val="20"/>
              </w:rPr>
              <w:t>24</w:t>
            </w:r>
          </w:p>
        </w:tc>
      </w:tr>
      <w:tr w:rsidR="006D4DDB" w:rsidRPr="00C23847" w14:paraId="6F609F65" w14:textId="77777777" w:rsidTr="00C23847">
        <w:tc>
          <w:tcPr>
            <w:tcW w:w="2228" w:type="dxa"/>
            <w:shd w:val="clear" w:color="auto" w:fill="auto"/>
            <w:noWrap/>
            <w:hideMark/>
          </w:tcPr>
          <w:p w14:paraId="0007C4E6" w14:textId="7878EF1D" w:rsidR="006D4DDB" w:rsidRPr="00C23847" w:rsidRDefault="006D4DDB" w:rsidP="00C23847">
            <w:pPr>
              <w:jc w:val="left"/>
              <w:rPr>
                <w:sz w:val="20"/>
                <w:szCs w:val="20"/>
              </w:rPr>
            </w:pPr>
            <w:r w:rsidRPr="00C23847">
              <w:rPr>
                <w:sz w:val="20"/>
                <w:szCs w:val="20"/>
              </w:rPr>
              <w:t xml:space="preserve">County </w:t>
            </w:r>
            <w:r w:rsidR="00DF24D0">
              <w:rPr>
                <w:sz w:val="20"/>
                <w:szCs w:val="20"/>
              </w:rPr>
              <w:t>E</w:t>
            </w:r>
            <w:r w:rsidRPr="00C23847">
              <w:rPr>
                <w:sz w:val="20"/>
                <w:szCs w:val="20"/>
              </w:rPr>
              <w:t>xecutive</w:t>
            </w:r>
          </w:p>
        </w:tc>
        <w:tc>
          <w:tcPr>
            <w:tcW w:w="1775" w:type="dxa"/>
            <w:shd w:val="clear" w:color="auto" w:fill="auto"/>
            <w:noWrap/>
            <w:hideMark/>
          </w:tcPr>
          <w:p w14:paraId="45195B22" w14:textId="77777777" w:rsidR="006D4DDB" w:rsidRPr="00C23847" w:rsidRDefault="006D4DDB" w:rsidP="00C23847">
            <w:pPr>
              <w:jc w:val="center"/>
              <w:rPr>
                <w:sz w:val="20"/>
                <w:szCs w:val="20"/>
              </w:rPr>
            </w:pPr>
            <w:r w:rsidRPr="00C23847">
              <w:rPr>
                <w:sz w:val="20"/>
                <w:szCs w:val="20"/>
              </w:rPr>
              <w:t>37,151,497</w:t>
            </w:r>
          </w:p>
        </w:tc>
        <w:tc>
          <w:tcPr>
            <w:tcW w:w="1774" w:type="dxa"/>
            <w:shd w:val="clear" w:color="auto" w:fill="auto"/>
            <w:noWrap/>
            <w:hideMark/>
          </w:tcPr>
          <w:p w14:paraId="78CA0E4D" w14:textId="77777777" w:rsidR="006D4DDB" w:rsidRPr="00C23847" w:rsidRDefault="006D4DDB" w:rsidP="00C23847">
            <w:pPr>
              <w:jc w:val="center"/>
              <w:rPr>
                <w:sz w:val="20"/>
                <w:szCs w:val="20"/>
              </w:rPr>
            </w:pPr>
            <w:r w:rsidRPr="00C23847">
              <w:rPr>
                <w:sz w:val="20"/>
                <w:szCs w:val="20"/>
              </w:rPr>
              <w:t>35,815,683</w:t>
            </w:r>
          </w:p>
        </w:tc>
        <w:tc>
          <w:tcPr>
            <w:tcW w:w="2088" w:type="dxa"/>
            <w:shd w:val="clear" w:color="auto" w:fill="auto"/>
            <w:noWrap/>
            <w:hideMark/>
          </w:tcPr>
          <w:p w14:paraId="7A939D79" w14:textId="77777777" w:rsidR="006D4DDB" w:rsidRPr="00C23847" w:rsidRDefault="006D4DDB" w:rsidP="00C23847">
            <w:pPr>
              <w:jc w:val="center"/>
              <w:rPr>
                <w:sz w:val="20"/>
                <w:szCs w:val="20"/>
              </w:rPr>
            </w:pPr>
            <w:r w:rsidRPr="00C23847">
              <w:rPr>
                <w:sz w:val="20"/>
                <w:szCs w:val="20"/>
              </w:rPr>
              <w:t>27,571,734.65</w:t>
            </w:r>
          </w:p>
        </w:tc>
        <w:tc>
          <w:tcPr>
            <w:tcW w:w="2171" w:type="dxa"/>
            <w:shd w:val="clear" w:color="auto" w:fill="auto"/>
            <w:noWrap/>
            <w:hideMark/>
          </w:tcPr>
          <w:p w14:paraId="0C0D34C1" w14:textId="77777777" w:rsidR="006D4DDB" w:rsidRPr="00C23847" w:rsidRDefault="006D4DDB" w:rsidP="00260F29">
            <w:pPr>
              <w:tabs>
                <w:tab w:val="decimal" w:pos="1292"/>
              </w:tabs>
              <w:jc w:val="left"/>
              <w:rPr>
                <w:sz w:val="20"/>
                <w:szCs w:val="20"/>
              </w:rPr>
            </w:pPr>
            <w:r w:rsidRPr="00C23847">
              <w:rPr>
                <w:sz w:val="20"/>
                <w:szCs w:val="20"/>
              </w:rPr>
              <w:t>8,243,948.35</w:t>
            </w:r>
          </w:p>
        </w:tc>
        <w:tc>
          <w:tcPr>
            <w:tcW w:w="2111" w:type="dxa"/>
            <w:shd w:val="clear" w:color="auto" w:fill="auto"/>
            <w:noWrap/>
            <w:hideMark/>
          </w:tcPr>
          <w:p w14:paraId="71AD8516" w14:textId="77777777" w:rsidR="006D4DDB" w:rsidRPr="00C23847" w:rsidRDefault="006D4DDB" w:rsidP="00260F29">
            <w:pPr>
              <w:tabs>
                <w:tab w:val="decimal" w:pos="1292"/>
              </w:tabs>
              <w:jc w:val="left"/>
              <w:rPr>
                <w:sz w:val="20"/>
                <w:szCs w:val="20"/>
              </w:rPr>
            </w:pPr>
            <w:r w:rsidRPr="00C23847">
              <w:rPr>
                <w:sz w:val="20"/>
                <w:szCs w:val="20"/>
              </w:rPr>
              <w:t>8,243,948.35</w:t>
            </w:r>
          </w:p>
        </w:tc>
        <w:tc>
          <w:tcPr>
            <w:tcW w:w="989" w:type="dxa"/>
            <w:shd w:val="clear" w:color="auto" w:fill="auto"/>
            <w:noWrap/>
            <w:hideMark/>
          </w:tcPr>
          <w:p w14:paraId="28D786F1" w14:textId="77777777" w:rsidR="006D4DDB" w:rsidRPr="00C23847" w:rsidRDefault="006D4DDB" w:rsidP="00C23847">
            <w:pPr>
              <w:jc w:val="center"/>
              <w:rPr>
                <w:sz w:val="20"/>
                <w:szCs w:val="20"/>
              </w:rPr>
            </w:pPr>
            <w:r w:rsidRPr="00C23847">
              <w:rPr>
                <w:sz w:val="20"/>
                <w:szCs w:val="20"/>
              </w:rPr>
              <w:t>30</w:t>
            </w:r>
          </w:p>
        </w:tc>
      </w:tr>
      <w:tr w:rsidR="006D4DDB" w:rsidRPr="00C23847" w14:paraId="6BD792E3" w14:textId="77777777" w:rsidTr="00C23847">
        <w:tc>
          <w:tcPr>
            <w:tcW w:w="2228" w:type="dxa"/>
            <w:shd w:val="clear" w:color="auto" w:fill="auto"/>
            <w:noWrap/>
            <w:hideMark/>
          </w:tcPr>
          <w:p w14:paraId="68CFC958" w14:textId="527A3148" w:rsidR="006D4DDB" w:rsidRPr="00C23847" w:rsidRDefault="006D4DDB" w:rsidP="00C23847">
            <w:pPr>
              <w:jc w:val="left"/>
              <w:rPr>
                <w:sz w:val="20"/>
                <w:szCs w:val="20"/>
              </w:rPr>
            </w:pPr>
            <w:r w:rsidRPr="00C23847">
              <w:rPr>
                <w:sz w:val="20"/>
                <w:szCs w:val="20"/>
              </w:rPr>
              <w:t xml:space="preserve">County </w:t>
            </w:r>
            <w:r w:rsidR="00DF24D0">
              <w:rPr>
                <w:sz w:val="20"/>
                <w:szCs w:val="20"/>
              </w:rPr>
              <w:t>E</w:t>
            </w:r>
            <w:r w:rsidRPr="00C23847">
              <w:rPr>
                <w:sz w:val="20"/>
                <w:szCs w:val="20"/>
              </w:rPr>
              <w:t>xecutive administration</w:t>
            </w:r>
          </w:p>
        </w:tc>
        <w:tc>
          <w:tcPr>
            <w:tcW w:w="1775" w:type="dxa"/>
            <w:shd w:val="clear" w:color="auto" w:fill="auto"/>
            <w:noWrap/>
            <w:hideMark/>
          </w:tcPr>
          <w:p w14:paraId="066C254A" w14:textId="77777777" w:rsidR="006D4DDB" w:rsidRPr="00C23847" w:rsidRDefault="006D4DDB" w:rsidP="00C23847">
            <w:pPr>
              <w:jc w:val="center"/>
              <w:rPr>
                <w:sz w:val="20"/>
                <w:szCs w:val="20"/>
              </w:rPr>
            </w:pPr>
            <w:r w:rsidRPr="00C23847">
              <w:rPr>
                <w:sz w:val="20"/>
                <w:szCs w:val="20"/>
              </w:rPr>
              <w:t>7,440,723</w:t>
            </w:r>
          </w:p>
        </w:tc>
        <w:tc>
          <w:tcPr>
            <w:tcW w:w="1774" w:type="dxa"/>
            <w:shd w:val="clear" w:color="auto" w:fill="auto"/>
            <w:noWrap/>
            <w:hideMark/>
          </w:tcPr>
          <w:p w14:paraId="7DDF4612" w14:textId="77777777" w:rsidR="006D4DDB" w:rsidRPr="00C23847" w:rsidRDefault="006D4DDB" w:rsidP="00C23847">
            <w:pPr>
              <w:jc w:val="center"/>
              <w:rPr>
                <w:sz w:val="20"/>
                <w:szCs w:val="20"/>
              </w:rPr>
            </w:pPr>
            <w:r w:rsidRPr="00C23847">
              <w:rPr>
                <w:sz w:val="20"/>
                <w:szCs w:val="20"/>
              </w:rPr>
              <w:t>7,071,659</w:t>
            </w:r>
          </w:p>
        </w:tc>
        <w:tc>
          <w:tcPr>
            <w:tcW w:w="2088" w:type="dxa"/>
            <w:shd w:val="clear" w:color="auto" w:fill="auto"/>
            <w:noWrap/>
            <w:hideMark/>
          </w:tcPr>
          <w:p w14:paraId="79901799" w14:textId="77777777" w:rsidR="006D4DDB" w:rsidRPr="00C23847" w:rsidRDefault="006D4DDB" w:rsidP="00C23847">
            <w:pPr>
              <w:jc w:val="center"/>
              <w:rPr>
                <w:sz w:val="20"/>
                <w:szCs w:val="20"/>
              </w:rPr>
            </w:pPr>
            <w:r w:rsidRPr="00C23847">
              <w:rPr>
                <w:sz w:val="20"/>
                <w:szCs w:val="20"/>
              </w:rPr>
              <w:t>5,522,082.74</w:t>
            </w:r>
          </w:p>
        </w:tc>
        <w:tc>
          <w:tcPr>
            <w:tcW w:w="2171" w:type="dxa"/>
            <w:shd w:val="clear" w:color="auto" w:fill="auto"/>
            <w:noWrap/>
            <w:hideMark/>
          </w:tcPr>
          <w:p w14:paraId="27E63A8D" w14:textId="77777777" w:rsidR="006D4DDB" w:rsidRPr="00C23847" w:rsidRDefault="006D4DDB" w:rsidP="00260F29">
            <w:pPr>
              <w:tabs>
                <w:tab w:val="decimal" w:pos="1292"/>
              </w:tabs>
              <w:jc w:val="left"/>
              <w:rPr>
                <w:sz w:val="20"/>
                <w:szCs w:val="20"/>
              </w:rPr>
            </w:pPr>
            <w:r w:rsidRPr="00C23847">
              <w:rPr>
                <w:sz w:val="20"/>
                <w:szCs w:val="20"/>
              </w:rPr>
              <w:t>1,549,576.26</w:t>
            </w:r>
          </w:p>
        </w:tc>
        <w:tc>
          <w:tcPr>
            <w:tcW w:w="2111" w:type="dxa"/>
            <w:shd w:val="clear" w:color="auto" w:fill="auto"/>
            <w:noWrap/>
            <w:hideMark/>
          </w:tcPr>
          <w:p w14:paraId="4660F157" w14:textId="77777777" w:rsidR="006D4DDB" w:rsidRPr="00C23847" w:rsidRDefault="006D4DDB" w:rsidP="00260F29">
            <w:pPr>
              <w:tabs>
                <w:tab w:val="decimal" w:pos="1292"/>
              </w:tabs>
              <w:jc w:val="left"/>
              <w:rPr>
                <w:sz w:val="20"/>
                <w:szCs w:val="20"/>
              </w:rPr>
            </w:pPr>
            <w:r w:rsidRPr="00C23847">
              <w:rPr>
                <w:sz w:val="20"/>
                <w:szCs w:val="20"/>
              </w:rPr>
              <w:t>1,549,576.26</w:t>
            </w:r>
          </w:p>
        </w:tc>
        <w:tc>
          <w:tcPr>
            <w:tcW w:w="989" w:type="dxa"/>
            <w:shd w:val="clear" w:color="auto" w:fill="auto"/>
            <w:noWrap/>
            <w:hideMark/>
          </w:tcPr>
          <w:p w14:paraId="10176057" w14:textId="77777777" w:rsidR="006D4DDB" w:rsidRPr="00C23847" w:rsidRDefault="006D4DDB" w:rsidP="00C23847">
            <w:pPr>
              <w:jc w:val="center"/>
              <w:rPr>
                <w:sz w:val="20"/>
                <w:szCs w:val="20"/>
              </w:rPr>
            </w:pPr>
            <w:r w:rsidRPr="00C23847">
              <w:rPr>
                <w:sz w:val="20"/>
                <w:szCs w:val="20"/>
              </w:rPr>
              <w:t>28</w:t>
            </w:r>
          </w:p>
        </w:tc>
      </w:tr>
      <w:tr w:rsidR="006D4DDB" w:rsidRPr="00C23847" w14:paraId="594AB26F" w14:textId="77777777" w:rsidTr="00C23847">
        <w:tc>
          <w:tcPr>
            <w:tcW w:w="2228" w:type="dxa"/>
            <w:shd w:val="clear" w:color="auto" w:fill="auto"/>
            <w:noWrap/>
            <w:hideMark/>
          </w:tcPr>
          <w:p w14:paraId="482B11E4" w14:textId="77777777" w:rsidR="006D4DDB" w:rsidRPr="00C23847" w:rsidRDefault="006D4DDB" w:rsidP="00C23847">
            <w:pPr>
              <w:jc w:val="left"/>
              <w:rPr>
                <w:sz w:val="20"/>
                <w:szCs w:val="20"/>
              </w:rPr>
            </w:pPr>
            <w:r w:rsidRPr="00C23847">
              <w:rPr>
                <w:sz w:val="20"/>
                <w:szCs w:val="20"/>
              </w:rPr>
              <w:t>Finance and planning</w:t>
            </w:r>
          </w:p>
        </w:tc>
        <w:tc>
          <w:tcPr>
            <w:tcW w:w="1775" w:type="dxa"/>
            <w:shd w:val="clear" w:color="auto" w:fill="auto"/>
            <w:noWrap/>
            <w:hideMark/>
          </w:tcPr>
          <w:p w14:paraId="375A2262" w14:textId="77777777" w:rsidR="006D4DDB" w:rsidRPr="00C23847" w:rsidRDefault="006D4DDB" w:rsidP="00C23847">
            <w:pPr>
              <w:jc w:val="center"/>
              <w:rPr>
                <w:sz w:val="20"/>
                <w:szCs w:val="20"/>
              </w:rPr>
            </w:pPr>
            <w:r w:rsidRPr="00C23847">
              <w:rPr>
                <w:sz w:val="20"/>
                <w:szCs w:val="20"/>
              </w:rPr>
              <w:t>306,190,177</w:t>
            </w:r>
          </w:p>
        </w:tc>
        <w:tc>
          <w:tcPr>
            <w:tcW w:w="1774" w:type="dxa"/>
            <w:shd w:val="clear" w:color="auto" w:fill="auto"/>
            <w:noWrap/>
            <w:hideMark/>
          </w:tcPr>
          <w:p w14:paraId="17E5D92E" w14:textId="77777777" w:rsidR="006D4DDB" w:rsidRPr="00C23847" w:rsidRDefault="006D4DDB" w:rsidP="00C23847">
            <w:pPr>
              <w:jc w:val="center"/>
              <w:rPr>
                <w:sz w:val="20"/>
                <w:szCs w:val="20"/>
              </w:rPr>
            </w:pPr>
            <w:r w:rsidRPr="00C23847">
              <w:rPr>
                <w:sz w:val="20"/>
                <w:szCs w:val="20"/>
              </w:rPr>
              <w:t>257,069,459</w:t>
            </w:r>
          </w:p>
        </w:tc>
        <w:tc>
          <w:tcPr>
            <w:tcW w:w="2088" w:type="dxa"/>
            <w:shd w:val="clear" w:color="auto" w:fill="auto"/>
            <w:noWrap/>
            <w:hideMark/>
          </w:tcPr>
          <w:p w14:paraId="67C96970" w14:textId="77777777" w:rsidR="006D4DDB" w:rsidRPr="00C23847" w:rsidRDefault="006D4DDB" w:rsidP="00C23847">
            <w:pPr>
              <w:jc w:val="center"/>
              <w:rPr>
                <w:sz w:val="20"/>
                <w:szCs w:val="20"/>
              </w:rPr>
            </w:pPr>
            <w:r w:rsidRPr="00C23847">
              <w:rPr>
                <w:sz w:val="20"/>
                <w:szCs w:val="20"/>
              </w:rPr>
              <w:t>227,236,988.96</w:t>
            </w:r>
          </w:p>
        </w:tc>
        <w:tc>
          <w:tcPr>
            <w:tcW w:w="2171" w:type="dxa"/>
            <w:shd w:val="clear" w:color="auto" w:fill="auto"/>
            <w:noWrap/>
            <w:hideMark/>
          </w:tcPr>
          <w:p w14:paraId="34DEE294" w14:textId="77777777" w:rsidR="006D4DDB" w:rsidRPr="00C23847" w:rsidRDefault="006D4DDB" w:rsidP="00260F29">
            <w:pPr>
              <w:tabs>
                <w:tab w:val="decimal" w:pos="1292"/>
              </w:tabs>
              <w:jc w:val="left"/>
              <w:rPr>
                <w:sz w:val="20"/>
                <w:szCs w:val="20"/>
              </w:rPr>
            </w:pPr>
            <w:r w:rsidRPr="00C23847">
              <w:rPr>
                <w:sz w:val="20"/>
                <w:szCs w:val="20"/>
              </w:rPr>
              <w:t>29,832,470.04</w:t>
            </w:r>
          </w:p>
        </w:tc>
        <w:tc>
          <w:tcPr>
            <w:tcW w:w="2111" w:type="dxa"/>
            <w:shd w:val="clear" w:color="auto" w:fill="auto"/>
            <w:noWrap/>
            <w:hideMark/>
          </w:tcPr>
          <w:p w14:paraId="65A70907" w14:textId="77777777" w:rsidR="006D4DDB" w:rsidRPr="00C23847" w:rsidRDefault="006D4DDB" w:rsidP="00260F29">
            <w:pPr>
              <w:tabs>
                <w:tab w:val="decimal" w:pos="1292"/>
              </w:tabs>
              <w:jc w:val="left"/>
              <w:rPr>
                <w:sz w:val="20"/>
                <w:szCs w:val="20"/>
              </w:rPr>
            </w:pPr>
            <w:r w:rsidRPr="00C23847">
              <w:rPr>
                <w:sz w:val="20"/>
                <w:szCs w:val="20"/>
              </w:rPr>
              <w:t>29,832,470.04</w:t>
            </w:r>
          </w:p>
        </w:tc>
        <w:tc>
          <w:tcPr>
            <w:tcW w:w="989" w:type="dxa"/>
            <w:shd w:val="clear" w:color="auto" w:fill="auto"/>
            <w:noWrap/>
            <w:hideMark/>
          </w:tcPr>
          <w:p w14:paraId="54123366" w14:textId="77777777" w:rsidR="006D4DDB" w:rsidRPr="00C23847" w:rsidRDefault="006D4DDB" w:rsidP="00C23847">
            <w:pPr>
              <w:jc w:val="center"/>
              <w:rPr>
                <w:sz w:val="20"/>
                <w:szCs w:val="20"/>
              </w:rPr>
            </w:pPr>
            <w:r w:rsidRPr="00C23847">
              <w:rPr>
                <w:sz w:val="20"/>
                <w:szCs w:val="20"/>
              </w:rPr>
              <w:t>13</w:t>
            </w:r>
          </w:p>
        </w:tc>
      </w:tr>
      <w:tr w:rsidR="006D4DDB" w:rsidRPr="00C23847" w14:paraId="3A542A66" w14:textId="77777777" w:rsidTr="00C23847">
        <w:tc>
          <w:tcPr>
            <w:tcW w:w="2228" w:type="dxa"/>
            <w:shd w:val="clear" w:color="auto" w:fill="auto"/>
            <w:noWrap/>
            <w:hideMark/>
          </w:tcPr>
          <w:p w14:paraId="21AC391F" w14:textId="34C179D6" w:rsidR="006D4DDB" w:rsidRPr="00C23847" w:rsidRDefault="006D4DDB" w:rsidP="00C23847">
            <w:pPr>
              <w:jc w:val="left"/>
              <w:rPr>
                <w:sz w:val="20"/>
                <w:szCs w:val="20"/>
              </w:rPr>
            </w:pPr>
            <w:r w:rsidRPr="00C23847">
              <w:rPr>
                <w:sz w:val="20"/>
                <w:szCs w:val="20"/>
              </w:rPr>
              <w:t>Trade and enterprise dev</w:t>
            </w:r>
            <w:r w:rsidR="00DF24D0">
              <w:rPr>
                <w:sz w:val="20"/>
                <w:szCs w:val="20"/>
              </w:rPr>
              <w:t>elopment</w:t>
            </w:r>
          </w:p>
        </w:tc>
        <w:tc>
          <w:tcPr>
            <w:tcW w:w="1775" w:type="dxa"/>
            <w:shd w:val="clear" w:color="auto" w:fill="auto"/>
            <w:noWrap/>
            <w:hideMark/>
          </w:tcPr>
          <w:p w14:paraId="67182A35" w14:textId="77777777" w:rsidR="006D4DDB" w:rsidRPr="00C23847" w:rsidRDefault="006D4DDB" w:rsidP="00C23847">
            <w:pPr>
              <w:jc w:val="center"/>
              <w:rPr>
                <w:sz w:val="20"/>
                <w:szCs w:val="20"/>
              </w:rPr>
            </w:pPr>
            <w:r w:rsidRPr="00C23847">
              <w:rPr>
                <w:sz w:val="20"/>
                <w:szCs w:val="20"/>
              </w:rPr>
              <w:t>43,770,855</w:t>
            </w:r>
          </w:p>
        </w:tc>
        <w:tc>
          <w:tcPr>
            <w:tcW w:w="1774" w:type="dxa"/>
            <w:shd w:val="clear" w:color="auto" w:fill="auto"/>
            <w:noWrap/>
            <w:hideMark/>
          </w:tcPr>
          <w:p w14:paraId="25182C31" w14:textId="77777777" w:rsidR="006D4DDB" w:rsidRPr="00C23847" w:rsidRDefault="006D4DDB" w:rsidP="00C23847">
            <w:pPr>
              <w:jc w:val="center"/>
              <w:rPr>
                <w:sz w:val="20"/>
                <w:szCs w:val="20"/>
              </w:rPr>
            </w:pPr>
            <w:r w:rsidRPr="00C23847">
              <w:rPr>
                <w:sz w:val="20"/>
                <w:szCs w:val="20"/>
              </w:rPr>
              <w:t>21,480,881</w:t>
            </w:r>
          </w:p>
        </w:tc>
        <w:tc>
          <w:tcPr>
            <w:tcW w:w="2088" w:type="dxa"/>
            <w:shd w:val="clear" w:color="auto" w:fill="auto"/>
            <w:noWrap/>
            <w:hideMark/>
          </w:tcPr>
          <w:p w14:paraId="2B640DB9" w14:textId="77777777" w:rsidR="006D4DDB" w:rsidRPr="00C23847" w:rsidRDefault="006D4DDB" w:rsidP="00C23847">
            <w:pPr>
              <w:jc w:val="center"/>
              <w:rPr>
                <w:sz w:val="20"/>
                <w:szCs w:val="20"/>
              </w:rPr>
            </w:pPr>
            <w:r w:rsidRPr="00C23847">
              <w:rPr>
                <w:sz w:val="20"/>
                <w:szCs w:val="20"/>
              </w:rPr>
              <w:t>32,484,246.86</w:t>
            </w:r>
          </w:p>
        </w:tc>
        <w:tc>
          <w:tcPr>
            <w:tcW w:w="2171" w:type="dxa"/>
            <w:shd w:val="clear" w:color="auto" w:fill="auto"/>
            <w:noWrap/>
            <w:hideMark/>
          </w:tcPr>
          <w:p w14:paraId="386F3558" w14:textId="77777777" w:rsidR="006D4DDB" w:rsidRPr="00C23847" w:rsidRDefault="006D4DDB" w:rsidP="00260F29">
            <w:pPr>
              <w:tabs>
                <w:tab w:val="decimal" w:pos="1292"/>
              </w:tabs>
              <w:jc w:val="left"/>
              <w:rPr>
                <w:sz w:val="20"/>
                <w:szCs w:val="20"/>
              </w:rPr>
            </w:pPr>
            <w:r w:rsidRPr="00C23847">
              <w:rPr>
                <w:sz w:val="20"/>
                <w:szCs w:val="20"/>
              </w:rPr>
              <w:t>(11,003,365.86)</w:t>
            </w:r>
          </w:p>
        </w:tc>
        <w:tc>
          <w:tcPr>
            <w:tcW w:w="2111" w:type="dxa"/>
            <w:shd w:val="clear" w:color="auto" w:fill="auto"/>
            <w:noWrap/>
            <w:hideMark/>
          </w:tcPr>
          <w:p w14:paraId="1D5E4138" w14:textId="77777777" w:rsidR="006D4DDB" w:rsidRPr="00C23847" w:rsidRDefault="006D4DDB" w:rsidP="00260F29">
            <w:pPr>
              <w:tabs>
                <w:tab w:val="decimal" w:pos="1292"/>
              </w:tabs>
              <w:jc w:val="left"/>
              <w:rPr>
                <w:sz w:val="20"/>
                <w:szCs w:val="20"/>
              </w:rPr>
            </w:pPr>
            <w:r w:rsidRPr="00C23847">
              <w:rPr>
                <w:sz w:val="20"/>
                <w:szCs w:val="20"/>
              </w:rPr>
              <w:t>11,003,365.86</w:t>
            </w:r>
          </w:p>
        </w:tc>
        <w:tc>
          <w:tcPr>
            <w:tcW w:w="989" w:type="dxa"/>
            <w:shd w:val="clear" w:color="auto" w:fill="auto"/>
            <w:noWrap/>
            <w:hideMark/>
          </w:tcPr>
          <w:p w14:paraId="43F8C96D" w14:textId="77777777" w:rsidR="006D4DDB" w:rsidRPr="00C23847" w:rsidRDefault="006D4DDB" w:rsidP="00C23847">
            <w:pPr>
              <w:jc w:val="center"/>
              <w:rPr>
                <w:sz w:val="20"/>
                <w:szCs w:val="20"/>
              </w:rPr>
            </w:pPr>
            <w:r w:rsidRPr="00C23847">
              <w:rPr>
                <w:sz w:val="20"/>
                <w:szCs w:val="20"/>
              </w:rPr>
              <w:t>34</w:t>
            </w:r>
          </w:p>
        </w:tc>
      </w:tr>
      <w:tr w:rsidR="006D4DDB" w:rsidRPr="00C23847" w14:paraId="09E9A91E" w14:textId="77777777" w:rsidTr="00C23847">
        <w:tc>
          <w:tcPr>
            <w:tcW w:w="2228" w:type="dxa"/>
            <w:shd w:val="clear" w:color="auto" w:fill="auto"/>
            <w:noWrap/>
            <w:hideMark/>
          </w:tcPr>
          <w:p w14:paraId="49EB4FB0" w14:textId="77777777" w:rsidR="006D4DDB" w:rsidRPr="00C23847" w:rsidRDefault="006D4DDB" w:rsidP="00C23847">
            <w:pPr>
              <w:jc w:val="left"/>
              <w:rPr>
                <w:sz w:val="20"/>
                <w:szCs w:val="20"/>
              </w:rPr>
            </w:pPr>
            <w:r w:rsidRPr="00C23847">
              <w:rPr>
                <w:sz w:val="20"/>
                <w:szCs w:val="20"/>
              </w:rPr>
              <w:t>Agriculture</w:t>
            </w:r>
          </w:p>
        </w:tc>
        <w:tc>
          <w:tcPr>
            <w:tcW w:w="1775" w:type="dxa"/>
            <w:shd w:val="clear" w:color="auto" w:fill="auto"/>
            <w:noWrap/>
            <w:hideMark/>
          </w:tcPr>
          <w:p w14:paraId="635CFB76" w14:textId="77777777" w:rsidR="006D4DDB" w:rsidRPr="00C23847" w:rsidRDefault="006D4DDB" w:rsidP="00C23847">
            <w:pPr>
              <w:jc w:val="center"/>
              <w:rPr>
                <w:sz w:val="20"/>
                <w:szCs w:val="20"/>
              </w:rPr>
            </w:pPr>
            <w:r w:rsidRPr="00C23847">
              <w:rPr>
                <w:sz w:val="20"/>
                <w:szCs w:val="20"/>
              </w:rPr>
              <w:t>130,508,279</w:t>
            </w:r>
          </w:p>
        </w:tc>
        <w:tc>
          <w:tcPr>
            <w:tcW w:w="1774" w:type="dxa"/>
            <w:shd w:val="clear" w:color="auto" w:fill="auto"/>
            <w:noWrap/>
            <w:hideMark/>
          </w:tcPr>
          <w:p w14:paraId="0127C69F" w14:textId="77777777" w:rsidR="006D4DDB" w:rsidRPr="00C23847" w:rsidRDefault="006D4DDB" w:rsidP="00C23847">
            <w:pPr>
              <w:jc w:val="center"/>
              <w:rPr>
                <w:sz w:val="20"/>
                <w:szCs w:val="20"/>
              </w:rPr>
            </w:pPr>
            <w:r w:rsidRPr="00C23847">
              <w:rPr>
                <w:sz w:val="20"/>
                <w:szCs w:val="20"/>
              </w:rPr>
              <w:t>108,074,434</w:t>
            </w:r>
          </w:p>
        </w:tc>
        <w:tc>
          <w:tcPr>
            <w:tcW w:w="2088" w:type="dxa"/>
            <w:shd w:val="clear" w:color="auto" w:fill="auto"/>
            <w:noWrap/>
            <w:hideMark/>
          </w:tcPr>
          <w:p w14:paraId="6DFB72B0" w14:textId="77777777" w:rsidR="006D4DDB" w:rsidRPr="00C23847" w:rsidRDefault="006D4DDB" w:rsidP="00C23847">
            <w:pPr>
              <w:jc w:val="center"/>
              <w:rPr>
                <w:sz w:val="20"/>
                <w:szCs w:val="20"/>
              </w:rPr>
            </w:pPr>
            <w:r w:rsidRPr="00C23847">
              <w:rPr>
                <w:sz w:val="20"/>
                <w:szCs w:val="20"/>
              </w:rPr>
              <w:t>96,855,845.10</w:t>
            </w:r>
          </w:p>
        </w:tc>
        <w:tc>
          <w:tcPr>
            <w:tcW w:w="2171" w:type="dxa"/>
            <w:shd w:val="clear" w:color="auto" w:fill="auto"/>
            <w:noWrap/>
            <w:hideMark/>
          </w:tcPr>
          <w:p w14:paraId="626BBB3A" w14:textId="77777777" w:rsidR="006D4DDB" w:rsidRPr="00C23847" w:rsidRDefault="006D4DDB" w:rsidP="00260F29">
            <w:pPr>
              <w:tabs>
                <w:tab w:val="decimal" w:pos="1292"/>
              </w:tabs>
              <w:jc w:val="left"/>
              <w:rPr>
                <w:sz w:val="20"/>
                <w:szCs w:val="20"/>
              </w:rPr>
            </w:pPr>
            <w:r w:rsidRPr="00C23847">
              <w:rPr>
                <w:sz w:val="20"/>
                <w:szCs w:val="20"/>
              </w:rPr>
              <w:t>11,218,588.90</w:t>
            </w:r>
          </w:p>
        </w:tc>
        <w:tc>
          <w:tcPr>
            <w:tcW w:w="2111" w:type="dxa"/>
            <w:shd w:val="clear" w:color="auto" w:fill="auto"/>
            <w:noWrap/>
            <w:hideMark/>
          </w:tcPr>
          <w:p w14:paraId="59FA9E06" w14:textId="77777777" w:rsidR="006D4DDB" w:rsidRPr="00C23847" w:rsidRDefault="006D4DDB" w:rsidP="00260F29">
            <w:pPr>
              <w:tabs>
                <w:tab w:val="decimal" w:pos="1292"/>
              </w:tabs>
              <w:jc w:val="left"/>
              <w:rPr>
                <w:sz w:val="20"/>
                <w:szCs w:val="20"/>
              </w:rPr>
            </w:pPr>
            <w:r w:rsidRPr="00C23847">
              <w:rPr>
                <w:sz w:val="20"/>
                <w:szCs w:val="20"/>
              </w:rPr>
              <w:t>11,218,588.90</w:t>
            </w:r>
          </w:p>
        </w:tc>
        <w:tc>
          <w:tcPr>
            <w:tcW w:w="989" w:type="dxa"/>
            <w:shd w:val="clear" w:color="auto" w:fill="auto"/>
            <w:noWrap/>
            <w:hideMark/>
          </w:tcPr>
          <w:p w14:paraId="7E8D32FA" w14:textId="77777777" w:rsidR="006D4DDB" w:rsidRPr="00C23847" w:rsidRDefault="006D4DDB" w:rsidP="00C23847">
            <w:pPr>
              <w:jc w:val="center"/>
              <w:rPr>
                <w:sz w:val="20"/>
                <w:szCs w:val="20"/>
              </w:rPr>
            </w:pPr>
            <w:r w:rsidRPr="00C23847">
              <w:rPr>
                <w:sz w:val="20"/>
                <w:szCs w:val="20"/>
              </w:rPr>
              <w:t>12</w:t>
            </w:r>
          </w:p>
        </w:tc>
      </w:tr>
      <w:tr w:rsidR="006D4DDB" w:rsidRPr="00C23847" w14:paraId="112CB84A" w14:textId="77777777" w:rsidTr="00C23847">
        <w:tc>
          <w:tcPr>
            <w:tcW w:w="2228" w:type="dxa"/>
            <w:shd w:val="clear" w:color="auto" w:fill="auto"/>
            <w:noWrap/>
            <w:hideMark/>
          </w:tcPr>
          <w:p w14:paraId="6409A6F5" w14:textId="77777777" w:rsidR="006D4DDB" w:rsidRPr="00C23847" w:rsidRDefault="006D4DDB" w:rsidP="00C23847">
            <w:pPr>
              <w:jc w:val="left"/>
              <w:rPr>
                <w:sz w:val="20"/>
                <w:szCs w:val="20"/>
              </w:rPr>
            </w:pPr>
            <w:r w:rsidRPr="00C23847">
              <w:rPr>
                <w:sz w:val="20"/>
                <w:szCs w:val="20"/>
              </w:rPr>
              <w:t>Water and irrigation</w:t>
            </w:r>
          </w:p>
        </w:tc>
        <w:tc>
          <w:tcPr>
            <w:tcW w:w="1775" w:type="dxa"/>
            <w:shd w:val="clear" w:color="auto" w:fill="auto"/>
            <w:noWrap/>
            <w:hideMark/>
          </w:tcPr>
          <w:p w14:paraId="6156F4A5" w14:textId="77777777" w:rsidR="006D4DDB" w:rsidRPr="00C23847" w:rsidRDefault="006D4DDB" w:rsidP="00C23847">
            <w:pPr>
              <w:jc w:val="center"/>
              <w:rPr>
                <w:sz w:val="20"/>
                <w:szCs w:val="20"/>
              </w:rPr>
            </w:pPr>
            <w:r w:rsidRPr="00C23847">
              <w:rPr>
                <w:sz w:val="20"/>
                <w:szCs w:val="20"/>
              </w:rPr>
              <w:t>319,714,460</w:t>
            </w:r>
          </w:p>
        </w:tc>
        <w:tc>
          <w:tcPr>
            <w:tcW w:w="1774" w:type="dxa"/>
            <w:shd w:val="clear" w:color="auto" w:fill="auto"/>
            <w:noWrap/>
            <w:hideMark/>
          </w:tcPr>
          <w:p w14:paraId="5FF45081" w14:textId="77777777" w:rsidR="006D4DDB" w:rsidRPr="00C23847" w:rsidRDefault="006D4DDB" w:rsidP="00C23847">
            <w:pPr>
              <w:jc w:val="center"/>
              <w:rPr>
                <w:sz w:val="20"/>
                <w:szCs w:val="20"/>
              </w:rPr>
            </w:pPr>
            <w:r w:rsidRPr="00C23847">
              <w:rPr>
                <w:sz w:val="20"/>
                <w:szCs w:val="20"/>
              </w:rPr>
              <w:t>220,795,661</w:t>
            </w:r>
          </w:p>
        </w:tc>
        <w:tc>
          <w:tcPr>
            <w:tcW w:w="2088" w:type="dxa"/>
            <w:shd w:val="clear" w:color="auto" w:fill="auto"/>
            <w:noWrap/>
            <w:hideMark/>
          </w:tcPr>
          <w:p w14:paraId="3AC15AA7" w14:textId="77777777" w:rsidR="006D4DDB" w:rsidRPr="00C23847" w:rsidRDefault="006D4DDB" w:rsidP="00C23847">
            <w:pPr>
              <w:jc w:val="center"/>
              <w:rPr>
                <w:sz w:val="20"/>
                <w:szCs w:val="20"/>
              </w:rPr>
            </w:pPr>
            <w:r w:rsidRPr="00C23847">
              <w:rPr>
                <w:sz w:val="20"/>
                <w:szCs w:val="20"/>
              </w:rPr>
              <w:t>237,273,945.00</w:t>
            </w:r>
          </w:p>
        </w:tc>
        <w:tc>
          <w:tcPr>
            <w:tcW w:w="2171" w:type="dxa"/>
            <w:shd w:val="clear" w:color="auto" w:fill="auto"/>
            <w:noWrap/>
            <w:hideMark/>
          </w:tcPr>
          <w:p w14:paraId="26BF80D3" w14:textId="77777777" w:rsidR="006D4DDB" w:rsidRPr="00C23847" w:rsidRDefault="006D4DDB" w:rsidP="00260F29">
            <w:pPr>
              <w:tabs>
                <w:tab w:val="decimal" w:pos="1292"/>
              </w:tabs>
              <w:jc w:val="left"/>
              <w:rPr>
                <w:sz w:val="20"/>
                <w:szCs w:val="20"/>
              </w:rPr>
            </w:pPr>
            <w:r w:rsidRPr="00C23847">
              <w:rPr>
                <w:sz w:val="20"/>
                <w:szCs w:val="20"/>
              </w:rPr>
              <w:t>(16,478,284.00)</w:t>
            </w:r>
          </w:p>
        </w:tc>
        <w:tc>
          <w:tcPr>
            <w:tcW w:w="2111" w:type="dxa"/>
            <w:shd w:val="clear" w:color="auto" w:fill="auto"/>
            <w:noWrap/>
            <w:hideMark/>
          </w:tcPr>
          <w:p w14:paraId="1BBDF56C" w14:textId="77777777" w:rsidR="006D4DDB" w:rsidRPr="00C23847" w:rsidRDefault="006D4DDB" w:rsidP="00260F29">
            <w:pPr>
              <w:tabs>
                <w:tab w:val="decimal" w:pos="1292"/>
              </w:tabs>
              <w:jc w:val="left"/>
              <w:rPr>
                <w:sz w:val="20"/>
                <w:szCs w:val="20"/>
              </w:rPr>
            </w:pPr>
            <w:r w:rsidRPr="00C23847">
              <w:rPr>
                <w:sz w:val="20"/>
                <w:szCs w:val="20"/>
              </w:rPr>
              <w:t>16,478,284.00</w:t>
            </w:r>
          </w:p>
        </w:tc>
        <w:tc>
          <w:tcPr>
            <w:tcW w:w="989" w:type="dxa"/>
            <w:shd w:val="clear" w:color="auto" w:fill="auto"/>
            <w:noWrap/>
            <w:hideMark/>
          </w:tcPr>
          <w:p w14:paraId="617CF0BF" w14:textId="77777777" w:rsidR="006D4DDB" w:rsidRPr="00C23847" w:rsidRDefault="006D4DDB" w:rsidP="00C23847">
            <w:pPr>
              <w:jc w:val="center"/>
              <w:rPr>
                <w:sz w:val="20"/>
                <w:szCs w:val="20"/>
              </w:rPr>
            </w:pPr>
            <w:r w:rsidRPr="00C23847">
              <w:rPr>
                <w:sz w:val="20"/>
                <w:szCs w:val="20"/>
              </w:rPr>
              <w:t>7</w:t>
            </w:r>
          </w:p>
        </w:tc>
      </w:tr>
      <w:tr w:rsidR="006D4DDB" w:rsidRPr="00C23847" w14:paraId="76D11526" w14:textId="77777777" w:rsidTr="00C23847">
        <w:tc>
          <w:tcPr>
            <w:tcW w:w="2228" w:type="dxa"/>
            <w:shd w:val="clear" w:color="auto" w:fill="auto"/>
            <w:noWrap/>
            <w:hideMark/>
          </w:tcPr>
          <w:p w14:paraId="7BA6ADBF" w14:textId="77777777" w:rsidR="006D4DDB" w:rsidRPr="00C23847" w:rsidRDefault="006D4DDB" w:rsidP="00C23847">
            <w:pPr>
              <w:jc w:val="left"/>
              <w:rPr>
                <w:sz w:val="20"/>
                <w:szCs w:val="20"/>
              </w:rPr>
            </w:pPr>
            <w:r w:rsidRPr="00C23847">
              <w:rPr>
                <w:sz w:val="20"/>
                <w:szCs w:val="20"/>
              </w:rPr>
              <w:t>Education</w:t>
            </w:r>
          </w:p>
        </w:tc>
        <w:tc>
          <w:tcPr>
            <w:tcW w:w="1775" w:type="dxa"/>
            <w:shd w:val="clear" w:color="auto" w:fill="auto"/>
            <w:noWrap/>
            <w:hideMark/>
          </w:tcPr>
          <w:p w14:paraId="44646170" w14:textId="77777777" w:rsidR="006D4DDB" w:rsidRPr="00C23847" w:rsidRDefault="006D4DDB" w:rsidP="00C23847">
            <w:pPr>
              <w:jc w:val="center"/>
              <w:rPr>
                <w:sz w:val="20"/>
                <w:szCs w:val="20"/>
              </w:rPr>
            </w:pPr>
            <w:r w:rsidRPr="00C23847">
              <w:rPr>
                <w:sz w:val="20"/>
                <w:szCs w:val="20"/>
              </w:rPr>
              <w:t>362,618,998</w:t>
            </w:r>
          </w:p>
        </w:tc>
        <w:tc>
          <w:tcPr>
            <w:tcW w:w="1774" w:type="dxa"/>
            <w:shd w:val="clear" w:color="auto" w:fill="auto"/>
            <w:noWrap/>
            <w:hideMark/>
          </w:tcPr>
          <w:p w14:paraId="59FAD2A3" w14:textId="77777777" w:rsidR="006D4DDB" w:rsidRPr="00C23847" w:rsidRDefault="006D4DDB" w:rsidP="00C23847">
            <w:pPr>
              <w:jc w:val="center"/>
              <w:rPr>
                <w:sz w:val="20"/>
                <w:szCs w:val="20"/>
              </w:rPr>
            </w:pPr>
            <w:r w:rsidRPr="00C23847">
              <w:rPr>
                <w:sz w:val="20"/>
                <w:szCs w:val="20"/>
              </w:rPr>
              <w:t>179,723,977</w:t>
            </w:r>
          </w:p>
        </w:tc>
        <w:tc>
          <w:tcPr>
            <w:tcW w:w="2088" w:type="dxa"/>
            <w:shd w:val="clear" w:color="auto" w:fill="auto"/>
            <w:noWrap/>
            <w:hideMark/>
          </w:tcPr>
          <w:p w14:paraId="066FA5F6" w14:textId="77777777" w:rsidR="006D4DDB" w:rsidRPr="00C23847" w:rsidRDefault="006D4DDB" w:rsidP="00C23847">
            <w:pPr>
              <w:jc w:val="center"/>
              <w:rPr>
                <w:sz w:val="20"/>
                <w:szCs w:val="20"/>
              </w:rPr>
            </w:pPr>
            <w:r w:rsidRPr="00C23847">
              <w:rPr>
                <w:sz w:val="20"/>
                <w:szCs w:val="20"/>
              </w:rPr>
              <w:t>269,115,260.50</w:t>
            </w:r>
          </w:p>
        </w:tc>
        <w:tc>
          <w:tcPr>
            <w:tcW w:w="2171" w:type="dxa"/>
            <w:shd w:val="clear" w:color="auto" w:fill="auto"/>
            <w:noWrap/>
            <w:hideMark/>
          </w:tcPr>
          <w:p w14:paraId="043E93AE" w14:textId="77777777" w:rsidR="006D4DDB" w:rsidRPr="00C23847" w:rsidRDefault="006D4DDB" w:rsidP="00260F29">
            <w:pPr>
              <w:tabs>
                <w:tab w:val="decimal" w:pos="1292"/>
              </w:tabs>
              <w:jc w:val="left"/>
              <w:rPr>
                <w:sz w:val="20"/>
                <w:szCs w:val="20"/>
              </w:rPr>
            </w:pPr>
            <w:r w:rsidRPr="00C23847">
              <w:rPr>
                <w:sz w:val="20"/>
                <w:szCs w:val="20"/>
              </w:rPr>
              <w:t>(89,391,283.50)</w:t>
            </w:r>
          </w:p>
        </w:tc>
        <w:tc>
          <w:tcPr>
            <w:tcW w:w="2111" w:type="dxa"/>
            <w:shd w:val="clear" w:color="auto" w:fill="auto"/>
            <w:noWrap/>
            <w:hideMark/>
          </w:tcPr>
          <w:p w14:paraId="6FB42E5C" w14:textId="77777777" w:rsidR="006D4DDB" w:rsidRPr="00C23847" w:rsidRDefault="006D4DDB" w:rsidP="00260F29">
            <w:pPr>
              <w:tabs>
                <w:tab w:val="decimal" w:pos="1292"/>
              </w:tabs>
              <w:jc w:val="left"/>
              <w:rPr>
                <w:sz w:val="20"/>
                <w:szCs w:val="20"/>
              </w:rPr>
            </w:pPr>
            <w:r w:rsidRPr="00C23847">
              <w:rPr>
                <w:sz w:val="20"/>
                <w:szCs w:val="20"/>
              </w:rPr>
              <w:t>89,391,283.50</w:t>
            </w:r>
          </w:p>
        </w:tc>
        <w:tc>
          <w:tcPr>
            <w:tcW w:w="989" w:type="dxa"/>
            <w:shd w:val="clear" w:color="auto" w:fill="auto"/>
            <w:noWrap/>
            <w:hideMark/>
          </w:tcPr>
          <w:p w14:paraId="6E636971" w14:textId="77777777" w:rsidR="006D4DDB" w:rsidRPr="00C23847" w:rsidRDefault="006D4DDB" w:rsidP="00C23847">
            <w:pPr>
              <w:jc w:val="center"/>
              <w:rPr>
                <w:sz w:val="20"/>
                <w:szCs w:val="20"/>
              </w:rPr>
            </w:pPr>
            <w:r w:rsidRPr="00C23847">
              <w:rPr>
                <w:sz w:val="20"/>
                <w:szCs w:val="20"/>
              </w:rPr>
              <w:t>33</w:t>
            </w:r>
          </w:p>
        </w:tc>
      </w:tr>
      <w:tr w:rsidR="006D4DDB" w:rsidRPr="00C23847" w14:paraId="64B78BF4" w14:textId="77777777" w:rsidTr="00C23847">
        <w:tc>
          <w:tcPr>
            <w:tcW w:w="2228" w:type="dxa"/>
            <w:shd w:val="clear" w:color="auto" w:fill="auto"/>
            <w:noWrap/>
            <w:hideMark/>
          </w:tcPr>
          <w:p w14:paraId="4E2551CF" w14:textId="77777777" w:rsidR="006D4DDB" w:rsidRPr="00C23847" w:rsidRDefault="006D4DDB" w:rsidP="00C23847">
            <w:pPr>
              <w:jc w:val="left"/>
              <w:rPr>
                <w:sz w:val="20"/>
                <w:szCs w:val="20"/>
              </w:rPr>
            </w:pPr>
            <w:r w:rsidRPr="00C23847">
              <w:rPr>
                <w:sz w:val="20"/>
                <w:szCs w:val="20"/>
              </w:rPr>
              <w:t>Health</w:t>
            </w:r>
          </w:p>
        </w:tc>
        <w:tc>
          <w:tcPr>
            <w:tcW w:w="1775" w:type="dxa"/>
            <w:shd w:val="clear" w:color="auto" w:fill="auto"/>
            <w:noWrap/>
            <w:hideMark/>
          </w:tcPr>
          <w:p w14:paraId="08C0478C" w14:textId="77777777" w:rsidR="006D4DDB" w:rsidRPr="00C23847" w:rsidRDefault="006D4DDB" w:rsidP="00C23847">
            <w:pPr>
              <w:jc w:val="center"/>
              <w:rPr>
                <w:sz w:val="20"/>
                <w:szCs w:val="20"/>
              </w:rPr>
            </w:pPr>
            <w:r w:rsidRPr="00C23847">
              <w:rPr>
                <w:sz w:val="20"/>
                <w:szCs w:val="20"/>
              </w:rPr>
              <w:t>258,792,369</w:t>
            </w:r>
          </w:p>
        </w:tc>
        <w:tc>
          <w:tcPr>
            <w:tcW w:w="1774" w:type="dxa"/>
            <w:shd w:val="clear" w:color="auto" w:fill="auto"/>
            <w:noWrap/>
            <w:hideMark/>
          </w:tcPr>
          <w:p w14:paraId="53857510" w14:textId="77777777" w:rsidR="006D4DDB" w:rsidRPr="00C23847" w:rsidRDefault="006D4DDB" w:rsidP="00C23847">
            <w:pPr>
              <w:jc w:val="center"/>
              <w:rPr>
                <w:sz w:val="20"/>
                <w:szCs w:val="20"/>
              </w:rPr>
            </w:pPr>
            <w:r w:rsidRPr="00C23847">
              <w:rPr>
                <w:sz w:val="20"/>
                <w:szCs w:val="20"/>
              </w:rPr>
              <w:t>150,590,869</w:t>
            </w:r>
          </w:p>
        </w:tc>
        <w:tc>
          <w:tcPr>
            <w:tcW w:w="2088" w:type="dxa"/>
            <w:shd w:val="clear" w:color="auto" w:fill="auto"/>
            <w:noWrap/>
            <w:hideMark/>
          </w:tcPr>
          <w:p w14:paraId="41E8D149" w14:textId="77777777" w:rsidR="006D4DDB" w:rsidRPr="00C23847" w:rsidRDefault="006D4DDB" w:rsidP="00C23847">
            <w:pPr>
              <w:jc w:val="center"/>
              <w:rPr>
                <w:sz w:val="20"/>
                <w:szCs w:val="20"/>
              </w:rPr>
            </w:pPr>
            <w:r w:rsidRPr="00C23847">
              <w:rPr>
                <w:sz w:val="20"/>
                <w:szCs w:val="20"/>
              </w:rPr>
              <w:t>192,061,023.23</w:t>
            </w:r>
          </w:p>
        </w:tc>
        <w:tc>
          <w:tcPr>
            <w:tcW w:w="2171" w:type="dxa"/>
            <w:shd w:val="clear" w:color="auto" w:fill="auto"/>
            <w:noWrap/>
            <w:hideMark/>
          </w:tcPr>
          <w:p w14:paraId="1BB1BBA2" w14:textId="77777777" w:rsidR="006D4DDB" w:rsidRPr="00C23847" w:rsidRDefault="006D4DDB" w:rsidP="00260F29">
            <w:pPr>
              <w:tabs>
                <w:tab w:val="decimal" w:pos="1292"/>
              </w:tabs>
              <w:jc w:val="left"/>
              <w:rPr>
                <w:sz w:val="20"/>
                <w:szCs w:val="20"/>
              </w:rPr>
            </w:pPr>
            <w:r w:rsidRPr="00C23847">
              <w:rPr>
                <w:sz w:val="20"/>
                <w:szCs w:val="20"/>
              </w:rPr>
              <w:t>(41,470,154.23)</w:t>
            </w:r>
          </w:p>
        </w:tc>
        <w:tc>
          <w:tcPr>
            <w:tcW w:w="2111" w:type="dxa"/>
            <w:shd w:val="clear" w:color="auto" w:fill="auto"/>
            <w:noWrap/>
            <w:hideMark/>
          </w:tcPr>
          <w:p w14:paraId="0C77EEBA" w14:textId="77777777" w:rsidR="006D4DDB" w:rsidRPr="00C23847" w:rsidRDefault="006D4DDB" w:rsidP="00260F29">
            <w:pPr>
              <w:tabs>
                <w:tab w:val="decimal" w:pos="1292"/>
              </w:tabs>
              <w:jc w:val="left"/>
              <w:rPr>
                <w:sz w:val="20"/>
                <w:szCs w:val="20"/>
              </w:rPr>
            </w:pPr>
            <w:r w:rsidRPr="00C23847">
              <w:rPr>
                <w:sz w:val="20"/>
                <w:szCs w:val="20"/>
              </w:rPr>
              <w:t>41,470,154.23</w:t>
            </w:r>
          </w:p>
        </w:tc>
        <w:tc>
          <w:tcPr>
            <w:tcW w:w="989" w:type="dxa"/>
            <w:shd w:val="clear" w:color="auto" w:fill="auto"/>
            <w:noWrap/>
            <w:hideMark/>
          </w:tcPr>
          <w:p w14:paraId="700E03E0" w14:textId="77777777" w:rsidR="006D4DDB" w:rsidRPr="00C23847" w:rsidRDefault="006D4DDB" w:rsidP="00C23847">
            <w:pPr>
              <w:jc w:val="center"/>
              <w:rPr>
                <w:sz w:val="20"/>
                <w:szCs w:val="20"/>
              </w:rPr>
            </w:pPr>
            <w:r w:rsidRPr="00C23847">
              <w:rPr>
                <w:sz w:val="20"/>
                <w:szCs w:val="20"/>
              </w:rPr>
              <w:t>22</w:t>
            </w:r>
          </w:p>
        </w:tc>
      </w:tr>
      <w:tr w:rsidR="006D4DDB" w:rsidRPr="00C23847" w14:paraId="33AD6FA8" w14:textId="77777777" w:rsidTr="00C23847">
        <w:tc>
          <w:tcPr>
            <w:tcW w:w="2228" w:type="dxa"/>
            <w:shd w:val="clear" w:color="auto" w:fill="auto"/>
            <w:noWrap/>
            <w:hideMark/>
          </w:tcPr>
          <w:p w14:paraId="7080F8EA" w14:textId="77777777" w:rsidR="006D4DDB" w:rsidRPr="00C23847" w:rsidRDefault="006D4DDB" w:rsidP="00C23847">
            <w:pPr>
              <w:jc w:val="left"/>
              <w:rPr>
                <w:sz w:val="20"/>
                <w:szCs w:val="20"/>
              </w:rPr>
            </w:pPr>
            <w:r w:rsidRPr="00C23847">
              <w:rPr>
                <w:sz w:val="20"/>
                <w:szCs w:val="20"/>
              </w:rPr>
              <w:t>Lands and physical planning</w:t>
            </w:r>
          </w:p>
        </w:tc>
        <w:tc>
          <w:tcPr>
            <w:tcW w:w="1775" w:type="dxa"/>
            <w:shd w:val="clear" w:color="auto" w:fill="auto"/>
            <w:noWrap/>
            <w:hideMark/>
          </w:tcPr>
          <w:p w14:paraId="1EDA0AB7" w14:textId="77777777" w:rsidR="006D4DDB" w:rsidRPr="00C23847" w:rsidRDefault="006D4DDB" w:rsidP="00C23847">
            <w:pPr>
              <w:jc w:val="center"/>
              <w:rPr>
                <w:sz w:val="20"/>
                <w:szCs w:val="20"/>
              </w:rPr>
            </w:pPr>
            <w:r w:rsidRPr="00C23847">
              <w:rPr>
                <w:sz w:val="20"/>
                <w:szCs w:val="20"/>
              </w:rPr>
              <w:t>83,734,176</w:t>
            </w:r>
          </w:p>
        </w:tc>
        <w:tc>
          <w:tcPr>
            <w:tcW w:w="1774" w:type="dxa"/>
            <w:shd w:val="clear" w:color="auto" w:fill="auto"/>
            <w:noWrap/>
            <w:hideMark/>
          </w:tcPr>
          <w:p w14:paraId="2DD9E2ED" w14:textId="77777777" w:rsidR="006D4DDB" w:rsidRPr="00C23847" w:rsidRDefault="006D4DDB" w:rsidP="00C23847">
            <w:pPr>
              <w:jc w:val="center"/>
              <w:rPr>
                <w:sz w:val="20"/>
                <w:szCs w:val="20"/>
              </w:rPr>
            </w:pPr>
            <w:r w:rsidRPr="00C23847">
              <w:rPr>
                <w:sz w:val="20"/>
                <w:szCs w:val="20"/>
              </w:rPr>
              <w:t>32,851,321</w:t>
            </w:r>
          </w:p>
        </w:tc>
        <w:tc>
          <w:tcPr>
            <w:tcW w:w="2088" w:type="dxa"/>
            <w:shd w:val="clear" w:color="auto" w:fill="auto"/>
            <w:noWrap/>
            <w:hideMark/>
          </w:tcPr>
          <w:p w14:paraId="1AE36CC6" w14:textId="77777777" w:rsidR="006D4DDB" w:rsidRPr="00C23847" w:rsidRDefault="006D4DDB" w:rsidP="00C23847">
            <w:pPr>
              <w:jc w:val="center"/>
              <w:rPr>
                <w:sz w:val="20"/>
                <w:szCs w:val="20"/>
              </w:rPr>
            </w:pPr>
            <w:r w:rsidRPr="00C23847">
              <w:rPr>
                <w:sz w:val="20"/>
                <w:szCs w:val="20"/>
              </w:rPr>
              <w:t>62,142,757.86</w:t>
            </w:r>
          </w:p>
        </w:tc>
        <w:tc>
          <w:tcPr>
            <w:tcW w:w="2171" w:type="dxa"/>
            <w:shd w:val="clear" w:color="auto" w:fill="auto"/>
            <w:noWrap/>
            <w:hideMark/>
          </w:tcPr>
          <w:p w14:paraId="21D0B722" w14:textId="77777777" w:rsidR="006D4DDB" w:rsidRPr="00C23847" w:rsidRDefault="006D4DDB" w:rsidP="00260F29">
            <w:pPr>
              <w:tabs>
                <w:tab w:val="decimal" w:pos="1292"/>
              </w:tabs>
              <w:jc w:val="left"/>
              <w:rPr>
                <w:sz w:val="20"/>
                <w:szCs w:val="20"/>
              </w:rPr>
            </w:pPr>
            <w:r w:rsidRPr="00C23847">
              <w:rPr>
                <w:sz w:val="20"/>
                <w:szCs w:val="20"/>
              </w:rPr>
              <w:t>(29,291,436.86)</w:t>
            </w:r>
          </w:p>
        </w:tc>
        <w:tc>
          <w:tcPr>
            <w:tcW w:w="2111" w:type="dxa"/>
            <w:shd w:val="clear" w:color="auto" w:fill="auto"/>
            <w:noWrap/>
            <w:hideMark/>
          </w:tcPr>
          <w:p w14:paraId="5F0E469A" w14:textId="77777777" w:rsidR="006D4DDB" w:rsidRPr="00C23847" w:rsidRDefault="006D4DDB" w:rsidP="00260F29">
            <w:pPr>
              <w:tabs>
                <w:tab w:val="decimal" w:pos="1292"/>
              </w:tabs>
              <w:jc w:val="left"/>
              <w:rPr>
                <w:sz w:val="20"/>
                <w:szCs w:val="20"/>
              </w:rPr>
            </w:pPr>
            <w:r w:rsidRPr="00C23847">
              <w:rPr>
                <w:sz w:val="20"/>
                <w:szCs w:val="20"/>
              </w:rPr>
              <w:t>29,291,436.86</w:t>
            </w:r>
          </w:p>
        </w:tc>
        <w:tc>
          <w:tcPr>
            <w:tcW w:w="989" w:type="dxa"/>
            <w:shd w:val="clear" w:color="auto" w:fill="auto"/>
            <w:noWrap/>
            <w:hideMark/>
          </w:tcPr>
          <w:p w14:paraId="41B76513" w14:textId="77777777" w:rsidR="006D4DDB" w:rsidRPr="00C23847" w:rsidRDefault="006D4DDB" w:rsidP="00C23847">
            <w:pPr>
              <w:jc w:val="center"/>
              <w:rPr>
                <w:sz w:val="20"/>
                <w:szCs w:val="20"/>
              </w:rPr>
            </w:pPr>
            <w:r w:rsidRPr="00C23847">
              <w:rPr>
                <w:sz w:val="20"/>
                <w:szCs w:val="20"/>
              </w:rPr>
              <w:t>47</w:t>
            </w:r>
          </w:p>
        </w:tc>
      </w:tr>
      <w:tr w:rsidR="006D4DDB" w:rsidRPr="00C23847" w14:paraId="1198292E" w14:textId="77777777" w:rsidTr="00C23847">
        <w:tc>
          <w:tcPr>
            <w:tcW w:w="2228" w:type="dxa"/>
            <w:shd w:val="clear" w:color="auto" w:fill="auto"/>
            <w:noWrap/>
            <w:hideMark/>
          </w:tcPr>
          <w:p w14:paraId="1FA14D22" w14:textId="77777777" w:rsidR="006D4DDB" w:rsidRPr="00C23847" w:rsidRDefault="006D4DDB" w:rsidP="00C23847">
            <w:pPr>
              <w:jc w:val="left"/>
              <w:rPr>
                <w:sz w:val="20"/>
                <w:szCs w:val="20"/>
              </w:rPr>
            </w:pPr>
            <w:r w:rsidRPr="00C23847">
              <w:rPr>
                <w:sz w:val="20"/>
                <w:szCs w:val="20"/>
              </w:rPr>
              <w:t>Works and housing</w:t>
            </w:r>
          </w:p>
        </w:tc>
        <w:tc>
          <w:tcPr>
            <w:tcW w:w="1775" w:type="dxa"/>
            <w:shd w:val="clear" w:color="auto" w:fill="auto"/>
            <w:noWrap/>
            <w:hideMark/>
          </w:tcPr>
          <w:p w14:paraId="0A18E7AC" w14:textId="77777777" w:rsidR="006D4DDB" w:rsidRPr="00C23847" w:rsidRDefault="006D4DDB" w:rsidP="00C23847">
            <w:pPr>
              <w:jc w:val="center"/>
              <w:rPr>
                <w:sz w:val="20"/>
                <w:szCs w:val="20"/>
              </w:rPr>
            </w:pPr>
            <w:r w:rsidRPr="00C23847">
              <w:rPr>
                <w:sz w:val="20"/>
                <w:szCs w:val="20"/>
              </w:rPr>
              <w:t>369,097,081</w:t>
            </w:r>
          </w:p>
        </w:tc>
        <w:tc>
          <w:tcPr>
            <w:tcW w:w="1774" w:type="dxa"/>
            <w:shd w:val="clear" w:color="auto" w:fill="auto"/>
            <w:noWrap/>
            <w:hideMark/>
          </w:tcPr>
          <w:p w14:paraId="787C6E8C" w14:textId="77777777" w:rsidR="006D4DDB" w:rsidRPr="00C23847" w:rsidRDefault="006D4DDB" w:rsidP="00C23847">
            <w:pPr>
              <w:jc w:val="center"/>
              <w:rPr>
                <w:sz w:val="20"/>
                <w:szCs w:val="20"/>
              </w:rPr>
            </w:pPr>
            <w:r w:rsidRPr="00C23847">
              <w:rPr>
                <w:sz w:val="20"/>
                <w:szCs w:val="20"/>
              </w:rPr>
              <w:t>180,706,121</w:t>
            </w:r>
          </w:p>
        </w:tc>
        <w:tc>
          <w:tcPr>
            <w:tcW w:w="2088" w:type="dxa"/>
            <w:shd w:val="clear" w:color="auto" w:fill="auto"/>
            <w:noWrap/>
            <w:hideMark/>
          </w:tcPr>
          <w:p w14:paraId="58A9F27C" w14:textId="77777777" w:rsidR="006D4DDB" w:rsidRPr="00C23847" w:rsidRDefault="006D4DDB" w:rsidP="00C23847">
            <w:pPr>
              <w:jc w:val="center"/>
              <w:rPr>
                <w:sz w:val="20"/>
                <w:szCs w:val="20"/>
              </w:rPr>
            </w:pPr>
            <w:r w:rsidRPr="00C23847">
              <w:rPr>
                <w:sz w:val="20"/>
                <w:szCs w:val="20"/>
              </w:rPr>
              <w:t>273,922,926.41</w:t>
            </w:r>
          </w:p>
        </w:tc>
        <w:tc>
          <w:tcPr>
            <w:tcW w:w="2171" w:type="dxa"/>
            <w:shd w:val="clear" w:color="auto" w:fill="auto"/>
            <w:noWrap/>
            <w:hideMark/>
          </w:tcPr>
          <w:p w14:paraId="0AC8622E" w14:textId="77777777" w:rsidR="006D4DDB" w:rsidRPr="00C23847" w:rsidRDefault="006D4DDB" w:rsidP="00260F29">
            <w:pPr>
              <w:tabs>
                <w:tab w:val="decimal" w:pos="1292"/>
              </w:tabs>
              <w:jc w:val="left"/>
              <w:rPr>
                <w:sz w:val="20"/>
                <w:szCs w:val="20"/>
              </w:rPr>
            </w:pPr>
            <w:r w:rsidRPr="00C23847">
              <w:rPr>
                <w:sz w:val="20"/>
                <w:szCs w:val="20"/>
              </w:rPr>
              <w:t>(93,216,805.41)</w:t>
            </w:r>
          </w:p>
        </w:tc>
        <w:tc>
          <w:tcPr>
            <w:tcW w:w="2111" w:type="dxa"/>
            <w:shd w:val="clear" w:color="auto" w:fill="auto"/>
            <w:noWrap/>
            <w:hideMark/>
          </w:tcPr>
          <w:p w14:paraId="446B3E1A" w14:textId="77777777" w:rsidR="006D4DDB" w:rsidRPr="00C23847" w:rsidRDefault="006D4DDB" w:rsidP="00260F29">
            <w:pPr>
              <w:tabs>
                <w:tab w:val="decimal" w:pos="1292"/>
              </w:tabs>
              <w:jc w:val="left"/>
              <w:rPr>
                <w:sz w:val="20"/>
                <w:szCs w:val="20"/>
              </w:rPr>
            </w:pPr>
            <w:r w:rsidRPr="00C23847">
              <w:rPr>
                <w:sz w:val="20"/>
                <w:szCs w:val="20"/>
              </w:rPr>
              <w:t>93,216,805.41</w:t>
            </w:r>
          </w:p>
        </w:tc>
        <w:tc>
          <w:tcPr>
            <w:tcW w:w="989" w:type="dxa"/>
            <w:shd w:val="clear" w:color="auto" w:fill="auto"/>
            <w:noWrap/>
            <w:hideMark/>
          </w:tcPr>
          <w:p w14:paraId="613A388B" w14:textId="77777777" w:rsidR="006D4DDB" w:rsidRPr="00C23847" w:rsidRDefault="006D4DDB" w:rsidP="00C23847">
            <w:pPr>
              <w:jc w:val="center"/>
              <w:rPr>
                <w:sz w:val="20"/>
                <w:szCs w:val="20"/>
              </w:rPr>
            </w:pPr>
            <w:r w:rsidRPr="00C23847">
              <w:rPr>
                <w:sz w:val="20"/>
                <w:szCs w:val="20"/>
              </w:rPr>
              <w:t>34</w:t>
            </w:r>
          </w:p>
        </w:tc>
      </w:tr>
      <w:tr w:rsidR="006D4DDB" w:rsidRPr="00C23847" w14:paraId="22A8783E" w14:textId="77777777" w:rsidTr="00C23847">
        <w:tc>
          <w:tcPr>
            <w:tcW w:w="2228" w:type="dxa"/>
            <w:shd w:val="clear" w:color="auto" w:fill="auto"/>
            <w:noWrap/>
            <w:hideMark/>
          </w:tcPr>
          <w:p w14:paraId="157086C8" w14:textId="77777777" w:rsidR="006D4DDB" w:rsidRPr="00C23847" w:rsidRDefault="006D4DDB" w:rsidP="00C23847">
            <w:pPr>
              <w:jc w:val="left"/>
              <w:rPr>
                <w:sz w:val="20"/>
                <w:szCs w:val="20"/>
              </w:rPr>
            </w:pPr>
            <w:r w:rsidRPr="00C23847">
              <w:rPr>
                <w:sz w:val="20"/>
                <w:szCs w:val="20"/>
              </w:rPr>
              <w:t>Information communication</w:t>
            </w:r>
          </w:p>
        </w:tc>
        <w:tc>
          <w:tcPr>
            <w:tcW w:w="1775" w:type="dxa"/>
            <w:shd w:val="clear" w:color="auto" w:fill="auto"/>
            <w:noWrap/>
            <w:hideMark/>
          </w:tcPr>
          <w:p w14:paraId="18EF5B8F" w14:textId="77777777" w:rsidR="006D4DDB" w:rsidRPr="00C23847" w:rsidRDefault="006D4DDB" w:rsidP="00C23847">
            <w:pPr>
              <w:jc w:val="center"/>
              <w:rPr>
                <w:sz w:val="20"/>
                <w:szCs w:val="20"/>
              </w:rPr>
            </w:pPr>
            <w:r w:rsidRPr="00C23847">
              <w:rPr>
                <w:sz w:val="20"/>
                <w:szCs w:val="20"/>
              </w:rPr>
              <w:t>71,126,930</w:t>
            </w:r>
          </w:p>
        </w:tc>
        <w:tc>
          <w:tcPr>
            <w:tcW w:w="1774" w:type="dxa"/>
            <w:shd w:val="clear" w:color="auto" w:fill="auto"/>
            <w:noWrap/>
            <w:hideMark/>
          </w:tcPr>
          <w:p w14:paraId="31983991" w14:textId="77777777" w:rsidR="006D4DDB" w:rsidRPr="00C23847" w:rsidRDefault="006D4DDB" w:rsidP="00C23847">
            <w:pPr>
              <w:jc w:val="center"/>
              <w:rPr>
                <w:sz w:val="20"/>
                <w:szCs w:val="20"/>
              </w:rPr>
            </w:pPr>
            <w:r w:rsidRPr="00C23847">
              <w:rPr>
                <w:sz w:val="20"/>
                <w:szCs w:val="20"/>
              </w:rPr>
              <w:t>46,564,058</w:t>
            </w:r>
          </w:p>
        </w:tc>
        <w:tc>
          <w:tcPr>
            <w:tcW w:w="2088" w:type="dxa"/>
            <w:shd w:val="clear" w:color="auto" w:fill="auto"/>
            <w:noWrap/>
            <w:hideMark/>
          </w:tcPr>
          <w:p w14:paraId="37E5477E" w14:textId="77777777" w:rsidR="006D4DDB" w:rsidRPr="00C23847" w:rsidRDefault="006D4DDB" w:rsidP="00C23847">
            <w:pPr>
              <w:jc w:val="center"/>
              <w:rPr>
                <w:sz w:val="20"/>
                <w:szCs w:val="20"/>
              </w:rPr>
            </w:pPr>
            <w:r w:rsidRPr="00C23847">
              <w:rPr>
                <w:sz w:val="20"/>
                <w:szCs w:val="20"/>
              </w:rPr>
              <w:t>52,786,374.68</w:t>
            </w:r>
          </w:p>
        </w:tc>
        <w:tc>
          <w:tcPr>
            <w:tcW w:w="2171" w:type="dxa"/>
            <w:shd w:val="clear" w:color="auto" w:fill="auto"/>
            <w:noWrap/>
            <w:hideMark/>
          </w:tcPr>
          <w:p w14:paraId="71F4821D" w14:textId="77777777" w:rsidR="006D4DDB" w:rsidRPr="00C23847" w:rsidRDefault="006D4DDB" w:rsidP="00260F29">
            <w:pPr>
              <w:tabs>
                <w:tab w:val="decimal" w:pos="1292"/>
              </w:tabs>
              <w:jc w:val="left"/>
              <w:rPr>
                <w:sz w:val="20"/>
                <w:szCs w:val="20"/>
              </w:rPr>
            </w:pPr>
            <w:r w:rsidRPr="00C23847">
              <w:rPr>
                <w:sz w:val="20"/>
                <w:szCs w:val="20"/>
              </w:rPr>
              <w:t>(6,222,316.68)</w:t>
            </w:r>
          </w:p>
        </w:tc>
        <w:tc>
          <w:tcPr>
            <w:tcW w:w="2111" w:type="dxa"/>
            <w:shd w:val="clear" w:color="auto" w:fill="auto"/>
            <w:noWrap/>
            <w:hideMark/>
          </w:tcPr>
          <w:p w14:paraId="4C308E77" w14:textId="77777777" w:rsidR="006D4DDB" w:rsidRPr="00C23847" w:rsidRDefault="006D4DDB" w:rsidP="00260F29">
            <w:pPr>
              <w:tabs>
                <w:tab w:val="decimal" w:pos="1292"/>
              </w:tabs>
              <w:jc w:val="left"/>
              <w:rPr>
                <w:sz w:val="20"/>
                <w:szCs w:val="20"/>
              </w:rPr>
            </w:pPr>
            <w:r w:rsidRPr="00C23847">
              <w:rPr>
                <w:sz w:val="20"/>
                <w:szCs w:val="20"/>
              </w:rPr>
              <w:t>6,222,316.68</w:t>
            </w:r>
          </w:p>
        </w:tc>
        <w:tc>
          <w:tcPr>
            <w:tcW w:w="989" w:type="dxa"/>
            <w:shd w:val="clear" w:color="auto" w:fill="auto"/>
            <w:noWrap/>
            <w:hideMark/>
          </w:tcPr>
          <w:p w14:paraId="7DD655DA" w14:textId="77777777" w:rsidR="006D4DDB" w:rsidRPr="00C23847" w:rsidRDefault="006D4DDB" w:rsidP="00C23847">
            <w:pPr>
              <w:jc w:val="center"/>
              <w:rPr>
                <w:sz w:val="20"/>
                <w:szCs w:val="20"/>
              </w:rPr>
            </w:pPr>
            <w:r w:rsidRPr="00C23847">
              <w:rPr>
                <w:sz w:val="20"/>
                <w:szCs w:val="20"/>
              </w:rPr>
              <w:t>12</w:t>
            </w:r>
          </w:p>
        </w:tc>
      </w:tr>
      <w:tr w:rsidR="006D4DDB" w:rsidRPr="00C23847" w14:paraId="167902E1" w14:textId="77777777" w:rsidTr="00C23847">
        <w:tc>
          <w:tcPr>
            <w:tcW w:w="2228" w:type="dxa"/>
            <w:shd w:val="clear" w:color="auto" w:fill="auto"/>
            <w:noWrap/>
            <w:hideMark/>
          </w:tcPr>
          <w:p w14:paraId="3419B9AB" w14:textId="77777777" w:rsidR="006D4DDB" w:rsidRPr="00C23847" w:rsidRDefault="006D4DDB" w:rsidP="00C23847">
            <w:pPr>
              <w:jc w:val="left"/>
              <w:rPr>
                <w:sz w:val="20"/>
                <w:szCs w:val="20"/>
              </w:rPr>
            </w:pPr>
            <w:r w:rsidRPr="00C23847">
              <w:rPr>
                <w:sz w:val="20"/>
                <w:szCs w:val="20"/>
              </w:rPr>
              <w:t>Allocated expenditure</w:t>
            </w:r>
          </w:p>
        </w:tc>
        <w:tc>
          <w:tcPr>
            <w:tcW w:w="1775" w:type="dxa"/>
            <w:shd w:val="clear" w:color="auto" w:fill="auto"/>
            <w:noWrap/>
            <w:hideMark/>
          </w:tcPr>
          <w:p w14:paraId="59F4921D" w14:textId="7D6BE90B" w:rsidR="006D4DDB" w:rsidRPr="00C23847" w:rsidRDefault="006D4DDB" w:rsidP="00C23847">
            <w:pPr>
              <w:jc w:val="center"/>
              <w:rPr>
                <w:sz w:val="20"/>
                <w:szCs w:val="20"/>
              </w:rPr>
            </w:pPr>
            <w:r w:rsidRPr="00C23847">
              <w:rPr>
                <w:sz w:val="20"/>
                <w:szCs w:val="20"/>
              </w:rPr>
              <w:t>3,758,180,796</w:t>
            </w:r>
          </w:p>
        </w:tc>
        <w:tc>
          <w:tcPr>
            <w:tcW w:w="1774" w:type="dxa"/>
            <w:shd w:val="clear" w:color="auto" w:fill="auto"/>
            <w:noWrap/>
            <w:hideMark/>
          </w:tcPr>
          <w:p w14:paraId="169636D5" w14:textId="2FD85730" w:rsidR="006D4DDB" w:rsidRPr="00C23847" w:rsidRDefault="006D4DDB" w:rsidP="00C23847">
            <w:pPr>
              <w:jc w:val="center"/>
              <w:rPr>
                <w:sz w:val="20"/>
                <w:szCs w:val="20"/>
              </w:rPr>
            </w:pPr>
            <w:r w:rsidRPr="00C23847">
              <w:rPr>
                <w:sz w:val="20"/>
                <w:szCs w:val="20"/>
              </w:rPr>
              <w:t>2,789,108,705</w:t>
            </w:r>
          </w:p>
        </w:tc>
        <w:tc>
          <w:tcPr>
            <w:tcW w:w="2088" w:type="dxa"/>
            <w:shd w:val="clear" w:color="auto" w:fill="auto"/>
            <w:noWrap/>
            <w:hideMark/>
          </w:tcPr>
          <w:p w14:paraId="1BC24A1F" w14:textId="1995A096" w:rsidR="006D4DDB" w:rsidRPr="00C23847" w:rsidRDefault="006D4DDB" w:rsidP="00C23847">
            <w:pPr>
              <w:jc w:val="center"/>
              <w:rPr>
                <w:sz w:val="20"/>
                <w:szCs w:val="20"/>
              </w:rPr>
            </w:pPr>
            <w:r w:rsidRPr="00C23847">
              <w:rPr>
                <w:sz w:val="20"/>
                <w:szCs w:val="20"/>
              </w:rPr>
              <w:t>2,789,108,705</w:t>
            </w:r>
          </w:p>
        </w:tc>
        <w:tc>
          <w:tcPr>
            <w:tcW w:w="2171" w:type="dxa"/>
            <w:shd w:val="clear" w:color="auto" w:fill="auto"/>
            <w:noWrap/>
            <w:hideMark/>
          </w:tcPr>
          <w:p w14:paraId="07A23858" w14:textId="77777777" w:rsidR="006D4DDB" w:rsidRPr="00C23847" w:rsidRDefault="006D4DDB" w:rsidP="00260F29">
            <w:pPr>
              <w:tabs>
                <w:tab w:val="decimal" w:pos="1292"/>
              </w:tabs>
              <w:jc w:val="left"/>
              <w:rPr>
                <w:sz w:val="20"/>
                <w:szCs w:val="20"/>
              </w:rPr>
            </w:pPr>
            <w:r w:rsidRPr="00C23847">
              <w:rPr>
                <w:sz w:val="20"/>
                <w:szCs w:val="20"/>
              </w:rPr>
              <w:t>54,660,893.05</w:t>
            </w:r>
          </w:p>
        </w:tc>
        <w:tc>
          <w:tcPr>
            <w:tcW w:w="2111" w:type="dxa"/>
            <w:shd w:val="clear" w:color="auto" w:fill="auto"/>
            <w:noWrap/>
            <w:hideMark/>
          </w:tcPr>
          <w:p w14:paraId="75583A78" w14:textId="77777777" w:rsidR="006D4DDB" w:rsidRPr="00C23847" w:rsidRDefault="006D4DDB" w:rsidP="00260F29">
            <w:pPr>
              <w:tabs>
                <w:tab w:val="decimal" w:pos="1292"/>
              </w:tabs>
              <w:jc w:val="left"/>
              <w:rPr>
                <w:sz w:val="20"/>
                <w:szCs w:val="20"/>
              </w:rPr>
            </w:pPr>
            <w:r w:rsidRPr="00C23847">
              <w:rPr>
                <w:sz w:val="20"/>
                <w:szCs w:val="20"/>
              </w:rPr>
              <w:t>628,808,186.12</w:t>
            </w:r>
          </w:p>
        </w:tc>
        <w:tc>
          <w:tcPr>
            <w:tcW w:w="989" w:type="dxa"/>
            <w:shd w:val="clear" w:color="auto" w:fill="auto"/>
            <w:noWrap/>
            <w:hideMark/>
          </w:tcPr>
          <w:p w14:paraId="54C7F7C4" w14:textId="77777777" w:rsidR="006D4DDB" w:rsidRPr="00C23847" w:rsidRDefault="006D4DDB" w:rsidP="00C23847">
            <w:pPr>
              <w:jc w:val="center"/>
              <w:rPr>
                <w:sz w:val="20"/>
                <w:szCs w:val="20"/>
              </w:rPr>
            </w:pPr>
          </w:p>
        </w:tc>
      </w:tr>
      <w:tr w:rsidR="006D4DDB" w:rsidRPr="00C23847" w14:paraId="25FE9384" w14:textId="77777777" w:rsidTr="00C23847">
        <w:tc>
          <w:tcPr>
            <w:tcW w:w="2228" w:type="dxa"/>
            <w:shd w:val="clear" w:color="auto" w:fill="auto"/>
            <w:noWrap/>
            <w:hideMark/>
          </w:tcPr>
          <w:p w14:paraId="3B704210" w14:textId="77777777" w:rsidR="006D4DDB" w:rsidRPr="00C23847" w:rsidRDefault="006D4DDB" w:rsidP="00C23847">
            <w:pPr>
              <w:jc w:val="left"/>
              <w:rPr>
                <w:sz w:val="20"/>
                <w:szCs w:val="20"/>
              </w:rPr>
            </w:pPr>
            <w:r w:rsidRPr="00C23847">
              <w:rPr>
                <w:sz w:val="20"/>
                <w:szCs w:val="20"/>
              </w:rPr>
              <w:t>Contingency</w:t>
            </w:r>
          </w:p>
        </w:tc>
        <w:tc>
          <w:tcPr>
            <w:tcW w:w="1775" w:type="dxa"/>
            <w:shd w:val="clear" w:color="auto" w:fill="auto"/>
            <w:noWrap/>
            <w:hideMark/>
          </w:tcPr>
          <w:p w14:paraId="5CA32EDC" w14:textId="1C3E4D4C" w:rsidR="006D4DDB" w:rsidRPr="00C23847" w:rsidRDefault="006D4DDB" w:rsidP="00C23847">
            <w:pPr>
              <w:jc w:val="center"/>
              <w:rPr>
                <w:sz w:val="20"/>
                <w:szCs w:val="20"/>
              </w:rPr>
            </w:pPr>
            <w:r w:rsidRPr="00C23847">
              <w:rPr>
                <w:sz w:val="20"/>
                <w:szCs w:val="20"/>
              </w:rPr>
              <w:t>50,000,000</w:t>
            </w:r>
          </w:p>
        </w:tc>
        <w:tc>
          <w:tcPr>
            <w:tcW w:w="1774" w:type="dxa"/>
            <w:shd w:val="clear" w:color="auto" w:fill="auto"/>
            <w:noWrap/>
            <w:hideMark/>
          </w:tcPr>
          <w:p w14:paraId="7B499FF6" w14:textId="1D2815EF" w:rsidR="006D4DDB" w:rsidRPr="00C23847" w:rsidRDefault="006D4DDB" w:rsidP="00C23847">
            <w:pPr>
              <w:jc w:val="center"/>
              <w:rPr>
                <w:sz w:val="20"/>
                <w:szCs w:val="20"/>
              </w:rPr>
            </w:pPr>
            <w:r w:rsidRPr="00C23847">
              <w:rPr>
                <w:sz w:val="20"/>
                <w:szCs w:val="20"/>
              </w:rPr>
              <w:t>1,979,632</w:t>
            </w:r>
          </w:p>
        </w:tc>
        <w:tc>
          <w:tcPr>
            <w:tcW w:w="2088" w:type="dxa"/>
            <w:shd w:val="clear" w:color="auto" w:fill="auto"/>
            <w:noWrap/>
            <w:hideMark/>
          </w:tcPr>
          <w:p w14:paraId="528A8BBD" w14:textId="77777777" w:rsidR="006D4DDB" w:rsidRPr="00C23847" w:rsidRDefault="006D4DDB" w:rsidP="00C23847">
            <w:pPr>
              <w:jc w:val="center"/>
              <w:rPr>
                <w:sz w:val="20"/>
                <w:szCs w:val="20"/>
              </w:rPr>
            </w:pPr>
          </w:p>
        </w:tc>
        <w:tc>
          <w:tcPr>
            <w:tcW w:w="2171" w:type="dxa"/>
            <w:shd w:val="clear" w:color="auto" w:fill="auto"/>
            <w:noWrap/>
            <w:hideMark/>
          </w:tcPr>
          <w:p w14:paraId="281FB6BD" w14:textId="77777777" w:rsidR="006D4DDB" w:rsidRPr="00C23847" w:rsidRDefault="006D4DDB" w:rsidP="00260F29">
            <w:pPr>
              <w:jc w:val="left"/>
              <w:rPr>
                <w:sz w:val="20"/>
                <w:szCs w:val="20"/>
              </w:rPr>
            </w:pPr>
          </w:p>
        </w:tc>
        <w:tc>
          <w:tcPr>
            <w:tcW w:w="2111" w:type="dxa"/>
            <w:shd w:val="clear" w:color="auto" w:fill="auto"/>
            <w:noWrap/>
            <w:hideMark/>
          </w:tcPr>
          <w:p w14:paraId="63B24BC5" w14:textId="77777777" w:rsidR="006D4DDB" w:rsidRPr="00C23847" w:rsidRDefault="006D4DDB" w:rsidP="00260F29">
            <w:pPr>
              <w:jc w:val="left"/>
              <w:rPr>
                <w:sz w:val="20"/>
                <w:szCs w:val="20"/>
              </w:rPr>
            </w:pPr>
          </w:p>
        </w:tc>
        <w:tc>
          <w:tcPr>
            <w:tcW w:w="989" w:type="dxa"/>
            <w:shd w:val="clear" w:color="auto" w:fill="auto"/>
            <w:noWrap/>
            <w:hideMark/>
          </w:tcPr>
          <w:p w14:paraId="4A11BFF9" w14:textId="77777777" w:rsidR="006D4DDB" w:rsidRPr="00C23847" w:rsidRDefault="006D4DDB" w:rsidP="00C23847">
            <w:pPr>
              <w:jc w:val="center"/>
              <w:rPr>
                <w:sz w:val="20"/>
                <w:szCs w:val="20"/>
              </w:rPr>
            </w:pPr>
          </w:p>
        </w:tc>
      </w:tr>
      <w:tr w:rsidR="006D4DDB" w:rsidRPr="00C23847" w14:paraId="53E44271" w14:textId="77777777" w:rsidTr="00C23847">
        <w:tc>
          <w:tcPr>
            <w:tcW w:w="2228" w:type="dxa"/>
            <w:shd w:val="clear" w:color="auto" w:fill="auto"/>
            <w:noWrap/>
            <w:hideMark/>
          </w:tcPr>
          <w:p w14:paraId="326E038C" w14:textId="77777777" w:rsidR="006D4DDB" w:rsidRPr="00C23847" w:rsidRDefault="006D4DDB" w:rsidP="00C23847">
            <w:pPr>
              <w:jc w:val="left"/>
              <w:rPr>
                <w:sz w:val="20"/>
                <w:szCs w:val="20"/>
              </w:rPr>
            </w:pPr>
            <w:r w:rsidRPr="00C23847">
              <w:rPr>
                <w:sz w:val="20"/>
                <w:szCs w:val="20"/>
              </w:rPr>
              <w:t>Total expenditure</w:t>
            </w:r>
          </w:p>
        </w:tc>
        <w:tc>
          <w:tcPr>
            <w:tcW w:w="1775" w:type="dxa"/>
            <w:shd w:val="clear" w:color="auto" w:fill="auto"/>
            <w:noWrap/>
            <w:hideMark/>
          </w:tcPr>
          <w:p w14:paraId="418AEE79" w14:textId="25DE2394" w:rsidR="006D4DDB" w:rsidRPr="00C23847" w:rsidRDefault="006D4DDB" w:rsidP="00C23847">
            <w:pPr>
              <w:jc w:val="center"/>
              <w:rPr>
                <w:sz w:val="20"/>
                <w:szCs w:val="20"/>
              </w:rPr>
            </w:pPr>
            <w:r w:rsidRPr="00C23847">
              <w:rPr>
                <w:sz w:val="20"/>
                <w:szCs w:val="20"/>
              </w:rPr>
              <w:t>3,808,180,796</w:t>
            </w:r>
          </w:p>
        </w:tc>
        <w:tc>
          <w:tcPr>
            <w:tcW w:w="1774" w:type="dxa"/>
            <w:shd w:val="clear" w:color="auto" w:fill="auto"/>
            <w:noWrap/>
            <w:hideMark/>
          </w:tcPr>
          <w:p w14:paraId="09EB5EEB" w14:textId="5607AF9E" w:rsidR="006D4DDB" w:rsidRPr="00C23847" w:rsidRDefault="006D4DDB" w:rsidP="00C23847">
            <w:pPr>
              <w:jc w:val="center"/>
              <w:rPr>
                <w:sz w:val="20"/>
                <w:szCs w:val="20"/>
              </w:rPr>
            </w:pPr>
            <w:r w:rsidRPr="00C23847">
              <w:rPr>
                <w:sz w:val="20"/>
                <w:szCs w:val="20"/>
              </w:rPr>
              <w:t>2,791,088,337</w:t>
            </w:r>
          </w:p>
        </w:tc>
        <w:tc>
          <w:tcPr>
            <w:tcW w:w="2088" w:type="dxa"/>
            <w:shd w:val="clear" w:color="auto" w:fill="auto"/>
            <w:noWrap/>
            <w:hideMark/>
          </w:tcPr>
          <w:p w14:paraId="25A51160" w14:textId="77777777" w:rsidR="006D4DDB" w:rsidRPr="00C23847" w:rsidRDefault="006D4DDB" w:rsidP="00C23847">
            <w:pPr>
              <w:jc w:val="center"/>
              <w:rPr>
                <w:sz w:val="20"/>
                <w:szCs w:val="20"/>
              </w:rPr>
            </w:pPr>
          </w:p>
        </w:tc>
        <w:tc>
          <w:tcPr>
            <w:tcW w:w="2171" w:type="dxa"/>
            <w:shd w:val="clear" w:color="auto" w:fill="auto"/>
            <w:noWrap/>
            <w:hideMark/>
          </w:tcPr>
          <w:p w14:paraId="48984599" w14:textId="77777777" w:rsidR="006D4DDB" w:rsidRPr="00C23847" w:rsidRDefault="006D4DDB" w:rsidP="00C23847">
            <w:pPr>
              <w:jc w:val="center"/>
              <w:rPr>
                <w:sz w:val="20"/>
                <w:szCs w:val="20"/>
              </w:rPr>
            </w:pPr>
          </w:p>
        </w:tc>
        <w:tc>
          <w:tcPr>
            <w:tcW w:w="2111" w:type="dxa"/>
            <w:shd w:val="clear" w:color="auto" w:fill="auto"/>
            <w:noWrap/>
            <w:hideMark/>
          </w:tcPr>
          <w:p w14:paraId="14B2E17E" w14:textId="77777777" w:rsidR="006D4DDB" w:rsidRPr="00C23847" w:rsidRDefault="006D4DDB" w:rsidP="00C23847">
            <w:pPr>
              <w:jc w:val="center"/>
              <w:rPr>
                <w:sz w:val="20"/>
                <w:szCs w:val="20"/>
              </w:rPr>
            </w:pPr>
          </w:p>
        </w:tc>
        <w:tc>
          <w:tcPr>
            <w:tcW w:w="989" w:type="dxa"/>
            <w:shd w:val="clear" w:color="auto" w:fill="auto"/>
            <w:noWrap/>
            <w:hideMark/>
          </w:tcPr>
          <w:p w14:paraId="2D814942" w14:textId="77777777" w:rsidR="006D4DDB" w:rsidRPr="00C23847" w:rsidRDefault="006D4DDB" w:rsidP="00C23847">
            <w:pPr>
              <w:jc w:val="center"/>
              <w:rPr>
                <w:sz w:val="20"/>
                <w:szCs w:val="20"/>
              </w:rPr>
            </w:pPr>
          </w:p>
        </w:tc>
      </w:tr>
    </w:tbl>
    <w:p w14:paraId="76D5BE3E" w14:textId="77777777" w:rsidR="006D4DDB" w:rsidRDefault="006D4DDB" w:rsidP="006D4DDB">
      <w:pPr>
        <w:rPr>
          <w:rStyle w:val="Strong"/>
          <w:i/>
          <w:color w:val="0070C0"/>
          <w:sz w:val="22"/>
        </w:rPr>
      </w:pPr>
    </w:p>
    <w:p w14:paraId="39CE0977" w14:textId="7FE92BD8" w:rsidR="006D4DDB" w:rsidRPr="00C23847" w:rsidRDefault="006D4DDB" w:rsidP="00C23847">
      <w:pPr>
        <w:pStyle w:val="TableStyle"/>
        <w:rPr>
          <w:rStyle w:val="Strong"/>
          <w:b/>
          <w:color w:val="0070C0"/>
        </w:rPr>
      </w:pPr>
      <w:r w:rsidRPr="00C23847">
        <w:rPr>
          <w:rStyle w:val="Strong"/>
          <w:b/>
          <w:color w:val="0070C0"/>
        </w:rPr>
        <w:t>Year 2014/15 (</w:t>
      </w:r>
      <w:r w:rsidR="00E73ED7">
        <w:rPr>
          <w:rStyle w:val="Strong"/>
          <w:b/>
          <w:color w:val="0070C0"/>
        </w:rPr>
        <w:t>Ksh</w:t>
      </w:r>
      <w:r w:rsidR="00457CF7">
        <w:rPr>
          <w:rStyle w:val="Strong"/>
          <w:b/>
          <w:color w:val="0070C0"/>
        </w:rPr>
        <w:t>,</w:t>
      </w:r>
      <w:r w:rsidRPr="00C23847">
        <w:rPr>
          <w:rStyle w:val="Strong"/>
          <w:b/>
          <w:color w:val="0070C0"/>
        </w:rPr>
        <w:t xml:space="preserve"> million</w:t>
      </w:r>
      <w:r w:rsidR="00457CF7">
        <w:rPr>
          <w:rStyle w:val="Strong"/>
          <w:b/>
          <w:color w:val="0070C0"/>
        </w:rPr>
        <w:t>s</w:t>
      </w:r>
      <w:r w:rsidRPr="00C23847">
        <w:rPr>
          <w:rStyle w:val="Strong"/>
          <w:b/>
          <w:color w:val="0070C0"/>
        </w:rPr>
        <w:t xml:space="preserve"> </w:t>
      </w:r>
      <w:r w:rsidR="00457CF7">
        <w:rPr>
          <w:rStyle w:val="Strong"/>
          <w:b/>
          <w:color w:val="0070C0"/>
        </w:rPr>
        <w:t>and</w:t>
      </w:r>
      <w:r w:rsidR="00457CF7" w:rsidRPr="00C23847">
        <w:rPr>
          <w:rStyle w:val="Strong"/>
          <w:b/>
          <w:color w:val="0070C0"/>
        </w:rPr>
        <w:t xml:space="preserve"> </w:t>
      </w:r>
      <w:r w:rsidRPr="00C23847">
        <w:rPr>
          <w:rStyle w:val="Strong"/>
          <w:b/>
          <w:color w:val="0070C0"/>
        </w:rPr>
        <w:t>%)</w:t>
      </w:r>
    </w:p>
    <w:tbl>
      <w:tblPr>
        <w:tblW w:w="1255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74"/>
        <w:gridCol w:w="1440"/>
        <w:gridCol w:w="1620"/>
        <w:gridCol w:w="1890"/>
        <w:gridCol w:w="1350"/>
        <w:gridCol w:w="1980"/>
        <w:gridCol w:w="898"/>
      </w:tblGrid>
      <w:tr w:rsidR="006D4DDB" w:rsidRPr="00C23847" w14:paraId="68552607" w14:textId="77777777" w:rsidTr="00C23847">
        <w:trPr>
          <w:tblHeader/>
        </w:trPr>
        <w:tc>
          <w:tcPr>
            <w:tcW w:w="3374" w:type="dxa"/>
            <w:shd w:val="clear" w:color="auto" w:fill="5B9BD5"/>
            <w:noWrap/>
            <w:hideMark/>
          </w:tcPr>
          <w:p w14:paraId="304DDA08"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Functional Head</w:t>
            </w:r>
          </w:p>
        </w:tc>
        <w:tc>
          <w:tcPr>
            <w:tcW w:w="1440" w:type="dxa"/>
            <w:shd w:val="clear" w:color="auto" w:fill="5B9BD5"/>
            <w:noWrap/>
            <w:hideMark/>
          </w:tcPr>
          <w:p w14:paraId="35B2451D"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Budget</w:t>
            </w:r>
          </w:p>
        </w:tc>
        <w:tc>
          <w:tcPr>
            <w:tcW w:w="1620" w:type="dxa"/>
            <w:shd w:val="clear" w:color="auto" w:fill="5B9BD5"/>
            <w:noWrap/>
            <w:hideMark/>
          </w:tcPr>
          <w:p w14:paraId="13124C12"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Actual</w:t>
            </w:r>
          </w:p>
        </w:tc>
        <w:tc>
          <w:tcPr>
            <w:tcW w:w="1890" w:type="dxa"/>
            <w:shd w:val="clear" w:color="auto" w:fill="5B9BD5"/>
            <w:hideMark/>
          </w:tcPr>
          <w:p w14:paraId="3FFCFC8C"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Adjusted Budget</w:t>
            </w:r>
          </w:p>
        </w:tc>
        <w:tc>
          <w:tcPr>
            <w:tcW w:w="1350" w:type="dxa"/>
            <w:shd w:val="clear" w:color="auto" w:fill="5B9BD5"/>
            <w:hideMark/>
          </w:tcPr>
          <w:p w14:paraId="67714E90"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Deviation</w:t>
            </w:r>
          </w:p>
        </w:tc>
        <w:tc>
          <w:tcPr>
            <w:tcW w:w="1980" w:type="dxa"/>
            <w:shd w:val="clear" w:color="auto" w:fill="5B9BD5"/>
            <w:hideMark/>
          </w:tcPr>
          <w:p w14:paraId="00DFE400" w14:textId="77777777" w:rsidR="006D4DDB" w:rsidRPr="00C23847" w:rsidRDefault="006D4DDB" w:rsidP="00C23847">
            <w:pPr>
              <w:jc w:val="center"/>
              <w:rPr>
                <w:b/>
                <w:color w:val="FFFFFF" w:themeColor="background1"/>
                <w:sz w:val="20"/>
                <w:szCs w:val="20"/>
              </w:rPr>
            </w:pPr>
            <w:r w:rsidRPr="00C23847">
              <w:rPr>
                <w:b/>
                <w:color w:val="FFFFFF" w:themeColor="background1"/>
                <w:sz w:val="20"/>
                <w:szCs w:val="20"/>
              </w:rPr>
              <w:t>Absolute Deviation</w:t>
            </w:r>
          </w:p>
        </w:tc>
        <w:tc>
          <w:tcPr>
            <w:tcW w:w="898" w:type="dxa"/>
            <w:shd w:val="clear" w:color="auto" w:fill="5B9BD5"/>
            <w:noWrap/>
            <w:hideMark/>
          </w:tcPr>
          <w:p w14:paraId="283A86E1" w14:textId="32B0C858" w:rsidR="006D4DDB" w:rsidRPr="00C23847" w:rsidRDefault="006D4DDB" w:rsidP="00260F29">
            <w:pPr>
              <w:jc w:val="center"/>
              <w:rPr>
                <w:b/>
                <w:color w:val="FFFFFF" w:themeColor="background1"/>
                <w:sz w:val="20"/>
                <w:szCs w:val="20"/>
              </w:rPr>
            </w:pPr>
            <w:r w:rsidRPr="00C23847">
              <w:rPr>
                <w:b/>
                <w:color w:val="FFFFFF" w:themeColor="background1"/>
                <w:sz w:val="20"/>
                <w:szCs w:val="20"/>
              </w:rPr>
              <w:t>%</w:t>
            </w:r>
          </w:p>
        </w:tc>
      </w:tr>
      <w:tr w:rsidR="006D4DDB" w:rsidRPr="00C23847" w14:paraId="0B731738" w14:textId="77777777" w:rsidTr="00C23847">
        <w:tc>
          <w:tcPr>
            <w:tcW w:w="3374" w:type="dxa"/>
            <w:shd w:val="clear" w:color="auto" w:fill="auto"/>
            <w:noWrap/>
            <w:hideMark/>
          </w:tcPr>
          <w:p w14:paraId="25A0BA0A" w14:textId="2F43E971" w:rsidR="006D4DDB" w:rsidRPr="00C23847" w:rsidRDefault="006D4DDB" w:rsidP="00C23847">
            <w:pPr>
              <w:jc w:val="left"/>
              <w:rPr>
                <w:sz w:val="20"/>
                <w:szCs w:val="20"/>
              </w:rPr>
            </w:pPr>
            <w:r w:rsidRPr="00C23847">
              <w:rPr>
                <w:sz w:val="20"/>
                <w:szCs w:val="20"/>
              </w:rPr>
              <w:t xml:space="preserve">County Assembly </w:t>
            </w:r>
          </w:p>
        </w:tc>
        <w:tc>
          <w:tcPr>
            <w:tcW w:w="1440" w:type="dxa"/>
            <w:shd w:val="clear" w:color="auto" w:fill="auto"/>
            <w:noWrap/>
            <w:hideMark/>
          </w:tcPr>
          <w:p w14:paraId="220DEB8D" w14:textId="5B5F6426" w:rsidR="006D4DDB" w:rsidRPr="00C23847" w:rsidRDefault="006D4DDB" w:rsidP="00260F29">
            <w:pPr>
              <w:tabs>
                <w:tab w:val="decimal" w:pos="744"/>
              </w:tabs>
              <w:jc w:val="left"/>
              <w:rPr>
                <w:sz w:val="20"/>
                <w:szCs w:val="20"/>
              </w:rPr>
            </w:pPr>
            <w:r w:rsidRPr="00C23847">
              <w:rPr>
                <w:sz w:val="20"/>
                <w:szCs w:val="20"/>
              </w:rPr>
              <w:t>763</w:t>
            </w:r>
            <w:r w:rsidR="00260F29">
              <w:rPr>
                <w:sz w:val="20"/>
                <w:szCs w:val="20"/>
              </w:rPr>
              <w:t>.</w:t>
            </w:r>
            <w:r w:rsidRPr="00C23847">
              <w:rPr>
                <w:sz w:val="20"/>
                <w:szCs w:val="20"/>
              </w:rPr>
              <w:t>00</w:t>
            </w:r>
          </w:p>
        </w:tc>
        <w:tc>
          <w:tcPr>
            <w:tcW w:w="1620" w:type="dxa"/>
            <w:shd w:val="clear" w:color="auto" w:fill="auto"/>
            <w:noWrap/>
            <w:hideMark/>
          </w:tcPr>
          <w:p w14:paraId="0B123281" w14:textId="7591E64F" w:rsidR="006D4DDB" w:rsidRPr="00C23847" w:rsidRDefault="006D4DDB" w:rsidP="00260F29">
            <w:pPr>
              <w:tabs>
                <w:tab w:val="decimal" w:pos="744"/>
              </w:tabs>
              <w:jc w:val="left"/>
              <w:rPr>
                <w:sz w:val="20"/>
                <w:szCs w:val="20"/>
              </w:rPr>
            </w:pPr>
            <w:r w:rsidRPr="00C23847">
              <w:rPr>
                <w:sz w:val="20"/>
                <w:szCs w:val="20"/>
              </w:rPr>
              <w:t>652</w:t>
            </w:r>
            <w:r w:rsidR="00260F29">
              <w:rPr>
                <w:sz w:val="20"/>
                <w:szCs w:val="20"/>
              </w:rPr>
              <w:t>.</w:t>
            </w:r>
            <w:r w:rsidRPr="00C23847">
              <w:rPr>
                <w:sz w:val="20"/>
                <w:szCs w:val="20"/>
              </w:rPr>
              <w:t>76</w:t>
            </w:r>
          </w:p>
        </w:tc>
        <w:tc>
          <w:tcPr>
            <w:tcW w:w="1890" w:type="dxa"/>
            <w:shd w:val="clear" w:color="auto" w:fill="auto"/>
            <w:noWrap/>
            <w:hideMark/>
          </w:tcPr>
          <w:p w14:paraId="54282DC4" w14:textId="793D631A" w:rsidR="006D4DDB" w:rsidRPr="00C23847" w:rsidRDefault="006D4DDB" w:rsidP="00260F29">
            <w:pPr>
              <w:tabs>
                <w:tab w:val="decimal" w:pos="922"/>
              </w:tabs>
              <w:jc w:val="left"/>
              <w:rPr>
                <w:sz w:val="20"/>
                <w:szCs w:val="20"/>
              </w:rPr>
            </w:pPr>
            <w:r w:rsidRPr="00C23847">
              <w:rPr>
                <w:sz w:val="20"/>
                <w:szCs w:val="20"/>
              </w:rPr>
              <w:t>594</w:t>
            </w:r>
            <w:r w:rsidR="00260F29">
              <w:rPr>
                <w:sz w:val="20"/>
                <w:szCs w:val="20"/>
              </w:rPr>
              <w:t>.</w:t>
            </w:r>
            <w:r w:rsidRPr="00C23847">
              <w:rPr>
                <w:sz w:val="20"/>
                <w:szCs w:val="20"/>
              </w:rPr>
              <w:t>47</w:t>
            </w:r>
          </w:p>
        </w:tc>
        <w:tc>
          <w:tcPr>
            <w:tcW w:w="1350" w:type="dxa"/>
            <w:shd w:val="clear" w:color="auto" w:fill="auto"/>
            <w:noWrap/>
            <w:hideMark/>
          </w:tcPr>
          <w:p w14:paraId="2470AD2B" w14:textId="430FC6C5" w:rsidR="006D4DDB" w:rsidRPr="00C23847" w:rsidRDefault="006D4DDB" w:rsidP="00260F29">
            <w:pPr>
              <w:tabs>
                <w:tab w:val="decimal" w:pos="575"/>
              </w:tabs>
              <w:jc w:val="left"/>
              <w:rPr>
                <w:sz w:val="20"/>
                <w:szCs w:val="20"/>
              </w:rPr>
            </w:pPr>
            <w:r w:rsidRPr="00C23847">
              <w:rPr>
                <w:sz w:val="20"/>
                <w:szCs w:val="20"/>
              </w:rPr>
              <w:t>58</w:t>
            </w:r>
            <w:r w:rsidR="00260F29">
              <w:rPr>
                <w:sz w:val="20"/>
                <w:szCs w:val="20"/>
              </w:rPr>
              <w:t>.</w:t>
            </w:r>
            <w:r w:rsidRPr="00C23847">
              <w:rPr>
                <w:sz w:val="20"/>
                <w:szCs w:val="20"/>
              </w:rPr>
              <w:t>29</w:t>
            </w:r>
          </w:p>
        </w:tc>
        <w:tc>
          <w:tcPr>
            <w:tcW w:w="1980" w:type="dxa"/>
            <w:shd w:val="clear" w:color="auto" w:fill="auto"/>
            <w:noWrap/>
            <w:hideMark/>
          </w:tcPr>
          <w:p w14:paraId="11B012DB" w14:textId="4F4943D0" w:rsidR="006D4DDB" w:rsidRPr="00C23847" w:rsidRDefault="006D4DDB" w:rsidP="00260F29">
            <w:pPr>
              <w:tabs>
                <w:tab w:val="decimal" w:pos="892"/>
              </w:tabs>
              <w:jc w:val="left"/>
              <w:rPr>
                <w:sz w:val="20"/>
                <w:szCs w:val="20"/>
              </w:rPr>
            </w:pPr>
            <w:r w:rsidRPr="00C23847">
              <w:rPr>
                <w:sz w:val="20"/>
                <w:szCs w:val="20"/>
              </w:rPr>
              <w:t>58</w:t>
            </w:r>
            <w:r w:rsidR="00260F29">
              <w:rPr>
                <w:sz w:val="20"/>
                <w:szCs w:val="20"/>
              </w:rPr>
              <w:t>.</w:t>
            </w:r>
            <w:r w:rsidRPr="00C23847">
              <w:rPr>
                <w:sz w:val="20"/>
                <w:szCs w:val="20"/>
              </w:rPr>
              <w:t>29</w:t>
            </w:r>
          </w:p>
        </w:tc>
        <w:tc>
          <w:tcPr>
            <w:tcW w:w="898" w:type="dxa"/>
            <w:shd w:val="clear" w:color="auto" w:fill="auto"/>
            <w:noWrap/>
            <w:hideMark/>
          </w:tcPr>
          <w:p w14:paraId="2AD012EF" w14:textId="77777777" w:rsidR="006D4DDB" w:rsidRPr="00C23847" w:rsidRDefault="006D4DDB" w:rsidP="00260F29">
            <w:pPr>
              <w:jc w:val="center"/>
              <w:rPr>
                <w:sz w:val="20"/>
                <w:szCs w:val="20"/>
              </w:rPr>
            </w:pPr>
            <w:r w:rsidRPr="00C23847">
              <w:rPr>
                <w:sz w:val="20"/>
                <w:szCs w:val="20"/>
              </w:rPr>
              <w:t>10</w:t>
            </w:r>
          </w:p>
        </w:tc>
      </w:tr>
      <w:tr w:rsidR="006D4DDB" w:rsidRPr="00C23847" w14:paraId="56235901" w14:textId="77777777" w:rsidTr="00C23847">
        <w:tc>
          <w:tcPr>
            <w:tcW w:w="3374" w:type="dxa"/>
            <w:shd w:val="clear" w:color="auto" w:fill="auto"/>
            <w:noWrap/>
            <w:hideMark/>
          </w:tcPr>
          <w:p w14:paraId="594E8241" w14:textId="48BB7102" w:rsidR="006D4DDB" w:rsidRPr="00C23847" w:rsidRDefault="006D4DDB" w:rsidP="00C23847">
            <w:pPr>
              <w:jc w:val="left"/>
              <w:rPr>
                <w:sz w:val="20"/>
                <w:szCs w:val="20"/>
              </w:rPr>
            </w:pPr>
            <w:r w:rsidRPr="00C23847">
              <w:rPr>
                <w:sz w:val="20"/>
                <w:szCs w:val="20"/>
              </w:rPr>
              <w:t>Water and Irrigation</w:t>
            </w:r>
          </w:p>
        </w:tc>
        <w:tc>
          <w:tcPr>
            <w:tcW w:w="1440" w:type="dxa"/>
            <w:shd w:val="clear" w:color="auto" w:fill="auto"/>
            <w:noWrap/>
            <w:hideMark/>
          </w:tcPr>
          <w:p w14:paraId="33E7D952" w14:textId="59EB2986" w:rsidR="006D4DDB" w:rsidRPr="00C23847" w:rsidRDefault="006D4DDB" w:rsidP="00260F29">
            <w:pPr>
              <w:tabs>
                <w:tab w:val="decimal" w:pos="744"/>
              </w:tabs>
              <w:jc w:val="left"/>
              <w:rPr>
                <w:sz w:val="20"/>
                <w:szCs w:val="20"/>
              </w:rPr>
            </w:pPr>
            <w:r w:rsidRPr="00C23847">
              <w:rPr>
                <w:sz w:val="20"/>
                <w:szCs w:val="20"/>
              </w:rPr>
              <w:t>240</w:t>
            </w:r>
            <w:r w:rsidR="00260F29">
              <w:rPr>
                <w:sz w:val="20"/>
                <w:szCs w:val="20"/>
              </w:rPr>
              <w:t>.</w:t>
            </w:r>
            <w:r w:rsidRPr="00C23847">
              <w:rPr>
                <w:sz w:val="20"/>
                <w:szCs w:val="20"/>
              </w:rPr>
              <w:t>95</w:t>
            </w:r>
          </w:p>
        </w:tc>
        <w:tc>
          <w:tcPr>
            <w:tcW w:w="1620" w:type="dxa"/>
            <w:shd w:val="clear" w:color="auto" w:fill="auto"/>
            <w:noWrap/>
            <w:hideMark/>
          </w:tcPr>
          <w:p w14:paraId="6088F33B" w14:textId="2DA4E4AE" w:rsidR="006D4DDB" w:rsidRPr="00C23847" w:rsidRDefault="006D4DDB" w:rsidP="00260F29">
            <w:pPr>
              <w:tabs>
                <w:tab w:val="decimal" w:pos="744"/>
              </w:tabs>
              <w:jc w:val="left"/>
              <w:rPr>
                <w:sz w:val="20"/>
                <w:szCs w:val="20"/>
              </w:rPr>
            </w:pPr>
            <w:r w:rsidRPr="00C23847">
              <w:rPr>
                <w:sz w:val="20"/>
                <w:szCs w:val="20"/>
              </w:rPr>
              <w:t>178</w:t>
            </w:r>
            <w:r w:rsidR="00260F29">
              <w:rPr>
                <w:sz w:val="20"/>
                <w:szCs w:val="20"/>
              </w:rPr>
              <w:t>.</w:t>
            </w:r>
            <w:r w:rsidRPr="00C23847">
              <w:rPr>
                <w:sz w:val="20"/>
                <w:szCs w:val="20"/>
              </w:rPr>
              <w:t>47</w:t>
            </w:r>
          </w:p>
        </w:tc>
        <w:tc>
          <w:tcPr>
            <w:tcW w:w="1890" w:type="dxa"/>
            <w:shd w:val="clear" w:color="auto" w:fill="auto"/>
            <w:noWrap/>
            <w:hideMark/>
          </w:tcPr>
          <w:p w14:paraId="00E8137A" w14:textId="29E5A960" w:rsidR="006D4DDB" w:rsidRPr="00C23847" w:rsidRDefault="006D4DDB" w:rsidP="00260F29">
            <w:pPr>
              <w:tabs>
                <w:tab w:val="decimal" w:pos="922"/>
              </w:tabs>
              <w:jc w:val="left"/>
              <w:rPr>
                <w:sz w:val="20"/>
                <w:szCs w:val="20"/>
              </w:rPr>
            </w:pPr>
            <w:r w:rsidRPr="00C23847">
              <w:rPr>
                <w:sz w:val="20"/>
                <w:szCs w:val="20"/>
              </w:rPr>
              <w:t>187</w:t>
            </w:r>
            <w:r w:rsidR="00260F29">
              <w:rPr>
                <w:sz w:val="20"/>
                <w:szCs w:val="20"/>
              </w:rPr>
              <w:t>.</w:t>
            </w:r>
            <w:r w:rsidRPr="00C23847">
              <w:rPr>
                <w:sz w:val="20"/>
                <w:szCs w:val="20"/>
              </w:rPr>
              <w:t>73</w:t>
            </w:r>
          </w:p>
        </w:tc>
        <w:tc>
          <w:tcPr>
            <w:tcW w:w="1350" w:type="dxa"/>
            <w:shd w:val="clear" w:color="auto" w:fill="auto"/>
            <w:noWrap/>
            <w:hideMark/>
          </w:tcPr>
          <w:p w14:paraId="623FD828" w14:textId="6A9F8A42" w:rsidR="006D4DDB" w:rsidRPr="00C23847" w:rsidRDefault="006D4DDB" w:rsidP="00260F29">
            <w:pPr>
              <w:tabs>
                <w:tab w:val="decimal" w:pos="575"/>
              </w:tabs>
              <w:jc w:val="left"/>
              <w:rPr>
                <w:sz w:val="20"/>
                <w:szCs w:val="20"/>
              </w:rPr>
            </w:pPr>
            <w:r w:rsidRPr="00C23847">
              <w:rPr>
                <w:sz w:val="20"/>
                <w:szCs w:val="20"/>
              </w:rPr>
              <w:t>(9</w:t>
            </w:r>
            <w:r w:rsidR="00260F29">
              <w:rPr>
                <w:sz w:val="20"/>
                <w:szCs w:val="20"/>
              </w:rPr>
              <w:t>.</w:t>
            </w:r>
            <w:r w:rsidRPr="00C23847">
              <w:rPr>
                <w:sz w:val="20"/>
                <w:szCs w:val="20"/>
              </w:rPr>
              <w:t>25)</w:t>
            </w:r>
          </w:p>
        </w:tc>
        <w:tc>
          <w:tcPr>
            <w:tcW w:w="1980" w:type="dxa"/>
            <w:shd w:val="clear" w:color="auto" w:fill="auto"/>
            <w:noWrap/>
            <w:hideMark/>
          </w:tcPr>
          <w:p w14:paraId="46545026" w14:textId="058803A3" w:rsidR="006D4DDB" w:rsidRPr="00C23847" w:rsidRDefault="006D4DDB" w:rsidP="00260F29">
            <w:pPr>
              <w:tabs>
                <w:tab w:val="decimal" w:pos="892"/>
              </w:tabs>
              <w:jc w:val="left"/>
              <w:rPr>
                <w:sz w:val="20"/>
                <w:szCs w:val="20"/>
              </w:rPr>
            </w:pPr>
            <w:r w:rsidRPr="00C23847">
              <w:rPr>
                <w:sz w:val="20"/>
                <w:szCs w:val="20"/>
              </w:rPr>
              <w:t>9</w:t>
            </w:r>
            <w:r w:rsidR="00260F29">
              <w:rPr>
                <w:sz w:val="20"/>
                <w:szCs w:val="20"/>
              </w:rPr>
              <w:t>.</w:t>
            </w:r>
            <w:r w:rsidRPr="00C23847">
              <w:rPr>
                <w:sz w:val="20"/>
                <w:szCs w:val="20"/>
              </w:rPr>
              <w:t>25</w:t>
            </w:r>
          </w:p>
        </w:tc>
        <w:tc>
          <w:tcPr>
            <w:tcW w:w="898" w:type="dxa"/>
            <w:shd w:val="clear" w:color="auto" w:fill="auto"/>
            <w:noWrap/>
            <w:hideMark/>
          </w:tcPr>
          <w:p w14:paraId="2B938A0A" w14:textId="77777777" w:rsidR="006D4DDB" w:rsidRPr="00C23847" w:rsidRDefault="006D4DDB" w:rsidP="00260F29">
            <w:pPr>
              <w:jc w:val="center"/>
              <w:rPr>
                <w:sz w:val="20"/>
                <w:szCs w:val="20"/>
              </w:rPr>
            </w:pPr>
            <w:r w:rsidRPr="00C23847">
              <w:rPr>
                <w:sz w:val="20"/>
                <w:szCs w:val="20"/>
              </w:rPr>
              <w:t>5</w:t>
            </w:r>
          </w:p>
        </w:tc>
      </w:tr>
      <w:tr w:rsidR="006D4DDB" w:rsidRPr="00C23847" w14:paraId="57AD9885" w14:textId="77777777" w:rsidTr="00C23847">
        <w:tc>
          <w:tcPr>
            <w:tcW w:w="3374" w:type="dxa"/>
            <w:shd w:val="clear" w:color="auto" w:fill="auto"/>
            <w:noWrap/>
            <w:hideMark/>
          </w:tcPr>
          <w:p w14:paraId="251A5E1F" w14:textId="4E0028C8" w:rsidR="006D4DDB" w:rsidRPr="00C23847" w:rsidRDefault="006D4DDB" w:rsidP="00C23847">
            <w:pPr>
              <w:jc w:val="left"/>
              <w:rPr>
                <w:sz w:val="20"/>
                <w:szCs w:val="20"/>
              </w:rPr>
            </w:pPr>
            <w:r w:rsidRPr="00C23847">
              <w:rPr>
                <w:sz w:val="20"/>
                <w:szCs w:val="20"/>
              </w:rPr>
              <w:t>County Public Service </w:t>
            </w:r>
          </w:p>
        </w:tc>
        <w:tc>
          <w:tcPr>
            <w:tcW w:w="1440" w:type="dxa"/>
            <w:shd w:val="clear" w:color="auto" w:fill="auto"/>
            <w:noWrap/>
            <w:hideMark/>
          </w:tcPr>
          <w:p w14:paraId="7F998E2B" w14:textId="0670A39C" w:rsidR="006D4DDB" w:rsidRPr="00C23847" w:rsidRDefault="006D4DDB" w:rsidP="00260F29">
            <w:pPr>
              <w:tabs>
                <w:tab w:val="decimal" w:pos="744"/>
              </w:tabs>
              <w:jc w:val="left"/>
              <w:rPr>
                <w:sz w:val="20"/>
                <w:szCs w:val="20"/>
              </w:rPr>
            </w:pPr>
            <w:r w:rsidRPr="00C23847">
              <w:rPr>
                <w:sz w:val="20"/>
                <w:szCs w:val="20"/>
              </w:rPr>
              <w:t>1</w:t>
            </w:r>
            <w:r w:rsidR="00260F29">
              <w:rPr>
                <w:sz w:val="20"/>
                <w:szCs w:val="20"/>
              </w:rPr>
              <w:t>,</w:t>
            </w:r>
            <w:r w:rsidRPr="00C23847">
              <w:rPr>
                <w:sz w:val="20"/>
                <w:szCs w:val="20"/>
              </w:rPr>
              <w:t>372</w:t>
            </w:r>
            <w:r w:rsidR="00260F29">
              <w:rPr>
                <w:sz w:val="20"/>
                <w:szCs w:val="20"/>
              </w:rPr>
              <w:t>.</w:t>
            </w:r>
            <w:r w:rsidRPr="00C23847">
              <w:rPr>
                <w:sz w:val="20"/>
                <w:szCs w:val="20"/>
              </w:rPr>
              <w:t>09</w:t>
            </w:r>
          </w:p>
        </w:tc>
        <w:tc>
          <w:tcPr>
            <w:tcW w:w="1620" w:type="dxa"/>
            <w:shd w:val="clear" w:color="auto" w:fill="auto"/>
            <w:noWrap/>
            <w:hideMark/>
          </w:tcPr>
          <w:p w14:paraId="40F00FB1" w14:textId="24885284" w:rsidR="006D4DDB" w:rsidRPr="00C23847" w:rsidRDefault="006D4DDB" w:rsidP="00260F29">
            <w:pPr>
              <w:tabs>
                <w:tab w:val="decimal" w:pos="744"/>
              </w:tabs>
              <w:jc w:val="left"/>
              <w:rPr>
                <w:sz w:val="20"/>
                <w:szCs w:val="20"/>
              </w:rPr>
            </w:pPr>
            <w:r w:rsidRPr="00C23847">
              <w:rPr>
                <w:sz w:val="20"/>
                <w:szCs w:val="20"/>
              </w:rPr>
              <w:t>1</w:t>
            </w:r>
            <w:r w:rsidR="00260F29">
              <w:rPr>
                <w:sz w:val="20"/>
                <w:szCs w:val="20"/>
              </w:rPr>
              <w:t>,</w:t>
            </w:r>
            <w:r w:rsidRPr="00C23847">
              <w:rPr>
                <w:sz w:val="20"/>
                <w:szCs w:val="20"/>
              </w:rPr>
              <w:t>270</w:t>
            </w:r>
            <w:r w:rsidR="00260F29">
              <w:rPr>
                <w:sz w:val="20"/>
                <w:szCs w:val="20"/>
              </w:rPr>
              <w:t>.</w:t>
            </w:r>
            <w:r w:rsidRPr="00C23847">
              <w:rPr>
                <w:sz w:val="20"/>
                <w:szCs w:val="20"/>
              </w:rPr>
              <w:t>89</w:t>
            </w:r>
          </w:p>
        </w:tc>
        <w:tc>
          <w:tcPr>
            <w:tcW w:w="1890" w:type="dxa"/>
            <w:shd w:val="clear" w:color="auto" w:fill="auto"/>
            <w:noWrap/>
            <w:hideMark/>
          </w:tcPr>
          <w:p w14:paraId="5496CDBE" w14:textId="4B848A33" w:rsidR="006D4DDB" w:rsidRPr="00C23847" w:rsidRDefault="006D4DDB" w:rsidP="00260F29">
            <w:pPr>
              <w:tabs>
                <w:tab w:val="decimal" w:pos="922"/>
              </w:tabs>
              <w:jc w:val="left"/>
              <w:rPr>
                <w:sz w:val="20"/>
                <w:szCs w:val="20"/>
              </w:rPr>
            </w:pPr>
            <w:r w:rsidRPr="00C23847">
              <w:rPr>
                <w:sz w:val="20"/>
                <w:szCs w:val="20"/>
              </w:rPr>
              <w:t>1</w:t>
            </w:r>
            <w:r w:rsidR="00260F29">
              <w:rPr>
                <w:sz w:val="20"/>
                <w:szCs w:val="20"/>
              </w:rPr>
              <w:t>,</w:t>
            </w:r>
            <w:r w:rsidRPr="00C23847">
              <w:rPr>
                <w:sz w:val="20"/>
                <w:szCs w:val="20"/>
              </w:rPr>
              <w:t>069</w:t>
            </w:r>
            <w:r w:rsidR="00260F29">
              <w:rPr>
                <w:sz w:val="20"/>
                <w:szCs w:val="20"/>
              </w:rPr>
              <w:t>.</w:t>
            </w:r>
            <w:r w:rsidRPr="00C23847">
              <w:rPr>
                <w:sz w:val="20"/>
                <w:szCs w:val="20"/>
              </w:rPr>
              <w:t>02</w:t>
            </w:r>
          </w:p>
        </w:tc>
        <w:tc>
          <w:tcPr>
            <w:tcW w:w="1350" w:type="dxa"/>
            <w:shd w:val="clear" w:color="auto" w:fill="auto"/>
            <w:noWrap/>
            <w:hideMark/>
          </w:tcPr>
          <w:p w14:paraId="385FE710" w14:textId="36B6A0F7" w:rsidR="006D4DDB" w:rsidRPr="00C23847" w:rsidRDefault="006D4DDB" w:rsidP="00260F29">
            <w:pPr>
              <w:tabs>
                <w:tab w:val="decimal" w:pos="575"/>
              </w:tabs>
              <w:jc w:val="left"/>
              <w:rPr>
                <w:sz w:val="20"/>
                <w:szCs w:val="20"/>
              </w:rPr>
            </w:pPr>
            <w:r w:rsidRPr="00C23847">
              <w:rPr>
                <w:sz w:val="20"/>
                <w:szCs w:val="20"/>
              </w:rPr>
              <w:t>201</w:t>
            </w:r>
            <w:r w:rsidR="00260F29">
              <w:rPr>
                <w:sz w:val="20"/>
                <w:szCs w:val="20"/>
              </w:rPr>
              <w:t>.</w:t>
            </w:r>
            <w:r w:rsidRPr="00C23847">
              <w:rPr>
                <w:sz w:val="20"/>
                <w:szCs w:val="20"/>
              </w:rPr>
              <w:t>87</w:t>
            </w:r>
          </w:p>
        </w:tc>
        <w:tc>
          <w:tcPr>
            <w:tcW w:w="1980" w:type="dxa"/>
            <w:shd w:val="clear" w:color="auto" w:fill="auto"/>
            <w:noWrap/>
            <w:hideMark/>
          </w:tcPr>
          <w:p w14:paraId="52302003" w14:textId="174A06CA" w:rsidR="006D4DDB" w:rsidRPr="00C23847" w:rsidRDefault="006D4DDB" w:rsidP="00260F29">
            <w:pPr>
              <w:tabs>
                <w:tab w:val="decimal" w:pos="892"/>
              </w:tabs>
              <w:jc w:val="left"/>
              <w:rPr>
                <w:sz w:val="20"/>
                <w:szCs w:val="20"/>
              </w:rPr>
            </w:pPr>
            <w:r w:rsidRPr="00C23847">
              <w:rPr>
                <w:sz w:val="20"/>
                <w:szCs w:val="20"/>
              </w:rPr>
              <w:t>201</w:t>
            </w:r>
            <w:r w:rsidR="00260F29">
              <w:rPr>
                <w:sz w:val="20"/>
                <w:szCs w:val="20"/>
              </w:rPr>
              <w:t>.</w:t>
            </w:r>
            <w:r w:rsidRPr="00C23847">
              <w:rPr>
                <w:sz w:val="20"/>
                <w:szCs w:val="20"/>
              </w:rPr>
              <w:t>87</w:t>
            </w:r>
          </w:p>
        </w:tc>
        <w:tc>
          <w:tcPr>
            <w:tcW w:w="898" w:type="dxa"/>
            <w:shd w:val="clear" w:color="auto" w:fill="auto"/>
            <w:noWrap/>
            <w:hideMark/>
          </w:tcPr>
          <w:p w14:paraId="1B48ECB5" w14:textId="77777777" w:rsidR="006D4DDB" w:rsidRPr="00C23847" w:rsidRDefault="006D4DDB" w:rsidP="00260F29">
            <w:pPr>
              <w:jc w:val="center"/>
              <w:rPr>
                <w:sz w:val="20"/>
                <w:szCs w:val="20"/>
              </w:rPr>
            </w:pPr>
            <w:r w:rsidRPr="00C23847">
              <w:rPr>
                <w:sz w:val="20"/>
                <w:szCs w:val="20"/>
              </w:rPr>
              <w:t>19</w:t>
            </w:r>
          </w:p>
        </w:tc>
      </w:tr>
      <w:tr w:rsidR="006D4DDB" w:rsidRPr="00C23847" w14:paraId="408DEF76" w14:textId="77777777" w:rsidTr="00C23847">
        <w:tc>
          <w:tcPr>
            <w:tcW w:w="3374" w:type="dxa"/>
            <w:shd w:val="clear" w:color="auto" w:fill="auto"/>
            <w:noWrap/>
            <w:hideMark/>
          </w:tcPr>
          <w:p w14:paraId="39C10C12" w14:textId="5979F647" w:rsidR="006D4DDB" w:rsidRPr="00C23847" w:rsidRDefault="00DF24D0" w:rsidP="00C23847">
            <w:pPr>
              <w:jc w:val="left"/>
              <w:rPr>
                <w:sz w:val="20"/>
                <w:szCs w:val="20"/>
              </w:rPr>
            </w:pPr>
            <w:r w:rsidRPr="00C23847">
              <w:rPr>
                <w:sz w:val="20"/>
                <w:szCs w:val="20"/>
              </w:rPr>
              <w:t>ICT</w:t>
            </w:r>
            <w:r w:rsidR="006D4DDB" w:rsidRPr="00C23847">
              <w:rPr>
                <w:sz w:val="20"/>
                <w:szCs w:val="20"/>
              </w:rPr>
              <w:t xml:space="preserve"> </w:t>
            </w:r>
            <w:r w:rsidRPr="00C23847">
              <w:rPr>
                <w:sz w:val="20"/>
                <w:szCs w:val="20"/>
              </w:rPr>
              <w:t>a</w:t>
            </w:r>
            <w:r w:rsidR="006D4DDB" w:rsidRPr="00C23847">
              <w:rPr>
                <w:sz w:val="20"/>
                <w:szCs w:val="20"/>
              </w:rPr>
              <w:t>nd Citizen Participation</w:t>
            </w:r>
          </w:p>
        </w:tc>
        <w:tc>
          <w:tcPr>
            <w:tcW w:w="1440" w:type="dxa"/>
            <w:shd w:val="clear" w:color="auto" w:fill="auto"/>
            <w:noWrap/>
            <w:hideMark/>
          </w:tcPr>
          <w:p w14:paraId="3DF8DBA4" w14:textId="0DF32BCF" w:rsidR="006D4DDB" w:rsidRPr="00C23847" w:rsidRDefault="006D4DDB" w:rsidP="00260F29">
            <w:pPr>
              <w:tabs>
                <w:tab w:val="decimal" w:pos="744"/>
              </w:tabs>
              <w:jc w:val="left"/>
              <w:rPr>
                <w:sz w:val="20"/>
                <w:szCs w:val="20"/>
              </w:rPr>
            </w:pPr>
            <w:r w:rsidRPr="00C23847">
              <w:rPr>
                <w:sz w:val="20"/>
                <w:szCs w:val="20"/>
              </w:rPr>
              <w:t>113</w:t>
            </w:r>
            <w:r w:rsidR="00260F29">
              <w:rPr>
                <w:sz w:val="20"/>
                <w:szCs w:val="20"/>
              </w:rPr>
              <w:t>.</w:t>
            </w:r>
            <w:r w:rsidRPr="00C23847">
              <w:rPr>
                <w:sz w:val="20"/>
                <w:szCs w:val="20"/>
              </w:rPr>
              <w:t>40</w:t>
            </w:r>
          </w:p>
        </w:tc>
        <w:tc>
          <w:tcPr>
            <w:tcW w:w="1620" w:type="dxa"/>
            <w:shd w:val="clear" w:color="auto" w:fill="auto"/>
            <w:noWrap/>
            <w:hideMark/>
          </w:tcPr>
          <w:p w14:paraId="0F0EF8E6" w14:textId="44E44F0F" w:rsidR="006D4DDB" w:rsidRPr="00C23847" w:rsidRDefault="006D4DDB" w:rsidP="00260F29">
            <w:pPr>
              <w:tabs>
                <w:tab w:val="decimal" w:pos="744"/>
              </w:tabs>
              <w:jc w:val="left"/>
              <w:rPr>
                <w:sz w:val="20"/>
                <w:szCs w:val="20"/>
              </w:rPr>
            </w:pPr>
            <w:r w:rsidRPr="00C23847">
              <w:rPr>
                <w:sz w:val="20"/>
                <w:szCs w:val="20"/>
              </w:rPr>
              <w:t>89</w:t>
            </w:r>
            <w:r w:rsidR="00260F29">
              <w:rPr>
                <w:sz w:val="20"/>
                <w:szCs w:val="20"/>
              </w:rPr>
              <w:t>.</w:t>
            </w:r>
            <w:r w:rsidRPr="00C23847">
              <w:rPr>
                <w:sz w:val="20"/>
                <w:szCs w:val="20"/>
              </w:rPr>
              <w:t>48</w:t>
            </w:r>
          </w:p>
        </w:tc>
        <w:tc>
          <w:tcPr>
            <w:tcW w:w="1890" w:type="dxa"/>
            <w:shd w:val="clear" w:color="auto" w:fill="auto"/>
            <w:noWrap/>
            <w:hideMark/>
          </w:tcPr>
          <w:p w14:paraId="4C6F4C9F" w14:textId="05B9C865" w:rsidR="006D4DDB" w:rsidRPr="00C23847" w:rsidRDefault="006D4DDB" w:rsidP="00260F29">
            <w:pPr>
              <w:tabs>
                <w:tab w:val="decimal" w:pos="922"/>
              </w:tabs>
              <w:jc w:val="left"/>
              <w:rPr>
                <w:sz w:val="20"/>
                <w:szCs w:val="20"/>
              </w:rPr>
            </w:pPr>
            <w:r w:rsidRPr="00C23847">
              <w:rPr>
                <w:sz w:val="20"/>
                <w:szCs w:val="20"/>
              </w:rPr>
              <w:t>88</w:t>
            </w:r>
            <w:r w:rsidR="00260F29">
              <w:rPr>
                <w:sz w:val="20"/>
                <w:szCs w:val="20"/>
              </w:rPr>
              <w:t>.</w:t>
            </w:r>
            <w:r w:rsidRPr="00C23847">
              <w:rPr>
                <w:sz w:val="20"/>
                <w:szCs w:val="20"/>
              </w:rPr>
              <w:t>35</w:t>
            </w:r>
          </w:p>
        </w:tc>
        <w:tc>
          <w:tcPr>
            <w:tcW w:w="1350" w:type="dxa"/>
            <w:shd w:val="clear" w:color="auto" w:fill="auto"/>
            <w:noWrap/>
            <w:hideMark/>
          </w:tcPr>
          <w:p w14:paraId="64DB4B06" w14:textId="43498B48" w:rsidR="006D4DDB" w:rsidRPr="00C23847" w:rsidRDefault="006D4DDB" w:rsidP="00260F29">
            <w:pPr>
              <w:tabs>
                <w:tab w:val="decimal" w:pos="575"/>
              </w:tabs>
              <w:jc w:val="left"/>
              <w:rPr>
                <w:sz w:val="20"/>
                <w:szCs w:val="20"/>
              </w:rPr>
            </w:pPr>
            <w:r w:rsidRPr="00C23847">
              <w:rPr>
                <w:sz w:val="20"/>
                <w:szCs w:val="20"/>
              </w:rPr>
              <w:t>1</w:t>
            </w:r>
            <w:r w:rsidR="00260F29">
              <w:rPr>
                <w:sz w:val="20"/>
                <w:szCs w:val="20"/>
              </w:rPr>
              <w:t>.</w:t>
            </w:r>
            <w:r w:rsidRPr="00C23847">
              <w:rPr>
                <w:sz w:val="20"/>
                <w:szCs w:val="20"/>
              </w:rPr>
              <w:t>13</w:t>
            </w:r>
          </w:p>
        </w:tc>
        <w:tc>
          <w:tcPr>
            <w:tcW w:w="1980" w:type="dxa"/>
            <w:shd w:val="clear" w:color="auto" w:fill="auto"/>
            <w:noWrap/>
            <w:hideMark/>
          </w:tcPr>
          <w:p w14:paraId="4BDA0829" w14:textId="777112A8" w:rsidR="006D4DDB" w:rsidRPr="00C23847" w:rsidRDefault="006D4DDB" w:rsidP="00260F29">
            <w:pPr>
              <w:tabs>
                <w:tab w:val="decimal" w:pos="892"/>
              </w:tabs>
              <w:jc w:val="left"/>
              <w:rPr>
                <w:sz w:val="20"/>
                <w:szCs w:val="20"/>
              </w:rPr>
            </w:pPr>
            <w:r w:rsidRPr="00C23847">
              <w:rPr>
                <w:sz w:val="20"/>
                <w:szCs w:val="20"/>
              </w:rPr>
              <w:t>1</w:t>
            </w:r>
            <w:r w:rsidR="00260F29">
              <w:rPr>
                <w:sz w:val="20"/>
                <w:szCs w:val="20"/>
              </w:rPr>
              <w:t>.</w:t>
            </w:r>
            <w:r w:rsidRPr="00C23847">
              <w:rPr>
                <w:sz w:val="20"/>
                <w:szCs w:val="20"/>
              </w:rPr>
              <w:t>13</w:t>
            </w:r>
          </w:p>
        </w:tc>
        <w:tc>
          <w:tcPr>
            <w:tcW w:w="898" w:type="dxa"/>
            <w:shd w:val="clear" w:color="auto" w:fill="auto"/>
            <w:noWrap/>
            <w:hideMark/>
          </w:tcPr>
          <w:p w14:paraId="0677E4B7" w14:textId="77777777" w:rsidR="006D4DDB" w:rsidRPr="00C23847" w:rsidRDefault="006D4DDB" w:rsidP="00260F29">
            <w:pPr>
              <w:jc w:val="center"/>
              <w:rPr>
                <w:sz w:val="20"/>
                <w:szCs w:val="20"/>
              </w:rPr>
            </w:pPr>
            <w:r w:rsidRPr="00C23847">
              <w:rPr>
                <w:sz w:val="20"/>
                <w:szCs w:val="20"/>
              </w:rPr>
              <w:t>1</w:t>
            </w:r>
          </w:p>
        </w:tc>
      </w:tr>
      <w:tr w:rsidR="006D4DDB" w:rsidRPr="00C23847" w14:paraId="1291ED96" w14:textId="77777777" w:rsidTr="00C23847">
        <w:tc>
          <w:tcPr>
            <w:tcW w:w="3374" w:type="dxa"/>
            <w:shd w:val="clear" w:color="auto" w:fill="auto"/>
            <w:noWrap/>
            <w:hideMark/>
          </w:tcPr>
          <w:p w14:paraId="20285770" w14:textId="47E5BE80" w:rsidR="006D4DDB" w:rsidRPr="00C23847" w:rsidRDefault="006D4DDB" w:rsidP="00C23847">
            <w:pPr>
              <w:jc w:val="left"/>
              <w:rPr>
                <w:sz w:val="20"/>
                <w:szCs w:val="20"/>
              </w:rPr>
            </w:pPr>
            <w:r w:rsidRPr="00C23847">
              <w:rPr>
                <w:sz w:val="20"/>
                <w:szCs w:val="20"/>
              </w:rPr>
              <w:t>Office of The Governor and The Deputy Governor</w:t>
            </w:r>
          </w:p>
        </w:tc>
        <w:tc>
          <w:tcPr>
            <w:tcW w:w="1440" w:type="dxa"/>
            <w:shd w:val="clear" w:color="auto" w:fill="auto"/>
            <w:noWrap/>
            <w:hideMark/>
          </w:tcPr>
          <w:p w14:paraId="46AF27CC" w14:textId="53CA1DEC" w:rsidR="006D4DDB" w:rsidRPr="00C23847" w:rsidRDefault="006D4DDB" w:rsidP="00260F29">
            <w:pPr>
              <w:tabs>
                <w:tab w:val="decimal" w:pos="744"/>
              </w:tabs>
              <w:jc w:val="left"/>
              <w:rPr>
                <w:sz w:val="20"/>
                <w:szCs w:val="20"/>
              </w:rPr>
            </w:pPr>
            <w:r w:rsidRPr="00C23847">
              <w:rPr>
                <w:sz w:val="20"/>
                <w:szCs w:val="20"/>
              </w:rPr>
              <w:t>131</w:t>
            </w:r>
            <w:r w:rsidR="00260F29">
              <w:rPr>
                <w:sz w:val="20"/>
                <w:szCs w:val="20"/>
              </w:rPr>
              <w:t>.</w:t>
            </w:r>
            <w:r w:rsidRPr="00C23847">
              <w:rPr>
                <w:sz w:val="20"/>
                <w:szCs w:val="20"/>
              </w:rPr>
              <w:t>15</w:t>
            </w:r>
          </w:p>
        </w:tc>
        <w:tc>
          <w:tcPr>
            <w:tcW w:w="1620" w:type="dxa"/>
            <w:shd w:val="clear" w:color="auto" w:fill="auto"/>
            <w:noWrap/>
            <w:hideMark/>
          </w:tcPr>
          <w:p w14:paraId="48969B38" w14:textId="0BEAD662" w:rsidR="006D4DDB" w:rsidRPr="00C23847" w:rsidRDefault="006D4DDB" w:rsidP="00260F29">
            <w:pPr>
              <w:tabs>
                <w:tab w:val="decimal" w:pos="744"/>
              </w:tabs>
              <w:jc w:val="left"/>
              <w:rPr>
                <w:sz w:val="20"/>
                <w:szCs w:val="20"/>
              </w:rPr>
            </w:pPr>
            <w:r w:rsidRPr="00C23847">
              <w:rPr>
                <w:sz w:val="20"/>
                <w:szCs w:val="20"/>
              </w:rPr>
              <w:t>131</w:t>
            </w:r>
            <w:r w:rsidR="00260F29">
              <w:rPr>
                <w:sz w:val="20"/>
                <w:szCs w:val="20"/>
              </w:rPr>
              <w:t>.</w:t>
            </w:r>
            <w:r w:rsidRPr="00C23847">
              <w:rPr>
                <w:sz w:val="20"/>
                <w:szCs w:val="20"/>
              </w:rPr>
              <w:t>06</w:t>
            </w:r>
          </w:p>
        </w:tc>
        <w:tc>
          <w:tcPr>
            <w:tcW w:w="1890" w:type="dxa"/>
            <w:shd w:val="clear" w:color="auto" w:fill="auto"/>
            <w:noWrap/>
            <w:hideMark/>
          </w:tcPr>
          <w:p w14:paraId="54CD9294" w14:textId="4B2F1371" w:rsidR="006D4DDB" w:rsidRPr="00C23847" w:rsidRDefault="006D4DDB" w:rsidP="00260F29">
            <w:pPr>
              <w:tabs>
                <w:tab w:val="decimal" w:pos="922"/>
              </w:tabs>
              <w:jc w:val="left"/>
              <w:rPr>
                <w:sz w:val="20"/>
                <w:szCs w:val="20"/>
              </w:rPr>
            </w:pPr>
            <w:r w:rsidRPr="00C23847">
              <w:rPr>
                <w:sz w:val="20"/>
                <w:szCs w:val="20"/>
              </w:rPr>
              <w:t>102</w:t>
            </w:r>
            <w:r w:rsidR="00260F29">
              <w:rPr>
                <w:sz w:val="20"/>
                <w:szCs w:val="20"/>
              </w:rPr>
              <w:t>.</w:t>
            </w:r>
            <w:r w:rsidRPr="00C23847">
              <w:rPr>
                <w:sz w:val="20"/>
                <w:szCs w:val="20"/>
              </w:rPr>
              <w:t>18</w:t>
            </w:r>
          </w:p>
        </w:tc>
        <w:tc>
          <w:tcPr>
            <w:tcW w:w="1350" w:type="dxa"/>
            <w:shd w:val="clear" w:color="auto" w:fill="auto"/>
            <w:noWrap/>
            <w:hideMark/>
          </w:tcPr>
          <w:p w14:paraId="6D7D0C6F" w14:textId="6809A579" w:rsidR="006D4DDB" w:rsidRPr="00C23847" w:rsidRDefault="006D4DDB" w:rsidP="00260F29">
            <w:pPr>
              <w:tabs>
                <w:tab w:val="decimal" w:pos="575"/>
              </w:tabs>
              <w:jc w:val="left"/>
              <w:rPr>
                <w:sz w:val="20"/>
                <w:szCs w:val="20"/>
              </w:rPr>
            </w:pPr>
            <w:r w:rsidRPr="00C23847">
              <w:rPr>
                <w:sz w:val="20"/>
                <w:szCs w:val="20"/>
              </w:rPr>
              <w:t>28</w:t>
            </w:r>
            <w:r w:rsidR="00260F29">
              <w:rPr>
                <w:sz w:val="20"/>
                <w:szCs w:val="20"/>
              </w:rPr>
              <w:t>.</w:t>
            </w:r>
            <w:r w:rsidRPr="00C23847">
              <w:rPr>
                <w:sz w:val="20"/>
                <w:szCs w:val="20"/>
              </w:rPr>
              <w:t>88</w:t>
            </w:r>
          </w:p>
        </w:tc>
        <w:tc>
          <w:tcPr>
            <w:tcW w:w="1980" w:type="dxa"/>
            <w:shd w:val="clear" w:color="auto" w:fill="auto"/>
            <w:noWrap/>
            <w:hideMark/>
          </w:tcPr>
          <w:p w14:paraId="7152E1E7" w14:textId="551E017A" w:rsidR="006D4DDB" w:rsidRPr="00C23847" w:rsidRDefault="006D4DDB" w:rsidP="00260F29">
            <w:pPr>
              <w:tabs>
                <w:tab w:val="decimal" w:pos="892"/>
              </w:tabs>
              <w:jc w:val="left"/>
              <w:rPr>
                <w:sz w:val="20"/>
                <w:szCs w:val="20"/>
              </w:rPr>
            </w:pPr>
            <w:r w:rsidRPr="00C23847">
              <w:rPr>
                <w:sz w:val="20"/>
                <w:szCs w:val="20"/>
              </w:rPr>
              <w:t>28</w:t>
            </w:r>
            <w:r w:rsidR="00260F29">
              <w:rPr>
                <w:sz w:val="20"/>
                <w:szCs w:val="20"/>
              </w:rPr>
              <w:t>.</w:t>
            </w:r>
            <w:r w:rsidRPr="00C23847">
              <w:rPr>
                <w:sz w:val="20"/>
                <w:szCs w:val="20"/>
              </w:rPr>
              <w:t>88</w:t>
            </w:r>
          </w:p>
        </w:tc>
        <w:tc>
          <w:tcPr>
            <w:tcW w:w="898" w:type="dxa"/>
            <w:shd w:val="clear" w:color="auto" w:fill="auto"/>
            <w:noWrap/>
            <w:hideMark/>
          </w:tcPr>
          <w:p w14:paraId="13B14432" w14:textId="77777777" w:rsidR="006D4DDB" w:rsidRPr="00C23847" w:rsidRDefault="006D4DDB" w:rsidP="00260F29">
            <w:pPr>
              <w:jc w:val="center"/>
              <w:rPr>
                <w:sz w:val="20"/>
                <w:szCs w:val="20"/>
              </w:rPr>
            </w:pPr>
            <w:r w:rsidRPr="00C23847">
              <w:rPr>
                <w:sz w:val="20"/>
                <w:szCs w:val="20"/>
              </w:rPr>
              <w:t>28</w:t>
            </w:r>
          </w:p>
        </w:tc>
      </w:tr>
      <w:tr w:rsidR="006D4DDB" w:rsidRPr="00C23847" w14:paraId="2F5CF9DA" w14:textId="77777777" w:rsidTr="00C23847">
        <w:tc>
          <w:tcPr>
            <w:tcW w:w="3374" w:type="dxa"/>
            <w:shd w:val="clear" w:color="auto" w:fill="auto"/>
            <w:noWrap/>
            <w:hideMark/>
          </w:tcPr>
          <w:p w14:paraId="0354488C" w14:textId="7B2B7C16" w:rsidR="006D4DDB" w:rsidRPr="00C23847" w:rsidRDefault="006D4DDB" w:rsidP="00C23847">
            <w:pPr>
              <w:jc w:val="left"/>
              <w:rPr>
                <w:sz w:val="20"/>
                <w:szCs w:val="20"/>
              </w:rPr>
            </w:pPr>
            <w:r w:rsidRPr="00C23847">
              <w:rPr>
                <w:sz w:val="20"/>
                <w:szCs w:val="20"/>
              </w:rPr>
              <w:t>County Executive Committee </w:t>
            </w:r>
          </w:p>
        </w:tc>
        <w:tc>
          <w:tcPr>
            <w:tcW w:w="1440" w:type="dxa"/>
            <w:shd w:val="clear" w:color="auto" w:fill="auto"/>
            <w:noWrap/>
            <w:hideMark/>
          </w:tcPr>
          <w:p w14:paraId="536FC70D" w14:textId="4E443EDE" w:rsidR="006D4DDB" w:rsidRPr="00C23847" w:rsidRDefault="006D4DDB" w:rsidP="00260F29">
            <w:pPr>
              <w:tabs>
                <w:tab w:val="decimal" w:pos="744"/>
              </w:tabs>
              <w:jc w:val="left"/>
              <w:rPr>
                <w:sz w:val="20"/>
                <w:szCs w:val="20"/>
              </w:rPr>
            </w:pPr>
            <w:r w:rsidRPr="00C23847">
              <w:rPr>
                <w:sz w:val="20"/>
                <w:szCs w:val="20"/>
              </w:rPr>
              <w:t>8</w:t>
            </w:r>
            <w:r w:rsidR="00260F29">
              <w:rPr>
                <w:sz w:val="20"/>
                <w:szCs w:val="20"/>
              </w:rPr>
              <w:t>.</w:t>
            </w:r>
            <w:r w:rsidRPr="00C23847">
              <w:rPr>
                <w:sz w:val="20"/>
                <w:szCs w:val="20"/>
              </w:rPr>
              <w:t>54</w:t>
            </w:r>
          </w:p>
        </w:tc>
        <w:tc>
          <w:tcPr>
            <w:tcW w:w="1620" w:type="dxa"/>
            <w:shd w:val="clear" w:color="auto" w:fill="auto"/>
            <w:noWrap/>
            <w:hideMark/>
          </w:tcPr>
          <w:p w14:paraId="02340D4E" w14:textId="2B2CB3A0" w:rsidR="006D4DDB" w:rsidRPr="00C23847" w:rsidRDefault="006D4DDB" w:rsidP="00260F29">
            <w:pPr>
              <w:tabs>
                <w:tab w:val="decimal" w:pos="744"/>
              </w:tabs>
              <w:jc w:val="left"/>
              <w:rPr>
                <w:sz w:val="20"/>
                <w:szCs w:val="20"/>
              </w:rPr>
            </w:pPr>
            <w:r w:rsidRPr="00C23847">
              <w:rPr>
                <w:sz w:val="20"/>
                <w:szCs w:val="20"/>
              </w:rPr>
              <w:t>7</w:t>
            </w:r>
            <w:r w:rsidR="00260F29">
              <w:rPr>
                <w:sz w:val="20"/>
                <w:szCs w:val="20"/>
              </w:rPr>
              <w:t>.</w:t>
            </w:r>
            <w:r w:rsidRPr="00C23847">
              <w:rPr>
                <w:sz w:val="20"/>
                <w:szCs w:val="20"/>
              </w:rPr>
              <w:t>18</w:t>
            </w:r>
          </w:p>
        </w:tc>
        <w:tc>
          <w:tcPr>
            <w:tcW w:w="1890" w:type="dxa"/>
            <w:shd w:val="clear" w:color="auto" w:fill="auto"/>
            <w:noWrap/>
            <w:hideMark/>
          </w:tcPr>
          <w:p w14:paraId="21EF09B5" w14:textId="6CF3C6F5" w:rsidR="006D4DDB" w:rsidRPr="00C23847" w:rsidRDefault="006D4DDB" w:rsidP="00260F29">
            <w:pPr>
              <w:tabs>
                <w:tab w:val="decimal" w:pos="922"/>
              </w:tabs>
              <w:jc w:val="left"/>
              <w:rPr>
                <w:sz w:val="20"/>
                <w:szCs w:val="20"/>
              </w:rPr>
            </w:pPr>
            <w:r w:rsidRPr="00C23847">
              <w:rPr>
                <w:sz w:val="20"/>
                <w:szCs w:val="20"/>
              </w:rPr>
              <w:t>6</w:t>
            </w:r>
            <w:r w:rsidR="00260F29">
              <w:rPr>
                <w:sz w:val="20"/>
                <w:szCs w:val="20"/>
              </w:rPr>
              <w:t>.</w:t>
            </w:r>
            <w:r w:rsidRPr="00C23847">
              <w:rPr>
                <w:sz w:val="20"/>
                <w:szCs w:val="20"/>
              </w:rPr>
              <w:t>65</w:t>
            </w:r>
          </w:p>
        </w:tc>
        <w:tc>
          <w:tcPr>
            <w:tcW w:w="1350" w:type="dxa"/>
            <w:shd w:val="clear" w:color="auto" w:fill="auto"/>
            <w:noWrap/>
            <w:hideMark/>
          </w:tcPr>
          <w:p w14:paraId="6A542A36" w14:textId="5F2489EE" w:rsidR="006D4DDB" w:rsidRPr="00C23847" w:rsidRDefault="006D4DDB" w:rsidP="00260F29">
            <w:pPr>
              <w:tabs>
                <w:tab w:val="decimal" w:pos="575"/>
              </w:tabs>
              <w:jc w:val="left"/>
              <w:rPr>
                <w:sz w:val="20"/>
                <w:szCs w:val="20"/>
              </w:rPr>
            </w:pPr>
            <w:r w:rsidRPr="00C23847">
              <w:rPr>
                <w:sz w:val="20"/>
                <w:szCs w:val="20"/>
              </w:rPr>
              <w:t>0</w:t>
            </w:r>
            <w:r w:rsidR="00260F29">
              <w:rPr>
                <w:sz w:val="20"/>
                <w:szCs w:val="20"/>
              </w:rPr>
              <w:t>.</w:t>
            </w:r>
            <w:r w:rsidRPr="00C23847">
              <w:rPr>
                <w:sz w:val="20"/>
                <w:szCs w:val="20"/>
              </w:rPr>
              <w:t>53</w:t>
            </w:r>
          </w:p>
        </w:tc>
        <w:tc>
          <w:tcPr>
            <w:tcW w:w="1980" w:type="dxa"/>
            <w:shd w:val="clear" w:color="auto" w:fill="auto"/>
            <w:noWrap/>
            <w:hideMark/>
          </w:tcPr>
          <w:p w14:paraId="39E45912" w14:textId="17CC6314" w:rsidR="006D4DDB" w:rsidRPr="00C23847" w:rsidRDefault="006D4DDB" w:rsidP="00260F29">
            <w:pPr>
              <w:tabs>
                <w:tab w:val="decimal" w:pos="892"/>
              </w:tabs>
              <w:jc w:val="left"/>
              <w:rPr>
                <w:sz w:val="20"/>
                <w:szCs w:val="20"/>
              </w:rPr>
            </w:pPr>
            <w:r w:rsidRPr="00C23847">
              <w:rPr>
                <w:sz w:val="20"/>
                <w:szCs w:val="20"/>
              </w:rPr>
              <w:t>0</w:t>
            </w:r>
            <w:r w:rsidR="00260F29">
              <w:rPr>
                <w:sz w:val="20"/>
                <w:szCs w:val="20"/>
              </w:rPr>
              <w:t>.</w:t>
            </w:r>
            <w:r w:rsidRPr="00C23847">
              <w:rPr>
                <w:sz w:val="20"/>
                <w:szCs w:val="20"/>
              </w:rPr>
              <w:t>53</w:t>
            </w:r>
          </w:p>
        </w:tc>
        <w:tc>
          <w:tcPr>
            <w:tcW w:w="898" w:type="dxa"/>
            <w:shd w:val="clear" w:color="auto" w:fill="auto"/>
            <w:noWrap/>
            <w:hideMark/>
          </w:tcPr>
          <w:p w14:paraId="0839E042" w14:textId="77777777" w:rsidR="006D4DDB" w:rsidRPr="00C23847" w:rsidRDefault="006D4DDB" w:rsidP="00260F29">
            <w:pPr>
              <w:jc w:val="center"/>
              <w:rPr>
                <w:sz w:val="20"/>
                <w:szCs w:val="20"/>
              </w:rPr>
            </w:pPr>
            <w:r w:rsidRPr="00C23847">
              <w:rPr>
                <w:sz w:val="20"/>
                <w:szCs w:val="20"/>
              </w:rPr>
              <w:t>8</w:t>
            </w:r>
          </w:p>
        </w:tc>
      </w:tr>
      <w:tr w:rsidR="006D4DDB" w:rsidRPr="00C23847" w14:paraId="473CFDE8" w14:textId="77777777" w:rsidTr="00C23847">
        <w:tc>
          <w:tcPr>
            <w:tcW w:w="3374" w:type="dxa"/>
            <w:shd w:val="clear" w:color="auto" w:fill="auto"/>
            <w:noWrap/>
            <w:hideMark/>
          </w:tcPr>
          <w:p w14:paraId="1CE9EAAD" w14:textId="1701B429" w:rsidR="006D4DDB" w:rsidRPr="00C23847" w:rsidRDefault="006D4DDB" w:rsidP="00C23847">
            <w:pPr>
              <w:jc w:val="left"/>
              <w:rPr>
                <w:sz w:val="20"/>
                <w:szCs w:val="20"/>
              </w:rPr>
            </w:pPr>
            <w:r w:rsidRPr="00C23847">
              <w:rPr>
                <w:sz w:val="20"/>
                <w:szCs w:val="20"/>
              </w:rPr>
              <w:t>County Public Service Board</w:t>
            </w:r>
          </w:p>
        </w:tc>
        <w:tc>
          <w:tcPr>
            <w:tcW w:w="1440" w:type="dxa"/>
            <w:shd w:val="clear" w:color="auto" w:fill="auto"/>
            <w:noWrap/>
            <w:hideMark/>
          </w:tcPr>
          <w:p w14:paraId="54DCB774" w14:textId="37693DB8" w:rsidR="006D4DDB" w:rsidRPr="00C23847" w:rsidRDefault="006D4DDB" w:rsidP="00260F29">
            <w:pPr>
              <w:tabs>
                <w:tab w:val="decimal" w:pos="744"/>
              </w:tabs>
              <w:jc w:val="left"/>
              <w:rPr>
                <w:sz w:val="20"/>
                <w:szCs w:val="20"/>
              </w:rPr>
            </w:pPr>
            <w:r w:rsidRPr="00C23847">
              <w:rPr>
                <w:sz w:val="20"/>
                <w:szCs w:val="20"/>
              </w:rPr>
              <w:t>69</w:t>
            </w:r>
            <w:r w:rsidR="00260F29">
              <w:rPr>
                <w:sz w:val="20"/>
                <w:szCs w:val="20"/>
              </w:rPr>
              <w:t>.</w:t>
            </w:r>
            <w:r w:rsidRPr="00C23847">
              <w:rPr>
                <w:sz w:val="20"/>
                <w:szCs w:val="20"/>
              </w:rPr>
              <w:t>59</w:t>
            </w:r>
          </w:p>
        </w:tc>
        <w:tc>
          <w:tcPr>
            <w:tcW w:w="1620" w:type="dxa"/>
            <w:shd w:val="clear" w:color="auto" w:fill="auto"/>
            <w:noWrap/>
            <w:hideMark/>
          </w:tcPr>
          <w:p w14:paraId="3276B75B" w14:textId="5B7197DB" w:rsidR="006D4DDB" w:rsidRPr="00C23847" w:rsidRDefault="006D4DDB" w:rsidP="00260F29">
            <w:pPr>
              <w:tabs>
                <w:tab w:val="decimal" w:pos="744"/>
              </w:tabs>
              <w:jc w:val="left"/>
              <w:rPr>
                <w:sz w:val="20"/>
                <w:szCs w:val="20"/>
              </w:rPr>
            </w:pPr>
            <w:r w:rsidRPr="00C23847">
              <w:rPr>
                <w:sz w:val="20"/>
                <w:szCs w:val="20"/>
              </w:rPr>
              <w:t>68</w:t>
            </w:r>
            <w:r w:rsidR="00260F29">
              <w:rPr>
                <w:sz w:val="20"/>
                <w:szCs w:val="20"/>
              </w:rPr>
              <w:t>.</w:t>
            </w:r>
            <w:r w:rsidRPr="00C23847">
              <w:rPr>
                <w:sz w:val="20"/>
                <w:szCs w:val="20"/>
              </w:rPr>
              <w:t>58</w:t>
            </w:r>
          </w:p>
        </w:tc>
        <w:tc>
          <w:tcPr>
            <w:tcW w:w="1890" w:type="dxa"/>
            <w:shd w:val="clear" w:color="auto" w:fill="auto"/>
            <w:noWrap/>
            <w:hideMark/>
          </w:tcPr>
          <w:p w14:paraId="0F64EC36" w14:textId="2FDB887F" w:rsidR="006D4DDB" w:rsidRPr="00C23847" w:rsidRDefault="006D4DDB" w:rsidP="00260F29">
            <w:pPr>
              <w:tabs>
                <w:tab w:val="decimal" w:pos="922"/>
              </w:tabs>
              <w:jc w:val="left"/>
              <w:rPr>
                <w:sz w:val="20"/>
                <w:szCs w:val="20"/>
              </w:rPr>
            </w:pPr>
            <w:r w:rsidRPr="00C23847">
              <w:rPr>
                <w:sz w:val="20"/>
                <w:szCs w:val="20"/>
              </w:rPr>
              <w:t>54</w:t>
            </w:r>
            <w:r w:rsidR="00260F29">
              <w:rPr>
                <w:sz w:val="20"/>
                <w:szCs w:val="20"/>
              </w:rPr>
              <w:t>.</w:t>
            </w:r>
            <w:r w:rsidRPr="00C23847">
              <w:rPr>
                <w:sz w:val="20"/>
                <w:szCs w:val="20"/>
              </w:rPr>
              <w:t>22</w:t>
            </w:r>
          </w:p>
        </w:tc>
        <w:tc>
          <w:tcPr>
            <w:tcW w:w="1350" w:type="dxa"/>
            <w:shd w:val="clear" w:color="auto" w:fill="auto"/>
            <w:noWrap/>
            <w:hideMark/>
          </w:tcPr>
          <w:p w14:paraId="2DC69867" w14:textId="1410451C" w:rsidR="006D4DDB" w:rsidRPr="00C23847" w:rsidRDefault="006D4DDB" w:rsidP="00260F29">
            <w:pPr>
              <w:tabs>
                <w:tab w:val="decimal" w:pos="575"/>
              </w:tabs>
              <w:jc w:val="left"/>
              <w:rPr>
                <w:sz w:val="20"/>
                <w:szCs w:val="20"/>
              </w:rPr>
            </w:pPr>
            <w:r w:rsidRPr="00C23847">
              <w:rPr>
                <w:sz w:val="20"/>
                <w:szCs w:val="20"/>
              </w:rPr>
              <w:t>14</w:t>
            </w:r>
            <w:r w:rsidR="00260F29">
              <w:rPr>
                <w:sz w:val="20"/>
                <w:szCs w:val="20"/>
              </w:rPr>
              <w:t>.</w:t>
            </w:r>
            <w:r w:rsidRPr="00C23847">
              <w:rPr>
                <w:sz w:val="20"/>
                <w:szCs w:val="20"/>
              </w:rPr>
              <w:t>36</w:t>
            </w:r>
          </w:p>
        </w:tc>
        <w:tc>
          <w:tcPr>
            <w:tcW w:w="1980" w:type="dxa"/>
            <w:shd w:val="clear" w:color="auto" w:fill="auto"/>
            <w:noWrap/>
            <w:hideMark/>
          </w:tcPr>
          <w:p w14:paraId="36D17784" w14:textId="4F37F5E6" w:rsidR="006D4DDB" w:rsidRPr="00C23847" w:rsidRDefault="006D4DDB" w:rsidP="00260F29">
            <w:pPr>
              <w:tabs>
                <w:tab w:val="decimal" w:pos="892"/>
              </w:tabs>
              <w:jc w:val="left"/>
              <w:rPr>
                <w:sz w:val="20"/>
                <w:szCs w:val="20"/>
              </w:rPr>
            </w:pPr>
            <w:r w:rsidRPr="00C23847">
              <w:rPr>
                <w:sz w:val="20"/>
                <w:szCs w:val="20"/>
              </w:rPr>
              <w:t>14</w:t>
            </w:r>
            <w:r w:rsidR="00260F29">
              <w:rPr>
                <w:sz w:val="20"/>
                <w:szCs w:val="20"/>
              </w:rPr>
              <w:t>.</w:t>
            </w:r>
            <w:r w:rsidRPr="00C23847">
              <w:rPr>
                <w:sz w:val="20"/>
                <w:szCs w:val="20"/>
              </w:rPr>
              <w:t>36</w:t>
            </w:r>
          </w:p>
        </w:tc>
        <w:tc>
          <w:tcPr>
            <w:tcW w:w="898" w:type="dxa"/>
            <w:shd w:val="clear" w:color="auto" w:fill="auto"/>
            <w:noWrap/>
            <w:hideMark/>
          </w:tcPr>
          <w:p w14:paraId="1CE2E377" w14:textId="77777777" w:rsidR="006D4DDB" w:rsidRPr="00C23847" w:rsidRDefault="006D4DDB" w:rsidP="00260F29">
            <w:pPr>
              <w:jc w:val="center"/>
              <w:rPr>
                <w:sz w:val="20"/>
                <w:szCs w:val="20"/>
              </w:rPr>
            </w:pPr>
            <w:r w:rsidRPr="00C23847">
              <w:rPr>
                <w:sz w:val="20"/>
                <w:szCs w:val="20"/>
              </w:rPr>
              <w:t>26</w:t>
            </w:r>
          </w:p>
        </w:tc>
      </w:tr>
      <w:tr w:rsidR="006D4DDB" w:rsidRPr="00C23847" w14:paraId="17EC95E4" w14:textId="77777777" w:rsidTr="00C23847">
        <w:tc>
          <w:tcPr>
            <w:tcW w:w="3374" w:type="dxa"/>
            <w:shd w:val="clear" w:color="auto" w:fill="auto"/>
            <w:noWrap/>
            <w:hideMark/>
          </w:tcPr>
          <w:p w14:paraId="09E59788" w14:textId="30E15145" w:rsidR="006D4DDB" w:rsidRPr="00C23847" w:rsidRDefault="006D4DDB" w:rsidP="00C23847">
            <w:pPr>
              <w:jc w:val="left"/>
              <w:rPr>
                <w:sz w:val="20"/>
                <w:szCs w:val="20"/>
              </w:rPr>
            </w:pPr>
            <w:r w:rsidRPr="00C23847">
              <w:rPr>
                <w:sz w:val="20"/>
                <w:szCs w:val="20"/>
              </w:rPr>
              <w:t>Agriculture, Livestock and Tourism</w:t>
            </w:r>
          </w:p>
        </w:tc>
        <w:tc>
          <w:tcPr>
            <w:tcW w:w="1440" w:type="dxa"/>
            <w:shd w:val="clear" w:color="auto" w:fill="auto"/>
            <w:noWrap/>
            <w:hideMark/>
          </w:tcPr>
          <w:p w14:paraId="47F3059C" w14:textId="4EF7A04D" w:rsidR="006D4DDB" w:rsidRPr="00C23847" w:rsidRDefault="006D4DDB" w:rsidP="00260F29">
            <w:pPr>
              <w:tabs>
                <w:tab w:val="decimal" w:pos="744"/>
              </w:tabs>
              <w:jc w:val="left"/>
              <w:rPr>
                <w:sz w:val="20"/>
                <w:szCs w:val="20"/>
              </w:rPr>
            </w:pPr>
            <w:r w:rsidRPr="00C23847">
              <w:rPr>
                <w:sz w:val="20"/>
                <w:szCs w:val="20"/>
              </w:rPr>
              <w:t>163</w:t>
            </w:r>
            <w:r w:rsidR="00260F29">
              <w:rPr>
                <w:sz w:val="20"/>
                <w:szCs w:val="20"/>
              </w:rPr>
              <w:t>.</w:t>
            </w:r>
            <w:r w:rsidRPr="00C23847">
              <w:rPr>
                <w:sz w:val="20"/>
                <w:szCs w:val="20"/>
              </w:rPr>
              <w:t>42</w:t>
            </w:r>
          </w:p>
        </w:tc>
        <w:tc>
          <w:tcPr>
            <w:tcW w:w="1620" w:type="dxa"/>
            <w:shd w:val="clear" w:color="auto" w:fill="auto"/>
            <w:noWrap/>
            <w:hideMark/>
          </w:tcPr>
          <w:p w14:paraId="512B1D45" w14:textId="0CCD9AD1" w:rsidR="006D4DDB" w:rsidRPr="00C23847" w:rsidRDefault="006D4DDB" w:rsidP="00260F29">
            <w:pPr>
              <w:tabs>
                <w:tab w:val="decimal" w:pos="744"/>
              </w:tabs>
              <w:jc w:val="left"/>
              <w:rPr>
                <w:sz w:val="20"/>
                <w:szCs w:val="20"/>
              </w:rPr>
            </w:pPr>
            <w:r w:rsidRPr="00C23847">
              <w:rPr>
                <w:sz w:val="20"/>
                <w:szCs w:val="20"/>
              </w:rPr>
              <w:t>179</w:t>
            </w:r>
            <w:r w:rsidR="00260F29">
              <w:rPr>
                <w:sz w:val="20"/>
                <w:szCs w:val="20"/>
              </w:rPr>
              <w:t>.</w:t>
            </w:r>
            <w:r w:rsidRPr="00C23847">
              <w:rPr>
                <w:sz w:val="20"/>
                <w:szCs w:val="20"/>
              </w:rPr>
              <w:t>78</w:t>
            </w:r>
          </w:p>
        </w:tc>
        <w:tc>
          <w:tcPr>
            <w:tcW w:w="1890" w:type="dxa"/>
            <w:shd w:val="clear" w:color="auto" w:fill="auto"/>
            <w:noWrap/>
            <w:hideMark/>
          </w:tcPr>
          <w:p w14:paraId="7E0EB39C" w14:textId="46B90C88" w:rsidR="006D4DDB" w:rsidRPr="00C23847" w:rsidRDefault="006D4DDB" w:rsidP="00260F29">
            <w:pPr>
              <w:tabs>
                <w:tab w:val="decimal" w:pos="922"/>
              </w:tabs>
              <w:jc w:val="left"/>
              <w:rPr>
                <w:sz w:val="20"/>
                <w:szCs w:val="20"/>
              </w:rPr>
            </w:pPr>
            <w:r w:rsidRPr="00C23847">
              <w:rPr>
                <w:sz w:val="20"/>
                <w:szCs w:val="20"/>
              </w:rPr>
              <w:t>127</w:t>
            </w:r>
            <w:r w:rsidR="00260F29">
              <w:rPr>
                <w:sz w:val="20"/>
                <w:szCs w:val="20"/>
              </w:rPr>
              <w:t>.</w:t>
            </w:r>
            <w:r w:rsidRPr="00C23847">
              <w:rPr>
                <w:sz w:val="20"/>
                <w:szCs w:val="20"/>
              </w:rPr>
              <w:t>32</w:t>
            </w:r>
          </w:p>
        </w:tc>
        <w:tc>
          <w:tcPr>
            <w:tcW w:w="1350" w:type="dxa"/>
            <w:shd w:val="clear" w:color="auto" w:fill="auto"/>
            <w:noWrap/>
            <w:hideMark/>
          </w:tcPr>
          <w:p w14:paraId="150D55D2" w14:textId="4422979F" w:rsidR="006D4DDB" w:rsidRPr="00C23847" w:rsidRDefault="006D4DDB" w:rsidP="00260F29">
            <w:pPr>
              <w:tabs>
                <w:tab w:val="decimal" w:pos="575"/>
              </w:tabs>
              <w:jc w:val="left"/>
              <w:rPr>
                <w:sz w:val="20"/>
                <w:szCs w:val="20"/>
              </w:rPr>
            </w:pPr>
            <w:r w:rsidRPr="00C23847">
              <w:rPr>
                <w:sz w:val="20"/>
                <w:szCs w:val="20"/>
              </w:rPr>
              <w:t>52</w:t>
            </w:r>
            <w:r w:rsidR="00260F29">
              <w:rPr>
                <w:sz w:val="20"/>
                <w:szCs w:val="20"/>
              </w:rPr>
              <w:t>.</w:t>
            </w:r>
            <w:r w:rsidRPr="00C23847">
              <w:rPr>
                <w:sz w:val="20"/>
                <w:szCs w:val="20"/>
              </w:rPr>
              <w:t>46</w:t>
            </w:r>
          </w:p>
        </w:tc>
        <w:tc>
          <w:tcPr>
            <w:tcW w:w="1980" w:type="dxa"/>
            <w:shd w:val="clear" w:color="auto" w:fill="auto"/>
            <w:noWrap/>
            <w:hideMark/>
          </w:tcPr>
          <w:p w14:paraId="3BA20D5D" w14:textId="7E1F7CE9" w:rsidR="006D4DDB" w:rsidRPr="00C23847" w:rsidRDefault="006D4DDB" w:rsidP="00260F29">
            <w:pPr>
              <w:tabs>
                <w:tab w:val="decimal" w:pos="892"/>
              </w:tabs>
              <w:jc w:val="left"/>
              <w:rPr>
                <w:sz w:val="20"/>
                <w:szCs w:val="20"/>
              </w:rPr>
            </w:pPr>
            <w:r w:rsidRPr="00C23847">
              <w:rPr>
                <w:sz w:val="20"/>
                <w:szCs w:val="20"/>
              </w:rPr>
              <w:t>52</w:t>
            </w:r>
            <w:r w:rsidR="00260F29">
              <w:rPr>
                <w:sz w:val="20"/>
                <w:szCs w:val="20"/>
              </w:rPr>
              <w:t>.</w:t>
            </w:r>
            <w:r w:rsidRPr="00C23847">
              <w:rPr>
                <w:sz w:val="20"/>
                <w:szCs w:val="20"/>
              </w:rPr>
              <w:t>46</w:t>
            </w:r>
          </w:p>
        </w:tc>
        <w:tc>
          <w:tcPr>
            <w:tcW w:w="898" w:type="dxa"/>
            <w:shd w:val="clear" w:color="auto" w:fill="auto"/>
            <w:noWrap/>
            <w:hideMark/>
          </w:tcPr>
          <w:p w14:paraId="52E78BD7" w14:textId="77777777" w:rsidR="006D4DDB" w:rsidRPr="00C23847" w:rsidRDefault="006D4DDB" w:rsidP="00260F29">
            <w:pPr>
              <w:jc w:val="center"/>
              <w:rPr>
                <w:sz w:val="20"/>
                <w:szCs w:val="20"/>
              </w:rPr>
            </w:pPr>
            <w:r w:rsidRPr="00C23847">
              <w:rPr>
                <w:sz w:val="20"/>
                <w:szCs w:val="20"/>
              </w:rPr>
              <w:t>41</w:t>
            </w:r>
          </w:p>
        </w:tc>
      </w:tr>
      <w:tr w:rsidR="006D4DDB" w:rsidRPr="00C23847" w14:paraId="0E335B48" w14:textId="77777777" w:rsidTr="00C23847">
        <w:tc>
          <w:tcPr>
            <w:tcW w:w="3374" w:type="dxa"/>
            <w:shd w:val="clear" w:color="auto" w:fill="auto"/>
            <w:noWrap/>
            <w:hideMark/>
          </w:tcPr>
          <w:p w14:paraId="6A3F1D0C" w14:textId="1907E1CB" w:rsidR="006D4DDB" w:rsidRPr="00C23847" w:rsidRDefault="006D4DDB" w:rsidP="00C23847">
            <w:pPr>
              <w:jc w:val="left"/>
              <w:rPr>
                <w:sz w:val="20"/>
                <w:szCs w:val="20"/>
              </w:rPr>
            </w:pPr>
            <w:r w:rsidRPr="00C23847">
              <w:rPr>
                <w:sz w:val="20"/>
                <w:szCs w:val="20"/>
              </w:rPr>
              <w:t>Public Works, Roads, Transport, And Housing </w:t>
            </w:r>
          </w:p>
        </w:tc>
        <w:tc>
          <w:tcPr>
            <w:tcW w:w="1440" w:type="dxa"/>
            <w:shd w:val="clear" w:color="auto" w:fill="auto"/>
            <w:noWrap/>
            <w:hideMark/>
          </w:tcPr>
          <w:p w14:paraId="124A51AB" w14:textId="5E6DF8FE" w:rsidR="006D4DDB" w:rsidRPr="00C23847" w:rsidRDefault="006D4DDB" w:rsidP="00260F29">
            <w:pPr>
              <w:tabs>
                <w:tab w:val="decimal" w:pos="744"/>
              </w:tabs>
              <w:jc w:val="left"/>
              <w:rPr>
                <w:sz w:val="20"/>
                <w:szCs w:val="20"/>
              </w:rPr>
            </w:pPr>
            <w:r w:rsidRPr="00C23847">
              <w:rPr>
                <w:sz w:val="20"/>
                <w:szCs w:val="20"/>
              </w:rPr>
              <w:t>562</w:t>
            </w:r>
            <w:r w:rsidR="00260F29">
              <w:rPr>
                <w:sz w:val="20"/>
                <w:szCs w:val="20"/>
              </w:rPr>
              <w:t>.</w:t>
            </w:r>
            <w:r w:rsidRPr="00C23847">
              <w:rPr>
                <w:sz w:val="20"/>
                <w:szCs w:val="20"/>
              </w:rPr>
              <w:t>87</w:t>
            </w:r>
          </w:p>
        </w:tc>
        <w:tc>
          <w:tcPr>
            <w:tcW w:w="1620" w:type="dxa"/>
            <w:shd w:val="clear" w:color="auto" w:fill="auto"/>
            <w:noWrap/>
            <w:hideMark/>
          </w:tcPr>
          <w:p w14:paraId="482BCDB6" w14:textId="3BF616B8" w:rsidR="006D4DDB" w:rsidRPr="00C23847" w:rsidRDefault="006D4DDB" w:rsidP="00260F29">
            <w:pPr>
              <w:tabs>
                <w:tab w:val="decimal" w:pos="744"/>
              </w:tabs>
              <w:jc w:val="left"/>
              <w:rPr>
                <w:sz w:val="20"/>
                <w:szCs w:val="20"/>
              </w:rPr>
            </w:pPr>
            <w:r w:rsidRPr="00C23847">
              <w:rPr>
                <w:sz w:val="20"/>
                <w:szCs w:val="20"/>
              </w:rPr>
              <w:t>398</w:t>
            </w:r>
            <w:r w:rsidR="00260F29">
              <w:rPr>
                <w:sz w:val="20"/>
                <w:szCs w:val="20"/>
              </w:rPr>
              <w:t>.</w:t>
            </w:r>
            <w:r w:rsidRPr="00C23847">
              <w:rPr>
                <w:sz w:val="20"/>
                <w:szCs w:val="20"/>
              </w:rPr>
              <w:t>43</w:t>
            </w:r>
          </w:p>
        </w:tc>
        <w:tc>
          <w:tcPr>
            <w:tcW w:w="1890" w:type="dxa"/>
            <w:shd w:val="clear" w:color="auto" w:fill="auto"/>
            <w:noWrap/>
            <w:hideMark/>
          </w:tcPr>
          <w:p w14:paraId="537F889F" w14:textId="6AD260A4" w:rsidR="006D4DDB" w:rsidRPr="00C23847" w:rsidRDefault="006D4DDB" w:rsidP="00260F29">
            <w:pPr>
              <w:tabs>
                <w:tab w:val="decimal" w:pos="922"/>
              </w:tabs>
              <w:jc w:val="left"/>
              <w:rPr>
                <w:sz w:val="20"/>
                <w:szCs w:val="20"/>
              </w:rPr>
            </w:pPr>
            <w:r w:rsidRPr="00C23847">
              <w:rPr>
                <w:sz w:val="20"/>
                <w:szCs w:val="20"/>
              </w:rPr>
              <w:t>438</w:t>
            </w:r>
            <w:r w:rsidR="00260F29">
              <w:rPr>
                <w:sz w:val="20"/>
                <w:szCs w:val="20"/>
              </w:rPr>
              <w:t>.</w:t>
            </w:r>
            <w:r w:rsidRPr="00C23847">
              <w:rPr>
                <w:sz w:val="20"/>
                <w:szCs w:val="20"/>
              </w:rPr>
              <w:t>54</w:t>
            </w:r>
          </w:p>
        </w:tc>
        <w:tc>
          <w:tcPr>
            <w:tcW w:w="1350" w:type="dxa"/>
            <w:shd w:val="clear" w:color="auto" w:fill="auto"/>
            <w:noWrap/>
            <w:hideMark/>
          </w:tcPr>
          <w:p w14:paraId="5EA91CDE" w14:textId="23D25E94" w:rsidR="006D4DDB" w:rsidRPr="00C23847" w:rsidRDefault="006D4DDB" w:rsidP="00260F29">
            <w:pPr>
              <w:tabs>
                <w:tab w:val="decimal" w:pos="575"/>
              </w:tabs>
              <w:jc w:val="left"/>
              <w:rPr>
                <w:sz w:val="20"/>
                <w:szCs w:val="20"/>
              </w:rPr>
            </w:pPr>
            <w:r w:rsidRPr="00C23847">
              <w:rPr>
                <w:sz w:val="20"/>
                <w:szCs w:val="20"/>
              </w:rPr>
              <w:t>(40</w:t>
            </w:r>
            <w:r w:rsidR="00260F29">
              <w:rPr>
                <w:sz w:val="20"/>
                <w:szCs w:val="20"/>
              </w:rPr>
              <w:t>.</w:t>
            </w:r>
            <w:r w:rsidRPr="00C23847">
              <w:rPr>
                <w:sz w:val="20"/>
                <w:szCs w:val="20"/>
              </w:rPr>
              <w:t>11)</w:t>
            </w:r>
          </w:p>
        </w:tc>
        <w:tc>
          <w:tcPr>
            <w:tcW w:w="1980" w:type="dxa"/>
            <w:shd w:val="clear" w:color="auto" w:fill="auto"/>
            <w:noWrap/>
            <w:hideMark/>
          </w:tcPr>
          <w:p w14:paraId="18C55A13" w14:textId="588315ED" w:rsidR="006D4DDB" w:rsidRPr="00C23847" w:rsidRDefault="006D4DDB" w:rsidP="00260F29">
            <w:pPr>
              <w:tabs>
                <w:tab w:val="decimal" w:pos="892"/>
              </w:tabs>
              <w:jc w:val="left"/>
              <w:rPr>
                <w:sz w:val="20"/>
                <w:szCs w:val="20"/>
              </w:rPr>
            </w:pPr>
            <w:r w:rsidRPr="00C23847">
              <w:rPr>
                <w:sz w:val="20"/>
                <w:szCs w:val="20"/>
              </w:rPr>
              <w:t>40</w:t>
            </w:r>
            <w:r w:rsidR="00260F29">
              <w:rPr>
                <w:sz w:val="20"/>
                <w:szCs w:val="20"/>
              </w:rPr>
              <w:t>.</w:t>
            </w:r>
            <w:r w:rsidRPr="00C23847">
              <w:rPr>
                <w:sz w:val="20"/>
                <w:szCs w:val="20"/>
              </w:rPr>
              <w:t>11</w:t>
            </w:r>
          </w:p>
        </w:tc>
        <w:tc>
          <w:tcPr>
            <w:tcW w:w="898" w:type="dxa"/>
            <w:shd w:val="clear" w:color="auto" w:fill="auto"/>
            <w:noWrap/>
            <w:hideMark/>
          </w:tcPr>
          <w:p w14:paraId="661D542E" w14:textId="77777777" w:rsidR="006D4DDB" w:rsidRPr="00C23847" w:rsidRDefault="006D4DDB" w:rsidP="00260F29">
            <w:pPr>
              <w:jc w:val="center"/>
              <w:rPr>
                <w:sz w:val="20"/>
                <w:szCs w:val="20"/>
              </w:rPr>
            </w:pPr>
            <w:r w:rsidRPr="00C23847">
              <w:rPr>
                <w:sz w:val="20"/>
                <w:szCs w:val="20"/>
              </w:rPr>
              <w:t>9</w:t>
            </w:r>
          </w:p>
        </w:tc>
      </w:tr>
      <w:tr w:rsidR="006D4DDB" w:rsidRPr="00C23847" w14:paraId="3A33D062" w14:textId="77777777" w:rsidTr="00C23847">
        <w:tc>
          <w:tcPr>
            <w:tcW w:w="3374" w:type="dxa"/>
            <w:shd w:val="clear" w:color="auto" w:fill="auto"/>
            <w:noWrap/>
            <w:hideMark/>
          </w:tcPr>
          <w:p w14:paraId="63418237" w14:textId="37ED0DD9" w:rsidR="006D4DDB" w:rsidRPr="00C23847" w:rsidRDefault="006D4DDB" w:rsidP="00C23847">
            <w:pPr>
              <w:jc w:val="left"/>
              <w:rPr>
                <w:sz w:val="20"/>
                <w:szCs w:val="20"/>
              </w:rPr>
            </w:pPr>
            <w:r w:rsidRPr="00C23847">
              <w:rPr>
                <w:sz w:val="20"/>
                <w:szCs w:val="20"/>
              </w:rPr>
              <w:t xml:space="preserve">Industrialisation and Enterprise Development </w:t>
            </w:r>
          </w:p>
        </w:tc>
        <w:tc>
          <w:tcPr>
            <w:tcW w:w="1440" w:type="dxa"/>
            <w:shd w:val="clear" w:color="auto" w:fill="auto"/>
            <w:noWrap/>
            <w:hideMark/>
          </w:tcPr>
          <w:p w14:paraId="632D667F" w14:textId="1C391520" w:rsidR="006D4DDB" w:rsidRPr="00C23847" w:rsidRDefault="006D4DDB" w:rsidP="00260F29">
            <w:pPr>
              <w:tabs>
                <w:tab w:val="decimal" w:pos="744"/>
              </w:tabs>
              <w:jc w:val="left"/>
              <w:rPr>
                <w:sz w:val="20"/>
                <w:szCs w:val="20"/>
              </w:rPr>
            </w:pPr>
            <w:r w:rsidRPr="00C23847">
              <w:rPr>
                <w:sz w:val="20"/>
                <w:szCs w:val="20"/>
              </w:rPr>
              <w:t>156</w:t>
            </w:r>
            <w:r w:rsidR="00260F29">
              <w:rPr>
                <w:sz w:val="20"/>
                <w:szCs w:val="20"/>
              </w:rPr>
              <w:t>.</w:t>
            </w:r>
            <w:r w:rsidRPr="00C23847">
              <w:rPr>
                <w:sz w:val="20"/>
                <w:szCs w:val="20"/>
              </w:rPr>
              <w:t>31</w:t>
            </w:r>
          </w:p>
        </w:tc>
        <w:tc>
          <w:tcPr>
            <w:tcW w:w="1620" w:type="dxa"/>
            <w:shd w:val="clear" w:color="auto" w:fill="auto"/>
            <w:noWrap/>
            <w:hideMark/>
          </w:tcPr>
          <w:p w14:paraId="5FC21344" w14:textId="54EC378D" w:rsidR="006D4DDB" w:rsidRPr="00C23847" w:rsidRDefault="006D4DDB" w:rsidP="00260F29">
            <w:pPr>
              <w:tabs>
                <w:tab w:val="decimal" w:pos="744"/>
              </w:tabs>
              <w:jc w:val="left"/>
              <w:rPr>
                <w:sz w:val="20"/>
                <w:szCs w:val="20"/>
              </w:rPr>
            </w:pPr>
            <w:r w:rsidRPr="00C23847">
              <w:rPr>
                <w:sz w:val="20"/>
                <w:szCs w:val="20"/>
              </w:rPr>
              <w:t>89</w:t>
            </w:r>
            <w:r w:rsidR="00260F29">
              <w:rPr>
                <w:sz w:val="20"/>
                <w:szCs w:val="20"/>
              </w:rPr>
              <w:t>.</w:t>
            </w:r>
            <w:r w:rsidRPr="00C23847">
              <w:rPr>
                <w:sz w:val="20"/>
                <w:szCs w:val="20"/>
              </w:rPr>
              <w:t>92</w:t>
            </w:r>
          </w:p>
        </w:tc>
        <w:tc>
          <w:tcPr>
            <w:tcW w:w="1890" w:type="dxa"/>
            <w:shd w:val="clear" w:color="auto" w:fill="auto"/>
            <w:noWrap/>
            <w:hideMark/>
          </w:tcPr>
          <w:p w14:paraId="3369FE95" w14:textId="051C0EA4" w:rsidR="006D4DDB" w:rsidRPr="00C23847" w:rsidRDefault="006D4DDB" w:rsidP="00260F29">
            <w:pPr>
              <w:tabs>
                <w:tab w:val="decimal" w:pos="922"/>
              </w:tabs>
              <w:jc w:val="left"/>
              <w:rPr>
                <w:sz w:val="20"/>
                <w:szCs w:val="20"/>
              </w:rPr>
            </w:pPr>
            <w:r w:rsidRPr="00C23847">
              <w:rPr>
                <w:sz w:val="20"/>
                <w:szCs w:val="20"/>
              </w:rPr>
              <w:t>121</w:t>
            </w:r>
            <w:r w:rsidR="00260F29">
              <w:rPr>
                <w:sz w:val="20"/>
                <w:szCs w:val="20"/>
              </w:rPr>
              <w:t>.</w:t>
            </w:r>
            <w:r w:rsidRPr="00C23847">
              <w:rPr>
                <w:sz w:val="20"/>
                <w:szCs w:val="20"/>
              </w:rPr>
              <w:t>78</w:t>
            </w:r>
          </w:p>
        </w:tc>
        <w:tc>
          <w:tcPr>
            <w:tcW w:w="1350" w:type="dxa"/>
            <w:shd w:val="clear" w:color="auto" w:fill="auto"/>
            <w:noWrap/>
            <w:hideMark/>
          </w:tcPr>
          <w:p w14:paraId="04585CAB" w14:textId="206A6B11" w:rsidR="006D4DDB" w:rsidRPr="00C23847" w:rsidRDefault="006D4DDB" w:rsidP="00260F29">
            <w:pPr>
              <w:tabs>
                <w:tab w:val="decimal" w:pos="575"/>
              </w:tabs>
              <w:jc w:val="left"/>
              <w:rPr>
                <w:sz w:val="20"/>
                <w:szCs w:val="20"/>
              </w:rPr>
            </w:pPr>
            <w:r w:rsidRPr="00C23847">
              <w:rPr>
                <w:sz w:val="20"/>
                <w:szCs w:val="20"/>
              </w:rPr>
              <w:t>(31</w:t>
            </w:r>
            <w:r w:rsidR="00260F29">
              <w:rPr>
                <w:sz w:val="20"/>
                <w:szCs w:val="20"/>
              </w:rPr>
              <w:t>.</w:t>
            </w:r>
            <w:r w:rsidRPr="00C23847">
              <w:rPr>
                <w:sz w:val="20"/>
                <w:szCs w:val="20"/>
              </w:rPr>
              <w:t>86)</w:t>
            </w:r>
          </w:p>
        </w:tc>
        <w:tc>
          <w:tcPr>
            <w:tcW w:w="1980" w:type="dxa"/>
            <w:shd w:val="clear" w:color="auto" w:fill="auto"/>
            <w:noWrap/>
            <w:hideMark/>
          </w:tcPr>
          <w:p w14:paraId="4CE7CAFC" w14:textId="2D9A3B93" w:rsidR="006D4DDB" w:rsidRPr="00C23847" w:rsidRDefault="006D4DDB" w:rsidP="00260F29">
            <w:pPr>
              <w:tabs>
                <w:tab w:val="decimal" w:pos="892"/>
              </w:tabs>
              <w:jc w:val="left"/>
              <w:rPr>
                <w:sz w:val="20"/>
                <w:szCs w:val="20"/>
              </w:rPr>
            </w:pPr>
            <w:r w:rsidRPr="00C23847">
              <w:rPr>
                <w:sz w:val="20"/>
                <w:szCs w:val="20"/>
              </w:rPr>
              <w:t>31</w:t>
            </w:r>
            <w:r w:rsidR="00260F29">
              <w:rPr>
                <w:sz w:val="20"/>
                <w:szCs w:val="20"/>
              </w:rPr>
              <w:t>.</w:t>
            </w:r>
            <w:r w:rsidRPr="00C23847">
              <w:rPr>
                <w:sz w:val="20"/>
                <w:szCs w:val="20"/>
              </w:rPr>
              <w:t>86</w:t>
            </w:r>
          </w:p>
        </w:tc>
        <w:tc>
          <w:tcPr>
            <w:tcW w:w="898" w:type="dxa"/>
            <w:shd w:val="clear" w:color="auto" w:fill="auto"/>
            <w:noWrap/>
            <w:hideMark/>
          </w:tcPr>
          <w:p w14:paraId="73630E98" w14:textId="77777777" w:rsidR="006D4DDB" w:rsidRPr="00C23847" w:rsidRDefault="006D4DDB" w:rsidP="00260F29">
            <w:pPr>
              <w:jc w:val="center"/>
              <w:rPr>
                <w:sz w:val="20"/>
                <w:szCs w:val="20"/>
              </w:rPr>
            </w:pPr>
            <w:r w:rsidRPr="00C23847">
              <w:rPr>
                <w:sz w:val="20"/>
                <w:szCs w:val="20"/>
              </w:rPr>
              <w:t>26</w:t>
            </w:r>
          </w:p>
        </w:tc>
      </w:tr>
      <w:tr w:rsidR="006D4DDB" w:rsidRPr="00C23847" w14:paraId="15F3A173" w14:textId="77777777" w:rsidTr="00C23847">
        <w:tc>
          <w:tcPr>
            <w:tcW w:w="3374" w:type="dxa"/>
            <w:shd w:val="clear" w:color="auto" w:fill="auto"/>
            <w:noWrap/>
            <w:hideMark/>
          </w:tcPr>
          <w:p w14:paraId="70CE207B" w14:textId="10EC4C6C" w:rsidR="006D4DDB" w:rsidRPr="00C23847" w:rsidRDefault="006D4DDB" w:rsidP="00C23847">
            <w:pPr>
              <w:jc w:val="left"/>
              <w:rPr>
                <w:sz w:val="20"/>
                <w:szCs w:val="20"/>
              </w:rPr>
            </w:pPr>
            <w:r w:rsidRPr="00C23847">
              <w:rPr>
                <w:sz w:val="20"/>
                <w:szCs w:val="20"/>
              </w:rPr>
              <w:t xml:space="preserve">Lands, Physical Planning, Environment, Wildlife and Natural Resources </w:t>
            </w:r>
          </w:p>
        </w:tc>
        <w:tc>
          <w:tcPr>
            <w:tcW w:w="1440" w:type="dxa"/>
            <w:shd w:val="clear" w:color="auto" w:fill="auto"/>
            <w:noWrap/>
            <w:hideMark/>
          </w:tcPr>
          <w:p w14:paraId="2EC10991" w14:textId="543C92CA" w:rsidR="006D4DDB" w:rsidRPr="00C23847" w:rsidRDefault="006D4DDB" w:rsidP="00260F29">
            <w:pPr>
              <w:tabs>
                <w:tab w:val="decimal" w:pos="744"/>
              </w:tabs>
              <w:jc w:val="left"/>
              <w:rPr>
                <w:sz w:val="20"/>
                <w:szCs w:val="20"/>
              </w:rPr>
            </w:pPr>
            <w:r w:rsidRPr="00C23847">
              <w:rPr>
                <w:sz w:val="20"/>
                <w:szCs w:val="20"/>
              </w:rPr>
              <w:t>110</w:t>
            </w:r>
            <w:r w:rsidR="00260F29">
              <w:rPr>
                <w:sz w:val="20"/>
                <w:szCs w:val="20"/>
              </w:rPr>
              <w:t>.</w:t>
            </w:r>
            <w:r w:rsidRPr="00C23847">
              <w:rPr>
                <w:sz w:val="20"/>
                <w:szCs w:val="20"/>
              </w:rPr>
              <w:t>33</w:t>
            </w:r>
          </w:p>
        </w:tc>
        <w:tc>
          <w:tcPr>
            <w:tcW w:w="1620" w:type="dxa"/>
            <w:shd w:val="clear" w:color="auto" w:fill="auto"/>
            <w:noWrap/>
            <w:hideMark/>
          </w:tcPr>
          <w:p w14:paraId="3E98D552" w14:textId="32D83B21" w:rsidR="006D4DDB" w:rsidRPr="00C23847" w:rsidRDefault="006D4DDB" w:rsidP="00260F29">
            <w:pPr>
              <w:tabs>
                <w:tab w:val="decimal" w:pos="744"/>
              </w:tabs>
              <w:jc w:val="left"/>
              <w:rPr>
                <w:sz w:val="20"/>
                <w:szCs w:val="20"/>
              </w:rPr>
            </w:pPr>
            <w:r w:rsidRPr="00C23847">
              <w:rPr>
                <w:sz w:val="20"/>
                <w:szCs w:val="20"/>
              </w:rPr>
              <w:t>115</w:t>
            </w:r>
            <w:r w:rsidR="00260F29">
              <w:rPr>
                <w:sz w:val="20"/>
                <w:szCs w:val="20"/>
              </w:rPr>
              <w:t>.</w:t>
            </w:r>
            <w:r w:rsidRPr="00C23847">
              <w:rPr>
                <w:sz w:val="20"/>
                <w:szCs w:val="20"/>
              </w:rPr>
              <w:t>74</w:t>
            </w:r>
          </w:p>
        </w:tc>
        <w:tc>
          <w:tcPr>
            <w:tcW w:w="1890" w:type="dxa"/>
            <w:shd w:val="clear" w:color="auto" w:fill="auto"/>
            <w:noWrap/>
            <w:hideMark/>
          </w:tcPr>
          <w:p w14:paraId="083C75DF" w14:textId="2C614279" w:rsidR="006D4DDB" w:rsidRPr="00C23847" w:rsidRDefault="006D4DDB" w:rsidP="00260F29">
            <w:pPr>
              <w:tabs>
                <w:tab w:val="decimal" w:pos="922"/>
              </w:tabs>
              <w:jc w:val="left"/>
              <w:rPr>
                <w:sz w:val="20"/>
                <w:szCs w:val="20"/>
              </w:rPr>
            </w:pPr>
            <w:r w:rsidRPr="00C23847">
              <w:rPr>
                <w:sz w:val="20"/>
                <w:szCs w:val="20"/>
              </w:rPr>
              <w:t>85</w:t>
            </w:r>
            <w:r w:rsidR="00260F29">
              <w:rPr>
                <w:sz w:val="20"/>
                <w:szCs w:val="20"/>
              </w:rPr>
              <w:t>.</w:t>
            </w:r>
            <w:r w:rsidRPr="00C23847">
              <w:rPr>
                <w:sz w:val="20"/>
                <w:szCs w:val="20"/>
              </w:rPr>
              <w:t>96</w:t>
            </w:r>
          </w:p>
        </w:tc>
        <w:tc>
          <w:tcPr>
            <w:tcW w:w="1350" w:type="dxa"/>
            <w:shd w:val="clear" w:color="auto" w:fill="auto"/>
            <w:noWrap/>
            <w:hideMark/>
          </w:tcPr>
          <w:p w14:paraId="12829FA4" w14:textId="2A3FDB7F" w:rsidR="006D4DDB" w:rsidRPr="00C23847" w:rsidRDefault="006D4DDB" w:rsidP="00260F29">
            <w:pPr>
              <w:tabs>
                <w:tab w:val="decimal" w:pos="575"/>
              </w:tabs>
              <w:jc w:val="left"/>
              <w:rPr>
                <w:sz w:val="20"/>
                <w:szCs w:val="20"/>
              </w:rPr>
            </w:pPr>
            <w:r w:rsidRPr="00C23847">
              <w:rPr>
                <w:sz w:val="20"/>
                <w:szCs w:val="20"/>
              </w:rPr>
              <w:t>29</w:t>
            </w:r>
            <w:r w:rsidR="00260F29">
              <w:rPr>
                <w:sz w:val="20"/>
                <w:szCs w:val="20"/>
              </w:rPr>
              <w:t>.</w:t>
            </w:r>
            <w:r w:rsidRPr="00C23847">
              <w:rPr>
                <w:sz w:val="20"/>
                <w:szCs w:val="20"/>
              </w:rPr>
              <w:t>78</w:t>
            </w:r>
          </w:p>
        </w:tc>
        <w:tc>
          <w:tcPr>
            <w:tcW w:w="1980" w:type="dxa"/>
            <w:shd w:val="clear" w:color="auto" w:fill="auto"/>
            <w:noWrap/>
            <w:hideMark/>
          </w:tcPr>
          <w:p w14:paraId="38330FD3" w14:textId="6ED4722C" w:rsidR="006D4DDB" w:rsidRPr="00C23847" w:rsidRDefault="006D4DDB" w:rsidP="00260F29">
            <w:pPr>
              <w:tabs>
                <w:tab w:val="decimal" w:pos="892"/>
              </w:tabs>
              <w:jc w:val="left"/>
              <w:rPr>
                <w:sz w:val="20"/>
                <w:szCs w:val="20"/>
              </w:rPr>
            </w:pPr>
            <w:r w:rsidRPr="00C23847">
              <w:rPr>
                <w:sz w:val="20"/>
                <w:szCs w:val="20"/>
              </w:rPr>
              <w:t>29</w:t>
            </w:r>
            <w:r w:rsidR="00260F29">
              <w:rPr>
                <w:sz w:val="20"/>
                <w:szCs w:val="20"/>
              </w:rPr>
              <w:t>.</w:t>
            </w:r>
            <w:r w:rsidRPr="00C23847">
              <w:rPr>
                <w:sz w:val="20"/>
                <w:szCs w:val="20"/>
              </w:rPr>
              <w:t>78</w:t>
            </w:r>
          </w:p>
        </w:tc>
        <w:tc>
          <w:tcPr>
            <w:tcW w:w="898" w:type="dxa"/>
            <w:shd w:val="clear" w:color="auto" w:fill="auto"/>
            <w:noWrap/>
            <w:hideMark/>
          </w:tcPr>
          <w:p w14:paraId="19F2E2CD" w14:textId="77777777" w:rsidR="006D4DDB" w:rsidRPr="00C23847" w:rsidRDefault="006D4DDB" w:rsidP="00260F29">
            <w:pPr>
              <w:jc w:val="center"/>
              <w:rPr>
                <w:sz w:val="20"/>
                <w:szCs w:val="20"/>
              </w:rPr>
            </w:pPr>
            <w:r w:rsidRPr="00C23847">
              <w:rPr>
                <w:sz w:val="20"/>
                <w:szCs w:val="20"/>
              </w:rPr>
              <w:t>35</w:t>
            </w:r>
          </w:p>
        </w:tc>
      </w:tr>
      <w:tr w:rsidR="006D4DDB" w:rsidRPr="00C23847" w14:paraId="20DF7A0E" w14:textId="77777777" w:rsidTr="00C23847">
        <w:tc>
          <w:tcPr>
            <w:tcW w:w="3374" w:type="dxa"/>
            <w:shd w:val="clear" w:color="auto" w:fill="auto"/>
            <w:noWrap/>
            <w:hideMark/>
          </w:tcPr>
          <w:p w14:paraId="3E857D7D" w14:textId="672CF66C" w:rsidR="006D4DDB" w:rsidRPr="00C23847" w:rsidRDefault="006D4DDB" w:rsidP="00C23847">
            <w:pPr>
              <w:jc w:val="left"/>
              <w:rPr>
                <w:sz w:val="20"/>
                <w:szCs w:val="20"/>
              </w:rPr>
            </w:pPr>
            <w:r w:rsidRPr="00C23847">
              <w:rPr>
                <w:sz w:val="20"/>
                <w:szCs w:val="20"/>
              </w:rPr>
              <w:t>Health Services </w:t>
            </w:r>
          </w:p>
        </w:tc>
        <w:tc>
          <w:tcPr>
            <w:tcW w:w="1440" w:type="dxa"/>
            <w:shd w:val="clear" w:color="auto" w:fill="auto"/>
            <w:noWrap/>
            <w:hideMark/>
          </w:tcPr>
          <w:p w14:paraId="222BED8B" w14:textId="42F67190" w:rsidR="006D4DDB" w:rsidRPr="00C23847" w:rsidRDefault="006D4DDB" w:rsidP="00260F29">
            <w:pPr>
              <w:tabs>
                <w:tab w:val="decimal" w:pos="744"/>
              </w:tabs>
              <w:jc w:val="left"/>
              <w:rPr>
                <w:sz w:val="20"/>
                <w:szCs w:val="20"/>
              </w:rPr>
            </w:pPr>
            <w:r w:rsidRPr="00C23847">
              <w:rPr>
                <w:sz w:val="20"/>
                <w:szCs w:val="20"/>
              </w:rPr>
              <w:t>587</w:t>
            </w:r>
            <w:r w:rsidR="00260F29">
              <w:rPr>
                <w:sz w:val="20"/>
                <w:szCs w:val="20"/>
              </w:rPr>
              <w:t>.</w:t>
            </w:r>
            <w:r w:rsidRPr="00C23847">
              <w:rPr>
                <w:sz w:val="20"/>
                <w:szCs w:val="20"/>
              </w:rPr>
              <w:t>83</w:t>
            </w:r>
          </w:p>
        </w:tc>
        <w:tc>
          <w:tcPr>
            <w:tcW w:w="1620" w:type="dxa"/>
            <w:shd w:val="clear" w:color="auto" w:fill="auto"/>
            <w:noWrap/>
            <w:hideMark/>
          </w:tcPr>
          <w:p w14:paraId="0A44ABC4" w14:textId="036F8379" w:rsidR="006D4DDB" w:rsidRPr="00C23847" w:rsidRDefault="006D4DDB" w:rsidP="00260F29">
            <w:pPr>
              <w:tabs>
                <w:tab w:val="decimal" w:pos="744"/>
              </w:tabs>
              <w:jc w:val="left"/>
              <w:rPr>
                <w:sz w:val="20"/>
                <w:szCs w:val="20"/>
              </w:rPr>
            </w:pPr>
            <w:r w:rsidRPr="00C23847">
              <w:rPr>
                <w:sz w:val="20"/>
                <w:szCs w:val="20"/>
              </w:rPr>
              <w:t>497</w:t>
            </w:r>
            <w:r w:rsidR="00260F29">
              <w:rPr>
                <w:sz w:val="20"/>
                <w:szCs w:val="20"/>
              </w:rPr>
              <w:t>.</w:t>
            </w:r>
            <w:r w:rsidRPr="00C23847">
              <w:rPr>
                <w:sz w:val="20"/>
                <w:szCs w:val="20"/>
              </w:rPr>
              <w:t>02</w:t>
            </w:r>
          </w:p>
        </w:tc>
        <w:tc>
          <w:tcPr>
            <w:tcW w:w="1890" w:type="dxa"/>
            <w:shd w:val="clear" w:color="auto" w:fill="auto"/>
            <w:noWrap/>
            <w:hideMark/>
          </w:tcPr>
          <w:p w14:paraId="077E2F82" w14:textId="68136A7C" w:rsidR="006D4DDB" w:rsidRPr="00C23847" w:rsidRDefault="006D4DDB" w:rsidP="00260F29">
            <w:pPr>
              <w:tabs>
                <w:tab w:val="decimal" w:pos="922"/>
              </w:tabs>
              <w:jc w:val="left"/>
              <w:rPr>
                <w:sz w:val="20"/>
                <w:szCs w:val="20"/>
              </w:rPr>
            </w:pPr>
            <w:r w:rsidRPr="00C23847">
              <w:rPr>
                <w:sz w:val="20"/>
                <w:szCs w:val="20"/>
              </w:rPr>
              <w:t>457</w:t>
            </w:r>
            <w:r w:rsidR="00260F29">
              <w:rPr>
                <w:sz w:val="20"/>
                <w:szCs w:val="20"/>
              </w:rPr>
              <w:t>.</w:t>
            </w:r>
            <w:r w:rsidRPr="00C23847">
              <w:rPr>
                <w:sz w:val="20"/>
                <w:szCs w:val="20"/>
              </w:rPr>
              <w:t>99</w:t>
            </w:r>
          </w:p>
        </w:tc>
        <w:tc>
          <w:tcPr>
            <w:tcW w:w="1350" w:type="dxa"/>
            <w:shd w:val="clear" w:color="auto" w:fill="auto"/>
            <w:noWrap/>
            <w:hideMark/>
          </w:tcPr>
          <w:p w14:paraId="0EF155A3" w14:textId="4BE8F35C" w:rsidR="006D4DDB" w:rsidRPr="00C23847" w:rsidRDefault="006D4DDB" w:rsidP="00260F29">
            <w:pPr>
              <w:tabs>
                <w:tab w:val="decimal" w:pos="575"/>
              </w:tabs>
              <w:jc w:val="left"/>
              <w:rPr>
                <w:sz w:val="20"/>
                <w:szCs w:val="20"/>
              </w:rPr>
            </w:pPr>
            <w:r w:rsidRPr="00C23847">
              <w:rPr>
                <w:sz w:val="20"/>
                <w:szCs w:val="20"/>
              </w:rPr>
              <w:t>39</w:t>
            </w:r>
            <w:r w:rsidR="00260F29">
              <w:rPr>
                <w:sz w:val="20"/>
                <w:szCs w:val="20"/>
              </w:rPr>
              <w:t>.</w:t>
            </w:r>
            <w:r w:rsidRPr="00C23847">
              <w:rPr>
                <w:sz w:val="20"/>
                <w:szCs w:val="20"/>
              </w:rPr>
              <w:t>03</w:t>
            </w:r>
          </w:p>
        </w:tc>
        <w:tc>
          <w:tcPr>
            <w:tcW w:w="1980" w:type="dxa"/>
            <w:shd w:val="clear" w:color="auto" w:fill="auto"/>
            <w:noWrap/>
            <w:hideMark/>
          </w:tcPr>
          <w:p w14:paraId="5B6F05A9" w14:textId="42CCE1DE" w:rsidR="006D4DDB" w:rsidRPr="00C23847" w:rsidRDefault="006D4DDB" w:rsidP="00260F29">
            <w:pPr>
              <w:tabs>
                <w:tab w:val="decimal" w:pos="892"/>
              </w:tabs>
              <w:jc w:val="left"/>
              <w:rPr>
                <w:sz w:val="20"/>
                <w:szCs w:val="20"/>
              </w:rPr>
            </w:pPr>
            <w:r w:rsidRPr="00C23847">
              <w:rPr>
                <w:sz w:val="20"/>
                <w:szCs w:val="20"/>
              </w:rPr>
              <w:t>39</w:t>
            </w:r>
            <w:r w:rsidR="00260F29">
              <w:rPr>
                <w:sz w:val="20"/>
                <w:szCs w:val="20"/>
              </w:rPr>
              <w:t>.</w:t>
            </w:r>
            <w:r w:rsidRPr="00C23847">
              <w:rPr>
                <w:sz w:val="20"/>
                <w:szCs w:val="20"/>
              </w:rPr>
              <w:t>03</w:t>
            </w:r>
          </w:p>
        </w:tc>
        <w:tc>
          <w:tcPr>
            <w:tcW w:w="898" w:type="dxa"/>
            <w:shd w:val="clear" w:color="auto" w:fill="auto"/>
            <w:noWrap/>
            <w:hideMark/>
          </w:tcPr>
          <w:p w14:paraId="4D390E1E" w14:textId="77777777" w:rsidR="006D4DDB" w:rsidRPr="00C23847" w:rsidRDefault="006D4DDB" w:rsidP="00260F29">
            <w:pPr>
              <w:jc w:val="center"/>
              <w:rPr>
                <w:sz w:val="20"/>
                <w:szCs w:val="20"/>
              </w:rPr>
            </w:pPr>
            <w:r w:rsidRPr="00C23847">
              <w:rPr>
                <w:sz w:val="20"/>
                <w:szCs w:val="20"/>
              </w:rPr>
              <w:t>9</w:t>
            </w:r>
          </w:p>
        </w:tc>
      </w:tr>
      <w:tr w:rsidR="006D4DDB" w:rsidRPr="00C23847" w14:paraId="68204420" w14:textId="77777777" w:rsidTr="00C23847">
        <w:tc>
          <w:tcPr>
            <w:tcW w:w="3374" w:type="dxa"/>
            <w:shd w:val="clear" w:color="auto" w:fill="auto"/>
            <w:noWrap/>
            <w:hideMark/>
          </w:tcPr>
          <w:p w14:paraId="385A26CE" w14:textId="4901EC7F" w:rsidR="006D4DDB" w:rsidRPr="00C23847" w:rsidRDefault="006D4DDB" w:rsidP="00C23847">
            <w:pPr>
              <w:jc w:val="left"/>
              <w:rPr>
                <w:sz w:val="20"/>
                <w:szCs w:val="20"/>
              </w:rPr>
            </w:pPr>
            <w:r w:rsidRPr="00C23847">
              <w:rPr>
                <w:sz w:val="20"/>
                <w:szCs w:val="20"/>
              </w:rPr>
              <w:t>Finance and Economic Planning</w:t>
            </w:r>
          </w:p>
        </w:tc>
        <w:tc>
          <w:tcPr>
            <w:tcW w:w="1440" w:type="dxa"/>
            <w:shd w:val="clear" w:color="auto" w:fill="auto"/>
            <w:noWrap/>
            <w:hideMark/>
          </w:tcPr>
          <w:p w14:paraId="758F7DC1" w14:textId="69DA9EB9" w:rsidR="006D4DDB" w:rsidRPr="00C23847" w:rsidRDefault="006D4DDB" w:rsidP="00260F29">
            <w:pPr>
              <w:tabs>
                <w:tab w:val="decimal" w:pos="744"/>
              </w:tabs>
              <w:jc w:val="left"/>
              <w:rPr>
                <w:sz w:val="20"/>
                <w:szCs w:val="20"/>
              </w:rPr>
            </w:pPr>
            <w:r w:rsidRPr="00C23847">
              <w:rPr>
                <w:sz w:val="20"/>
                <w:szCs w:val="20"/>
              </w:rPr>
              <w:t>711</w:t>
            </w:r>
            <w:r w:rsidR="00260F29">
              <w:rPr>
                <w:sz w:val="20"/>
                <w:szCs w:val="20"/>
              </w:rPr>
              <w:t>.</w:t>
            </w:r>
            <w:r w:rsidRPr="00C23847">
              <w:rPr>
                <w:sz w:val="20"/>
                <w:szCs w:val="20"/>
              </w:rPr>
              <w:t>03</w:t>
            </w:r>
          </w:p>
        </w:tc>
        <w:tc>
          <w:tcPr>
            <w:tcW w:w="1620" w:type="dxa"/>
            <w:shd w:val="clear" w:color="auto" w:fill="auto"/>
            <w:noWrap/>
            <w:hideMark/>
          </w:tcPr>
          <w:p w14:paraId="1CD85BE9" w14:textId="03081034" w:rsidR="006D4DDB" w:rsidRPr="00C23847" w:rsidRDefault="006D4DDB" w:rsidP="00260F29">
            <w:pPr>
              <w:tabs>
                <w:tab w:val="decimal" w:pos="744"/>
              </w:tabs>
              <w:jc w:val="left"/>
              <w:rPr>
                <w:sz w:val="20"/>
                <w:szCs w:val="20"/>
              </w:rPr>
            </w:pPr>
            <w:r w:rsidRPr="00C23847">
              <w:rPr>
                <w:sz w:val="20"/>
                <w:szCs w:val="20"/>
              </w:rPr>
              <w:t>299</w:t>
            </w:r>
            <w:r w:rsidR="00260F29">
              <w:rPr>
                <w:sz w:val="20"/>
                <w:szCs w:val="20"/>
              </w:rPr>
              <w:t>.</w:t>
            </w:r>
            <w:r w:rsidRPr="00C23847">
              <w:rPr>
                <w:sz w:val="20"/>
                <w:szCs w:val="20"/>
              </w:rPr>
              <w:t>95</w:t>
            </w:r>
          </w:p>
        </w:tc>
        <w:tc>
          <w:tcPr>
            <w:tcW w:w="1890" w:type="dxa"/>
            <w:shd w:val="clear" w:color="auto" w:fill="auto"/>
            <w:noWrap/>
            <w:hideMark/>
          </w:tcPr>
          <w:p w14:paraId="334ACACB" w14:textId="67624B11" w:rsidR="006D4DDB" w:rsidRPr="00C23847" w:rsidRDefault="006D4DDB" w:rsidP="00260F29">
            <w:pPr>
              <w:tabs>
                <w:tab w:val="decimal" w:pos="922"/>
              </w:tabs>
              <w:jc w:val="left"/>
              <w:rPr>
                <w:sz w:val="20"/>
                <w:szCs w:val="20"/>
              </w:rPr>
            </w:pPr>
            <w:r w:rsidRPr="00C23847">
              <w:rPr>
                <w:sz w:val="20"/>
                <w:szCs w:val="20"/>
              </w:rPr>
              <w:t>553</w:t>
            </w:r>
            <w:r w:rsidR="00260F29">
              <w:rPr>
                <w:sz w:val="20"/>
                <w:szCs w:val="20"/>
              </w:rPr>
              <w:t>.</w:t>
            </w:r>
            <w:r w:rsidRPr="00C23847">
              <w:rPr>
                <w:sz w:val="20"/>
                <w:szCs w:val="20"/>
              </w:rPr>
              <w:t>98</w:t>
            </w:r>
          </w:p>
        </w:tc>
        <w:tc>
          <w:tcPr>
            <w:tcW w:w="1350" w:type="dxa"/>
            <w:shd w:val="clear" w:color="auto" w:fill="auto"/>
            <w:noWrap/>
            <w:hideMark/>
          </w:tcPr>
          <w:p w14:paraId="57529CB8" w14:textId="40E6C383" w:rsidR="006D4DDB" w:rsidRPr="00C23847" w:rsidRDefault="006D4DDB" w:rsidP="00260F29">
            <w:pPr>
              <w:tabs>
                <w:tab w:val="decimal" w:pos="575"/>
              </w:tabs>
              <w:jc w:val="left"/>
              <w:rPr>
                <w:sz w:val="20"/>
                <w:szCs w:val="20"/>
              </w:rPr>
            </w:pPr>
            <w:r w:rsidRPr="00C23847">
              <w:rPr>
                <w:sz w:val="20"/>
                <w:szCs w:val="20"/>
              </w:rPr>
              <w:t>(254</w:t>
            </w:r>
            <w:r w:rsidR="00260F29">
              <w:rPr>
                <w:sz w:val="20"/>
                <w:szCs w:val="20"/>
              </w:rPr>
              <w:t>.</w:t>
            </w:r>
            <w:r w:rsidRPr="00C23847">
              <w:rPr>
                <w:sz w:val="20"/>
                <w:szCs w:val="20"/>
              </w:rPr>
              <w:t>02)</w:t>
            </w:r>
          </w:p>
        </w:tc>
        <w:tc>
          <w:tcPr>
            <w:tcW w:w="1980" w:type="dxa"/>
            <w:shd w:val="clear" w:color="auto" w:fill="auto"/>
            <w:noWrap/>
            <w:hideMark/>
          </w:tcPr>
          <w:p w14:paraId="175329EB" w14:textId="6FE75E7D" w:rsidR="006D4DDB" w:rsidRPr="00C23847" w:rsidRDefault="006D4DDB" w:rsidP="00260F29">
            <w:pPr>
              <w:tabs>
                <w:tab w:val="decimal" w:pos="892"/>
              </w:tabs>
              <w:jc w:val="left"/>
              <w:rPr>
                <w:sz w:val="20"/>
                <w:szCs w:val="20"/>
              </w:rPr>
            </w:pPr>
            <w:r w:rsidRPr="00C23847">
              <w:rPr>
                <w:sz w:val="20"/>
                <w:szCs w:val="20"/>
              </w:rPr>
              <w:t>254</w:t>
            </w:r>
            <w:r w:rsidR="00260F29">
              <w:rPr>
                <w:sz w:val="20"/>
                <w:szCs w:val="20"/>
              </w:rPr>
              <w:t>.</w:t>
            </w:r>
            <w:r w:rsidRPr="00C23847">
              <w:rPr>
                <w:sz w:val="20"/>
                <w:szCs w:val="20"/>
              </w:rPr>
              <w:t>02</w:t>
            </w:r>
          </w:p>
        </w:tc>
        <w:tc>
          <w:tcPr>
            <w:tcW w:w="898" w:type="dxa"/>
            <w:shd w:val="clear" w:color="auto" w:fill="auto"/>
            <w:noWrap/>
            <w:hideMark/>
          </w:tcPr>
          <w:p w14:paraId="6C7BE580" w14:textId="77777777" w:rsidR="006D4DDB" w:rsidRPr="00C23847" w:rsidRDefault="006D4DDB" w:rsidP="00260F29">
            <w:pPr>
              <w:jc w:val="center"/>
              <w:rPr>
                <w:sz w:val="20"/>
                <w:szCs w:val="20"/>
              </w:rPr>
            </w:pPr>
            <w:r w:rsidRPr="00C23847">
              <w:rPr>
                <w:sz w:val="20"/>
                <w:szCs w:val="20"/>
              </w:rPr>
              <w:t>46</w:t>
            </w:r>
          </w:p>
        </w:tc>
      </w:tr>
      <w:tr w:rsidR="006D4DDB" w:rsidRPr="00C23847" w14:paraId="12402BF4" w14:textId="77777777" w:rsidTr="00C23847">
        <w:tc>
          <w:tcPr>
            <w:tcW w:w="3374" w:type="dxa"/>
            <w:shd w:val="clear" w:color="auto" w:fill="auto"/>
            <w:noWrap/>
            <w:hideMark/>
          </w:tcPr>
          <w:p w14:paraId="38E27DBB" w14:textId="1A20E2D0" w:rsidR="006D4DDB" w:rsidRPr="00C23847" w:rsidRDefault="006D4DDB" w:rsidP="00C23847">
            <w:pPr>
              <w:jc w:val="left"/>
              <w:rPr>
                <w:sz w:val="20"/>
                <w:szCs w:val="20"/>
              </w:rPr>
            </w:pPr>
            <w:r w:rsidRPr="00C23847">
              <w:rPr>
                <w:sz w:val="20"/>
                <w:szCs w:val="20"/>
              </w:rPr>
              <w:t>Education, Youth, Sports, Culture, And Social Services </w:t>
            </w:r>
          </w:p>
        </w:tc>
        <w:tc>
          <w:tcPr>
            <w:tcW w:w="1440" w:type="dxa"/>
            <w:shd w:val="clear" w:color="auto" w:fill="auto"/>
            <w:noWrap/>
            <w:hideMark/>
          </w:tcPr>
          <w:p w14:paraId="63FE3D4F" w14:textId="7AAA13B6" w:rsidR="006D4DDB" w:rsidRPr="00C23847" w:rsidRDefault="006D4DDB" w:rsidP="00260F29">
            <w:pPr>
              <w:tabs>
                <w:tab w:val="decimal" w:pos="744"/>
              </w:tabs>
              <w:jc w:val="left"/>
              <w:rPr>
                <w:sz w:val="20"/>
                <w:szCs w:val="20"/>
              </w:rPr>
            </w:pPr>
            <w:r w:rsidRPr="00C23847">
              <w:rPr>
                <w:sz w:val="20"/>
                <w:szCs w:val="20"/>
              </w:rPr>
              <w:t>529</w:t>
            </w:r>
            <w:r w:rsidR="00260F29">
              <w:rPr>
                <w:sz w:val="20"/>
                <w:szCs w:val="20"/>
              </w:rPr>
              <w:t>.</w:t>
            </w:r>
            <w:r w:rsidRPr="00C23847">
              <w:rPr>
                <w:sz w:val="20"/>
                <w:szCs w:val="20"/>
              </w:rPr>
              <w:t>26</w:t>
            </w:r>
          </w:p>
        </w:tc>
        <w:tc>
          <w:tcPr>
            <w:tcW w:w="1620" w:type="dxa"/>
            <w:shd w:val="clear" w:color="auto" w:fill="auto"/>
            <w:noWrap/>
            <w:hideMark/>
          </w:tcPr>
          <w:p w14:paraId="2B82D964" w14:textId="69C31843" w:rsidR="006D4DDB" w:rsidRPr="00C23847" w:rsidRDefault="006D4DDB" w:rsidP="00260F29">
            <w:pPr>
              <w:tabs>
                <w:tab w:val="decimal" w:pos="744"/>
              </w:tabs>
              <w:jc w:val="left"/>
              <w:rPr>
                <w:sz w:val="20"/>
                <w:szCs w:val="20"/>
              </w:rPr>
            </w:pPr>
            <w:r w:rsidRPr="00C23847">
              <w:rPr>
                <w:sz w:val="20"/>
                <w:szCs w:val="20"/>
              </w:rPr>
              <w:t>344</w:t>
            </w:r>
            <w:r w:rsidR="00260F29">
              <w:rPr>
                <w:sz w:val="20"/>
                <w:szCs w:val="20"/>
              </w:rPr>
              <w:t>.</w:t>
            </w:r>
            <w:r w:rsidRPr="00C23847">
              <w:rPr>
                <w:sz w:val="20"/>
                <w:szCs w:val="20"/>
              </w:rPr>
              <w:t>81</w:t>
            </w:r>
          </w:p>
        </w:tc>
        <w:tc>
          <w:tcPr>
            <w:tcW w:w="1890" w:type="dxa"/>
            <w:shd w:val="clear" w:color="auto" w:fill="auto"/>
            <w:noWrap/>
            <w:hideMark/>
          </w:tcPr>
          <w:p w14:paraId="55DA9510" w14:textId="7C86B8F3" w:rsidR="006D4DDB" w:rsidRPr="00C23847" w:rsidRDefault="006D4DDB" w:rsidP="00260F29">
            <w:pPr>
              <w:tabs>
                <w:tab w:val="decimal" w:pos="922"/>
              </w:tabs>
              <w:jc w:val="left"/>
              <w:rPr>
                <w:sz w:val="20"/>
                <w:szCs w:val="20"/>
              </w:rPr>
            </w:pPr>
            <w:r w:rsidRPr="00C23847">
              <w:rPr>
                <w:sz w:val="20"/>
                <w:szCs w:val="20"/>
              </w:rPr>
              <w:t>412</w:t>
            </w:r>
            <w:r w:rsidR="00260F29">
              <w:rPr>
                <w:sz w:val="20"/>
                <w:szCs w:val="20"/>
              </w:rPr>
              <w:t>.</w:t>
            </w:r>
            <w:r w:rsidRPr="00C23847">
              <w:rPr>
                <w:sz w:val="20"/>
                <w:szCs w:val="20"/>
              </w:rPr>
              <w:t>36</w:t>
            </w:r>
          </w:p>
        </w:tc>
        <w:tc>
          <w:tcPr>
            <w:tcW w:w="1350" w:type="dxa"/>
            <w:shd w:val="clear" w:color="auto" w:fill="auto"/>
            <w:noWrap/>
            <w:hideMark/>
          </w:tcPr>
          <w:p w14:paraId="3D956872" w14:textId="577230B8" w:rsidR="006D4DDB" w:rsidRPr="00C23847" w:rsidRDefault="006D4DDB" w:rsidP="00260F29">
            <w:pPr>
              <w:tabs>
                <w:tab w:val="decimal" w:pos="575"/>
              </w:tabs>
              <w:jc w:val="left"/>
              <w:rPr>
                <w:sz w:val="20"/>
                <w:szCs w:val="20"/>
              </w:rPr>
            </w:pPr>
            <w:r w:rsidRPr="00C23847">
              <w:rPr>
                <w:sz w:val="20"/>
                <w:szCs w:val="20"/>
              </w:rPr>
              <w:t>(67</w:t>
            </w:r>
            <w:r w:rsidR="00260F29">
              <w:rPr>
                <w:sz w:val="20"/>
                <w:szCs w:val="20"/>
              </w:rPr>
              <w:t>.</w:t>
            </w:r>
            <w:r w:rsidRPr="00C23847">
              <w:rPr>
                <w:sz w:val="20"/>
                <w:szCs w:val="20"/>
              </w:rPr>
              <w:t>55)</w:t>
            </w:r>
          </w:p>
        </w:tc>
        <w:tc>
          <w:tcPr>
            <w:tcW w:w="1980" w:type="dxa"/>
            <w:shd w:val="clear" w:color="auto" w:fill="auto"/>
            <w:noWrap/>
            <w:hideMark/>
          </w:tcPr>
          <w:p w14:paraId="27D4AAE4" w14:textId="52C3F928" w:rsidR="006D4DDB" w:rsidRPr="00C23847" w:rsidRDefault="006D4DDB" w:rsidP="00260F29">
            <w:pPr>
              <w:tabs>
                <w:tab w:val="decimal" w:pos="892"/>
              </w:tabs>
              <w:jc w:val="left"/>
              <w:rPr>
                <w:sz w:val="20"/>
                <w:szCs w:val="20"/>
              </w:rPr>
            </w:pPr>
            <w:r w:rsidRPr="00C23847">
              <w:rPr>
                <w:sz w:val="20"/>
                <w:szCs w:val="20"/>
              </w:rPr>
              <w:t>67</w:t>
            </w:r>
            <w:r w:rsidR="00260F29">
              <w:rPr>
                <w:sz w:val="20"/>
                <w:szCs w:val="20"/>
              </w:rPr>
              <w:t>.</w:t>
            </w:r>
            <w:r w:rsidRPr="00C23847">
              <w:rPr>
                <w:sz w:val="20"/>
                <w:szCs w:val="20"/>
              </w:rPr>
              <w:t>55</w:t>
            </w:r>
          </w:p>
        </w:tc>
        <w:tc>
          <w:tcPr>
            <w:tcW w:w="898" w:type="dxa"/>
            <w:shd w:val="clear" w:color="auto" w:fill="auto"/>
            <w:noWrap/>
            <w:hideMark/>
          </w:tcPr>
          <w:p w14:paraId="24ACBFA0" w14:textId="77777777" w:rsidR="006D4DDB" w:rsidRPr="00C23847" w:rsidRDefault="006D4DDB" w:rsidP="00260F29">
            <w:pPr>
              <w:jc w:val="center"/>
              <w:rPr>
                <w:sz w:val="20"/>
                <w:szCs w:val="20"/>
              </w:rPr>
            </w:pPr>
            <w:r w:rsidRPr="00C23847">
              <w:rPr>
                <w:sz w:val="20"/>
                <w:szCs w:val="20"/>
              </w:rPr>
              <w:t>16</w:t>
            </w:r>
          </w:p>
        </w:tc>
      </w:tr>
      <w:tr w:rsidR="006D4DDB" w:rsidRPr="00C23847" w14:paraId="1E5A893A" w14:textId="77777777" w:rsidTr="00C23847">
        <w:tc>
          <w:tcPr>
            <w:tcW w:w="3374" w:type="dxa"/>
            <w:shd w:val="clear" w:color="auto" w:fill="auto"/>
            <w:noWrap/>
            <w:hideMark/>
          </w:tcPr>
          <w:p w14:paraId="42E2E66A" w14:textId="433A461A" w:rsidR="006D4DDB" w:rsidRPr="00C23847" w:rsidRDefault="006D4DDB" w:rsidP="00C23847">
            <w:pPr>
              <w:jc w:val="left"/>
              <w:rPr>
                <w:sz w:val="20"/>
                <w:szCs w:val="20"/>
              </w:rPr>
            </w:pPr>
            <w:r w:rsidRPr="00C23847">
              <w:rPr>
                <w:sz w:val="20"/>
                <w:szCs w:val="20"/>
              </w:rPr>
              <w:t>County Administration</w:t>
            </w:r>
          </w:p>
        </w:tc>
        <w:tc>
          <w:tcPr>
            <w:tcW w:w="1440" w:type="dxa"/>
            <w:shd w:val="clear" w:color="auto" w:fill="auto"/>
            <w:noWrap/>
            <w:hideMark/>
          </w:tcPr>
          <w:p w14:paraId="15AE41E2" w14:textId="2DA033BB" w:rsidR="006D4DDB" w:rsidRPr="00C23847" w:rsidRDefault="006D4DDB" w:rsidP="00260F29">
            <w:pPr>
              <w:tabs>
                <w:tab w:val="decimal" w:pos="744"/>
              </w:tabs>
              <w:jc w:val="left"/>
              <w:rPr>
                <w:sz w:val="20"/>
                <w:szCs w:val="20"/>
              </w:rPr>
            </w:pPr>
            <w:r w:rsidRPr="00C23847">
              <w:rPr>
                <w:sz w:val="20"/>
                <w:szCs w:val="20"/>
              </w:rPr>
              <w:t>78</w:t>
            </w:r>
            <w:r w:rsidR="00260F29">
              <w:rPr>
                <w:sz w:val="20"/>
                <w:szCs w:val="20"/>
              </w:rPr>
              <w:t>.</w:t>
            </w:r>
            <w:r w:rsidRPr="00C23847">
              <w:rPr>
                <w:sz w:val="20"/>
                <w:szCs w:val="20"/>
              </w:rPr>
              <w:t>74</w:t>
            </w:r>
          </w:p>
        </w:tc>
        <w:tc>
          <w:tcPr>
            <w:tcW w:w="1620" w:type="dxa"/>
            <w:shd w:val="clear" w:color="auto" w:fill="auto"/>
            <w:noWrap/>
            <w:hideMark/>
          </w:tcPr>
          <w:p w14:paraId="5922389E" w14:textId="75ED5011" w:rsidR="006D4DDB" w:rsidRPr="00C23847" w:rsidRDefault="006D4DDB" w:rsidP="00260F29">
            <w:pPr>
              <w:tabs>
                <w:tab w:val="decimal" w:pos="744"/>
              </w:tabs>
              <w:jc w:val="left"/>
              <w:rPr>
                <w:sz w:val="20"/>
                <w:szCs w:val="20"/>
              </w:rPr>
            </w:pPr>
            <w:r w:rsidRPr="00C23847">
              <w:rPr>
                <w:sz w:val="20"/>
                <w:szCs w:val="20"/>
              </w:rPr>
              <w:t>37</w:t>
            </w:r>
            <w:r w:rsidR="00260F29">
              <w:rPr>
                <w:sz w:val="20"/>
                <w:szCs w:val="20"/>
              </w:rPr>
              <w:t>.</w:t>
            </w:r>
            <w:r w:rsidRPr="00C23847">
              <w:rPr>
                <w:sz w:val="20"/>
                <w:szCs w:val="20"/>
              </w:rPr>
              <w:t>80</w:t>
            </w:r>
          </w:p>
        </w:tc>
        <w:tc>
          <w:tcPr>
            <w:tcW w:w="1890" w:type="dxa"/>
            <w:shd w:val="clear" w:color="auto" w:fill="auto"/>
            <w:noWrap/>
            <w:hideMark/>
          </w:tcPr>
          <w:p w14:paraId="10E2E41C" w14:textId="2C2592CA" w:rsidR="006D4DDB" w:rsidRPr="00C23847" w:rsidRDefault="006D4DDB" w:rsidP="00260F29">
            <w:pPr>
              <w:tabs>
                <w:tab w:val="decimal" w:pos="922"/>
              </w:tabs>
              <w:jc w:val="left"/>
              <w:rPr>
                <w:sz w:val="20"/>
                <w:szCs w:val="20"/>
              </w:rPr>
            </w:pPr>
            <w:r w:rsidRPr="00C23847">
              <w:rPr>
                <w:sz w:val="20"/>
                <w:szCs w:val="20"/>
              </w:rPr>
              <w:t>61</w:t>
            </w:r>
            <w:r w:rsidR="00260F29">
              <w:rPr>
                <w:sz w:val="20"/>
                <w:szCs w:val="20"/>
              </w:rPr>
              <w:t>.</w:t>
            </w:r>
            <w:r w:rsidRPr="00C23847">
              <w:rPr>
                <w:sz w:val="20"/>
                <w:szCs w:val="20"/>
              </w:rPr>
              <w:t>34</w:t>
            </w:r>
          </w:p>
        </w:tc>
        <w:tc>
          <w:tcPr>
            <w:tcW w:w="1350" w:type="dxa"/>
            <w:shd w:val="clear" w:color="auto" w:fill="auto"/>
            <w:noWrap/>
            <w:hideMark/>
          </w:tcPr>
          <w:p w14:paraId="6B55D06C" w14:textId="387D178A" w:rsidR="006D4DDB" w:rsidRPr="00C23847" w:rsidRDefault="006D4DDB" w:rsidP="00260F29">
            <w:pPr>
              <w:tabs>
                <w:tab w:val="decimal" w:pos="575"/>
              </w:tabs>
              <w:jc w:val="left"/>
              <w:rPr>
                <w:sz w:val="20"/>
                <w:szCs w:val="20"/>
              </w:rPr>
            </w:pPr>
            <w:r w:rsidRPr="00C23847">
              <w:rPr>
                <w:sz w:val="20"/>
                <w:szCs w:val="20"/>
              </w:rPr>
              <w:t>(23</w:t>
            </w:r>
            <w:r w:rsidR="00260F29">
              <w:rPr>
                <w:sz w:val="20"/>
                <w:szCs w:val="20"/>
              </w:rPr>
              <w:t>.</w:t>
            </w:r>
            <w:r w:rsidRPr="00C23847">
              <w:rPr>
                <w:sz w:val="20"/>
                <w:szCs w:val="20"/>
              </w:rPr>
              <w:t>54)</w:t>
            </w:r>
          </w:p>
        </w:tc>
        <w:tc>
          <w:tcPr>
            <w:tcW w:w="1980" w:type="dxa"/>
            <w:shd w:val="clear" w:color="auto" w:fill="auto"/>
            <w:noWrap/>
            <w:hideMark/>
          </w:tcPr>
          <w:p w14:paraId="5629BFA9" w14:textId="31FCDFE7" w:rsidR="006D4DDB" w:rsidRPr="00C23847" w:rsidRDefault="006D4DDB" w:rsidP="00260F29">
            <w:pPr>
              <w:tabs>
                <w:tab w:val="decimal" w:pos="892"/>
              </w:tabs>
              <w:jc w:val="left"/>
              <w:rPr>
                <w:sz w:val="20"/>
                <w:szCs w:val="20"/>
              </w:rPr>
            </w:pPr>
            <w:r w:rsidRPr="00C23847">
              <w:rPr>
                <w:sz w:val="20"/>
                <w:szCs w:val="20"/>
              </w:rPr>
              <w:t>23</w:t>
            </w:r>
            <w:r w:rsidR="00260F29">
              <w:rPr>
                <w:sz w:val="20"/>
                <w:szCs w:val="20"/>
              </w:rPr>
              <w:t>.</w:t>
            </w:r>
            <w:r w:rsidRPr="00C23847">
              <w:rPr>
                <w:sz w:val="20"/>
                <w:szCs w:val="20"/>
              </w:rPr>
              <w:t>54</w:t>
            </w:r>
          </w:p>
        </w:tc>
        <w:tc>
          <w:tcPr>
            <w:tcW w:w="898" w:type="dxa"/>
            <w:shd w:val="clear" w:color="auto" w:fill="auto"/>
            <w:noWrap/>
            <w:hideMark/>
          </w:tcPr>
          <w:p w14:paraId="1AAA9D20" w14:textId="77777777" w:rsidR="006D4DDB" w:rsidRPr="00C23847" w:rsidRDefault="006D4DDB" w:rsidP="00260F29">
            <w:pPr>
              <w:jc w:val="center"/>
              <w:rPr>
                <w:sz w:val="20"/>
                <w:szCs w:val="20"/>
              </w:rPr>
            </w:pPr>
            <w:r w:rsidRPr="00C23847">
              <w:rPr>
                <w:sz w:val="20"/>
                <w:szCs w:val="20"/>
              </w:rPr>
              <w:t>38</w:t>
            </w:r>
          </w:p>
        </w:tc>
      </w:tr>
      <w:tr w:rsidR="006D4DDB" w:rsidRPr="00C23847" w14:paraId="4C4BC3BE" w14:textId="77777777" w:rsidTr="00C23847">
        <w:tc>
          <w:tcPr>
            <w:tcW w:w="3374" w:type="dxa"/>
            <w:shd w:val="clear" w:color="auto" w:fill="auto"/>
            <w:noWrap/>
            <w:hideMark/>
          </w:tcPr>
          <w:p w14:paraId="124F3D2E" w14:textId="4D26616E" w:rsidR="006D4DDB" w:rsidRPr="00C23847" w:rsidRDefault="00DF24D0" w:rsidP="00C23847">
            <w:pPr>
              <w:jc w:val="left"/>
              <w:rPr>
                <w:sz w:val="20"/>
                <w:szCs w:val="20"/>
              </w:rPr>
            </w:pPr>
            <w:r>
              <w:rPr>
                <w:sz w:val="20"/>
                <w:szCs w:val="20"/>
              </w:rPr>
              <w:t>A</w:t>
            </w:r>
            <w:r w:rsidR="006D4DDB" w:rsidRPr="00C23847">
              <w:rPr>
                <w:sz w:val="20"/>
                <w:szCs w:val="20"/>
              </w:rPr>
              <w:t>llocated expenditure</w:t>
            </w:r>
          </w:p>
        </w:tc>
        <w:tc>
          <w:tcPr>
            <w:tcW w:w="1440" w:type="dxa"/>
            <w:shd w:val="clear" w:color="auto" w:fill="auto"/>
            <w:noWrap/>
            <w:hideMark/>
          </w:tcPr>
          <w:p w14:paraId="04EACFA7" w14:textId="19725A27" w:rsidR="006D4DDB" w:rsidRPr="00C23847" w:rsidRDefault="006D4DDB" w:rsidP="00260F29">
            <w:pPr>
              <w:tabs>
                <w:tab w:val="decimal" w:pos="744"/>
              </w:tabs>
              <w:jc w:val="left"/>
              <w:rPr>
                <w:sz w:val="20"/>
                <w:szCs w:val="20"/>
              </w:rPr>
            </w:pPr>
            <w:r w:rsidRPr="00C23847">
              <w:rPr>
                <w:sz w:val="20"/>
                <w:szCs w:val="20"/>
              </w:rPr>
              <w:t>5</w:t>
            </w:r>
            <w:r w:rsidR="00260F29">
              <w:rPr>
                <w:sz w:val="20"/>
                <w:szCs w:val="20"/>
              </w:rPr>
              <w:t>,</w:t>
            </w:r>
            <w:r w:rsidRPr="00C23847">
              <w:rPr>
                <w:sz w:val="20"/>
                <w:szCs w:val="20"/>
              </w:rPr>
              <w:t>598</w:t>
            </w:r>
            <w:r w:rsidR="00260F29">
              <w:rPr>
                <w:sz w:val="20"/>
                <w:szCs w:val="20"/>
              </w:rPr>
              <w:t>.</w:t>
            </w:r>
            <w:r w:rsidRPr="00C23847">
              <w:rPr>
                <w:sz w:val="20"/>
                <w:szCs w:val="20"/>
              </w:rPr>
              <w:t>50</w:t>
            </w:r>
          </w:p>
        </w:tc>
        <w:tc>
          <w:tcPr>
            <w:tcW w:w="1620" w:type="dxa"/>
            <w:shd w:val="clear" w:color="auto" w:fill="auto"/>
            <w:noWrap/>
            <w:hideMark/>
          </w:tcPr>
          <w:p w14:paraId="3F2CE726" w14:textId="41063A5C" w:rsidR="006D4DDB" w:rsidRPr="00C23847" w:rsidRDefault="006D4DDB" w:rsidP="00260F29">
            <w:pPr>
              <w:tabs>
                <w:tab w:val="decimal" w:pos="744"/>
              </w:tabs>
              <w:jc w:val="left"/>
              <w:rPr>
                <w:sz w:val="20"/>
                <w:szCs w:val="20"/>
              </w:rPr>
            </w:pPr>
            <w:r w:rsidRPr="00C23847">
              <w:rPr>
                <w:sz w:val="20"/>
                <w:szCs w:val="20"/>
              </w:rPr>
              <w:t>4</w:t>
            </w:r>
            <w:r w:rsidR="00260F29">
              <w:rPr>
                <w:sz w:val="20"/>
                <w:szCs w:val="20"/>
              </w:rPr>
              <w:t>,</w:t>
            </w:r>
            <w:r w:rsidRPr="00C23847">
              <w:rPr>
                <w:sz w:val="20"/>
                <w:szCs w:val="20"/>
              </w:rPr>
              <w:t>361</w:t>
            </w:r>
            <w:r w:rsidR="00260F29">
              <w:rPr>
                <w:sz w:val="20"/>
                <w:szCs w:val="20"/>
              </w:rPr>
              <w:t>.</w:t>
            </w:r>
            <w:r w:rsidRPr="00C23847">
              <w:rPr>
                <w:sz w:val="20"/>
                <w:szCs w:val="20"/>
              </w:rPr>
              <w:t>88</w:t>
            </w:r>
          </w:p>
        </w:tc>
        <w:tc>
          <w:tcPr>
            <w:tcW w:w="1890" w:type="dxa"/>
            <w:shd w:val="clear" w:color="auto" w:fill="auto"/>
            <w:noWrap/>
            <w:hideMark/>
          </w:tcPr>
          <w:p w14:paraId="38AC8076" w14:textId="55B6F0FC" w:rsidR="006D4DDB" w:rsidRPr="00C23847" w:rsidRDefault="006D4DDB" w:rsidP="00260F29">
            <w:pPr>
              <w:tabs>
                <w:tab w:val="decimal" w:pos="922"/>
              </w:tabs>
              <w:jc w:val="left"/>
              <w:rPr>
                <w:sz w:val="20"/>
                <w:szCs w:val="20"/>
              </w:rPr>
            </w:pPr>
            <w:r w:rsidRPr="00C23847">
              <w:rPr>
                <w:sz w:val="20"/>
                <w:szCs w:val="20"/>
              </w:rPr>
              <w:t>4</w:t>
            </w:r>
            <w:r w:rsidR="00260F29">
              <w:rPr>
                <w:sz w:val="20"/>
                <w:szCs w:val="20"/>
              </w:rPr>
              <w:t>,</w:t>
            </w:r>
            <w:r w:rsidRPr="00C23847">
              <w:rPr>
                <w:sz w:val="20"/>
                <w:szCs w:val="20"/>
              </w:rPr>
              <w:t>361</w:t>
            </w:r>
            <w:r w:rsidR="00260F29">
              <w:rPr>
                <w:sz w:val="20"/>
                <w:szCs w:val="20"/>
              </w:rPr>
              <w:t>.</w:t>
            </w:r>
            <w:r w:rsidRPr="00C23847">
              <w:rPr>
                <w:sz w:val="20"/>
                <w:szCs w:val="20"/>
              </w:rPr>
              <w:t>88</w:t>
            </w:r>
          </w:p>
        </w:tc>
        <w:tc>
          <w:tcPr>
            <w:tcW w:w="1350" w:type="dxa"/>
            <w:shd w:val="clear" w:color="auto" w:fill="auto"/>
            <w:noWrap/>
            <w:hideMark/>
          </w:tcPr>
          <w:p w14:paraId="4CC8F8AC" w14:textId="6647CD4F" w:rsidR="006D4DDB" w:rsidRPr="00C23847" w:rsidRDefault="006D4DDB" w:rsidP="00260F29">
            <w:pPr>
              <w:tabs>
                <w:tab w:val="decimal" w:pos="575"/>
              </w:tabs>
              <w:jc w:val="left"/>
              <w:rPr>
                <w:sz w:val="20"/>
                <w:szCs w:val="20"/>
              </w:rPr>
            </w:pPr>
            <w:r w:rsidRPr="00C23847">
              <w:rPr>
                <w:sz w:val="20"/>
                <w:szCs w:val="20"/>
              </w:rPr>
              <w:t>(0</w:t>
            </w:r>
            <w:r w:rsidR="00260F29">
              <w:rPr>
                <w:sz w:val="20"/>
                <w:szCs w:val="20"/>
              </w:rPr>
              <w:t>.</w:t>
            </w:r>
            <w:r w:rsidRPr="00C23847">
              <w:rPr>
                <w:sz w:val="20"/>
                <w:szCs w:val="20"/>
              </w:rPr>
              <w:t>00)</w:t>
            </w:r>
          </w:p>
        </w:tc>
        <w:tc>
          <w:tcPr>
            <w:tcW w:w="1980" w:type="dxa"/>
            <w:shd w:val="clear" w:color="auto" w:fill="auto"/>
            <w:noWrap/>
            <w:hideMark/>
          </w:tcPr>
          <w:p w14:paraId="54F8B51A" w14:textId="6B9C40C4" w:rsidR="006D4DDB" w:rsidRPr="00C23847" w:rsidRDefault="006D4DDB" w:rsidP="00260F29">
            <w:pPr>
              <w:tabs>
                <w:tab w:val="decimal" w:pos="892"/>
              </w:tabs>
              <w:jc w:val="left"/>
              <w:rPr>
                <w:sz w:val="20"/>
                <w:szCs w:val="20"/>
              </w:rPr>
            </w:pPr>
            <w:r w:rsidRPr="00C23847">
              <w:rPr>
                <w:sz w:val="20"/>
                <w:szCs w:val="20"/>
              </w:rPr>
              <w:t>852</w:t>
            </w:r>
            <w:r w:rsidR="00260F29">
              <w:rPr>
                <w:sz w:val="20"/>
                <w:szCs w:val="20"/>
              </w:rPr>
              <w:t>.</w:t>
            </w:r>
            <w:r w:rsidRPr="00C23847">
              <w:rPr>
                <w:sz w:val="20"/>
                <w:szCs w:val="20"/>
              </w:rPr>
              <w:t>67</w:t>
            </w:r>
          </w:p>
        </w:tc>
        <w:tc>
          <w:tcPr>
            <w:tcW w:w="898" w:type="dxa"/>
            <w:shd w:val="clear" w:color="auto" w:fill="auto"/>
            <w:noWrap/>
            <w:hideMark/>
          </w:tcPr>
          <w:p w14:paraId="64487F62" w14:textId="77777777" w:rsidR="006D4DDB" w:rsidRPr="00C23847" w:rsidRDefault="006D4DDB" w:rsidP="00260F29">
            <w:pPr>
              <w:jc w:val="center"/>
              <w:rPr>
                <w:sz w:val="20"/>
                <w:szCs w:val="20"/>
              </w:rPr>
            </w:pPr>
          </w:p>
        </w:tc>
      </w:tr>
      <w:tr w:rsidR="006D4DDB" w:rsidRPr="00C23847" w14:paraId="04E971DC" w14:textId="77777777" w:rsidTr="00C23847">
        <w:tc>
          <w:tcPr>
            <w:tcW w:w="3374" w:type="dxa"/>
            <w:shd w:val="clear" w:color="auto" w:fill="auto"/>
            <w:noWrap/>
            <w:hideMark/>
          </w:tcPr>
          <w:p w14:paraId="11A13481" w14:textId="646D7CB6" w:rsidR="006D4DDB" w:rsidRPr="00C23847" w:rsidRDefault="00DF24D0" w:rsidP="00C23847">
            <w:pPr>
              <w:jc w:val="left"/>
              <w:rPr>
                <w:sz w:val="20"/>
                <w:szCs w:val="20"/>
              </w:rPr>
            </w:pPr>
            <w:r>
              <w:rPr>
                <w:sz w:val="20"/>
                <w:szCs w:val="20"/>
              </w:rPr>
              <w:t>I</w:t>
            </w:r>
            <w:r w:rsidR="006D4DDB" w:rsidRPr="00C23847">
              <w:rPr>
                <w:sz w:val="20"/>
                <w:szCs w:val="20"/>
              </w:rPr>
              <w:t>nterests</w:t>
            </w:r>
          </w:p>
        </w:tc>
        <w:tc>
          <w:tcPr>
            <w:tcW w:w="1440" w:type="dxa"/>
            <w:shd w:val="clear" w:color="auto" w:fill="auto"/>
            <w:noWrap/>
            <w:hideMark/>
          </w:tcPr>
          <w:p w14:paraId="70680297" w14:textId="77777777" w:rsidR="006D4DDB" w:rsidRPr="00C23847" w:rsidRDefault="006D4DDB" w:rsidP="00260F29">
            <w:pPr>
              <w:tabs>
                <w:tab w:val="decimal" w:pos="744"/>
              </w:tabs>
              <w:jc w:val="left"/>
              <w:rPr>
                <w:sz w:val="20"/>
                <w:szCs w:val="20"/>
              </w:rPr>
            </w:pPr>
          </w:p>
        </w:tc>
        <w:tc>
          <w:tcPr>
            <w:tcW w:w="1620" w:type="dxa"/>
            <w:shd w:val="clear" w:color="auto" w:fill="auto"/>
            <w:noWrap/>
            <w:hideMark/>
          </w:tcPr>
          <w:p w14:paraId="613850DE" w14:textId="77777777" w:rsidR="006D4DDB" w:rsidRPr="00C23847" w:rsidRDefault="006D4DDB" w:rsidP="00260F29">
            <w:pPr>
              <w:tabs>
                <w:tab w:val="decimal" w:pos="744"/>
              </w:tabs>
              <w:jc w:val="left"/>
              <w:rPr>
                <w:sz w:val="20"/>
                <w:szCs w:val="20"/>
              </w:rPr>
            </w:pPr>
          </w:p>
        </w:tc>
        <w:tc>
          <w:tcPr>
            <w:tcW w:w="1890" w:type="dxa"/>
            <w:shd w:val="clear" w:color="auto" w:fill="auto"/>
            <w:noWrap/>
            <w:hideMark/>
          </w:tcPr>
          <w:p w14:paraId="488331C9" w14:textId="77777777" w:rsidR="006D4DDB" w:rsidRPr="00C23847" w:rsidRDefault="006D4DDB" w:rsidP="00C23847">
            <w:pPr>
              <w:jc w:val="center"/>
              <w:rPr>
                <w:sz w:val="20"/>
                <w:szCs w:val="20"/>
              </w:rPr>
            </w:pPr>
          </w:p>
        </w:tc>
        <w:tc>
          <w:tcPr>
            <w:tcW w:w="1350" w:type="dxa"/>
            <w:shd w:val="clear" w:color="auto" w:fill="auto"/>
            <w:noWrap/>
            <w:hideMark/>
          </w:tcPr>
          <w:p w14:paraId="6C19BD64" w14:textId="77777777" w:rsidR="006D4DDB" w:rsidRPr="00C23847" w:rsidRDefault="006D4DDB" w:rsidP="00C23847">
            <w:pPr>
              <w:jc w:val="center"/>
              <w:rPr>
                <w:sz w:val="20"/>
                <w:szCs w:val="20"/>
              </w:rPr>
            </w:pPr>
          </w:p>
        </w:tc>
        <w:tc>
          <w:tcPr>
            <w:tcW w:w="1980" w:type="dxa"/>
            <w:shd w:val="clear" w:color="auto" w:fill="auto"/>
            <w:noWrap/>
            <w:hideMark/>
          </w:tcPr>
          <w:p w14:paraId="32838935" w14:textId="77777777" w:rsidR="006D4DDB" w:rsidRPr="00C23847" w:rsidRDefault="006D4DDB" w:rsidP="00C23847">
            <w:pPr>
              <w:jc w:val="center"/>
              <w:rPr>
                <w:sz w:val="20"/>
                <w:szCs w:val="20"/>
              </w:rPr>
            </w:pPr>
          </w:p>
        </w:tc>
        <w:tc>
          <w:tcPr>
            <w:tcW w:w="898" w:type="dxa"/>
            <w:shd w:val="clear" w:color="auto" w:fill="auto"/>
            <w:noWrap/>
            <w:hideMark/>
          </w:tcPr>
          <w:p w14:paraId="7B339509" w14:textId="77777777" w:rsidR="006D4DDB" w:rsidRPr="00C23847" w:rsidRDefault="006D4DDB" w:rsidP="00260F29">
            <w:pPr>
              <w:jc w:val="center"/>
              <w:rPr>
                <w:sz w:val="20"/>
                <w:szCs w:val="20"/>
              </w:rPr>
            </w:pPr>
          </w:p>
        </w:tc>
      </w:tr>
      <w:tr w:rsidR="006D4DDB" w:rsidRPr="00C23847" w14:paraId="3BD311AA" w14:textId="77777777" w:rsidTr="00C23847">
        <w:tc>
          <w:tcPr>
            <w:tcW w:w="3374" w:type="dxa"/>
            <w:shd w:val="clear" w:color="auto" w:fill="auto"/>
            <w:noWrap/>
            <w:hideMark/>
          </w:tcPr>
          <w:p w14:paraId="0AC1B481" w14:textId="57564654" w:rsidR="006D4DDB" w:rsidRPr="00C23847" w:rsidRDefault="00DF24D0" w:rsidP="00C23847">
            <w:pPr>
              <w:jc w:val="left"/>
              <w:rPr>
                <w:sz w:val="20"/>
                <w:szCs w:val="20"/>
              </w:rPr>
            </w:pPr>
            <w:r>
              <w:rPr>
                <w:sz w:val="20"/>
                <w:szCs w:val="20"/>
              </w:rPr>
              <w:t>C</w:t>
            </w:r>
            <w:r w:rsidR="006D4DDB" w:rsidRPr="00C23847">
              <w:rPr>
                <w:sz w:val="20"/>
                <w:szCs w:val="20"/>
              </w:rPr>
              <w:t>ontingency</w:t>
            </w:r>
          </w:p>
        </w:tc>
        <w:tc>
          <w:tcPr>
            <w:tcW w:w="1440" w:type="dxa"/>
            <w:shd w:val="clear" w:color="auto" w:fill="auto"/>
            <w:noWrap/>
            <w:hideMark/>
          </w:tcPr>
          <w:p w14:paraId="44367974" w14:textId="23D4FA28" w:rsidR="006D4DDB" w:rsidRPr="00C23847" w:rsidRDefault="006D4DDB" w:rsidP="00260F29">
            <w:pPr>
              <w:tabs>
                <w:tab w:val="decimal" w:pos="744"/>
              </w:tabs>
              <w:jc w:val="left"/>
              <w:rPr>
                <w:sz w:val="20"/>
                <w:szCs w:val="20"/>
              </w:rPr>
            </w:pPr>
            <w:r w:rsidRPr="00C23847">
              <w:rPr>
                <w:sz w:val="20"/>
                <w:szCs w:val="20"/>
              </w:rPr>
              <w:t>70</w:t>
            </w:r>
            <w:r w:rsidR="00260F29">
              <w:rPr>
                <w:sz w:val="20"/>
                <w:szCs w:val="20"/>
              </w:rPr>
              <w:t>.</w:t>
            </w:r>
            <w:r w:rsidRPr="00C23847">
              <w:rPr>
                <w:sz w:val="20"/>
                <w:szCs w:val="20"/>
              </w:rPr>
              <w:t>00</w:t>
            </w:r>
          </w:p>
        </w:tc>
        <w:tc>
          <w:tcPr>
            <w:tcW w:w="1620" w:type="dxa"/>
            <w:shd w:val="clear" w:color="auto" w:fill="auto"/>
            <w:noWrap/>
            <w:hideMark/>
          </w:tcPr>
          <w:p w14:paraId="78DE20A4" w14:textId="3C8D8AC0" w:rsidR="006D4DDB" w:rsidRPr="00C23847" w:rsidRDefault="006D4DDB" w:rsidP="00260F29">
            <w:pPr>
              <w:tabs>
                <w:tab w:val="decimal" w:pos="744"/>
              </w:tabs>
              <w:jc w:val="left"/>
              <w:rPr>
                <w:sz w:val="20"/>
                <w:szCs w:val="20"/>
              </w:rPr>
            </w:pPr>
            <w:r w:rsidRPr="00C23847">
              <w:rPr>
                <w:sz w:val="20"/>
                <w:szCs w:val="20"/>
              </w:rPr>
              <w:t>70</w:t>
            </w:r>
            <w:r w:rsidR="00260F29">
              <w:rPr>
                <w:sz w:val="20"/>
                <w:szCs w:val="20"/>
              </w:rPr>
              <w:t>.</w:t>
            </w:r>
            <w:r w:rsidRPr="00C23847">
              <w:rPr>
                <w:sz w:val="20"/>
                <w:szCs w:val="20"/>
              </w:rPr>
              <w:t>03</w:t>
            </w:r>
          </w:p>
        </w:tc>
        <w:tc>
          <w:tcPr>
            <w:tcW w:w="1890" w:type="dxa"/>
            <w:shd w:val="clear" w:color="auto" w:fill="auto"/>
            <w:noWrap/>
            <w:hideMark/>
          </w:tcPr>
          <w:p w14:paraId="7C973B0C" w14:textId="77777777" w:rsidR="006D4DDB" w:rsidRPr="00C23847" w:rsidRDefault="006D4DDB" w:rsidP="00C23847">
            <w:pPr>
              <w:jc w:val="center"/>
              <w:rPr>
                <w:sz w:val="20"/>
                <w:szCs w:val="20"/>
              </w:rPr>
            </w:pPr>
          </w:p>
        </w:tc>
        <w:tc>
          <w:tcPr>
            <w:tcW w:w="1350" w:type="dxa"/>
            <w:shd w:val="clear" w:color="auto" w:fill="auto"/>
            <w:noWrap/>
            <w:hideMark/>
          </w:tcPr>
          <w:p w14:paraId="50C124C8" w14:textId="77777777" w:rsidR="006D4DDB" w:rsidRPr="00C23847" w:rsidRDefault="006D4DDB" w:rsidP="00C23847">
            <w:pPr>
              <w:jc w:val="center"/>
              <w:rPr>
                <w:sz w:val="20"/>
                <w:szCs w:val="20"/>
              </w:rPr>
            </w:pPr>
          </w:p>
        </w:tc>
        <w:tc>
          <w:tcPr>
            <w:tcW w:w="1980" w:type="dxa"/>
            <w:shd w:val="clear" w:color="auto" w:fill="auto"/>
            <w:noWrap/>
            <w:hideMark/>
          </w:tcPr>
          <w:p w14:paraId="1CACFC60" w14:textId="77777777" w:rsidR="006D4DDB" w:rsidRPr="00C23847" w:rsidRDefault="006D4DDB" w:rsidP="00C23847">
            <w:pPr>
              <w:jc w:val="center"/>
              <w:rPr>
                <w:sz w:val="20"/>
                <w:szCs w:val="20"/>
              </w:rPr>
            </w:pPr>
          </w:p>
        </w:tc>
        <w:tc>
          <w:tcPr>
            <w:tcW w:w="898" w:type="dxa"/>
            <w:shd w:val="clear" w:color="auto" w:fill="auto"/>
            <w:noWrap/>
            <w:hideMark/>
          </w:tcPr>
          <w:p w14:paraId="335AC20C" w14:textId="77777777" w:rsidR="006D4DDB" w:rsidRPr="00C23847" w:rsidRDefault="006D4DDB" w:rsidP="00260F29">
            <w:pPr>
              <w:jc w:val="center"/>
              <w:rPr>
                <w:sz w:val="20"/>
                <w:szCs w:val="20"/>
              </w:rPr>
            </w:pPr>
          </w:p>
        </w:tc>
      </w:tr>
      <w:tr w:rsidR="006D4DDB" w:rsidRPr="00C23847" w14:paraId="1951E7B9" w14:textId="77777777" w:rsidTr="00C23847">
        <w:tc>
          <w:tcPr>
            <w:tcW w:w="3374" w:type="dxa"/>
            <w:shd w:val="clear" w:color="auto" w:fill="auto"/>
            <w:noWrap/>
            <w:hideMark/>
          </w:tcPr>
          <w:p w14:paraId="2B596F4A" w14:textId="77777777" w:rsidR="006D4DDB" w:rsidRPr="00C23847" w:rsidRDefault="006D4DDB" w:rsidP="00C23847">
            <w:pPr>
              <w:jc w:val="left"/>
              <w:rPr>
                <w:sz w:val="20"/>
                <w:szCs w:val="20"/>
              </w:rPr>
            </w:pPr>
            <w:r w:rsidRPr="00C23847">
              <w:rPr>
                <w:sz w:val="20"/>
                <w:szCs w:val="20"/>
              </w:rPr>
              <w:t>Total expenditure</w:t>
            </w:r>
          </w:p>
        </w:tc>
        <w:tc>
          <w:tcPr>
            <w:tcW w:w="1440" w:type="dxa"/>
            <w:shd w:val="clear" w:color="auto" w:fill="auto"/>
            <w:noWrap/>
            <w:hideMark/>
          </w:tcPr>
          <w:p w14:paraId="210F3D21" w14:textId="27A5E69B" w:rsidR="006D4DDB" w:rsidRPr="00C23847" w:rsidRDefault="006D4DDB" w:rsidP="00260F29">
            <w:pPr>
              <w:tabs>
                <w:tab w:val="decimal" w:pos="744"/>
              </w:tabs>
              <w:jc w:val="left"/>
              <w:rPr>
                <w:sz w:val="20"/>
                <w:szCs w:val="20"/>
              </w:rPr>
            </w:pPr>
            <w:r w:rsidRPr="00C23847">
              <w:rPr>
                <w:sz w:val="20"/>
                <w:szCs w:val="20"/>
              </w:rPr>
              <w:t>5</w:t>
            </w:r>
            <w:r w:rsidR="00260F29">
              <w:rPr>
                <w:sz w:val="20"/>
                <w:szCs w:val="20"/>
              </w:rPr>
              <w:t>,</w:t>
            </w:r>
            <w:r w:rsidRPr="00C23847">
              <w:rPr>
                <w:sz w:val="20"/>
                <w:szCs w:val="20"/>
              </w:rPr>
              <w:t>668</w:t>
            </w:r>
            <w:r w:rsidR="00260F29">
              <w:rPr>
                <w:sz w:val="20"/>
                <w:szCs w:val="20"/>
              </w:rPr>
              <w:t>.</w:t>
            </w:r>
            <w:r w:rsidRPr="00C23847">
              <w:rPr>
                <w:sz w:val="20"/>
                <w:szCs w:val="20"/>
              </w:rPr>
              <w:t>50</w:t>
            </w:r>
          </w:p>
        </w:tc>
        <w:tc>
          <w:tcPr>
            <w:tcW w:w="1620" w:type="dxa"/>
            <w:shd w:val="clear" w:color="auto" w:fill="auto"/>
            <w:noWrap/>
            <w:hideMark/>
          </w:tcPr>
          <w:p w14:paraId="60A8ED42" w14:textId="05C5998B" w:rsidR="006D4DDB" w:rsidRPr="00C23847" w:rsidRDefault="006D4DDB" w:rsidP="00260F29">
            <w:pPr>
              <w:tabs>
                <w:tab w:val="decimal" w:pos="744"/>
              </w:tabs>
              <w:jc w:val="left"/>
              <w:rPr>
                <w:sz w:val="20"/>
                <w:szCs w:val="20"/>
              </w:rPr>
            </w:pPr>
            <w:r w:rsidRPr="00C23847">
              <w:rPr>
                <w:sz w:val="20"/>
                <w:szCs w:val="20"/>
              </w:rPr>
              <w:t>4</w:t>
            </w:r>
            <w:r w:rsidR="00260F29">
              <w:rPr>
                <w:sz w:val="20"/>
                <w:szCs w:val="20"/>
              </w:rPr>
              <w:t>,</w:t>
            </w:r>
            <w:r w:rsidRPr="00C23847">
              <w:rPr>
                <w:sz w:val="20"/>
                <w:szCs w:val="20"/>
              </w:rPr>
              <w:t>431</w:t>
            </w:r>
            <w:r w:rsidR="00260F29">
              <w:rPr>
                <w:sz w:val="20"/>
                <w:szCs w:val="20"/>
              </w:rPr>
              <w:t>.</w:t>
            </w:r>
            <w:r w:rsidRPr="00C23847">
              <w:rPr>
                <w:sz w:val="20"/>
                <w:szCs w:val="20"/>
              </w:rPr>
              <w:t>91</w:t>
            </w:r>
          </w:p>
        </w:tc>
        <w:tc>
          <w:tcPr>
            <w:tcW w:w="1890" w:type="dxa"/>
            <w:shd w:val="clear" w:color="auto" w:fill="auto"/>
            <w:noWrap/>
            <w:hideMark/>
          </w:tcPr>
          <w:p w14:paraId="4BA2E7C0" w14:textId="77777777" w:rsidR="006D4DDB" w:rsidRPr="00C23847" w:rsidRDefault="006D4DDB" w:rsidP="00C23847">
            <w:pPr>
              <w:jc w:val="center"/>
              <w:rPr>
                <w:sz w:val="20"/>
                <w:szCs w:val="20"/>
              </w:rPr>
            </w:pPr>
          </w:p>
        </w:tc>
        <w:tc>
          <w:tcPr>
            <w:tcW w:w="1350" w:type="dxa"/>
            <w:shd w:val="clear" w:color="auto" w:fill="auto"/>
            <w:noWrap/>
            <w:hideMark/>
          </w:tcPr>
          <w:p w14:paraId="43A1845F" w14:textId="77777777" w:rsidR="006D4DDB" w:rsidRPr="00C23847" w:rsidRDefault="006D4DDB" w:rsidP="00C23847">
            <w:pPr>
              <w:jc w:val="center"/>
              <w:rPr>
                <w:sz w:val="20"/>
                <w:szCs w:val="20"/>
              </w:rPr>
            </w:pPr>
          </w:p>
        </w:tc>
        <w:tc>
          <w:tcPr>
            <w:tcW w:w="1980" w:type="dxa"/>
            <w:shd w:val="clear" w:color="auto" w:fill="auto"/>
            <w:noWrap/>
            <w:hideMark/>
          </w:tcPr>
          <w:p w14:paraId="265FFF43" w14:textId="77777777" w:rsidR="006D4DDB" w:rsidRPr="00C23847" w:rsidRDefault="006D4DDB" w:rsidP="00C23847">
            <w:pPr>
              <w:jc w:val="center"/>
              <w:rPr>
                <w:sz w:val="20"/>
                <w:szCs w:val="20"/>
              </w:rPr>
            </w:pPr>
          </w:p>
        </w:tc>
        <w:tc>
          <w:tcPr>
            <w:tcW w:w="898" w:type="dxa"/>
            <w:shd w:val="clear" w:color="auto" w:fill="auto"/>
            <w:noWrap/>
            <w:hideMark/>
          </w:tcPr>
          <w:p w14:paraId="4BD08382" w14:textId="77777777" w:rsidR="006D4DDB" w:rsidRPr="00C23847" w:rsidRDefault="006D4DDB" w:rsidP="00260F29">
            <w:pPr>
              <w:jc w:val="center"/>
              <w:rPr>
                <w:sz w:val="20"/>
                <w:szCs w:val="20"/>
              </w:rPr>
            </w:pPr>
          </w:p>
        </w:tc>
      </w:tr>
      <w:tr w:rsidR="006D4DDB" w:rsidRPr="00C23847" w14:paraId="649A6627" w14:textId="77777777" w:rsidTr="00C23847">
        <w:tc>
          <w:tcPr>
            <w:tcW w:w="3374" w:type="dxa"/>
            <w:shd w:val="clear" w:color="auto" w:fill="auto"/>
            <w:noWrap/>
            <w:hideMark/>
          </w:tcPr>
          <w:p w14:paraId="76336158" w14:textId="77777777" w:rsidR="006D4DDB" w:rsidRPr="00C23847" w:rsidRDefault="006D4DDB" w:rsidP="00C23847">
            <w:pPr>
              <w:jc w:val="left"/>
              <w:rPr>
                <w:sz w:val="20"/>
                <w:szCs w:val="20"/>
              </w:rPr>
            </w:pPr>
            <w:r w:rsidRPr="00C23847">
              <w:rPr>
                <w:sz w:val="20"/>
                <w:szCs w:val="20"/>
              </w:rPr>
              <w:t>Overall (PI-1) variance</w:t>
            </w:r>
          </w:p>
        </w:tc>
        <w:tc>
          <w:tcPr>
            <w:tcW w:w="1440" w:type="dxa"/>
            <w:shd w:val="clear" w:color="auto" w:fill="auto"/>
            <w:noWrap/>
            <w:hideMark/>
          </w:tcPr>
          <w:p w14:paraId="2C2A7591" w14:textId="77777777" w:rsidR="006D4DDB" w:rsidRPr="00C23847" w:rsidRDefault="006D4DDB" w:rsidP="00C23847">
            <w:pPr>
              <w:jc w:val="center"/>
              <w:rPr>
                <w:sz w:val="20"/>
                <w:szCs w:val="20"/>
              </w:rPr>
            </w:pPr>
          </w:p>
        </w:tc>
        <w:tc>
          <w:tcPr>
            <w:tcW w:w="1620" w:type="dxa"/>
            <w:shd w:val="clear" w:color="auto" w:fill="auto"/>
            <w:noWrap/>
            <w:hideMark/>
          </w:tcPr>
          <w:p w14:paraId="73ECF43E" w14:textId="77777777" w:rsidR="006D4DDB" w:rsidRPr="00C23847" w:rsidRDefault="006D4DDB" w:rsidP="00C23847">
            <w:pPr>
              <w:jc w:val="center"/>
              <w:rPr>
                <w:sz w:val="20"/>
                <w:szCs w:val="20"/>
              </w:rPr>
            </w:pPr>
          </w:p>
        </w:tc>
        <w:tc>
          <w:tcPr>
            <w:tcW w:w="1890" w:type="dxa"/>
            <w:shd w:val="clear" w:color="auto" w:fill="auto"/>
            <w:noWrap/>
            <w:hideMark/>
          </w:tcPr>
          <w:p w14:paraId="6462F40B" w14:textId="77777777" w:rsidR="006D4DDB" w:rsidRPr="00C23847" w:rsidRDefault="006D4DDB" w:rsidP="00C23847">
            <w:pPr>
              <w:jc w:val="center"/>
              <w:rPr>
                <w:sz w:val="20"/>
                <w:szCs w:val="20"/>
              </w:rPr>
            </w:pPr>
          </w:p>
        </w:tc>
        <w:tc>
          <w:tcPr>
            <w:tcW w:w="1350" w:type="dxa"/>
            <w:shd w:val="clear" w:color="auto" w:fill="auto"/>
            <w:noWrap/>
            <w:hideMark/>
          </w:tcPr>
          <w:p w14:paraId="43393E36" w14:textId="77777777" w:rsidR="006D4DDB" w:rsidRPr="00C23847" w:rsidRDefault="006D4DDB" w:rsidP="00C23847">
            <w:pPr>
              <w:jc w:val="center"/>
              <w:rPr>
                <w:sz w:val="20"/>
                <w:szCs w:val="20"/>
              </w:rPr>
            </w:pPr>
          </w:p>
        </w:tc>
        <w:tc>
          <w:tcPr>
            <w:tcW w:w="1980" w:type="dxa"/>
            <w:shd w:val="clear" w:color="auto" w:fill="auto"/>
            <w:noWrap/>
            <w:hideMark/>
          </w:tcPr>
          <w:p w14:paraId="06146CE5" w14:textId="77777777" w:rsidR="006D4DDB" w:rsidRPr="00C23847" w:rsidRDefault="006D4DDB" w:rsidP="00C23847">
            <w:pPr>
              <w:jc w:val="center"/>
              <w:rPr>
                <w:sz w:val="20"/>
                <w:szCs w:val="20"/>
              </w:rPr>
            </w:pPr>
          </w:p>
        </w:tc>
        <w:tc>
          <w:tcPr>
            <w:tcW w:w="898" w:type="dxa"/>
            <w:shd w:val="clear" w:color="auto" w:fill="auto"/>
            <w:noWrap/>
            <w:hideMark/>
          </w:tcPr>
          <w:p w14:paraId="58A24769" w14:textId="77777777" w:rsidR="006D4DDB" w:rsidRPr="00C23847" w:rsidRDefault="006D4DDB" w:rsidP="00260F29">
            <w:pPr>
              <w:jc w:val="center"/>
              <w:rPr>
                <w:sz w:val="20"/>
                <w:szCs w:val="20"/>
              </w:rPr>
            </w:pPr>
            <w:r w:rsidRPr="00C23847">
              <w:rPr>
                <w:sz w:val="20"/>
                <w:szCs w:val="20"/>
              </w:rPr>
              <w:t>78</w:t>
            </w:r>
          </w:p>
        </w:tc>
      </w:tr>
      <w:tr w:rsidR="006D4DDB" w:rsidRPr="00C23847" w14:paraId="419C52F6" w14:textId="77777777" w:rsidTr="00C23847">
        <w:tc>
          <w:tcPr>
            <w:tcW w:w="3374" w:type="dxa"/>
            <w:shd w:val="clear" w:color="auto" w:fill="auto"/>
            <w:noWrap/>
            <w:hideMark/>
          </w:tcPr>
          <w:p w14:paraId="124DCC4C" w14:textId="77777777" w:rsidR="006D4DDB" w:rsidRPr="00C23847" w:rsidRDefault="006D4DDB" w:rsidP="00C23847">
            <w:pPr>
              <w:jc w:val="left"/>
              <w:rPr>
                <w:sz w:val="20"/>
                <w:szCs w:val="20"/>
              </w:rPr>
            </w:pPr>
            <w:r w:rsidRPr="00C23847">
              <w:rPr>
                <w:sz w:val="20"/>
                <w:szCs w:val="20"/>
              </w:rPr>
              <w:t>Composition (PI-2) variance</w:t>
            </w:r>
          </w:p>
        </w:tc>
        <w:tc>
          <w:tcPr>
            <w:tcW w:w="1440" w:type="dxa"/>
            <w:shd w:val="clear" w:color="auto" w:fill="auto"/>
            <w:noWrap/>
            <w:hideMark/>
          </w:tcPr>
          <w:p w14:paraId="4DA34930" w14:textId="77777777" w:rsidR="006D4DDB" w:rsidRPr="00C23847" w:rsidRDefault="006D4DDB" w:rsidP="00C23847">
            <w:pPr>
              <w:jc w:val="center"/>
              <w:rPr>
                <w:sz w:val="20"/>
                <w:szCs w:val="20"/>
              </w:rPr>
            </w:pPr>
          </w:p>
        </w:tc>
        <w:tc>
          <w:tcPr>
            <w:tcW w:w="1620" w:type="dxa"/>
            <w:shd w:val="clear" w:color="auto" w:fill="auto"/>
            <w:noWrap/>
            <w:hideMark/>
          </w:tcPr>
          <w:p w14:paraId="0C3B9E84" w14:textId="77777777" w:rsidR="006D4DDB" w:rsidRPr="00C23847" w:rsidRDefault="006D4DDB" w:rsidP="00C23847">
            <w:pPr>
              <w:jc w:val="center"/>
              <w:rPr>
                <w:sz w:val="20"/>
                <w:szCs w:val="20"/>
              </w:rPr>
            </w:pPr>
          </w:p>
        </w:tc>
        <w:tc>
          <w:tcPr>
            <w:tcW w:w="1890" w:type="dxa"/>
            <w:shd w:val="clear" w:color="auto" w:fill="auto"/>
            <w:noWrap/>
            <w:hideMark/>
          </w:tcPr>
          <w:p w14:paraId="663CECE4" w14:textId="77777777" w:rsidR="006D4DDB" w:rsidRPr="00C23847" w:rsidRDefault="006D4DDB" w:rsidP="00C23847">
            <w:pPr>
              <w:jc w:val="center"/>
              <w:rPr>
                <w:sz w:val="20"/>
                <w:szCs w:val="20"/>
              </w:rPr>
            </w:pPr>
          </w:p>
        </w:tc>
        <w:tc>
          <w:tcPr>
            <w:tcW w:w="1350" w:type="dxa"/>
            <w:shd w:val="clear" w:color="auto" w:fill="auto"/>
            <w:noWrap/>
            <w:hideMark/>
          </w:tcPr>
          <w:p w14:paraId="4A58D6D8" w14:textId="77777777" w:rsidR="006D4DDB" w:rsidRPr="00C23847" w:rsidRDefault="006D4DDB" w:rsidP="00C23847">
            <w:pPr>
              <w:jc w:val="center"/>
              <w:rPr>
                <w:sz w:val="20"/>
                <w:szCs w:val="20"/>
              </w:rPr>
            </w:pPr>
          </w:p>
        </w:tc>
        <w:tc>
          <w:tcPr>
            <w:tcW w:w="1980" w:type="dxa"/>
            <w:shd w:val="clear" w:color="auto" w:fill="auto"/>
            <w:noWrap/>
            <w:hideMark/>
          </w:tcPr>
          <w:p w14:paraId="4D370B83" w14:textId="77777777" w:rsidR="006D4DDB" w:rsidRPr="00C23847" w:rsidRDefault="006D4DDB" w:rsidP="00C23847">
            <w:pPr>
              <w:jc w:val="center"/>
              <w:rPr>
                <w:sz w:val="20"/>
                <w:szCs w:val="20"/>
              </w:rPr>
            </w:pPr>
          </w:p>
        </w:tc>
        <w:tc>
          <w:tcPr>
            <w:tcW w:w="898" w:type="dxa"/>
            <w:shd w:val="clear" w:color="auto" w:fill="auto"/>
            <w:noWrap/>
            <w:hideMark/>
          </w:tcPr>
          <w:p w14:paraId="53C181C5" w14:textId="77777777" w:rsidR="006D4DDB" w:rsidRPr="00C23847" w:rsidRDefault="006D4DDB" w:rsidP="00260F29">
            <w:pPr>
              <w:jc w:val="center"/>
              <w:rPr>
                <w:sz w:val="20"/>
                <w:szCs w:val="20"/>
              </w:rPr>
            </w:pPr>
            <w:r w:rsidRPr="00C23847">
              <w:rPr>
                <w:sz w:val="20"/>
                <w:szCs w:val="20"/>
              </w:rPr>
              <w:t>20</w:t>
            </w:r>
          </w:p>
        </w:tc>
      </w:tr>
      <w:tr w:rsidR="006D4DDB" w:rsidRPr="00C23847" w14:paraId="484A6A4B" w14:textId="77777777" w:rsidTr="00C23847">
        <w:tc>
          <w:tcPr>
            <w:tcW w:w="3374" w:type="dxa"/>
            <w:shd w:val="clear" w:color="auto" w:fill="auto"/>
            <w:noWrap/>
            <w:hideMark/>
          </w:tcPr>
          <w:p w14:paraId="25276C87" w14:textId="77777777" w:rsidR="006D4DDB" w:rsidRPr="00C23847" w:rsidRDefault="006D4DDB" w:rsidP="00C23847">
            <w:pPr>
              <w:jc w:val="left"/>
              <w:rPr>
                <w:sz w:val="20"/>
                <w:szCs w:val="20"/>
              </w:rPr>
            </w:pPr>
            <w:r w:rsidRPr="00C23847">
              <w:rPr>
                <w:sz w:val="20"/>
                <w:szCs w:val="20"/>
              </w:rPr>
              <w:t>Contingency share of budget</w:t>
            </w:r>
          </w:p>
        </w:tc>
        <w:tc>
          <w:tcPr>
            <w:tcW w:w="1440" w:type="dxa"/>
            <w:shd w:val="clear" w:color="auto" w:fill="auto"/>
            <w:noWrap/>
            <w:hideMark/>
          </w:tcPr>
          <w:p w14:paraId="747B439E" w14:textId="77777777" w:rsidR="006D4DDB" w:rsidRPr="00C23847" w:rsidRDefault="006D4DDB" w:rsidP="00C23847">
            <w:pPr>
              <w:jc w:val="center"/>
              <w:rPr>
                <w:sz w:val="20"/>
                <w:szCs w:val="20"/>
              </w:rPr>
            </w:pPr>
          </w:p>
        </w:tc>
        <w:tc>
          <w:tcPr>
            <w:tcW w:w="1620" w:type="dxa"/>
            <w:shd w:val="clear" w:color="auto" w:fill="auto"/>
            <w:noWrap/>
            <w:hideMark/>
          </w:tcPr>
          <w:p w14:paraId="37DDF6AA" w14:textId="77777777" w:rsidR="006D4DDB" w:rsidRPr="00C23847" w:rsidRDefault="006D4DDB" w:rsidP="00C23847">
            <w:pPr>
              <w:jc w:val="center"/>
              <w:rPr>
                <w:sz w:val="20"/>
                <w:szCs w:val="20"/>
              </w:rPr>
            </w:pPr>
          </w:p>
        </w:tc>
        <w:tc>
          <w:tcPr>
            <w:tcW w:w="1890" w:type="dxa"/>
            <w:shd w:val="clear" w:color="auto" w:fill="auto"/>
            <w:noWrap/>
            <w:hideMark/>
          </w:tcPr>
          <w:p w14:paraId="594CB1BF" w14:textId="77777777" w:rsidR="006D4DDB" w:rsidRPr="00C23847" w:rsidRDefault="006D4DDB" w:rsidP="00C23847">
            <w:pPr>
              <w:jc w:val="center"/>
              <w:rPr>
                <w:sz w:val="20"/>
                <w:szCs w:val="20"/>
              </w:rPr>
            </w:pPr>
          </w:p>
        </w:tc>
        <w:tc>
          <w:tcPr>
            <w:tcW w:w="1350" w:type="dxa"/>
            <w:shd w:val="clear" w:color="auto" w:fill="auto"/>
            <w:noWrap/>
            <w:hideMark/>
          </w:tcPr>
          <w:p w14:paraId="6E4BCBFE" w14:textId="77777777" w:rsidR="006D4DDB" w:rsidRPr="00C23847" w:rsidRDefault="006D4DDB" w:rsidP="00C23847">
            <w:pPr>
              <w:jc w:val="center"/>
              <w:rPr>
                <w:sz w:val="20"/>
                <w:szCs w:val="20"/>
              </w:rPr>
            </w:pPr>
          </w:p>
        </w:tc>
        <w:tc>
          <w:tcPr>
            <w:tcW w:w="1980" w:type="dxa"/>
            <w:shd w:val="clear" w:color="auto" w:fill="auto"/>
            <w:noWrap/>
            <w:hideMark/>
          </w:tcPr>
          <w:p w14:paraId="6CDDC6C8" w14:textId="77777777" w:rsidR="006D4DDB" w:rsidRPr="00C23847" w:rsidRDefault="006D4DDB" w:rsidP="00C23847">
            <w:pPr>
              <w:jc w:val="center"/>
              <w:rPr>
                <w:sz w:val="20"/>
                <w:szCs w:val="20"/>
              </w:rPr>
            </w:pPr>
          </w:p>
        </w:tc>
        <w:tc>
          <w:tcPr>
            <w:tcW w:w="898" w:type="dxa"/>
            <w:shd w:val="clear" w:color="auto" w:fill="auto"/>
            <w:noWrap/>
            <w:hideMark/>
          </w:tcPr>
          <w:p w14:paraId="131FDC12" w14:textId="77777777" w:rsidR="006D4DDB" w:rsidRPr="00C23847" w:rsidRDefault="006D4DDB" w:rsidP="00260F29">
            <w:pPr>
              <w:jc w:val="center"/>
              <w:rPr>
                <w:sz w:val="20"/>
                <w:szCs w:val="20"/>
              </w:rPr>
            </w:pPr>
            <w:r w:rsidRPr="00C23847">
              <w:rPr>
                <w:sz w:val="20"/>
                <w:szCs w:val="20"/>
              </w:rPr>
              <w:t>1</w:t>
            </w:r>
          </w:p>
        </w:tc>
      </w:tr>
    </w:tbl>
    <w:p w14:paraId="69DC8B39" w14:textId="77777777" w:rsidR="006D4DDB" w:rsidRPr="00890A84" w:rsidRDefault="006D4DDB" w:rsidP="006D4DDB">
      <w:pPr>
        <w:rPr>
          <w:rStyle w:val="Strong"/>
          <w:sz w:val="22"/>
        </w:rPr>
      </w:pPr>
      <w:r w:rsidRPr="00890A84">
        <w:rPr>
          <w:rStyle w:val="Strong"/>
          <w:sz w:val="22"/>
        </w:rPr>
        <w:br w:type="page"/>
      </w:r>
    </w:p>
    <w:p w14:paraId="4CD5EA97" w14:textId="08A02871" w:rsidR="006D4DDB" w:rsidRPr="00C23847" w:rsidRDefault="006D4DDB" w:rsidP="00C23847">
      <w:pPr>
        <w:pStyle w:val="TableStyle"/>
      </w:pPr>
      <w:r w:rsidRPr="00C23847">
        <w:rPr>
          <w:rStyle w:val="Strong"/>
          <w:b/>
          <w:bCs w:val="0"/>
        </w:rPr>
        <w:t>Year 2015/16 (</w:t>
      </w:r>
      <w:r w:rsidR="00E73ED7">
        <w:rPr>
          <w:rStyle w:val="Strong"/>
          <w:b/>
          <w:bCs w:val="0"/>
        </w:rPr>
        <w:t>Ksh</w:t>
      </w:r>
      <w:r w:rsidR="00457CF7">
        <w:rPr>
          <w:rStyle w:val="Strong"/>
          <w:b/>
          <w:bCs w:val="0"/>
        </w:rPr>
        <w:t>,</w:t>
      </w:r>
      <w:r w:rsidRPr="00C23847">
        <w:rPr>
          <w:rStyle w:val="Strong"/>
          <w:b/>
          <w:bCs w:val="0"/>
        </w:rPr>
        <w:t xml:space="preserve"> million</w:t>
      </w:r>
      <w:r w:rsidR="00457CF7">
        <w:rPr>
          <w:rStyle w:val="Strong"/>
          <w:b/>
          <w:bCs w:val="0"/>
        </w:rPr>
        <w:t>s</w:t>
      </w:r>
      <w:r w:rsidRPr="00C23847">
        <w:rPr>
          <w:rStyle w:val="Strong"/>
          <w:b/>
          <w:bCs w:val="0"/>
        </w:rPr>
        <w:t xml:space="preserve"> </w:t>
      </w:r>
      <w:r w:rsidR="00457CF7">
        <w:rPr>
          <w:rStyle w:val="Strong"/>
          <w:b/>
          <w:bCs w:val="0"/>
        </w:rPr>
        <w:t>and</w:t>
      </w:r>
      <w:r w:rsidR="00457CF7" w:rsidRPr="00C23847">
        <w:rPr>
          <w:rStyle w:val="Strong"/>
          <w:b/>
          <w:bCs w:val="0"/>
        </w:rPr>
        <w:t xml:space="preserve"> </w:t>
      </w:r>
      <w:r w:rsidRPr="00C23847">
        <w:rPr>
          <w:rStyle w:val="Strong"/>
          <w:b/>
          <w:bCs w:val="0"/>
        </w:rPr>
        <w:t>%)</w:t>
      </w:r>
    </w:p>
    <w:tbl>
      <w:tblPr>
        <w:tblW w:w="1241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904"/>
        <w:gridCol w:w="992"/>
        <w:gridCol w:w="992"/>
        <w:gridCol w:w="1843"/>
        <w:gridCol w:w="1134"/>
        <w:gridCol w:w="1985"/>
        <w:gridCol w:w="567"/>
      </w:tblGrid>
      <w:tr w:rsidR="006D4DDB" w:rsidRPr="00C23847" w14:paraId="3A55609E" w14:textId="77777777" w:rsidTr="00C23847">
        <w:trPr>
          <w:tblHeader/>
        </w:trPr>
        <w:tc>
          <w:tcPr>
            <w:tcW w:w="4904" w:type="dxa"/>
            <w:shd w:val="clear" w:color="auto" w:fill="5B9BD5"/>
            <w:noWrap/>
            <w:hideMark/>
          </w:tcPr>
          <w:p w14:paraId="45957760" w14:textId="77777777" w:rsidR="006D4DDB" w:rsidRPr="00C23847" w:rsidRDefault="006D4DDB" w:rsidP="00E13287">
            <w:pPr>
              <w:jc w:val="center"/>
              <w:rPr>
                <w:b/>
                <w:color w:val="FFFFFF" w:themeColor="background1"/>
                <w:sz w:val="20"/>
                <w:szCs w:val="20"/>
              </w:rPr>
            </w:pPr>
            <w:r w:rsidRPr="00C23847">
              <w:rPr>
                <w:b/>
                <w:color w:val="FFFFFF" w:themeColor="background1"/>
                <w:sz w:val="20"/>
                <w:szCs w:val="20"/>
              </w:rPr>
              <w:t>Functional Head</w:t>
            </w:r>
          </w:p>
        </w:tc>
        <w:tc>
          <w:tcPr>
            <w:tcW w:w="992" w:type="dxa"/>
            <w:shd w:val="clear" w:color="auto" w:fill="5B9BD5"/>
            <w:noWrap/>
            <w:hideMark/>
          </w:tcPr>
          <w:p w14:paraId="12117385" w14:textId="77777777" w:rsidR="006D4DDB" w:rsidRPr="00C23847" w:rsidRDefault="006D4DDB" w:rsidP="00E13287">
            <w:pPr>
              <w:jc w:val="center"/>
              <w:rPr>
                <w:b/>
                <w:color w:val="FFFFFF" w:themeColor="background1"/>
                <w:sz w:val="20"/>
                <w:szCs w:val="20"/>
              </w:rPr>
            </w:pPr>
            <w:r w:rsidRPr="00C23847">
              <w:rPr>
                <w:b/>
                <w:color w:val="FFFFFF" w:themeColor="background1"/>
                <w:sz w:val="20"/>
                <w:szCs w:val="20"/>
              </w:rPr>
              <w:t>Budget</w:t>
            </w:r>
          </w:p>
        </w:tc>
        <w:tc>
          <w:tcPr>
            <w:tcW w:w="992" w:type="dxa"/>
            <w:shd w:val="clear" w:color="auto" w:fill="5B9BD5"/>
            <w:noWrap/>
            <w:hideMark/>
          </w:tcPr>
          <w:p w14:paraId="42898065" w14:textId="77777777" w:rsidR="006D4DDB" w:rsidRPr="00C23847" w:rsidRDefault="006D4DDB" w:rsidP="00E13287">
            <w:pPr>
              <w:jc w:val="center"/>
              <w:rPr>
                <w:b/>
                <w:color w:val="FFFFFF" w:themeColor="background1"/>
                <w:sz w:val="20"/>
                <w:szCs w:val="20"/>
              </w:rPr>
            </w:pPr>
            <w:r w:rsidRPr="00C23847">
              <w:rPr>
                <w:b/>
                <w:color w:val="FFFFFF" w:themeColor="background1"/>
                <w:sz w:val="20"/>
                <w:szCs w:val="20"/>
              </w:rPr>
              <w:t>Actual</w:t>
            </w:r>
          </w:p>
        </w:tc>
        <w:tc>
          <w:tcPr>
            <w:tcW w:w="1843" w:type="dxa"/>
            <w:shd w:val="clear" w:color="auto" w:fill="5B9BD5"/>
            <w:hideMark/>
          </w:tcPr>
          <w:p w14:paraId="300F7CAE" w14:textId="77777777" w:rsidR="006D4DDB" w:rsidRPr="00C23847" w:rsidRDefault="006D4DDB" w:rsidP="00E13287">
            <w:pPr>
              <w:jc w:val="center"/>
              <w:rPr>
                <w:b/>
                <w:color w:val="FFFFFF" w:themeColor="background1"/>
                <w:sz w:val="20"/>
                <w:szCs w:val="20"/>
              </w:rPr>
            </w:pPr>
            <w:r w:rsidRPr="00C23847">
              <w:rPr>
                <w:b/>
                <w:color w:val="FFFFFF" w:themeColor="background1"/>
                <w:sz w:val="20"/>
                <w:szCs w:val="20"/>
              </w:rPr>
              <w:t>Adjusted Budget</w:t>
            </w:r>
          </w:p>
        </w:tc>
        <w:tc>
          <w:tcPr>
            <w:tcW w:w="1134" w:type="dxa"/>
            <w:shd w:val="clear" w:color="auto" w:fill="5B9BD5"/>
            <w:hideMark/>
          </w:tcPr>
          <w:p w14:paraId="5D2EFED1" w14:textId="77777777" w:rsidR="006D4DDB" w:rsidRPr="00C23847" w:rsidRDefault="006D4DDB" w:rsidP="00E13287">
            <w:pPr>
              <w:jc w:val="center"/>
              <w:rPr>
                <w:b/>
                <w:color w:val="FFFFFF" w:themeColor="background1"/>
                <w:sz w:val="20"/>
                <w:szCs w:val="20"/>
              </w:rPr>
            </w:pPr>
            <w:r w:rsidRPr="00C23847">
              <w:rPr>
                <w:b/>
                <w:color w:val="FFFFFF" w:themeColor="background1"/>
                <w:sz w:val="20"/>
                <w:szCs w:val="20"/>
              </w:rPr>
              <w:t>Deviation</w:t>
            </w:r>
          </w:p>
        </w:tc>
        <w:tc>
          <w:tcPr>
            <w:tcW w:w="1985" w:type="dxa"/>
            <w:shd w:val="clear" w:color="auto" w:fill="5B9BD5"/>
            <w:hideMark/>
          </w:tcPr>
          <w:p w14:paraId="6EF28F6F" w14:textId="77777777" w:rsidR="006D4DDB" w:rsidRPr="00C23847" w:rsidRDefault="006D4DDB" w:rsidP="00E13287">
            <w:pPr>
              <w:jc w:val="center"/>
              <w:rPr>
                <w:b/>
                <w:color w:val="FFFFFF" w:themeColor="background1"/>
                <w:sz w:val="20"/>
                <w:szCs w:val="20"/>
              </w:rPr>
            </w:pPr>
            <w:r w:rsidRPr="00C23847">
              <w:rPr>
                <w:b/>
                <w:color w:val="FFFFFF" w:themeColor="background1"/>
                <w:sz w:val="20"/>
                <w:szCs w:val="20"/>
              </w:rPr>
              <w:t>Absolute Deviation</w:t>
            </w:r>
          </w:p>
        </w:tc>
        <w:tc>
          <w:tcPr>
            <w:tcW w:w="567" w:type="dxa"/>
            <w:shd w:val="clear" w:color="auto" w:fill="5B9BD5"/>
            <w:noWrap/>
            <w:hideMark/>
          </w:tcPr>
          <w:p w14:paraId="6A758AA9" w14:textId="77777777" w:rsidR="006D4DDB" w:rsidRPr="00C23847" w:rsidRDefault="006D4DDB" w:rsidP="00E13287">
            <w:pPr>
              <w:jc w:val="center"/>
              <w:rPr>
                <w:b/>
                <w:color w:val="FFFFFF" w:themeColor="background1"/>
                <w:sz w:val="20"/>
                <w:szCs w:val="20"/>
              </w:rPr>
            </w:pPr>
            <w:r w:rsidRPr="00C23847">
              <w:rPr>
                <w:b/>
                <w:color w:val="FFFFFF" w:themeColor="background1"/>
                <w:sz w:val="20"/>
                <w:szCs w:val="20"/>
              </w:rPr>
              <w:t>%</w:t>
            </w:r>
          </w:p>
        </w:tc>
      </w:tr>
      <w:tr w:rsidR="006D4DDB" w:rsidRPr="00C23847" w14:paraId="44FEBD29" w14:textId="77777777" w:rsidTr="00C23847">
        <w:tc>
          <w:tcPr>
            <w:tcW w:w="4904" w:type="dxa"/>
            <w:shd w:val="clear" w:color="auto" w:fill="auto"/>
            <w:noWrap/>
            <w:hideMark/>
          </w:tcPr>
          <w:p w14:paraId="78686476" w14:textId="77777777" w:rsidR="006D4DDB" w:rsidRPr="00C23847" w:rsidRDefault="006D4DDB" w:rsidP="00E13287">
            <w:pPr>
              <w:jc w:val="left"/>
              <w:rPr>
                <w:sz w:val="20"/>
                <w:szCs w:val="20"/>
              </w:rPr>
            </w:pPr>
            <w:r w:rsidRPr="00C23847">
              <w:rPr>
                <w:sz w:val="20"/>
                <w:szCs w:val="20"/>
              </w:rPr>
              <w:t>Office of the Governor and the Deputy Governor</w:t>
            </w:r>
          </w:p>
        </w:tc>
        <w:tc>
          <w:tcPr>
            <w:tcW w:w="992" w:type="dxa"/>
            <w:shd w:val="clear" w:color="auto" w:fill="auto"/>
            <w:noWrap/>
            <w:hideMark/>
          </w:tcPr>
          <w:p w14:paraId="57E3059E" w14:textId="77777777" w:rsidR="006D4DDB" w:rsidRPr="00C23847" w:rsidRDefault="006D4DDB" w:rsidP="008E2DF1">
            <w:pPr>
              <w:tabs>
                <w:tab w:val="decimal" w:pos="469"/>
              </w:tabs>
              <w:jc w:val="left"/>
              <w:rPr>
                <w:sz w:val="20"/>
                <w:szCs w:val="20"/>
              </w:rPr>
            </w:pPr>
            <w:r w:rsidRPr="00C23847">
              <w:rPr>
                <w:sz w:val="20"/>
                <w:szCs w:val="20"/>
              </w:rPr>
              <w:t>167.87</w:t>
            </w:r>
          </w:p>
        </w:tc>
        <w:tc>
          <w:tcPr>
            <w:tcW w:w="992" w:type="dxa"/>
            <w:shd w:val="clear" w:color="auto" w:fill="auto"/>
            <w:noWrap/>
            <w:hideMark/>
          </w:tcPr>
          <w:p w14:paraId="3B5B56E4" w14:textId="77777777" w:rsidR="006D4DDB" w:rsidRPr="00C23847" w:rsidRDefault="006D4DDB" w:rsidP="008E2DF1">
            <w:pPr>
              <w:tabs>
                <w:tab w:val="decimal" w:pos="470"/>
              </w:tabs>
              <w:rPr>
                <w:sz w:val="20"/>
                <w:szCs w:val="20"/>
              </w:rPr>
            </w:pPr>
            <w:r w:rsidRPr="00C23847">
              <w:rPr>
                <w:sz w:val="20"/>
                <w:szCs w:val="20"/>
              </w:rPr>
              <w:t>185.57</w:t>
            </w:r>
          </w:p>
        </w:tc>
        <w:tc>
          <w:tcPr>
            <w:tcW w:w="1843" w:type="dxa"/>
            <w:shd w:val="clear" w:color="auto" w:fill="auto"/>
            <w:noWrap/>
            <w:hideMark/>
          </w:tcPr>
          <w:p w14:paraId="3A213029" w14:textId="77777777" w:rsidR="006D4DDB" w:rsidRPr="00C23847" w:rsidRDefault="006D4DDB" w:rsidP="008E2DF1">
            <w:pPr>
              <w:tabs>
                <w:tab w:val="decimal" w:pos="921"/>
              </w:tabs>
              <w:jc w:val="left"/>
              <w:rPr>
                <w:sz w:val="20"/>
                <w:szCs w:val="20"/>
              </w:rPr>
            </w:pPr>
            <w:r w:rsidRPr="00C23847">
              <w:rPr>
                <w:sz w:val="20"/>
                <w:szCs w:val="20"/>
              </w:rPr>
              <w:t>128.20</w:t>
            </w:r>
          </w:p>
        </w:tc>
        <w:tc>
          <w:tcPr>
            <w:tcW w:w="1134" w:type="dxa"/>
            <w:shd w:val="clear" w:color="auto" w:fill="auto"/>
            <w:noWrap/>
            <w:hideMark/>
          </w:tcPr>
          <w:p w14:paraId="26416BBD" w14:textId="77777777" w:rsidR="006D4DDB" w:rsidRPr="00C23847" w:rsidRDefault="006D4DDB" w:rsidP="008E2DF1">
            <w:pPr>
              <w:tabs>
                <w:tab w:val="decimal" w:pos="432"/>
              </w:tabs>
              <w:jc w:val="left"/>
              <w:rPr>
                <w:sz w:val="20"/>
                <w:szCs w:val="20"/>
              </w:rPr>
            </w:pPr>
            <w:r w:rsidRPr="00C23847">
              <w:rPr>
                <w:sz w:val="20"/>
                <w:szCs w:val="20"/>
              </w:rPr>
              <w:t>57.37</w:t>
            </w:r>
          </w:p>
        </w:tc>
        <w:tc>
          <w:tcPr>
            <w:tcW w:w="1985" w:type="dxa"/>
            <w:shd w:val="clear" w:color="auto" w:fill="auto"/>
            <w:noWrap/>
            <w:hideMark/>
          </w:tcPr>
          <w:p w14:paraId="36CEF925" w14:textId="77777777" w:rsidR="006D4DDB" w:rsidRPr="00C23847" w:rsidRDefault="006D4DDB" w:rsidP="008E2DF1">
            <w:pPr>
              <w:tabs>
                <w:tab w:val="decimal" w:pos="915"/>
              </w:tabs>
              <w:jc w:val="left"/>
              <w:rPr>
                <w:sz w:val="20"/>
                <w:szCs w:val="20"/>
              </w:rPr>
            </w:pPr>
            <w:r w:rsidRPr="00C23847">
              <w:rPr>
                <w:sz w:val="20"/>
                <w:szCs w:val="20"/>
              </w:rPr>
              <w:t>57.37</w:t>
            </w:r>
          </w:p>
        </w:tc>
        <w:tc>
          <w:tcPr>
            <w:tcW w:w="567" w:type="dxa"/>
            <w:shd w:val="clear" w:color="auto" w:fill="auto"/>
            <w:noWrap/>
            <w:hideMark/>
          </w:tcPr>
          <w:p w14:paraId="3D38BEDB" w14:textId="77777777" w:rsidR="006D4DDB" w:rsidRPr="00C23847" w:rsidRDefault="006D4DDB" w:rsidP="00E13287">
            <w:pPr>
              <w:jc w:val="center"/>
              <w:rPr>
                <w:sz w:val="20"/>
                <w:szCs w:val="20"/>
              </w:rPr>
            </w:pPr>
            <w:r w:rsidRPr="00C23847">
              <w:rPr>
                <w:sz w:val="20"/>
                <w:szCs w:val="20"/>
              </w:rPr>
              <w:t>45</w:t>
            </w:r>
          </w:p>
        </w:tc>
      </w:tr>
      <w:tr w:rsidR="006D4DDB" w:rsidRPr="00C23847" w14:paraId="2E684389" w14:textId="77777777" w:rsidTr="00C23847">
        <w:tc>
          <w:tcPr>
            <w:tcW w:w="4904" w:type="dxa"/>
            <w:shd w:val="clear" w:color="auto" w:fill="auto"/>
            <w:noWrap/>
            <w:hideMark/>
          </w:tcPr>
          <w:p w14:paraId="7BABB36B" w14:textId="77777777" w:rsidR="006D4DDB" w:rsidRPr="00C23847" w:rsidRDefault="006D4DDB" w:rsidP="00E13287">
            <w:pPr>
              <w:jc w:val="left"/>
              <w:rPr>
                <w:sz w:val="20"/>
                <w:szCs w:val="20"/>
              </w:rPr>
            </w:pPr>
            <w:r w:rsidRPr="00C23847">
              <w:rPr>
                <w:sz w:val="20"/>
                <w:szCs w:val="20"/>
              </w:rPr>
              <w:t>County Public Service Board</w:t>
            </w:r>
          </w:p>
        </w:tc>
        <w:tc>
          <w:tcPr>
            <w:tcW w:w="992" w:type="dxa"/>
            <w:shd w:val="clear" w:color="auto" w:fill="auto"/>
            <w:noWrap/>
            <w:hideMark/>
          </w:tcPr>
          <w:p w14:paraId="050F14CC" w14:textId="77777777" w:rsidR="006D4DDB" w:rsidRPr="00C23847" w:rsidRDefault="006D4DDB" w:rsidP="008E2DF1">
            <w:pPr>
              <w:tabs>
                <w:tab w:val="decimal" w:pos="469"/>
              </w:tabs>
              <w:jc w:val="left"/>
              <w:rPr>
                <w:sz w:val="20"/>
                <w:szCs w:val="20"/>
              </w:rPr>
            </w:pPr>
            <w:r w:rsidRPr="00C23847">
              <w:rPr>
                <w:sz w:val="20"/>
                <w:szCs w:val="20"/>
              </w:rPr>
              <w:t>86.30</w:t>
            </w:r>
          </w:p>
        </w:tc>
        <w:tc>
          <w:tcPr>
            <w:tcW w:w="992" w:type="dxa"/>
            <w:shd w:val="clear" w:color="auto" w:fill="auto"/>
            <w:noWrap/>
            <w:hideMark/>
          </w:tcPr>
          <w:p w14:paraId="2E9D9294" w14:textId="77777777" w:rsidR="006D4DDB" w:rsidRPr="00C23847" w:rsidRDefault="006D4DDB" w:rsidP="008E2DF1">
            <w:pPr>
              <w:tabs>
                <w:tab w:val="decimal" w:pos="470"/>
              </w:tabs>
              <w:rPr>
                <w:sz w:val="20"/>
                <w:szCs w:val="20"/>
              </w:rPr>
            </w:pPr>
            <w:r w:rsidRPr="00C23847">
              <w:rPr>
                <w:sz w:val="20"/>
                <w:szCs w:val="20"/>
              </w:rPr>
              <w:t>85.80</w:t>
            </w:r>
          </w:p>
        </w:tc>
        <w:tc>
          <w:tcPr>
            <w:tcW w:w="1843" w:type="dxa"/>
            <w:shd w:val="clear" w:color="auto" w:fill="auto"/>
            <w:noWrap/>
            <w:hideMark/>
          </w:tcPr>
          <w:p w14:paraId="6E0D01A4" w14:textId="77777777" w:rsidR="006D4DDB" w:rsidRPr="00C23847" w:rsidRDefault="006D4DDB" w:rsidP="008E2DF1">
            <w:pPr>
              <w:tabs>
                <w:tab w:val="decimal" w:pos="921"/>
              </w:tabs>
              <w:jc w:val="left"/>
              <w:rPr>
                <w:sz w:val="20"/>
                <w:szCs w:val="20"/>
              </w:rPr>
            </w:pPr>
            <w:r w:rsidRPr="00C23847">
              <w:rPr>
                <w:sz w:val="20"/>
                <w:szCs w:val="20"/>
              </w:rPr>
              <w:t>65.91</w:t>
            </w:r>
          </w:p>
        </w:tc>
        <w:tc>
          <w:tcPr>
            <w:tcW w:w="1134" w:type="dxa"/>
            <w:shd w:val="clear" w:color="auto" w:fill="auto"/>
            <w:noWrap/>
            <w:hideMark/>
          </w:tcPr>
          <w:p w14:paraId="0404F488" w14:textId="77777777" w:rsidR="006D4DDB" w:rsidRPr="00C23847" w:rsidRDefault="006D4DDB" w:rsidP="008E2DF1">
            <w:pPr>
              <w:tabs>
                <w:tab w:val="decimal" w:pos="432"/>
              </w:tabs>
              <w:jc w:val="left"/>
              <w:rPr>
                <w:sz w:val="20"/>
                <w:szCs w:val="20"/>
              </w:rPr>
            </w:pPr>
            <w:r w:rsidRPr="00C23847">
              <w:rPr>
                <w:sz w:val="20"/>
                <w:szCs w:val="20"/>
              </w:rPr>
              <w:t>19.89</w:t>
            </w:r>
          </w:p>
        </w:tc>
        <w:tc>
          <w:tcPr>
            <w:tcW w:w="1985" w:type="dxa"/>
            <w:shd w:val="clear" w:color="auto" w:fill="auto"/>
            <w:noWrap/>
            <w:hideMark/>
          </w:tcPr>
          <w:p w14:paraId="4D25B3F0" w14:textId="77777777" w:rsidR="006D4DDB" w:rsidRPr="00C23847" w:rsidRDefault="006D4DDB" w:rsidP="008E2DF1">
            <w:pPr>
              <w:tabs>
                <w:tab w:val="decimal" w:pos="915"/>
              </w:tabs>
              <w:jc w:val="left"/>
              <w:rPr>
                <w:sz w:val="20"/>
                <w:szCs w:val="20"/>
              </w:rPr>
            </w:pPr>
            <w:r w:rsidRPr="00C23847">
              <w:rPr>
                <w:sz w:val="20"/>
                <w:szCs w:val="20"/>
              </w:rPr>
              <w:t>19.89</w:t>
            </w:r>
          </w:p>
        </w:tc>
        <w:tc>
          <w:tcPr>
            <w:tcW w:w="567" w:type="dxa"/>
            <w:shd w:val="clear" w:color="auto" w:fill="auto"/>
            <w:noWrap/>
            <w:hideMark/>
          </w:tcPr>
          <w:p w14:paraId="3A74D04F" w14:textId="77777777" w:rsidR="006D4DDB" w:rsidRPr="00C23847" w:rsidRDefault="006D4DDB" w:rsidP="00E13287">
            <w:pPr>
              <w:jc w:val="center"/>
              <w:rPr>
                <w:sz w:val="20"/>
                <w:szCs w:val="20"/>
              </w:rPr>
            </w:pPr>
            <w:r w:rsidRPr="00C23847">
              <w:rPr>
                <w:sz w:val="20"/>
                <w:szCs w:val="20"/>
              </w:rPr>
              <w:t>30</w:t>
            </w:r>
          </w:p>
        </w:tc>
      </w:tr>
      <w:tr w:rsidR="006D4DDB" w:rsidRPr="00C23847" w14:paraId="50F3F608" w14:textId="77777777" w:rsidTr="00C23847">
        <w:tc>
          <w:tcPr>
            <w:tcW w:w="4904" w:type="dxa"/>
            <w:shd w:val="clear" w:color="auto" w:fill="auto"/>
            <w:noWrap/>
            <w:hideMark/>
          </w:tcPr>
          <w:p w14:paraId="70F3BAA1" w14:textId="77777777" w:rsidR="006D4DDB" w:rsidRPr="00C23847" w:rsidRDefault="006D4DDB" w:rsidP="00E13287">
            <w:pPr>
              <w:jc w:val="left"/>
              <w:rPr>
                <w:sz w:val="20"/>
                <w:szCs w:val="20"/>
              </w:rPr>
            </w:pPr>
            <w:r w:rsidRPr="00C23847">
              <w:rPr>
                <w:sz w:val="20"/>
                <w:szCs w:val="20"/>
              </w:rPr>
              <w:t>Education, Youth, Sports, And Social Services </w:t>
            </w:r>
          </w:p>
        </w:tc>
        <w:tc>
          <w:tcPr>
            <w:tcW w:w="992" w:type="dxa"/>
            <w:shd w:val="clear" w:color="auto" w:fill="auto"/>
            <w:noWrap/>
            <w:hideMark/>
          </w:tcPr>
          <w:p w14:paraId="514BA6DA" w14:textId="77777777" w:rsidR="006D4DDB" w:rsidRPr="00C23847" w:rsidRDefault="006D4DDB" w:rsidP="008E2DF1">
            <w:pPr>
              <w:tabs>
                <w:tab w:val="decimal" w:pos="469"/>
              </w:tabs>
              <w:jc w:val="left"/>
              <w:rPr>
                <w:sz w:val="20"/>
                <w:szCs w:val="20"/>
              </w:rPr>
            </w:pPr>
            <w:r w:rsidRPr="00C23847">
              <w:rPr>
                <w:sz w:val="20"/>
                <w:szCs w:val="20"/>
              </w:rPr>
              <w:t>923.52</w:t>
            </w:r>
          </w:p>
        </w:tc>
        <w:tc>
          <w:tcPr>
            <w:tcW w:w="992" w:type="dxa"/>
            <w:shd w:val="clear" w:color="auto" w:fill="auto"/>
            <w:noWrap/>
            <w:hideMark/>
          </w:tcPr>
          <w:p w14:paraId="5E4CD67B" w14:textId="77777777" w:rsidR="006D4DDB" w:rsidRPr="00C23847" w:rsidRDefault="006D4DDB" w:rsidP="008E2DF1">
            <w:pPr>
              <w:tabs>
                <w:tab w:val="decimal" w:pos="470"/>
              </w:tabs>
              <w:rPr>
                <w:sz w:val="20"/>
                <w:szCs w:val="20"/>
              </w:rPr>
            </w:pPr>
            <w:r w:rsidRPr="00C23847">
              <w:rPr>
                <w:sz w:val="20"/>
                <w:szCs w:val="20"/>
              </w:rPr>
              <w:t>642.98</w:t>
            </w:r>
          </w:p>
        </w:tc>
        <w:tc>
          <w:tcPr>
            <w:tcW w:w="1843" w:type="dxa"/>
            <w:shd w:val="clear" w:color="auto" w:fill="auto"/>
            <w:noWrap/>
            <w:hideMark/>
          </w:tcPr>
          <w:p w14:paraId="44CD0BFE" w14:textId="77777777" w:rsidR="006D4DDB" w:rsidRPr="00C23847" w:rsidRDefault="006D4DDB" w:rsidP="008E2DF1">
            <w:pPr>
              <w:tabs>
                <w:tab w:val="decimal" w:pos="921"/>
              </w:tabs>
              <w:jc w:val="left"/>
              <w:rPr>
                <w:sz w:val="20"/>
                <w:szCs w:val="20"/>
              </w:rPr>
            </w:pPr>
            <w:r w:rsidRPr="00C23847">
              <w:rPr>
                <w:sz w:val="20"/>
                <w:szCs w:val="20"/>
              </w:rPr>
              <w:t>705.27</w:t>
            </w:r>
          </w:p>
        </w:tc>
        <w:tc>
          <w:tcPr>
            <w:tcW w:w="1134" w:type="dxa"/>
            <w:shd w:val="clear" w:color="auto" w:fill="auto"/>
            <w:noWrap/>
            <w:hideMark/>
          </w:tcPr>
          <w:p w14:paraId="0951EAEA" w14:textId="77777777" w:rsidR="006D4DDB" w:rsidRPr="00C23847" w:rsidRDefault="006D4DDB" w:rsidP="008E2DF1">
            <w:pPr>
              <w:tabs>
                <w:tab w:val="decimal" w:pos="432"/>
              </w:tabs>
              <w:jc w:val="left"/>
              <w:rPr>
                <w:sz w:val="20"/>
                <w:szCs w:val="20"/>
              </w:rPr>
            </w:pPr>
            <w:r w:rsidRPr="00C23847">
              <w:rPr>
                <w:sz w:val="20"/>
                <w:szCs w:val="20"/>
              </w:rPr>
              <w:t>(62.29)</w:t>
            </w:r>
          </w:p>
        </w:tc>
        <w:tc>
          <w:tcPr>
            <w:tcW w:w="1985" w:type="dxa"/>
            <w:shd w:val="clear" w:color="auto" w:fill="auto"/>
            <w:noWrap/>
            <w:hideMark/>
          </w:tcPr>
          <w:p w14:paraId="26ADCC1B" w14:textId="77777777" w:rsidR="006D4DDB" w:rsidRPr="00C23847" w:rsidRDefault="006D4DDB" w:rsidP="008E2DF1">
            <w:pPr>
              <w:tabs>
                <w:tab w:val="decimal" w:pos="915"/>
              </w:tabs>
              <w:jc w:val="left"/>
              <w:rPr>
                <w:sz w:val="20"/>
                <w:szCs w:val="20"/>
              </w:rPr>
            </w:pPr>
            <w:r w:rsidRPr="00C23847">
              <w:rPr>
                <w:sz w:val="20"/>
                <w:szCs w:val="20"/>
              </w:rPr>
              <w:t>62.29</w:t>
            </w:r>
          </w:p>
        </w:tc>
        <w:tc>
          <w:tcPr>
            <w:tcW w:w="567" w:type="dxa"/>
            <w:shd w:val="clear" w:color="auto" w:fill="auto"/>
            <w:noWrap/>
            <w:hideMark/>
          </w:tcPr>
          <w:p w14:paraId="747BEB04" w14:textId="77777777" w:rsidR="006D4DDB" w:rsidRPr="00C23847" w:rsidRDefault="006D4DDB" w:rsidP="00E13287">
            <w:pPr>
              <w:jc w:val="center"/>
              <w:rPr>
                <w:sz w:val="20"/>
                <w:szCs w:val="20"/>
              </w:rPr>
            </w:pPr>
            <w:r w:rsidRPr="00C23847">
              <w:rPr>
                <w:sz w:val="20"/>
                <w:szCs w:val="20"/>
              </w:rPr>
              <w:t>9</w:t>
            </w:r>
          </w:p>
        </w:tc>
      </w:tr>
      <w:tr w:rsidR="006D4DDB" w:rsidRPr="00C23847" w14:paraId="26FC7B29" w14:textId="77777777" w:rsidTr="00C23847">
        <w:tc>
          <w:tcPr>
            <w:tcW w:w="4904" w:type="dxa"/>
            <w:shd w:val="clear" w:color="auto" w:fill="auto"/>
            <w:noWrap/>
            <w:hideMark/>
          </w:tcPr>
          <w:p w14:paraId="3A327B3B" w14:textId="77777777" w:rsidR="006D4DDB" w:rsidRPr="00C23847" w:rsidRDefault="006D4DDB" w:rsidP="00E13287">
            <w:pPr>
              <w:jc w:val="left"/>
              <w:rPr>
                <w:sz w:val="20"/>
                <w:szCs w:val="20"/>
              </w:rPr>
            </w:pPr>
            <w:r w:rsidRPr="00C23847">
              <w:rPr>
                <w:sz w:val="20"/>
                <w:szCs w:val="20"/>
              </w:rPr>
              <w:t>Health Services </w:t>
            </w:r>
          </w:p>
        </w:tc>
        <w:tc>
          <w:tcPr>
            <w:tcW w:w="992" w:type="dxa"/>
            <w:shd w:val="clear" w:color="auto" w:fill="auto"/>
            <w:noWrap/>
            <w:hideMark/>
          </w:tcPr>
          <w:p w14:paraId="3DAE569B" w14:textId="033C1A59" w:rsidR="006D4DDB" w:rsidRPr="00C23847" w:rsidRDefault="006D4DDB" w:rsidP="008E2DF1">
            <w:pPr>
              <w:tabs>
                <w:tab w:val="decimal" w:pos="469"/>
              </w:tabs>
              <w:jc w:val="left"/>
              <w:rPr>
                <w:sz w:val="20"/>
                <w:szCs w:val="20"/>
              </w:rPr>
            </w:pPr>
            <w:r w:rsidRPr="00C23847">
              <w:rPr>
                <w:sz w:val="20"/>
                <w:szCs w:val="20"/>
              </w:rPr>
              <w:t>1</w:t>
            </w:r>
            <w:r w:rsidR="008E2DF1">
              <w:rPr>
                <w:sz w:val="20"/>
                <w:szCs w:val="20"/>
              </w:rPr>
              <w:t>,</w:t>
            </w:r>
            <w:r w:rsidRPr="00C23847">
              <w:rPr>
                <w:sz w:val="20"/>
                <w:szCs w:val="20"/>
              </w:rPr>
              <w:t>520.70</w:t>
            </w:r>
          </w:p>
        </w:tc>
        <w:tc>
          <w:tcPr>
            <w:tcW w:w="992" w:type="dxa"/>
            <w:shd w:val="clear" w:color="auto" w:fill="auto"/>
            <w:noWrap/>
            <w:hideMark/>
          </w:tcPr>
          <w:p w14:paraId="643D5FC8" w14:textId="33CB6AA6" w:rsidR="006D4DDB" w:rsidRPr="00C23847" w:rsidRDefault="006D4DDB" w:rsidP="008E2DF1">
            <w:pPr>
              <w:tabs>
                <w:tab w:val="decimal" w:pos="470"/>
              </w:tabs>
              <w:rPr>
                <w:sz w:val="20"/>
                <w:szCs w:val="20"/>
              </w:rPr>
            </w:pPr>
            <w:r w:rsidRPr="00C23847">
              <w:rPr>
                <w:sz w:val="20"/>
                <w:szCs w:val="20"/>
              </w:rPr>
              <w:t>1</w:t>
            </w:r>
            <w:r w:rsidR="008E2DF1">
              <w:rPr>
                <w:sz w:val="20"/>
                <w:szCs w:val="20"/>
              </w:rPr>
              <w:t>,</w:t>
            </w:r>
            <w:r w:rsidRPr="00C23847">
              <w:rPr>
                <w:sz w:val="20"/>
                <w:szCs w:val="20"/>
              </w:rPr>
              <w:t>321.02</w:t>
            </w:r>
          </w:p>
        </w:tc>
        <w:tc>
          <w:tcPr>
            <w:tcW w:w="1843" w:type="dxa"/>
            <w:shd w:val="clear" w:color="auto" w:fill="auto"/>
            <w:noWrap/>
            <w:hideMark/>
          </w:tcPr>
          <w:p w14:paraId="219075F1" w14:textId="77777777" w:rsidR="006D4DDB" w:rsidRPr="00C23847" w:rsidRDefault="006D4DDB" w:rsidP="008E2DF1">
            <w:pPr>
              <w:tabs>
                <w:tab w:val="decimal" w:pos="921"/>
              </w:tabs>
              <w:jc w:val="left"/>
              <w:rPr>
                <w:sz w:val="20"/>
                <w:szCs w:val="20"/>
              </w:rPr>
            </w:pPr>
            <w:r w:rsidRPr="00C23847">
              <w:rPr>
                <w:sz w:val="20"/>
                <w:szCs w:val="20"/>
              </w:rPr>
              <w:t>1161.32</w:t>
            </w:r>
          </w:p>
        </w:tc>
        <w:tc>
          <w:tcPr>
            <w:tcW w:w="1134" w:type="dxa"/>
            <w:shd w:val="clear" w:color="auto" w:fill="auto"/>
            <w:noWrap/>
            <w:hideMark/>
          </w:tcPr>
          <w:p w14:paraId="3E0962D0" w14:textId="77777777" w:rsidR="006D4DDB" w:rsidRPr="00C23847" w:rsidRDefault="006D4DDB" w:rsidP="008E2DF1">
            <w:pPr>
              <w:tabs>
                <w:tab w:val="decimal" w:pos="432"/>
              </w:tabs>
              <w:jc w:val="left"/>
              <w:rPr>
                <w:sz w:val="20"/>
                <w:szCs w:val="20"/>
              </w:rPr>
            </w:pPr>
            <w:r w:rsidRPr="00C23847">
              <w:rPr>
                <w:sz w:val="20"/>
                <w:szCs w:val="20"/>
              </w:rPr>
              <w:t>159.70</w:t>
            </w:r>
          </w:p>
        </w:tc>
        <w:tc>
          <w:tcPr>
            <w:tcW w:w="1985" w:type="dxa"/>
            <w:shd w:val="clear" w:color="auto" w:fill="auto"/>
            <w:noWrap/>
            <w:hideMark/>
          </w:tcPr>
          <w:p w14:paraId="09208B40" w14:textId="77777777" w:rsidR="006D4DDB" w:rsidRPr="00C23847" w:rsidRDefault="006D4DDB" w:rsidP="008E2DF1">
            <w:pPr>
              <w:tabs>
                <w:tab w:val="decimal" w:pos="915"/>
              </w:tabs>
              <w:jc w:val="left"/>
              <w:rPr>
                <w:sz w:val="20"/>
                <w:szCs w:val="20"/>
              </w:rPr>
            </w:pPr>
            <w:r w:rsidRPr="00C23847">
              <w:rPr>
                <w:sz w:val="20"/>
                <w:szCs w:val="20"/>
              </w:rPr>
              <w:t>159.70</w:t>
            </w:r>
          </w:p>
        </w:tc>
        <w:tc>
          <w:tcPr>
            <w:tcW w:w="567" w:type="dxa"/>
            <w:shd w:val="clear" w:color="auto" w:fill="auto"/>
            <w:noWrap/>
            <w:hideMark/>
          </w:tcPr>
          <w:p w14:paraId="408AC6E1" w14:textId="77777777" w:rsidR="006D4DDB" w:rsidRPr="00C23847" w:rsidRDefault="006D4DDB" w:rsidP="00E13287">
            <w:pPr>
              <w:jc w:val="center"/>
              <w:rPr>
                <w:sz w:val="20"/>
                <w:szCs w:val="20"/>
              </w:rPr>
            </w:pPr>
            <w:r w:rsidRPr="00C23847">
              <w:rPr>
                <w:sz w:val="20"/>
                <w:szCs w:val="20"/>
              </w:rPr>
              <w:t>14</w:t>
            </w:r>
          </w:p>
        </w:tc>
      </w:tr>
      <w:tr w:rsidR="006D4DDB" w:rsidRPr="00C23847" w14:paraId="278CAA40" w14:textId="77777777" w:rsidTr="00C23847">
        <w:tc>
          <w:tcPr>
            <w:tcW w:w="4904" w:type="dxa"/>
            <w:shd w:val="clear" w:color="auto" w:fill="auto"/>
            <w:noWrap/>
            <w:hideMark/>
          </w:tcPr>
          <w:p w14:paraId="3F0D8A11" w14:textId="7256E68F" w:rsidR="006D4DDB" w:rsidRPr="00C23847" w:rsidRDefault="006D4DDB" w:rsidP="00E13287">
            <w:pPr>
              <w:jc w:val="left"/>
              <w:rPr>
                <w:sz w:val="20"/>
                <w:szCs w:val="20"/>
              </w:rPr>
            </w:pPr>
            <w:r w:rsidRPr="00C23847">
              <w:rPr>
                <w:sz w:val="20"/>
                <w:szCs w:val="20"/>
              </w:rPr>
              <w:t>I</w:t>
            </w:r>
            <w:r w:rsidR="008E2DF1" w:rsidRPr="00C23847">
              <w:rPr>
                <w:sz w:val="20"/>
                <w:szCs w:val="20"/>
              </w:rPr>
              <w:t>CT</w:t>
            </w:r>
            <w:r w:rsidRPr="00C23847">
              <w:rPr>
                <w:sz w:val="20"/>
                <w:szCs w:val="20"/>
              </w:rPr>
              <w:t xml:space="preserve"> and Gender</w:t>
            </w:r>
          </w:p>
        </w:tc>
        <w:tc>
          <w:tcPr>
            <w:tcW w:w="992" w:type="dxa"/>
            <w:shd w:val="clear" w:color="auto" w:fill="auto"/>
            <w:noWrap/>
            <w:hideMark/>
          </w:tcPr>
          <w:p w14:paraId="05769488" w14:textId="77777777" w:rsidR="006D4DDB" w:rsidRPr="00C23847" w:rsidRDefault="006D4DDB" w:rsidP="008E2DF1">
            <w:pPr>
              <w:tabs>
                <w:tab w:val="decimal" w:pos="469"/>
              </w:tabs>
              <w:jc w:val="left"/>
              <w:rPr>
                <w:sz w:val="20"/>
                <w:szCs w:val="20"/>
              </w:rPr>
            </w:pPr>
            <w:r w:rsidRPr="00C23847">
              <w:rPr>
                <w:sz w:val="20"/>
                <w:szCs w:val="20"/>
              </w:rPr>
              <w:t>137.28</w:t>
            </w:r>
          </w:p>
        </w:tc>
        <w:tc>
          <w:tcPr>
            <w:tcW w:w="992" w:type="dxa"/>
            <w:shd w:val="clear" w:color="auto" w:fill="auto"/>
            <w:noWrap/>
            <w:hideMark/>
          </w:tcPr>
          <w:p w14:paraId="312CDD87" w14:textId="77777777" w:rsidR="006D4DDB" w:rsidRPr="00C23847" w:rsidRDefault="006D4DDB" w:rsidP="008E2DF1">
            <w:pPr>
              <w:tabs>
                <w:tab w:val="decimal" w:pos="470"/>
              </w:tabs>
              <w:rPr>
                <w:sz w:val="20"/>
                <w:szCs w:val="20"/>
              </w:rPr>
            </w:pPr>
            <w:r w:rsidRPr="00C23847">
              <w:rPr>
                <w:sz w:val="20"/>
                <w:szCs w:val="20"/>
              </w:rPr>
              <w:t>131.73</w:t>
            </w:r>
          </w:p>
        </w:tc>
        <w:tc>
          <w:tcPr>
            <w:tcW w:w="1843" w:type="dxa"/>
            <w:shd w:val="clear" w:color="auto" w:fill="auto"/>
            <w:noWrap/>
            <w:hideMark/>
          </w:tcPr>
          <w:p w14:paraId="213B5FC2" w14:textId="77777777" w:rsidR="006D4DDB" w:rsidRPr="00C23847" w:rsidRDefault="006D4DDB" w:rsidP="008E2DF1">
            <w:pPr>
              <w:tabs>
                <w:tab w:val="decimal" w:pos="921"/>
              </w:tabs>
              <w:jc w:val="left"/>
              <w:rPr>
                <w:sz w:val="20"/>
                <w:szCs w:val="20"/>
              </w:rPr>
            </w:pPr>
            <w:r w:rsidRPr="00C23847">
              <w:rPr>
                <w:sz w:val="20"/>
                <w:szCs w:val="20"/>
              </w:rPr>
              <w:t>104.84</w:t>
            </w:r>
          </w:p>
        </w:tc>
        <w:tc>
          <w:tcPr>
            <w:tcW w:w="1134" w:type="dxa"/>
            <w:shd w:val="clear" w:color="auto" w:fill="auto"/>
            <w:noWrap/>
            <w:hideMark/>
          </w:tcPr>
          <w:p w14:paraId="7DD55589" w14:textId="77777777" w:rsidR="006D4DDB" w:rsidRPr="00C23847" w:rsidRDefault="006D4DDB" w:rsidP="008E2DF1">
            <w:pPr>
              <w:tabs>
                <w:tab w:val="decimal" w:pos="432"/>
              </w:tabs>
              <w:jc w:val="left"/>
              <w:rPr>
                <w:sz w:val="20"/>
                <w:szCs w:val="20"/>
              </w:rPr>
            </w:pPr>
            <w:r w:rsidRPr="00C23847">
              <w:rPr>
                <w:sz w:val="20"/>
                <w:szCs w:val="20"/>
              </w:rPr>
              <w:t>26.89</w:t>
            </w:r>
          </w:p>
        </w:tc>
        <w:tc>
          <w:tcPr>
            <w:tcW w:w="1985" w:type="dxa"/>
            <w:shd w:val="clear" w:color="auto" w:fill="auto"/>
            <w:noWrap/>
            <w:hideMark/>
          </w:tcPr>
          <w:p w14:paraId="7C3F7495" w14:textId="77777777" w:rsidR="006D4DDB" w:rsidRPr="00C23847" w:rsidRDefault="006D4DDB" w:rsidP="008E2DF1">
            <w:pPr>
              <w:tabs>
                <w:tab w:val="decimal" w:pos="915"/>
              </w:tabs>
              <w:jc w:val="left"/>
              <w:rPr>
                <w:sz w:val="20"/>
                <w:szCs w:val="20"/>
              </w:rPr>
            </w:pPr>
            <w:r w:rsidRPr="00C23847">
              <w:rPr>
                <w:sz w:val="20"/>
                <w:szCs w:val="20"/>
              </w:rPr>
              <w:t>26.89</w:t>
            </w:r>
          </w:p>
        </w:tc>
        <w:tc>
          <w:tcPr>
            <w:tcW w:w="567" w:type="dxa"/>
            <w:shd w:val="clear" w:color="auto" w:fill="auto"/>
            <w:noWrap/>
            <w:hideMark/>
          </w:tcPr>
          <w:p w14:paraId="2968763C" w14:textId="77777777" w:rsidR="006D4DDB" w:rsidRPr="00C23847" w:rsidRDefault="006D4DDB" w:rsidP="00E13287">
            <w:pPr>
              <w:jc w:val="center"/>
              <w:rPr>
                <w:sz w:val="20"/>
                <w:szCs w:val="20"/>
              </w:rPr>
            </w:pPr>
            <w:r w:rsidRPr="00C23847">
              <w:rPr>
                <w:sz w:val="20"/>
                <w:szCs w:val="20"/>
              </w:rPr>
              <w:t>26</w:t>
            </w:r>
          </w:p>
        </w:tc>
      </w:tr>
      <w:tr w:rsidR="006D4DDB" w:rsidRPr="00C23847" w14:paraId="759966DE" w14:textId="77777777" w:rsidTr="00C23847">
        <w:tc>
          <w:tcPr>
            <w:tcW w:w="4904" w:type="dxa"/>
            <w:shd w:val="clear" w:color="auto" w:fill="auto"/>
            <w:noWrap/>
            <w:hideMark/>
          </w:tcPr>
          <w:p w14:paraId="5A6C138B" w14:textId="551083E5" w:rsidR="006D4DDB" w:rsidRPr="00C23847" w:rsidRDefault="006D4DDB" w:rsidP="00E13287">
            <w:pPr>
              <w:jc w:val="left"/>
              <w:rPr>
                <w:sz w:val="20"/>
                <w:szCs w:val="20"/>
              </w:rPr>
            </w:pPr>
            <w:r w:rsidRPr="00C23847">
              <w:rPr>
                <w:sz w:val="20"/>
                <w:szCs w:val="20"/>
              </w:rPr>
              <w:t>Agriculture, Livestock</w:t>
            </w:r>
            <w:r w:rsidR="00DF24D0">
              <w:rPr>
                <w:sz w:val="20"/>
                <w:szCs w:val="20"/>
              </w:rPr>
              <w:t>,</w:t>
            </w:r>
            <w:r w:rsidRPr="00C23847">
              <w:rPr>
                <w:sz w:val="20"/>
                <w:szCs w:val="20"/>
              </w:rPr>
              <w:t xml:space="preserve"> and Fisheries</w:t>
            </w:r>
          </w:p>
        </w:tc>
        <w:tc>
          <w:tcPr>
            <w:tcW w:w="992" w:type="dxa"/>
            <w:shd w:val="clear" w:color="auto" w:fill="auto"/>
            <w:noWrap/>
            <w:hideMark/>
          </w:tcPr>
          <w:p w14:paraId="7F36A178" w14:textId="77777777" w:rsidR="006D4DDB" w:rsidRPr="00C23847" w:rsidRDefault="006D4DDB" w:rsidP="008E2DF1">
            <w:pPr>
              <w:tabs>
                <w:tab w:val="decimal" w:pos="469"/>
              </w:tabs>
              <w:jc w:val="left"/>
              <w:rPr>
                <w:sz w:val="20"/>
                <w:szCs w:val="20"/>
              </w:rPr>
            </w:pPr>
            <w:r w:rsidRPr="00C23847">
              <w:rPr>
                <w:sz w:val="20"/>
                <w:szCs w:val="20"/>
              </w:rPr>
              <w:t>278.47</w:t>
            </w:r>
          </w:p>
        </w:tc>
        <w:tc>
          <w:tcPr>
            <w:tcW w:w="992" w:type="dxa"/>
            <w:shd w:val="clear" w:color="auto" w:fill="auto"/>
            <w:noWrap/>
            <w:hideMark/>
          </w:tcPr>
          <w:p w14:paraId="6DDD80F6" w14:textId="77777777" w:rsidR="006D4DDB" w:rsidRPr="00C23847" w:rsidRDefault="006D4DDB" w:rsidP="008E2DF1">
            <w:pPr>
              <w:tabs>
                <w:tab w:val="decimal" w:pos="470"/>
              </w:tabs>
              <w:rPr>
                <w:sz w:val="20"/>
                <w:szCs w:val="20"/>
              </w:rPr>
            </w:pPr>
            <w:r w:rsidRPr="00C23847">
              <w:rPr>
                <w:sz w:val="20"/>
                <w:szCs w:val="20"/>
              </w:rPr>
              <w:t>226.17</w:t>
            </w:r>
          </w:p>
        </w:tc>
        <w:tc>
          <w:tcPr>
            <w:tcW w:w="1843" w:type="dxa"/>
            <w:shd w:val="clear" w:color="auto" w:fill="auto"/>
            <w:noWrap/>
            <w:hideMark/>
          </w:tcPr>
          <w:p w14:paraId="65A94DAF" w14:textId="77777777" w:rsidR="006D4DDB" w:rsidRPr="00C23847" w:rsidRDefault="006D4DDB" w:rsidP="008E2DF1">
            <w:pPr>
              <w:tabs>
                <w:tab w:val="decimal" w:pos="921"/>
              </w:tabs>
              <w:jc w:val="left"/>
              <w:rPr>
                <w:sz w:val="20"/>
                <w:szCs w:val="20"/>
              </w:rPr>
            </w:pPr>
            <w:r w:rsidRPr="00C23847">
              <w:rPr>
                <w:sz w:val="20"/>
                <w:szCs w:val="20"/>
              </w:rPr>
              <w:t>212.66</w:t>
            </w:r>
          </w:p>
        </w:tc>
        <w:tc>
          <w:tcPr>
            <w:tcW w:w="1134" w:type="dxa"/>
            <w:shd w:val="clear" w:color="auto" w:fill="auto"/>
            <w:noWrap/>
            <w:hideMark/>
          </w:tcPr>
          <w:p w14:paraId="2B161734" w14:textId="77777777" w:rsidR="006D4DDB" w:rsidRPr="00C23847" w:rsidRDefault="006D4DDB" w:rsidP="008E2DF1">
            <w:pPr>
              <w:tabs>
                <w:tab w:val="decimal" w:pos="432"/>
              </w:tabs>
              <w:jc w:val="left"/>
              <w:rPr>
                <w:sz w:val="20"/>
                <w:szCs w:val="20"/>
              </w:rPr>
            </w:pPr>
            <w:r w:rsidRPr="00C23847">
              <w:rPr>
                <w:sz w:val="20"/>
                <w:szCs w:val="20"/>
              </w:rPr>
              <w:t>13.51</w:t>
            </w:r>
          </w:p>
        </w:tc>
        <w:tc>
          <w:tcPr>
            <w:tcW w:w="1985" w:type="dxa"/>
            <w:shd w:val="clear" w:color="auto" w:fill="auto"/>
            <w:noWrap/>
            <w:hideMark/>
          </w:tcPr>
          <w:p w14:paraId="0984FD8F" w14:textId="77777777" w:rsidR="006D4DDB" w:rsidRPr="00C23847" w:rsidRDefault="006D4DDB" w:rsidP="008E2DF1">
            <w:pPr>
              <w:tabs>
                <w:tab w:val="decimal" w:pos="915"/>
              </w:tabs>
              <w:jc w:val="left"/>
              <w:rPr>
                <w:sz w:val="20"/>
                <w:szCs w:val="20"/>
              </w:rPr>
            </w:pPr>
            <w:r w:rsidRPr="00C23847">
              <w:rPr>
                <w:sz w:val="20"/>
                <w:szCs w:val="20"/>
              </w:rPr>
              <w:t>13.51</w:t>
            </w:r>
          </w:p>
        </w:tc>
        <w:tc>
          <w:tcPr>
            <w:tcW w:w="567" w:type="dxa"/>
            <w:shd w:val="clear" w:color="auto" w:fill="auto"/>
            <w:noWrap/>
            <w:hideMark/>
          </w:tcPr>
          <w:p w14:paraId="4E001E5B" w14:textId="77777777" w:rsidR="006D4DDB" w:rsidRPr="00C23847" w:rsidRDefault="006D4DDB" w:rsidP="00E13287">
            <w:pPr>
              <w:jc w:val="center"/>
              <w:rPr>
                <w:sz w:val="20"/>
                <w:szCs w:val="20"/>
              </w:rPr>
            </w:pPr>
            <w:r w:rsidRPr="00C23847">
              <w:rPr>
                <w:sz w:val="20"/>
                <w:szCs w:val="20"/>
              </w:rPr>
              <w:t>6</w:t>
            </w:r>
          </w:p>
        </w:tc>
      </w:tr>
      <w:tr w:rsidR="006D4DDB" w:rsidRPr="00C23847" w14:paraId="1486AACB" w14:textId="77777777" w:rsidTr="00C23847">
        <w:tc>
          <w:tcPr>
            <w:tcW w:w="4904" w:type="dxa"/>
            <w:shd w:val="clear" w:color="auto" w:fill="auto"/>
            <w:noWrap/>
            <w:hideMark/>
          </w:tcPr>
          <w:p w14:paraId="190C3C60" w14:textId="77777777" w:rsidR="006D4DDB" w:rsidRPr="00C23847" w:rsidRDefault="006D4DDB" w:rsidP="00E13287">
            <w:pPr>
              <w:jc w:val="left"/>
              <w:rPr>
                <w:sz w:val="20"/>
                <w:szCs w:val="20"/>
              </w:rPr>
            </w:pPr>
            <w:r w:rsidRPr="00C23847">
              <w:rPr>
                <w:sz w:val="20"/>
                <w:szCs w:val="20"/>
              </w:rPr>
              <w:t>Water and Irrigation</w:t>
            </w:r>
          </w:p>
        </w:tc>
        <w:tc>
          <w:tcPr>
            <w:tcW w:w="992" w:type="dxa"/>
            <w:shd w:val="clear" w:color="auto" w:fill="auto"/>
            <w:noWrap/>
            <w:hideMark/>
          </w:tcPr>
          <w:p w14:paraId="0574EDBE" w14:textId="77777777" w:rsidR="006D4DDB" w:rsidRPr="00C23847" w:rsidRDefault="006D4DDB" w:rsidP="008E2DF1">
            <w:pPr>
              <w:tabs>
                <w:tab w:val="decimal" w:pos="469"/>
              </w:tabs>
              <w:jc w:val="left"/>
              <w:rPr>
                <w:sz w:val="20"/>
                <w:szCs w:val="20"/>
              </w:rPr>
            </w:pPr>
            <w:r w:rsidRPr="00C23847">
              <w:rPr>
                <w:sz w:val="20"/>
                <w:szCs w:val="20"/>
              </w:rPr>
              <w:t>451.85</w:t>
            </w:r>
          </w:p>
        </w:tc>
        <w:tc>
          <w:tcPr>
            <w:tcW w:w="992" w:type="dxa"/>
            <w:shd w:val="clear" w:color="auto" w:fill="auto"/>
            <w:noWrap/>
            <w:hideMark/>
          </w:tcPr>
          <w:p w14:paraId="71D154B5" w14:textId="77777777" w:rsidR="006D4DDB" w:rsidRPr="00C23847" w:rsidRDefault="006D4DDB" w:rsidP="008E2DF1">
            <w:pPr>
              <w:tabs>
                <w:tab w:val="decimal" w:pos="470"/>
              </w:tabs>
              <w:rPr>
                <w:sz w:val="20"/>
                <w:szCs w:val="20"/>
              </w:rPr>
            </w:pPr>
            <w:r w:rsidRPr="00C23847">
              <w:rPr>
                <w:sz w:val="20"/>
                <w:szCs w:val="20"/>
              </w:rPr>
              <w:t>261.47</w:t>
            </w:r>
          </w:p>
        </w:tc>
        <w:tc>
          <w:tcPr>
            <w:tcW w:w="1843" w:type="dxa"/>
            <w:shd w:val="clear" w:color="auto" w:fill="auto"/>
            <w:noWrap/>
            <w:hideMark/>
          </w:tcPr>
          <w:p w14:paraId="06AB96EC" w14:textId="77777777" w:rsidR="006D4DDB" w:rsidRPr="00C23847" w:rsidRDefault="006D4DDB" w:rsidP="008E2DF1">
            <w:pPr>
              <w:tabs>
                <w:tab w:val="decimal" w:pos="921"/>
              </w:tabs>
              <w:jc w:val="left"/>
              <w:rPr>
                <w:sz w:val="20"/>
                <w:szCs w:val="20"/>
              </w:rPr>
            </w:pPr>
            <w:r w:rsidRPr="00C23847">
              <w:rPr>
                <w:sz w:val="20"/>
                <w:szCs w:val="20"/>
              </w:rPr>
              <w:t>345.06</w:t>
            </w:r>
          </w:p>
        </w:tc>
        <w:tc>
          <w:tcPr>
            <w:tcW w:w="1134" w:type="dxa"/>
            <w:shd w:val="clear" w:color="auto" w:fill="auto"/>
            <w:noWrap/>
            <w:hideMark/>
          </w:tcPr>
          <w:p w14:paraId="7FC99640" w14:textId="77777777" w:rsidR="006D4DDB" w:rsidRPr="00C23847" w:rsidRDefault="006D4DDB" w:rsidP="008E2DF1">
            <w:pPr>
              <w:tabs>
                <w:tab w:val="decimal" w:pos="432"/>
              </w:tabs>
              <w:jc w:val="left"/>
              <w:rPr>
                <w:sz w:val="20"/>
                <w:szCs w:val="20"/>
              </w:rPr>
            </w:pPr>
            <w:r w:rsidRPr="00C23847">
              <w:rPr>
                <w:sz w:val="20"/>
                <w:szCs w:val="20"/>
              </w:rPr>
              <w:t>(83.59)</w:t>
            </w:r>
          </w:p>
        </w:tc>
        <w:tc>
          <w:tcPr>
            <w:tcW w:w="1985" w:type="dxa"/>
            <w:shd w:val="clear" w:color="auto" w:fill="auto"/>
            <w:noWrap/>
            <w:hideMark/>
          </w:tcPr>
          <w:p w14:paraId="73961021" w14:textId="77777777" w:rsidR="006D4DDB" w:rsidRPr="00C23847" w:rsidRDefault="006D4DDB" w:rsidP="008E2DF1">
            <w:pPr>
              <w:tabs>
                <w:tab w:val="decimal" w:pos="915"/>
              </w:tabs>
              <w:jc w:val="left"/>
              <w:rPr>
                <w:sz w:val="20"/>
                <w:szCs w:val="20"/>
              </w:rPr>
            </w:pPr>
            <w:r w:rsidRPr="00C23847">
              <w:rPr>
                <w:sz w:val="20"/>
                <w:szCs w:val="20"/>
              </w:rPr>
              <w:t>83.59</w:t>
            </w:r>
          </w:p>
        </w:tc>
        <w:tc>
          <w:tcPr>
            <w:tcW w:w="567" w:type="dxa"/>
            <w:shd w:val="clear" w:color="auto" w:fill="auto"/>
            <w:noWrap/>
            <w:hideMark/>
          </w:tcPr>
          <w:p w14:paraId="5EF5BDFE" w14:textId="77777777" w:rsidR="006D4DDB" w:rsidRPr="00C23847" w:rsidRDefault="006D4DDB" w:rsidP="00E13287">
            <w:pPr>
              <w:jc w:val="center"/>
              <w:rPr>
                <w:sz w:val="20"/>
                <w:szCs w:val="20"/>
              </w:rPr>
            </w:pPr>
            <w:r w:rsidRPr="00C23847">
              <w:rPr>
                <w:sz w:val="20"/>
                <w:szCs w:val="20"/>
              </w:rPr>
              <w:t>24</w:t>
            </w:r>
          </w:p>
        </w:tc>
      </w:tr>
      <w:tr w:rsidR="006D4DDB" w:rsidRPr="00C23847" w14:paraId="1D9149B9" w14:textId="77777777" w:rsidTr="00C23847">
        <w:tc>
          <w:tcPr>
            <w:tcW w:w="4904" w:type="dxa"/>
            <w:shd w:val="clear" w:color="auto" w:fill="auto"/>
            <w:noWrap/>
            <w:hideMark/>
          </w:tcPr>
          <w:p w14:paraId="0D52E858" w14:textId="77777777" w:rsidR="006D4DDB" w:rsidRPr="00C23847" w:rsidRDefault="006D4DDB" w:rsidP="00E13287">
            <w:pPr>
              <w:jc w:val="left"/>
              <w:rPr>
                <w:sz w:val="20"/>
                <w:szCs w:val="20"/>
              </w:rPr>
            </w:pPr>
            <w:r w:rsidRPr="00C23847">
              <w:rPr>
                <w:sz w:val="20"/>
                <w:szCs w:val="20"/>
              </w:rPr>
              <w:t>Public Works, Roads, Transport, And Housing </w:t>
            </w:r>
          </w:p>
        </w:tc>
        <w:tc>
          <w:tcPr>
            <w:tcW w:w="992" w:type="dxa"/>
            <w:shd w:val="clear" w:color="auto" w:fill="auto"/>
            <w:noWrap/>
            <w:hideMark/>
          </w:tcPr>
          <w:p w14:paraId="40A82D18" w14:textId="77777777" w:rsidR="006D4DDB" w:rsidRPr="00C23847" w:rsidRDefault="006D4DDB" w:rsidP="008E2DF1">
            <w:pPr>
              <w:tabs>
                <w:tab w:val="decimal" w:pos="469"/>
              </w:tabs>
              <w:jc w:val="left"/>
              <w:rPr>
                <w:sz w:val="20"/>
                <w:szCs w:val="20"/>
              </w:rPr>
            </w:pPr>
            <w:r w:rsidRPr="00C23847">
              <w:rPr>
                <w:sz w:val="20"/>
                <w:szCs w:val="20"/>
              </w:rPr>
              <w:t>767.88</w:t>
            </w:r>
          </w:p>
        </w:tc>
        <w:tc>
          <w:tcPr>
            <w:tcW w:w="992" w:type="dxa"/>
            <w:shd w:val="clear" w:color="auto" w:fill="auto"/>
            <w:noWrap/>
            <w:hideMark/>
          </w:tcPr>
          <w:p w14:paraId="0ED6C33E" w14:textId="77777777" w:rsidR="006D4DDB" w:rsidRPr="00C23847" w:rsidRDefault="006D4DDB" w:rsidP="008E2DF1">
            <w:pPr>
              <w:tabs>
                <w:tab w:val="decimal" w:pos="470"/>
              </w:tabs>
              <w:rPr>
                <w:sz w:val="20"/>
                <w:szCs w:val="20"/>
              </w:rPr>
            </w:pPr>
            <w:r w:rsidRPr="00C23847">
              <w:rPr>
                <w:sz w:val="20"/>
                <w:szCs w:val="20"/>
              </w:rPr>
              <w:t>572.46</w:t>
            </w:r>
          </w:p>
        </w:tc>
        <w:tc>
          <w:tcPr>
            <w:tcW w:w="1843" w:type="dxa"/>
            <w:shd w:val="clear" w:color="auto" w:fill="auto"/>
            <w:noWrap/>
            <w:hideMark/>
          </w:tcPr>
          <w:p w14:paraId="600CECF9" w14:textId="77777777" w:rsidR="006D4DDB" w:rsidRPr="00C23847" w:rsidRDefault="006D4DDB" w:rsidP="008E2DF1">
            <w:pPr>
              <w:tabs>
                <w:tab w:val="decimal" w:pos="921"/>
              </w:tabs>
              <w:jc w:val="left"/>
              <w:rPr>
                <w:sz w:val="20"/>
                <w:szCs w:val="20"/>
              </w:rPr>
            </w:pPr>
            <w:r w:rsidRPr="00C23847">
              <w:rPr>
                <w:sz w:val="20"/>
                <w:szCs w:val="20"/>
              </w:rPr>
              <w:t>586.41</w:t>
            </w:r>
          </w:p>
        </w:tc>
        <w:tc>
          <w:tcPr>
            <w:tcW w:w="1134" w:type="dxa"/>
            <w:shd w:val="clear" w:color="auto" w:fill="auto"/>
            <w:noWrap/>
            <w:hideMark/>
          </w:tcPr>
          <w:p w14:paraId="6AEC0949" w14:textId="77777777" w:rsidR="006D4DDB" w:rsidRPr="00C23847" w:rsidRDefault="006D4DDB" w:rsidP="008E2DF1">
            <w:pPr>
              <w:tabs>
                <w:tab w:val="decimal" w:pos="432"/>
              </w:tabs>
              <w:jc w:val="left"/>
              <w:rPr>
                <w:sz w:val="20"/>
                <w:szCs w:val="20"/>
              </w:rPr>
            </w:pPr>
            <w:r w:rsidRPr="00C23847">
              <w:rPr>
                <w:sz w:val="20"/>
                <w:szCs w:val="20"/>
              </w:rPr>
              <w:t>(13.95)</w:t>
            </w:r>
          </w:p>
        </w:tc>
        <w:tc>
          <w:tcPr>
            <w:tcW w:w="1985" w:type="dxa"/>
            <w:shd w:val="clear" w:color="auto" w:fill="auto"/>
            <w:noWrap/>
            <w:hideMark/>
          </w:tcPr>
          <w:p w14:paraId="7C2D26E2" w14:textId="77777777" w:rsidR="006D4DDB" w:rsidRPr="00C23847" w:rsidRDefault="006D4DDB" w:rsidP="008E2DF1">
            <w:pPr>
              <w:tabs>
                <w:tab w:val="decimal" w:pos="915"/>
              </w:tabs>
              <w:jc w:val="left"/>
              <w:rPr>
                <w:sz w:val="20"/>
                <w:szCs w:val="20"/>
              </w:rPr>
            </w:pPr>
            <w:r w:rsidRPr="00C23847">
              <w:rPr>
                <w:sz w:val="20"/>
                <w:szCs w:val="20"/>
              </w:rPr>
              <w:t>13.95</w:t>
            </w:r>
          </w:p>
        </w:tc>
        <w:tc>
          <w:tcPr>
            <w:tcW w:w="567" w:type="dxa"/>
            <w:shd w:val="clear" w:color="auto" w:fill="auto"/>
            <w:noWrap/>
            <w:hideMark/>
          </w:tcPr>
          <w:p w14:paraId="6B39A58F" w14:textId="77777777" w:rsidR="006D4DDB" w:rsidRPr="00C23847" w:rsidRDefault="006D4DDB" w:rsidP="00E13287">
            <w:pPr>
              <w:jc w:val="center"/>
              <w:rPr>
                <w:sz w:val="20"/>
                <w:szCs w:val="20"/>
              </w:rPr>
            </w:pPr>
            <w:r w:rsidRPr="00C23847">
              <w:rPr>
                <w:sz w:val="20"/>
                <w:szCs w:val="20"/>
              </w:rPr>
              <w:t>2</w:t>
            </w:r>
          </w:p>
        </w:tc>
      </w:tr>
      <w:tr w:rsidR="006D4DDB" w:rsidRPr="00C23847" w14:paraId="07CA0829" w14:textId="77777777" w:rsidTr="00C23847">
        <w:tc>
          <w:tcPr>
            <w:tcW w:w="4904" w:type="dxa"/>
            <w:shd w:val="clear" w:color="auto" w:fill="auto"/>
            <w:noWrap/>
            <w:hideMark/>
          </w:tcPr>
          <w:p w14:paraId="69C611E6" w14:textId="77777777" w:rsidR="006D4DDB" w:rsidRPr="00C23847" w:rsidRDefault="006D4DDB" w:rsidP="00E13287">
            <w:pPr>
              <w:jc w:val="left"/>
              <w:rPr>
                <w:sz w:val="20"/>
                <w:szCs w:val="20"/>
              </w:rPr>
            </w:pPr>
            <w:r w:rsidRPr="00C23847">
              <w:rPr>
                <w:sz w:val="20"/>
                <w:szCs w:val="20"/>
              </w:rPr>
              <w:t>Finance and Economic Planning</w:t>
            </w:r>
          </w:p>
        </w:tc>
        <w:tc>
          <w:tcPr>
            <w:tcW w:w="992" w:type="dxa"/>
            <w:shd w:val="clear" w:color="auto" w:fill="auto"/>
            <w:noWrap/>
            <w:hideMark/>
          </w:tcPr>
          <w:p w14:paraId="6EA9A0A2" w14:textId="77777777" w:rsidR="006D4DDB" w:rsidRPr="00C23847" w:rsidRDefault="006D4DDB" w:rsidP="008E2DF1">
            <w:pPr>
              <w:tabs>
                <w:tab w:val="decimal" w:pos="469"/>
              </w:tabs>
              <w:jc w:val="left"/>
              <w:rPr>
                <w:sz w:val="20"/>
                <w:szCs w:val="20"/>
              </w:rPr>
            </w:pPr>
            <w:r w:rsidRPr="00C23847">
              <w:rPr>
                <w:sz w:val="20"/>
                <w:szCs w:val="20"/>
              </w:rPr>
              <w:t>444.34</w:t>
            </w:r>
          </w:p>
        </w:tc>
        <w:tc>
          <w:tcPr>
            <w:tcW w:w="992" w:type="dxa"/>
            <w:shd w:val="clear" w:color="auto" w:fill="auto"/>
            <w:noWrap/>
            <w:hideMark/>
          </w:tcPr>
          <w:p w14:paraId="7C845F42" w14:textId="77777777" w:rsidR="006D4DDB" w:rsidRPr="00C23847" w:rsidRDefault="006D4DDB" w:rsidP="008E2DF1">
            <w:pPr>
              <w:tabs>
                <w:tab w:val="decimal" w:pos="470"/>
              </w:tabs>
              <w:rPr>
                <w:sz w:val="20"/>
                <w:szCs w:val="20"/>
              </w:rPr>
            </w:pPr>
            <w:r w:rsidRPr="00C23847">
              <w:rPr>
                <w:sz w:val="20"/>
                <w:szCs w:val="20"/>
              </w:rPr>
              <w:t>465.99</w:t>
            </w:r>
          </w:p>
        </w:tc>
        <w:tc>
          <w:tcPr>
            <w:tcW w:w="1843" w:type="dxa"/>
            <w:shd w:val="clear" w:color="auto" w:fill="auto"/>
            <w:noWrap/>
            <w:hideMark/>
          </w:tcPr>
          <w:p w14:paraId="7D476347" w14:textId="1DC7437E" w:rsidR="006D4DDB" w:rsidRPr="00C23847" w:rsidRDefault="006D4DDB" w:rsidP="008E2DF1">
            <w:pPr>
              <w:tabs>
                <w:tab w:val="decimal" w:pos="921"/>
              </w:tabs>
              <w:jc w:val="left"/>
              <w:rPr>
                <w:sz w:val="20"/>
                <w:szCs w:val="20"/>
              </w:rPr>
            </w:pPr>
            <w:r w:rsidRPr="00C23847">
              <w:rPr>
                <w:sz w:val="20"/>
                <w:szCs w:val="20"/>
              </w:rPr>
              <w:t>339</w:t>
            </w:r>
            <w:r w:rsidR="008E2DF1">
              <w:rPr>
                <w:sz w:val="20"/>
                <w:szCs w:val="20"/>
              </w:rPr>
              <w:t>.</w:t>
            </w:r>
            <w:r w:rsidRPr="00C23847">
              <w:rPr>
                <w:sz w:val="20"/>
                <w:szCs w:val="20"/>
              </w:rPr>
              <w:t>33</w:t>
            </w:r>
          </w:p>
        </w:tc>
        <w:tc>
          <w:tcPr>
            <w:tcW w:w="1134" w:type="dxa"/>
            <w:shd w:val="clear" w:color="auto" w:fill="auto"/>
            <w:noWrap/>
            <w:hideMark/>
          </w:tcPr>
          <w:p w14:paraId="36B8A82F" w14:textId="77777777" w:rsidR="006D4DDB" w:rsidRPr="00C23847" w:rsidRDefault="006D4DDB" w:rsidP="008E2DF1">
            <w:pPr>
              <w:tabs>
                <w:tab w:val="decimal" w:pos="432"/>
              </w:tabs>
              <w:jc w:val="left"/>
              <w:rPr>
                <w:sz w:val="20"/>
                <w:szCs w:val="20"/>
              </w:rPr>
            </w:pPr>
            <w:r w:rsidRPr="00C23847">
              <w:rPr>
                <w:sz w:val="20"/>
                <w:szCs w:val="20"/>
              </w:rPr>
              <w:t>126.67</w:t>
            </w:r>
          </w:p>
        </w:tc>
        <w:tc>
          <w:tcPr>
            <w:tcW w:w="1985" w:type="dxa"/>
            <w:shd w:val="clear" w:color="auto" w:fill="auto"/>
            <w:noWrap/>
            <w:hideMark/>
          </w:tcPr>
          <w:p w14:paraId="6518E39F" w14:textId="77777777" w:rsidR="006D4DDB" w:rsidRPr="00C23847" w:rsidRDefault="006D4DDB" w:rsidP="008E2DF1">
            <w:pPr>
              <w:tabs>
                <w:tab w:val="decimal" w:pos="915"/>
              </w:tabs>
              <w:jc w:val="left"/>
              <w:rPr>
                <w:sz w:val="20"/>
                <w:szCs w:val="20"/>
              </w:rPr>
            </w:pPr>
            <w:r w:rsidRPr="00C23847">
              <w:rPr>
                <w:sz w:val="20"/>
                <w:szCs w:val="20"/>
              </w:rPr>
              <w:t>126.67</w:t>
            </w:r>
          </w:p>
        </w:tc>
        <w:tc>
          <w:tcPr>
            <w:tcW w:w="567" w:type="dxa"/>
            <w:shd w:val="clear" w:color="auto" w:fill="auto"/>
            <w:noWrap/>
            <w:hideMark/>
          </w:tcPr>
          <w:p w14:paraId="06E12EB8" w14:textId="77777777" w:rsidR="006D4DDB" w:rsidRPr="00C23847" w:rsidRDefault="006D4DDB" w:rsidP="00E13287">
            <w:pPr>
              <w:jc w:val="center"/>
              <w:rPr>
                <w:sz w:val="20"/>
                <w:szCs w:val="20"/>
              </w:rPr>
            </w:pPr>
            <w:r w:rsidRPr="00C23847">
              <w:rPr>
                <w:sz w:val="20"/>
                <w:szCs w:val="20"/>
              </w:rPr>
              <w:t>37</w:t>
            </w:r>
          </w:p>
        </w:tc>
      </w:tr>
      <w:tr w:rsidR="006D4DDB" w:rsidRPr="00C23847" w14:paraId="3FD69254" w14:textId="77777777" w:rsidTr="00C23847">
        <w:tc>
          <w:tcPr>
            <w:tcW w:w="4904" w:type="dxa"/>
            <w:shd w:val="clear" w:color="auto" w:fill="auto"/>
            <w:noWrap/>
            <w:hideMark/>
          </w:tcPr>
          <w:p w14:paraId="6CA7D306" w14:textId="77777777" w:rsidR="006D4DDB" w:rsidRPr="00C23847" w:rsidRDefault="006D4DDB" w:rsidP="00E13287">
            <w:pPr>
              <w:jc w:val="left"/>
              <w:rPr>
                <w:sz w:val="20"/>
                <w:szCs w:val="20"/>
              </w:rPr>
            </w:pPr>
            <w:r w:rsidRPr="00C23847">
              <w:rPr>
                <w:sz w:val="20"/>
                <w:szCs w:val="20"/>
              </w:rPr>
              <w:t xml:space="preserve">Industrialisation and Enterprise Development </w:t>
            </w:r>
          </w:p>
        </w:tc>
        <w:tc>
          <w:tcPr>
            <w:tcW w:w="992" w:type="dxa"/>
            <w:shd w:val="clear" w:color="auto" w:fill="auto"/>
            <w:noWrap/>
            <w:hideMark/>
          </w:tcPr>
          <w:p w14:paraId="7D578DFA" w14:textId="77777777" w:rsidR="006D4DDB" w:rsidRPr="00C23847" w:rsidRDefault="006D4DDB" w:rsidP="008E2DF1">
            <w:pPr>
              <w:tabs>
                <w:tab w:val="decimal" w:pos="469"/>
              </w:tabs>
              <w:jc w:val="left"/>
              <w:rPr>
                <w:sz w:val="20"/>
                <w:szCs w:val="20"/>
              </w:rPr>
            </w:pPr>
            <w:r w:rsidRPr="00C23847">
              <w:rPr>
                <w:sz w:val="20"/>
                <w:szCs w:val="20"/>
              </w:rPr>
              <w:t>355.24</w:t>
            </w:r>
          </w:p>
        </w:tc>
        <w:tc>
          <w:tcPr>
            <w:tcW w:w="992" w:type="dxa"/>
            <w:shd w:val="clear" w:color="auto" w:fill="auto"/>
            <w:noWrap/>
            <w:hideMark/>
          </w:tcPr>
          <w:p w14:paraId="22EEB951" w14:textId="77777777" w:rsidR="006D4DDB" w:rsidRPr="00C23847" w:rsidRDefault="006D4DDB" w:rsidP="008E2DF1">
            <w:pPr>
              <w:tabs>
                <w:tab w:val="decimal" w:pos="470"/>
              </w:tabs>
              <w:rPr>
                <w:sz w:val="20"/>
                <w:szCs w:val="20"/>
              </w:rPr>
            </w:pPr>
            <w:r w:rsidRPr="00C23847">
              <w:rPr>
                <w:sz w:val="20"/>
                <w:szCs w:val="20"/>
              </w:rPr>
              <w:t>223.73</w:t>
            </w:r>
          </w:p>
        </w:tc>
        <w:tc>
          <w:tcPr>
            <w:tcW w:w="1843" w:type="dxa"/>
            <w:shd w:val="clear" w:color="auto" w:fill="auto"/>
            <w:noWrap/>
            <w:hideMark/>
          </w:tcPr>
          <w:p w14:paraId="3B4817E4" w14:textId="77777777" w:rsidR="006D4DDB" w:rsidRPr="00C23847" w:rsidRDefault="006D4DDB" w:rsidP="008E2DF1">
            <w:pPr>
              <w:tabs>
                <w:tab w:val="decimal" w:pos="921"/>
              </w:tabs>
              <w:jc w:val="left"/>
              <w:rPr>
                <w:sz w:val="20"/>
                <w:szCs w:val="20"/>
              </w:rPr>
            </w:pPr>
            <w:r w:rsidRPr="00C23847">
              <w:rPr>
                <w:sz w:val="20"/>
                <w:szCs w:val="20"/>
              </w:rPr>
              <w:t>271.29</w:t>
            </w:r>
          </w:p>
        </w:tc>
        <w:tc>
          <w:tcPr>
            <w:tcW w:w="1134" w:type="dxa"/>
            <w:shd w:val="clear" w:color="auto" w:fill="auto"/>
            <w:noWrap/>
            <w:hideMark/>
          </w:tcPr>
          <w:p w14:paraId="57C959E6" w14:textId="77777777" w:rsidR="006D4DDB" w:rsidRPr="00C23847" w:rsidRDefault="006D4DDB" w:rsidP="008E2DF1">
            <w:pPr>
              <w:tabs>
                <w:tab w:val="decimal" w:pos="432"/>
              </w:tabs>
              <w:jc w:val="left"/>
              <w:rPr>
                <w:sz w:val="20"/>
                <w:szCs w:val="20"/>
              </w:rPr>
            </w:pPr>
            <w:r w:rsidRPr="00C23847">
              <w:rPr>
                <w:sz w:val="20"/>
                <w:szCs w:val="20"/>
              </w:rPr>
              <w:t>(47.56)</w:t>
            </w:r>
          </w:p>
        </w:tc>
        <w:tc>
          <w:tcPr>
            <w:tcW w:w="1985" w:type="dxa"/>
            <w:shd w:val="clear" w:color="auto" w:fill="auto"/>
            <w:noWrap/>
            <w:hideMark/>
          </w:tcPr>
          <w:p w14:paraId="628A9EC0" w14:textId="77777777" w:rsidR="006D4DDB" w:rsidRPr="00C23847" w:rsidRDefault="006D4DDB" w:rsidP="008E2DF1">
            <w:pPr>
              <w:tabs>
                <w:tab w:val="decimal" w:pos="915"/>
              </w:tabs>
              <w:jc w:val="left"/>
              <w:rPr>
                <w:sz w:val="20"/>
                <w:szCs w:val="20"/>
              </w:rPr>
            </w:pPr>
            <w:r w:rsidRPr="00C23847">
              <w:rPr>
                <w:sz w:val="20"/>
                <w:szCs w:val="20"/>
              </w:rPr>
              <w:t>47.56</w:t>
            </w:r>
          </w:p>
        </w:tc>
        <w:tc>
          <w:tcPr>
            <w:tcW w:w="567" w:type="dxa"/>
            <w:shd w:val="clear" w:color="auto" w:fill="auto"/>
            <w:noWrap/>
            <w:hideMark/>
          </w:tcPr>
          <w:p w14:paraId="7AF90F8D" w14:textId="77777777" w:rsidR="006D4DDB" w:rsidRPr="00C23847" w:rsidRDefault="006D4DDB" w:rsidP="00E13287">
            <w:pPr>
              <w:jc w:val="center"/>
              <w:rPr>
                <w:sz w:val="20"/>
                <w:szCs w:val="20"/>
              </w:rPr>
            </w:pPr>
            <w:r w:rsidRPr="00C23847">
              <w:rPr>
                <w:sz w:val="20"/>
                <w:szCs w:val="20"/>
              </w:rPr>
              <w:t>18</w:t>
            </w:r>
          </w:p>
        </w:tc>
      </w:tr>
      <w:tr w:rsidR="006D4DDB" w:rsidRPr="00C23847" w14:paraId="0F059F90" w14:textId="77777777" w:rsidTr="00C23847">
        <w:tc>
          <w:tcPr>
            <w:tcW w:w="4904" w:type="dxa"/>
            <w:shd w:val="clear" w:color="auto" w:fill="auto"/>
            <w:noWrap/>
            <w:hideMark/>
          </w:tcPr>
          <w:p w14:paraId="25B86EF8" w14:textId="75A0CD6B" w:rsidR="006D4DDB" w:rsidRPr="00C23847" w:rsidRDefault="006D4DDB" w:rsidP="00E13287">
            <w:pPr>
              <w:jc w:val="left"/>
              <w:rPr>
                <w:sz w:val="20"/>
                <w:szCs w:val="20"/>
              </w:rPr>
            </w:pPr>
            <w:r w:rsidRPr="00C23847">
              <w:rPr>
                <w:sz w:val="20"/>
                <w:szCs w:val="20"/>
              </w:rPr>
              <w:t>Lands, Physical Planning, Environment, Wildlife</w:t>
            </w:r>
            <w:r w:rsidR="00DF24D0">
              <w:rPr>
                <w:sz w:val="20"/>
                <w:szCs w:val="20"/>
              </w:rPr>
              <w:t>,</w:t>
            </w:r>
            <w:r w:rsidRPr="00C23847">
              <w:rPr>
                <w:sz w:val="20"/>
                <w:szCs w:val="20"/>
              </w:rPr>
              <w:t xml:space="preserve"> and Natural Resources </w:t>
            </w:r>
          </w:p>
        </w:tc>
        <w:tc>
          <w:tcPr>
            <w:tcW w:w="992" w:type="dxa"/>
            <w:shd w:val="clear" w:color="auto" w:fill="auto"/>
            <w:noWrap/>
            <w:hideMark/>
          </w:tcPr>
          <w:p w14:paraId="2F85DA64" w14:textId="77777777" w:rsidR="006D4DDB" w:rsidRPr="00C23847" w:rsidRDefault="006D4DDB" w:rsidP="008E2DF1">
            <w:pPr>
              <w:tabs>
                <w:tab w:val="decimal" w:pos="469"/>
              </w:tabs>
              <w:jc w:val="left"/>
              <w:rPr>
                <w:sz w:val="20"/>
                <w:szCs w:val="20"/>
              </w:rPr>
            </w:pPr>
            <w:r w:rsidRPr="00C23847">
              <w:rPr>
                <w:sz w:val="20"/>
                <w:szCs w:val="20"/>
              </w:rPr>
              <w:t>271.09</w:t>
            </w:r>
          </w:p>
        </w:tc>
        <w:tc>
          <w:tcPr>
            <w:tcW w:w="992" w:type="dxa"/>
            <w:shd w:val="clear" w:color="auto" w:fill="auto"/>
            <w:noWrap/>
            <w:hideMark/>
          </w:tcPr>
          <w:p w14:paraId="3D17EDF1" w14:textId="77777777" w:rsidR="006D4DDB" w:rsidRPr="00C23847" w:rsidRDefault="006D4DDB" w:rsidP="008E2DF1">
            <w:pPr>
              <w:tabs>
                <w:tab w:val="decimal" w:pos="470"/>
              </w:tabs>
              <w:rPr>
                <w:sz w:val="20"/>
                <w:szCs w:val="20"/>
              </w:rPr>
            </w:pPr>
            <w:r w:rsidRPr="00C23847">
              <w:rPr>
                <w:sz w:val="20"/>
                <w:szCs w:val="20"/>
              </w:rPr>
              <w:t>136.13</w:t>
            </w:r>
          </w:p>
        </w:tc>
        <w:tc>
          <w:tcPr>
            <w:tcW w:w="1843" w:type="dxa"/>
            <w:shd w:val="clear" w:color="auto" w:fill="auto"/>
            <w:noWrap/>
            <w:hideMark/>
          </w:tcPr>
          <w:p w14:paraId="5A10188E" w14:textId="77777777" w:rsidR="006D4DDB" w:rsidRPr="00C23847" w:rsidRDefault="006D4DDB" w:rsidP="008E2DF1">
            <w:pPr>
              <w:tabs>
                <w:tab w:val="decimal" w:pos="921"/>
              </w:tabs>
              <w:jc w:val="left"/>
              <w:rPr>
                <w:sz w:val="20"/>
                <w:szCs w:val="20"/>
              </w:rPr>
            </w:pPr>
            <w:r w:rsidRPr="00C23847">
              <w:rPr>
                <w:sz w:val="20"/>
                <w:szCs w:val="20"/>
              </w:rPr>
              <w:t>207.02</w:t>
            </w:r>
          </w:p>
        </w:tc>
        <w:tc>
          <w:tcPr>
            <w:tcW w:w="1134" w:type="dxa"/>
            <w:shd w:val="clear" w:color="auto" w:fill="auto"/>
            <w:noWrap/>
            <w:hideMark/>
          </w:tcPr>
          <w:p w14:paraId="368AEFE8" w14:textId="77777777" w:rsidR="006D4DDB" w:rsidRPr="00C23847" w:rsidRDefault="006D4DDB" w:rsidP="008E2DF1">
            <w:pPr>
              <w:tabs>
                <w:tab w:val="decimal" w:pos="432"/>
              </w:tabs>
              <w:jc w:val="left"/>
              <w:rPr>
                <w:sz w:val="20"/>
                <w:szCs w:val="20"/>
              </w:rPr>
            </w:pPr>
            <w:r w:rsidRPr="00C23847">
              <w:rPr>
                <w:sz w:val="20"/>
                <w:szCs w:val="20"/>
              </w:rPr>
              <w:t>(70.89)</w:t>
            </w:r>
          </w:p>
        </w:tc>
        <w:tc>
          <w:tcPr>
            <w:tcW w:w="1985" w:type="dxa"/>
            <w:shd w:val="clear" w:color="auto" w:fill="auto"/>
            <w:noWrap/>
            <w:hideMark/>
          </w:tcPr>
          <w:p w14:paraId="0B22557A" w14:textId="77777777" w:rsidR="006D4DDB" w:rsidRPr="00C23847" w:rsidRDefault="006D4DDB" w:rsidP="008E2DF1">
            <w:pPr>
              <w:tabs>
                <w:tab w:val="decimal" w:pos="915"/>
              </w:tabs>
              <w:jc w:val="left"/>
              <w:rPr>
                <w:sz w:val="20"/>
                <w:szCs w:val="20"/>
              </w:rPr>
            </w:pPr>
            <w:r w:rsidRPr="00C23847">
              <w:rPr>
                <w:sz w:val="20"/>
                <w:szCs w:val="20"/>
              </w:rPr>
              <w:t>70.89</w:t>
            </w:r>
          </w:p>
        </w:tc>
        <w:tc>
          <w:tcPr>
            <w:tcW w:w="567" w:type="dxa"/>
            <w:shd w:val="clear" w:color="auto" w:fill="auto"/>
            <w:noWrap/>
            <w:hideMark/>
          </w:tcPr>
          <w:p w14:paraId="3F35D3A8" w14:textId="77777777" w:rsidR="006D4DDB" w:rsidRPr="00C23847" w:rsidRDefault="006D4DDB" w:rsidP="00E13287">
            <w:pPr>
              <w:jc w:val="center"/>
              <w:rPr>
                <w:sz w:val="20"/>
                <w:szCs w:val="20"/>
              </w:rPr>
            </w:pPr>
            <w:r w:rsidRPr="00C23847">
              <w:rPr>
                <w:sz w:val="20"/>
                <w:szCs w:val="20"/>
              </w:rPr>
              <w:t>34</w:t>
            </w:r>
          </w:p>
        </w:tc>
      </w:tr>
      <w:tr w:rsidR="006D4DDB" w:rsidRPr="00C23847" w14:paraId="7188D25B" w14:textId="77777777" w:rsidTr="00C23847">
        <w:tc>
          <w:tcPr>
            <w:tcW w:w="4904" w:type="dxa"/>
            <w:shd w:val="clear" w:color="auto" w:fill="auto"/>
            <w:noWrap/>
            <w:hideMark/>
          </w:tcPr>
          <w:p w14:paraId="65C70E62" w14:textId="77777777" w:rsidR="006D4DDB" w:rsidRPr="00C23847" w:rsidRDefault="006D4DDB" w:rsidP="00E13287">
            <w:pPr>
              <w:jc w:val="left"/>
              <w:rPr>
                <w:sz w:val="20"/>
                <w:szCs w:val="20"/>
              </w:rPr>
            </w:pPr>
            <w:r w:rsidRPr="00C23847">
              <w:rPr>
                <w:sz w:val="20"/>
                <w:szCs w:val="20"/>
              </w:rPr>
              <w:t xml:space="preserve">County Assembly </w:t>
            </w:r>
          </w:p>
        </w:tc>
        <w:tc>
          <w:tcPr>
            <w:tcW w:w="992" w:type="dxa"/>
            <w:shd w:val="clear" w:color="auto" w:fill="auto"/>
            <w:noWrap/>
            <w:hideMark/>
          </w:tcPr>
          <w:p w14:paraId="207FB2D9" w14:textId="77777777" w:rsidR="006D4DDB" w:rsidRPr="00C23847" w:rsidRDefault="006D4DDB" w:rsidP="008E2DF1">
            <w:pPr>
              <w:tabs>
                <w:tab w:val="decimal" w:pos="469"/>
              </w:tabs>
              <w:jc w:val="left"/>
              <w:rPr>
                <w:sz w:val="20"/>
                <w:szCs w:val="20"/>
              </w:rPr>
            </w:pPr>
            <w:r w:rsidRPr="00C23847">
              <w:rPr>
                <w:sz w:val="20"/>
                <w:szCs w:val="20"/>
              </w:rPr>
              <w:t>638.40</w:t>
            </w:r>
          </w:p>
        </w:tc>
        <w:tc>
          <w:tcPr>
            <w:tcW w:w="992" w:type="dxa"/>
            <w:shd w:val="clear" w:color="auto" w:fill="auto"/>
            <w:noWrap/>
            <w:hideMark/>
          </w:tcPr>
          <w:p w14:paraId="5DFD023A" w14:textId="77777777" w:rsidR="006D4DDB" w:rsidRPr="00C23847" w:rsidRDefault="006D4DDB" w:rsidP="008E2DF1">
            <w:pPr>
              <w:tabs>
                <w:tab w:val="decimal" w:pos="470"/>
              </w:tabs>
              <w:rPr>
                <w:sz w:val="20"/>
                <w:szCs w:val="20"/>
              </w:rPr>
            </w:pPr>
            <w:r w:rsidRPr="00C23847">
              <w:rPr>
                <w:sz w:val="20"/>
                <w:szCs w:val="20"/>
              </w:rPr>
              <w:t>362.55</w:t>
            </w:r>
          </w:p>
        </w:tc>
        <w:tc>
          <w:tcPr>
            <w:tcW w:w="1843" w:type="dxa"/>
            <w:shd w:val="clear" w:color="auto" w:fill="auto"/>
            <w:noWrap/>
            <w:hideMark/>
          </w:tcPr>
          <w:p w14:paraId="4E4B4B47" w14:textId="77777777" w:rsidR="006D4DDB" w:rsidRPr="00C23847" w:rsidRDefault="006D4DDB" w:rsidP="008E2DF1">
            <w:pPr>
              <w:tabs>
                <w:tab w:val="decimal" w:pos="921"/>
              </w:tabs>
              <w:jc w:val="left"/>
              <w:rPr>
                <w:sz w:val="20"/>
                <w:szCs w:val="20"/>
              </w:rPr>
            </w:pPr>
            <w:r w:rsidRPr="00C23847">
              <w:rPr>
                <w:sz w:val="20"/>
                <w:szCs w:val="20"/>
              </w:rPr>
              <w:t>487.53</w:t>
            </w:r>
          </w:p>
        </w:tc>
        <w:tc>
          <w:tcPr>
            <w:tcW w:w="1134" w:type="dxa"/>
            <w:shd w:val="clear" w:color="auto" w:fill="auto"/>
            <w:noWrap/>
            <w:hideMark/>
          </w:tcPr>
          <w:p w14:paraId="3993C553" w14:textId="77777777" w:rsidR="006D4DDB" w:rsidRPr="00C23847" w:rsidRDefault="006D4DDB" w:rsidP="008E2DF1">
            <w:pPr>
              <w:tabs>
                <w:tab w:val="decimal" w:pos="432"/>
              </w:tabs>
              <w:jc w:val="left"/>
              <w:rPr>
                <w:sz w:val="20"/>
                <w:szCs w:val="20"/>
              </w:rPr>
            </w:pPr>
            <w:r w:rsidRPr="00C23847">
              <w:rPr>
                <w:sz w:val="20"/>
                <w:szCs w:val="20"/>
              </w:rPr>
              <w:t>(124.98)</w:t>
            </w:r>
          </w:p>
        </w:tc>
        <w:tc>
          <w:tcPr>
            <w:tcW w:w="1985" w:type="dxa"/>
            <w:shd w:val="clear" w:color="auto" w:fill="auto"/>
            <w:noWrap/>
            <w:hideMark/>
          </w:tcPr>
          <w:p w14:paraId="7505D585" w14:textId="77777777" w:rsidR="006D4DDB" w:rsidRPr="00C23847" w:rsidRDefault="006D4DDB" w:rsidP="008E2DF1">
            <w:pPr>
              <w:tabs>
                <w:tab w:val="decimal" w:pos="915"/>
              </w:tabs>
              <w:jc w:val="left"/>
              <w:rPr>
                <w:sz w:val="20"/>
                <w:szCs w:val="20"/>
              </w:rPr>
            </w:pPr>
            <w:r w:rsidRPr="00C23847">
              <w:rPr>
                <w:sz w:val="20"/>
                <w:szCs w:val="20"/>
              </w:rPr>
              <w:t>124.98</w:t>
            </w:r>
          </w:p>
        </w:tc>
        <w:tc>
          <w:tcPr>
            <w:tcW w:w="567" w:type="dxa"/>
            <w:shd w:val="clear" w:color="auto" w:fill="auto"/>
            <w:noWrap/>
            <w:hideMark/>
          </w:tcPr>
          <w:p w14:paraId="7BDD3D62" w14:textId="77777777" w:rsidR="006D4DDB" w:rsidRPr="00C23847" w:rsidRDefault="006D4DDB" w:rsidP="00E13287">
            <w:pPr>
              <w:jc w:val="center"/>
              <w:rPr>
                <w:sz w:val="20"/>
                <w:szCs w:val="20"/>
              </w:rPr>
            </w:pPr>
            <w:r w:rsidRPr="00C23847">
              <w:rPr>
                <w:sz w:val="20"/>
                <w:szCs w:val="20"/>
              </w:rPr>
              <w:t>26</w:t>
            </w:r>
          </w:p>
        </w:tc>
      </w:tr>
      <w:tr w:rsidR="006D4DDB" w:rsidRPr="00C23847" w14:paraId="34962872" w14:textId="77777777" w:rsidTr="00C23847">
        <w:tc>
          <w:tcPr>
            <w:tcW w:w="4904" w:type="dxa"/>
            <w:shd w:val="clear" w:color="auto" w:fill="auto"/>
            <w:noWrap/>
            <w:hideMark/>
          </w:tcPr>
          <w:p w14:paraId="28FAF3B5" w14:textId="77777777" w:rsidR="006D4DDB" w:rsidRPr="00C23847" w:rsidRDefault="006D4DDB" w:rsidP="00E13287">
            <w:pPr>
              <w:jc w:val="left"/>
              <w:rPr>
                <w:sz w:val="20"/>
                <w:szCs w:val="20"/>
              </w:rPr>
            </w:pPr>
            <w:r w:rsidRPr="00C23847">
              <w:rPr>
                <w:sz w:val="20"/>
                <w:szCs w:val="20"/>
              </w:rPr>
              <w:t>County Public Service </w:t>
            </w:r>
          </w:p>
        </w:tc>
        <w:tc>
          <w:tcPr>
            <w:tcW w:w="992" w:type="dxa"/>
            <w:shd w:val="clear" w:color="auto" w:fill="auto"/>
            <w:noWrap/>
            <w:hideMark/>
          </w:tcPr>
          <w:p w14:paraId="3E6429F7" w14:textId="77777777" w:rsidR="006D4DDB" w:rsidRPr="00C23847" w:rsidRDefault="006D4DDB" w:rsidP="008E2DF1">
            <w:pPr>
              <w:tabs>
                <w:tab w:val="decimal" w:pos="469"/>
              </w:tabs>
              <w:jc w:val="left"/>
              <w:rPr>
                <w:sz w:val="20"/>
                <w:szCs w:val="20"/>
              </w:rPr>
            </w:pPr>
            <w:r w:rsidRPr="00C23847">
              <w:rPr>
                <w:sz w:val="20"/>
                <w:szCs w:val="20"/>
              </w:rPr>
              <w:t>485.86</w:t>
            </w:r>
          </w:p>
        </w:tc>
        <w:tc>
          <w:tcPr>
            <w:tcW w:w="992" w:type="dxa"/>
            <w:shd w:val="clear" w:color="auto" w:fill="auto"/>
            <w:noWrap/>
            <w:hideMark/>
          </w:tcPr>
          <w:p w14:paraId="23AABFF3" w14:textId="77777777" w:rsidR="006D4DDB" w:rsidRPr="00C23847" w:rsidRDefault="006D4DDB" w:rsidP="008E2DF1">
            <w:pPr>
              <w:tabs>
                <w:tab w:val="decimal" w:pos="470"/>
              </w:tabs>
              <w:rPr>
                <w:sz w:val="20"/>
                <w:szCs w:val="20"/>
              </w:rPr>
            </w:pPr>
            <w:r w:rsidRPr="00C23847">
              <w:rPr>
                <w:sz w:val="20"/>
                <w:szCs w:val="20"/>
              </w:rPr>
              <w:t>370.27</w:t>
            </w:r>
          </w:p>
        </w:tc>
        <w:tc>
          <w:tcPr>
            <w:tcW w:w="1843" w:type="dxa"/>
            <w:shd w:val="clear" w:color="auto" w:fill="auto"/>
            <w:noWrap/>
            <w:hideMark/>
          </w:tcPr>
          <w:p w14:paraId="6892913C" w14:textId="77777777" w:rsidR="006D4DDB" w:rsidRPr="00C23847" w:rsidRDefault="006D4DDB" w:rsidP="008E2DF1">
            <w:pPr>
              <w:tabs>
                <w:tab w:val="decimal" w:pos="921"/>
              </w:tabs>
              <w:jc w:val="left"/>
              <w:rPr>
                <w:sz w:val="20"/>
                <w:szCs w:val="20"/>
              </w:rPr>
            </w:pPr>
            <w:r w:rsidRPr="00C23847">
              <w:rPr>
                <w:sz w:val="20"/>
                <w:szCs w:val="20"/>
              </w:rPr>
              <w:t>371.04</w:t>
            </w:r>
          </w:p>
        </w:tc>
        <w:tc>
          <w:tcPr>
            <w:tcW w:w="1134" w:type="dxa"/>
            <w:shd w:val="clear" w:color="auto" w:fill="auto"/>
            <w:noWrap/>
            <w:hideMark/>
          </w:tcPr>
          <w:p w14:paraId="59DAA155" w14:textId="77777777" w:rsidR="006D4DDB" w:rsidRPr="00C23847" w:rsidRDefault="006D4DDB" w:rsidP="008E2DF1">
            <w:pPr>
              <w:tabs>
                <w:tab w:val="decimal" w:pos="432"/>
              </w:tabs>
              <w:jc w:val="left"/>
              <w:rPr>
                <w:sz w:val="20"/>
                <w:szCs w:val="20"/>
              </w:rPr>
            </w:pPr>
            <w:r w:rsidRPr="00C23847">
              <w:rPr>
                <w:sz w:val="20"/>
                <w:szCs w:val="20"/>
              </w:rPr>
              <w:t>(0.77)</w:t>
            </w:r>
          </w:p>
        </w:tc>
        <w:tc>
          <w:tcPr>
            <w:tcW w:w="1985" w:type="dxa"/>
            <w:shd w:val="clear" w:color="auto" w:fill="auto"/>
            <w:noWrap/>
            <w:hideMark/>
          </w:tcPr>
          <w:p w14:paraId="336C215B" w14:textId="77777777" w:rsidR="006D4DDB" w:rsidRPr="00C23847" w:rsidRDefault="006D4DDB" w:rsidP="008E2DF1">
            <w:pPr>
              <w:tabs>
                <w:tab w:val="decimal" w:pos="915"/>
              </w:tabs>
              <w:jc w:val="left"/>
              <w:rPr>
                <w:sz w:val="20"/>
                <w:szCs w:val="20"/>
              </w:rPr>
            </w:pPr>
            <w:r w:rsidRPr="00C23847">
              <w:rPr>
                <w:sz w:val="20"/>
                <w:szCs w:val="20"/>
              </w:rPr>
              <w:t>0.77</w:t>
            </w:r>
          </w:p>
        </w:tc>
        <w:tc>
          <w:tcPr>
            <w:tcW w:w="567" w:type="dxa"/>
            <w:shd w:val="clear" w:color="auto" w:fill="auto"/>
            <w:noWrap/>
            <w:hideMark/>
          </w:tcPr>
          <w:p w14:paraId="564873FA" w14:textId="77777777" w:rsidR="006D4DDB" w:rsidRPr="00C23847" w:rsidRDefault="006D4DDB" w:rsidP="00E13287">
            <w:pPr>
              <w:jc w:val="center"/>
              <w:rPr>
                <w:sz w:val="20"/>
                <w:szCs w:val="20"/>
              </w:rPr>
            </w:pPr>
            <w:r w:rsidRPr="00C23847">
              <w:rPr>
                <w:sz w:val="20"/>
                <w:szCs w:val="20"/>
              </w:rPr>
              <w:t>0</w:t>
            </w:r>
          </w:p>
        </w:tc>
      </w:tr>
      <w:tr w:rsidR="006D4DDB" w:rsidRPr="00C23847" w14:paraId="6ED69367" w14:textId="77777777" w:rsidTr="00C23847">
        <w:tc>
          <w:tcPr>
            <w:tcW w:w="4904" w:type="dxa"/>
            <w:shd w:val="clear" w:color="auto" w:fill="auto"/>
            <w:noWrap/>
            <w:hideMark/>
          </w:tcPr>
          <w:p w14:paraId="7F9A6318" w14:textId="05D4CF11" w:rsidR="006D4DDB" w:rsidRPr="00C23847" w:rsidRDefault="008E2DF1" w:rsidP="00E13287">
            <w:pPr>
              <w:jc w:val="left"/>
              <w:rPr>
                <w:sz w:val="20"/>
                <w:szCs w:val="20"/>
              </w:rPr>
            </w:pPr>
            <w:r>
              <w:rPr>
                <w:sz w:val="20"/>
                <w:szCs w:val="20"/>
              </w:rPr>
              <w:t>A</w:t>
            </w:r>
            <w:r w:rsidR="006D4DDB" w:rsidRPr="00C23847">
              <w:rPr>
                <w:sz w:val="20"/>
                <w:szCs w:val="20"/>
              </w:rPr>
              <w:t>llocated expenditure</w:t>
            </w:r>
          </w:p>
        </w:tc>
        <w:tc>
          <w:tcPr>
            <w:tcW w:w="992" w:type="dxa"/>
            <w:shd w:val="clear" w:color="auto" w:fill="auto"/>
            <w:noWrap/>
            <w:hideMark/>
          </w:tcPr>
          <w:p w14:paraId="60D88D12" w14:textId="0074F372" w:rsidR="006D4DDB" w:rsidRPr="00C23847" w:rsidRDefault="006D4DDB" w:rsidP="008E2DF1">
            <w:pPr>
              <w:tabs>
                <w:tab w:val="decimal" w:pos="469"/>
              </w:tabs>
              <w:jc w:val="left"/>
              <w:rPr>
                <w:sz w:val="20"/>
                <w:szCs w:val="20"/>
              </w:rPr>
            </w:pPr>
            <w:r w:rsidRPr="00C23847">
              <w:rPr>
                <w:sz w:val="20"/>
                <w:szCs w:val="20"/>
              </w:rPr>
              <w:t>6</w:t>
            </w:r>
            <w:r w:rsidR="008E2DF1">
              <w:rPr>
                <w:sz w:val="20"/>
                <w:szCs w:val="20"/>
              </w:rPr>
              <w:t>,</w:t>
            </w:r>
            <w:r w:rsidRPr="00C23847">
              <w:rPr>
                <w:sz w:val="20"/>
                <w:szCs w:val="20"/>
              </w:rPr>
              <w:t>528.79</w:t>
            </w:r>
          </w:p>
        </w:tc>
        <w:tc>
          <w:tcPr>
            <w:tcW w:w="992" w:type="dxa"/>
            <w:shd w:val="clear" w:color="auto" w:fill="auto"/>
            <w:noWrap/>
            <w:hideMark/>
          </w:tcPr>
          <w:p w14:paraId="6EA8E765" w14:textId="410683FC" w:rsidR="006D4DDB" w:rsidRPr="00C23847" w:rsidRDefault="006D4DDB" w:rsidP="008E2DF1">
            <w:pPr>
              <w:tabs>
                <w:tab w:val="decimal" w:pos="470"/>
              </w:tabs>
              <w:rPr>
                <w:sz w:val="20"/>
                <w:szCs w:val="20"/>
              </w:rPr>
            </w:pPr>
            <w:r w:rsidRPr="00C23847">
              <w:rPr>
                <w:sz w:val="20"/>
                <w:szCs w:val="20"/>
              </w:rPr>
              <w:t>4</w:t>
            </w:r>
            <w:r w:rsidR="008E2DF1">
              <w:rPr>
                <w:sz w:val="20"/>
                <w:szCs w:val="20"/>
              </w:rPr>
              <w:t>,</w:t>
            </w:r>
            <w:r w:rsidRPr="00C23847">
              <w:rPr>
                <w:sz w:val="20"/>
                <w:szCs w:val="20"/>
              </w:rPr>
              <w:t>985.88</w:t>
            </w:r>
          </w:p>
        </w:tc>
        <w:tc>
          <w:tcPr>
            <w:tcW w:w="1843" w:type="dxa"/>
            <w:shd w:val="clear" w:color="auto" w:fill="auto"/>
            <w:noWrap/>
            <w:hideMark/>
          </w:tcPr>
          <w:p w14:paraId="60C1F132" w14:textId="320236B6" w:rsidR="006D4DDB" w:rsidRPr="00C23847" w:rsidRDefault="006D4DDB" w:rsidP="008E2DF1">
            <w:pPr>
              <w:tabs>
                <w:tab w:val="decimal" w:pos="921"/>
              </w:tabs>
              <w:jc w:val="left"/>
              <w:rPr>
                <w:sz w:val="20"/>
                <w:szCs w:val="20"/>
              </w:rPr>
            </w:pPr>
            <w:r w:rsidRPr="00C23847">
              <w:rPr>
                <w:sz w:val="20"/>
                <w:szCs w:val="20"/>
              </w:rPr>
              <w:t>4</w:t>
            </w:r>
            <w:r w:rsidR="008E2DF1">
              <w:rPr>
                <w:sz w:val="20"/>
                <w:szCs w:val="20"/>
              </w:rPr>
              <w:t>,</w:t>
            </w:r>
            <w:r w:rsidRPr="00C23847">
              <w:rPr>
                <w:sz w:val="20"/>
                <w:szCs w:val="20"/>
              </w:rPr>
              <w:t>985.88</w:t>
            </w:r>
          </w:p>
        </w:tc>
        <w:tc>
          <w:tcPr>
            <w:tcW w:w="1134" w:type="dxa"/>
            <w:shd w:val="clear" w:color="auto" w:fill="auto"/>
            <w:noWrap/>
            <w:hideMark/>
          </w:tcPr>
          <w:p w14:paraId="0B4EED66" w14:textId="77777777" w:rsidR="006D4DDB" w:rsidRPr="00C23847" w:rsidRDefault="006D4DDB" w:rsidP="008E2DF1">
            <w:pPr>
              <w:tabs>
                <w:tab w:val="decimal" w:pos="432"/>
              </w:tabs>
              <w:jc w:val="left"/>
              <w:rPr>
                <w:sz w:val="20"/>
                <w:szCs w:val="20"/>
              </w:rPr>
            </w:pPr>
            <w:r w:rsidRPr="00C23847">
              <w:rPr>
                <w:sz w:val="20"/>
                <w:szCs w:val="20"/>
              </w:rPr>
              <w:t>(0.00)</w:t>
            </w:r>
          </w:p>
        </w:tc>
        <w:tc>
          <w:tcPr>
            <w:tcW w:w="1985" w:type="dxa"/>
            <w:shd w:val="clear" w:color="auto" w:fill="auto"/>
            <w:noWrap/>
            <w:hideMark/>
          </w:tcPr>
          <w:p w14:paraId="6DF61A8C" w14:textId="77777777" w:rsidR="006D4DDB" w:rsidRPr="00C23847" w:rsidRDefault="006D4DDB" w:rsidP="008E2DF1">
            <w:pPr>
              <w:tabs>
                <w:tab w:val="decimal" w:pos="915"/>
              </w:tabs>
              <w:jc w:val="left"/>
              <w:rPr>
                <w:sz w:val="20"/>
                <w:szCs w:val="20"/>
              </w:rPr>
            </w:pPr>
            <w:r w:rsidRPr="00C23847">
              <w:rPr>
                <w:sz w:val="20"/>
                <w:szCs w:val="20"/>
              </w:rPr>
              <w:t>808.06</w:t>
            </w:r>
          </w:p>
        </w:tc>
        <w:tc>
          <w:tcPr>
            <w:tcW w:w="567" w:type="dxa"/>
            <w:shd w:val="clear" w:color="auto" w:fill="auto"/>
            <w:noWrap/>
            <w:hideMark/>
          </w:tcPr>
          <w:p w14:paraId="15656B6B" w14:textId="77777777" w:rsidR="006D4DDB" w:rsidRPr="00C23847" w:rsidRDefault="006D4DDB" w:rsidP="00E13287">
            <w:pPr>
              <w:jc w:val="center"/>
              <w:rPr>
                <w:sz w:val="20"/>
                <w:szCs w:val="20"/>
              </w:rPr>
            </w:pPr>
          </w:p>
        </w:tc>
      </w:tr>
      <w:tr w:rsidR="006D4DDB" w:rsidRPr="00C23847" w14:paraId="27006543" w14:textId="77777777" w:rsidTr="00C23847">
        <w:tc>
          <w:tcPr>
            <w:tcW w:w="4904" w:type="dxa"/>
            <w:shd w:val="clear" w:color="auto" w:fill="auto"/>
            <w:noWrap/>
            <w:hideMark/>
          </w:tcPr>
          <w:p w14:paraId="38E1C4B7" w14:textId="14ED86D9" w:rsidR="006D4DDB" w:rsidRPr="00C23847" w:rsidRDefault="008E2DF1" w:rsidP="00E13287">
            <w:pPr>
              <w:jc w:val="left"/>
              <w:rPr>
                <w:sz w:val="20"/>
                <w:szCs w:val="20"/>
              </w:rPr>
            </w:pPr>
            <w:r>
              <w:rPr>
                <w:sz w:val="20"/>
                <w:szCs w:val="20"/>
              </w:rPr>
              <w:t>I</w:t>
            </w:r>
            <w:r w:rsidR="006D4DDB" w:rsidRPr="00C23847">
              <w:rPr>
                <w:sz w:val="20"/>
                <w:szCs w:val="20"/>
              </w:rPr>
              <w:t>nterests</w:t>
            </w:r>
          </w:p>
        </w:tc>
        <w:tc>
          <w:tcPr>
            <w:tcW w:w="992" w:type="dxa"/>
            <w:shd w:val="clear" w:color="auto" w:fill="auto"/>
            <w:noWrap/>
            <w:hideMark/>
          </w:tcPr>
          <w:p w14:paraId="48446258" w14:textId="77777777" w:rsidR="006D4DDB" w:rsidRPr="00C23847" w:rsidRDefault="006D4DDB" w:rsidP="008E2DF1">
            <w:pPr>
              <w:tabs>
                <w:tab w:val="decimal" w:pos="469"/>
              </w:tabs>
              <w:jc w:val="left"/>
              <w:rPr>
                <w:sz w:val="20"/>
                <w:szCs w:val="20"/>
              </w:rPr>
            </w:pPr>
          </w:p>
        </w:tc>
        <w:tc>
          <w:tcPr>
            <w:tcW w:w="992" w:type="dxa"/>
            <w:shd w:val="clear" w:color="auto" w:fill="auto"/>
            <w:noWrap/>
            <w:hideMark/>
          </w:tcPr>
          <w:p w14:paraId="027D96D9" w14:textId="77777777" w:rsidR="006D4DDB" w:rsidRPr="00C23847" w:rsidRDefault="006D4DDB" w:rsidP="008E2DF1">
            <w:pPr>
              <w:tabs>
                <w:tab w:val="decimal" w:pos="470"/>
              </w:tabs>
              <w:rPr>
                <w:sz w:val="20"/>
                <w:szCs w:val="20"/>
              </w:rPr>
            </w:pPr>
          </w:p>
        </w:tc>
        <w:tc>
          <w:tcPr>
            <w:tcW w:w="1843" w:type="dxa"/>
            <w:shd w:val="clear" w:color="auto" w:fill="auto"/>
            <w:noWrap/>
            <w:hideMark/>
          </w:tcPr>
          <w:p w14:paraId="2710C43F" w14:textId="77777777" w:rsidR="006D4DDB" w:rsidRPr="00C23847" w:rsidRDefault="006D4DDB" w:rsidP="00E13287">
            <w:pPr>
              <w:jc w:val="center"/>
              <w:rPr>
                <w:sz w:val="20"/>
                <w:szCs w:val="20"/>
              </w:rPr>
            </w:pPr>
          </w:p>
        </w:tc>
        <w:tc>
          <w:tcPr>
            <w:tcW w:w="1134" w:type="dxa"/>
            <w:shd w:val="clear" w:color="auto" w:fill="auto"/>
            <w:noWrap/>
            <w:hideMark/>
          </w:tcPr>
          <w:p w14:paraId="49456E52" w14:textId="77777777" w:rsidR="006D4DDB" w:rsidRPr="00C23847" w:rsidRDefault="006D4DDB" w:rsidP="00E13287">
            <w:pPr>
              <w:jc w:val="center"/>
              <w:rPr>
                <w:sz w:val="20"/>
                <w:szCs w:val="20"/>
              </w:rPr>
            </w:pPr>
          </w:p>
        </w:tc>
        <w:tc>
          <w:tcPr>
            <w:tcW w:w="1985" w:type="dxa"/>
            <w:shd w:val="clear" w:color="auto" w:fill="auto"/>
            <w:noWrap/>
            <w:hideMark/>
          </w:tcPr>
          <w:p w14:paraId="07A60A92" w14:textId="77777777" w:rsidR="006D4DDB" w:rsidRPr="00C23847" w:rsidRDefault="006D4DDB" w:rsidP="00E13287">
            <w:pPr>
              <w:jc w:val="center"/>
              <w:rPr>
                <w:sz w:val="20"/>
                <w:szCs w:val="20"/>
              </w:rPr>
            </w:pPr>
          </w:p>
        </w:tc>
        <w:tc>
          <w:tcPr>
            <w:tcW w:w="567" w:type="dxa"/>
            <w:shd w:val="clear" w:color="auto" w:fill="auto"/>
            <w:noWrap/>
            <w:hideMark/>
          </w:tcPr>
          <w:p w14:paraId="07F04129" w14:textId="77777777" w:rsidR="006D4DDB" w:rsidRPr="00C23847" w:rsidRDefault="006D4DDB" w:rsidP="00E13287">
            <w:pPr>
              <w:jc w:val="center"/>
              <w:rPr>
                <w:sz w:val="20"/>
                <w:szCs w:val="20"/>
              </w:rPr>
            </w:pPr>
          </w:p>
        </w:tc>
      </w:tr>
      <w:tr w:rsidR="006D4DDB" w:rsidRPr="00C23847" w14:paraId="315EBEA3" w14:textId="77777777" w:rsidTr="00C23847">
        <w:tc>
          <w:tcPr>
            <w:tcW w:w="4904" w:type="dxa"/>
            <w:shd w:val="clear" w:color="auto" w:fill="auto"/>
            <w:noWrap/>
            <w:hideMark/>
          </w:tcPr>
          <w:p w14:paraId="55398AFD" w14:textId="7716C14A" w:rsidR="006D4DDB" w:rsidRPr="00C23847" w:rsidRDefault="008E2DF1" w:rsidP="00E13287">
            <w:pPr>
              <w:jc w:val="left"/>
              <w:rPr>
                <w:sz w:val="20"/>
                <w:szCs w:val="20"/>
              </w:rPr>
            </w:pPr>
            <w:r>
              <w:rPr>
                <w:sz w:val="20"/>
                <w:szCs w:val="20"/>
              </w:rPr>
              <w:t>C</w:t>
            </w:r>
            <w:r w:rsidR="006D4DDB" w:rsidRPr="00C23847">
              <w:rPr>
                <w:sz w:val="20"/>
                <w:szCs w:val="20"/>
              </w:rPr>
              <w:t>ontingency</w:t>
            </w:r>
          </w:p>
        </w:tc>
        <w:tc>
          <w:tcPr>
            <w:tcW w:w="992" w:type="dxa"/>
            <w:shd w:val="clear" w:color="auto" w:fill="auto"/>
            <w:noWrap/>
            <w:hideMark/>
          </w:tcPr>
          <w:p w14:paraId="1B95E8F9" w14:textId="77777777" w:rsidR="006D4DDB" w:rsidRPr="00C23847" w:rsidRDefault="006D4DDB" w:rsidP="008E2DF1">
            <w:pPr>
              <w:tabs>
                <w:tab w:val="decimal" w:pos="469"/>
              </w:tabs>
              <w:jc w:val="left"/>
              <w:rPr>
                <w:sz w:val="20"/>
                <w:szCs w:val="20"/>
              </w:rPr>
            </w:pPr>
            <w:r w:rsidRPr="00C23847">
              <w:rPr>
                <w:sz w:val="20"/>
                <w:szCs w:val="20"/>
              </w:rPr>
              <w:t>60.00</w:t>
            </w:r>
          </w:p>
        </w:tc>
        <w:tc>
          <w:tcPr>
            <w:tcW w:w="992" w:type="dxa"/>
            <w:shd w:val="clear" w:color="auto" w:fill="auto"/>
            <w:noWrap/>
            <w:hideMark/>
          </w:tcPr>
          <w:p w14:paraId="611762DC" w14:textId="77777777" w:rsidR="006D4DDB" w:rsidRPr="00C23847" w:rsidRDefault="006D4DDB" w:rsidP="008E2DF1">
            <w:pPr>
              <w:tabs>
                <w:tab w:val="decimal" w:pos="470"/>
              </w:tabs>
              <w:rPr>
                <w:sz w:val="20"/>
                <w:szCs w:val="20"/>
              </w:rPr>
            </w:pPr>
            <w:r w:rsidRPr="00C23847">
              <w:rPr>
                <w:sz w:val="20"/>
                <w:szCs w:val="20"/>
              </w:rPr>
              <w:t>63.29</w:t>
            </w:r>
          </w:p>
        </w:tc>
        <w:tc>
          <w:tcPr>
            <w:tcW w:w="1843" w:type="dxa"/>
            <w:shd w:val="clear" w:color="auto" w:fill="auto"/>
            <w:noWrap/>
            <w:hideMark/>
          </w:tcPr>
          <w:p w14:paraId="593879EC" w14:textId="77777777" w:rsidR="006D4DDB" w:rsidRPr="00C23847" w:rsidRDefault="006D4DDB" w:rsidP="00E13287">
            <w:pPr>
              <w:jc w:val="center"/>
              <w:rPr>
                <w:sz w:val="20"/>
                <w:szCs w:val="20"/>
              </w:rPr>
            </w:pPr>
          </w:p>
        </w:tc>
        <w:tc>
          <w:tcPr>
            <w:tcW w:w="1134" w:type="dxa"/>
            <w:shd w:val="clear" w:color="auto" w:fill="auto"/>
            <w:noWrap/>
            <w:hideMark/>
          </w:tcPr>
          <w:p w14:paraId="66AA3111" w14:textId="77777777" w:rsidR="006D4DDB" w:rsidRPr="00C23847" w:rsidRDefault="006D4DDB" w:rsidP="00E13287">
            <w:pPr>
              <w:jc w:val="center"/>
              <w:rPr>
                <w:sz w:val="20"/>
                <w:szCs w:val="20"/>
              </w:rPr>
            </w:pPr>
          </w:p>
        </w:tc>
        <w:tc>
          <w:tcPr>
            <w:tcW w:w="1985" w:type="dxa"/>
            <w:shd w:val="clear" w:color="auto" w:fill="auto"/>
            <w:noWrap/>
            <w:hideMark/>
          </w:tcPr>
          <w:p w14:paraId="2A294D51" w14:textId="77777777" w:rsidR="006D4DDB" w:rsidRPr="00C23847" w:rsidRDefault="006D4DDB" w:rsidP="00E13287">
            <w:pPr>
              <w:jc w:val="center"/>
              <w:rPr>
                <w:sz w:val="20"/>
                <w:szCs w:val="20"/>
              </w:rPr>
            </w:pPr>
          </w:p>
        </w:tc>
        <w:tc>
          <w:tcPr>
            <w:tcW w:w="567" w:type="dxa"/>
            <w:shd w:val="clear" w:color="auto" w:fill="auto"/>
            <w:noWrap/>
            <w:hideMark/>
          </w:tcPr>
          <w:p w14:paraId="0D87E4BC" w14:textId="77777777" w:rsidR="006D4DDB" w:rsidRPr="00C23847" w:rsidRDefault="006D4DDB" w:rsidP="00E13287">
            <w:pPr>
              <w:jc w:val="center"/>
              <w:rPr>
                <w:sz w:val="20"/>
                <w:szCs w:val="20"/>
              </w:rPr>
            </w:pPr>
          </w:p>
        </w:tc>
      </w:tr>
      <w:tr w:rsidR="006D4DDB" w:rsidRPr="00C23847" w14:paraId="2F5DE401" w14:textId="77777777" w:rsidTr="00C23847">
        <w:tc>
          <w:tcPr>
            <w:tcW w:w="4904" w:type="dxa"/>
            <w:shd w:val="clear" w:color="auto" w:fill="auto"/>
            <w:noWrap/>
            <w:hideMark/>
          </w:tcPr>
          <w:p w14:paraId="1AC451DA" w14:textId="77777777" w:rsidR="006D4DDB" w:rsidRPr="00C23847" w:rsidRDefault="006D4DDB" w:rsidP="00E13287">
            <w:pPr>
              <w:jc w:val="left"/>
              <w:rPr>
                <w:sz w:val="20"/>
                <w:szCs w:val="20"/>
              </w:rPr>
            </w:pPr>
            <w:r w:rsidRPr="00C23847">
              <w:rPr>
                <w:sz w:val="20"/>
                <w:szCs w:val="20"/>
              </w:rPr>
              <w:t>Total expenditure</w:t>
            </w:r>
          </w:p>
        </w:tc>
        <w:tc>
          <w:tcPr>
            <w:tcW w:w="992" w:type="dxa"/>
            <w:shd w:val="clear" w:color="auto" w:fill="auto"/>
            <w:noWrap/>
            <w:hideMark/>
          </w:tcPr>
          <w:p w14:paraId="7884DB7A" w14:textId="2446891B" w:rsidR="006D4DDB" w:rsidRPr="00C23847" w:rsidRDefault="006D4DDB" w:rsidP="008E2DF1">
            <w:pPr>
              <w:tabs>
                <w:tab w:val="decimal" w:pos="469"/>
              </w:tabs>
              <w:jc w:val="left"/>
              <w:rPr>
                <w:sz w:val="20"/>
                <w:szCs w:val="20"/>
              </w:rPr>
            </w:pPr>
            <w:r w:rsidRPr="00C23847">
              <w:rPr>
                <w:sz w:val="20"/>
                <w:szCs w:val="20"/>
              </w:rPr>
              <w:t>6</w:t>
            </w:r>
            <w:r w:rsidR="008E2DF1">
              <w:rPr>
                <w:sz w:val="20"/>
                <w:szCs w:val="20"/>
              </w:rPr>
              <w:t>,</w:t>
            </w:r>
            <w:r w:rsidRPr="00C23847">
              <w:rPr>
                <w:sz w:val="20"/>
                <w:szCs w:val="20"/>
              </w:rPr>
              <w:t>588.79</w:t>
            </w:r>
          </w:p>
        </w:tc>
        <w:tc>
          <w:tcPr>
            <w:tcW w:w="992" w:type="dxa"/>
            <w:shd w:val="clear" w:color="auto" w:fill="auto"/>
            <w:noWrap/>
            <w:hideMark/>
          </w:tcPr>
          <w:p w14:paraId="1BE4DBDF" w14:textId="23BA8179" w:rsidR="006D4DDB" w:rsidRPr="00C23847" w:rsidRDefault="006D4DDB" w:rsidP="008E2DF1">
            <w:pPr>
              <w:tabs>
                <w:tab w:val="decimal" w:pos="470"/>
              </w:tabs>
              <w:rPr>
                <w:sz w:val="20"/>
                <w:szCs w:val="20"/>
              </w:rPr>
            </w:pPr>
            <w:r w:rsidRPr="00C23847">
              <w:rPr>
                <w:sz w:val="20"/>
                <w:szCs w:val="20"/>
              </w:rPr>
              <w:t>5</w:t>
            </w:r>
            <w:r w:rsidR="008E2DF1">
              <w:rPr>
                <w:sz w:val="20"/>
                <w:szCs w:val="20"/>
              </w:rPr>
              <w:t>,</w:t>
            </w:r>
            <w:r w:rsidRPr="00C23847">
              <w:rPr>
                <w:sz w:val="20"/>
                <w:szCs w:val="20"/>
              </w:rPr>
              <w:t>049.17</w:t>
            </w:r>
          </w:p>
        </w:tc>
        <w:tc>
          <w:tcPr>
            <w:tcW w:w="1843" w:type="dxa"/>
            <w:shd w:val="clear" w:color="auto" w:fill="auto"/>
            <w:noWrap/>
            <w:hideMark/>
          </w:tcPr>
          <w:p w14:paraId="35D3B9ED" w14:textId="77777777" w:rsidR="006D4DDB" w:rsidRPr="00C23847" w:rsidRDefault="006D4DDB" w:rsidP="00E13287">
            <w:pPr>
              <w:jc w:val="center"/>
              <w:rPr>
                <w:sz w:val="20"/>
                <w:szCs w:val="20"/>
              </w:rPr>
            </w:pPr>
          </w:p>
        </w:tc>
        <w:tc>
          <w:tcPr>
            <w:tcW w:w="1134" w:type="dxa"/>
            <w:shd w:val="clear" w:color="auto" w:fill="auto"/>
            <w:noWrap/>
            <w:hideMark/>
          </w:tcPr>
          <w:p w14:paraId="1690909E" w14:textId="77777777" w:rsidR="006D4DDB" w:rsidRPr="00C23847" w:rsidRDefault="006D4DDB" w:rsidP="00E13287">
            <w:pPr>
              <w:jc w:val="center"/>
              <w:rPr>
                <w:sz w:val="20"/>
                <w:szCs w:val="20"/>
              </w:rPr>
            </w:pPr>
          </w:p>
        </w:tc>
        <w:tc>
          <w:tcPr>
            <w:tcW w:w="1985" w:type="dxa"/>
            <w:shd w:val="clear" w:color="auto" w:fill="auto"/>
            <w:noWrap/>
            <w:hideMark/>
          </w:tcPr>
          <w:p w14:paraId="4308B6DE" w14:textId="77777777" w:rsidR="006D4DDB" w:rsidRPr="00C23847" w:rsidRDefault="006D4DDB" w:rsidP="00E13287">
            <w:pPr>
              <w:jc w:val="center"/>
              <w:rPr>
                <w:sz w:val="20"/>
                <w:szCs w:val="20"/>
              </w:rPr>
            </w:pPr>
          </w:p>
        </w:tc>
        <w:tc>
          <w:tcPr>
            <w:tcW w:w="567" w:type="dxa"/>
            <w:shd w:val="clear" w:color="auto" w:fill="auto"/>
            <w:noWrap/>
            <w:hideMark/>
          </w:tcPr>
          <w:p w14:paraId="405C48B3" w14:textId="77777777" w:rsidR="006D4DDB" w:rsidRPr="00C23847" w:rsidRDefault="006D4DDB" w:rsidP="00E13287">
            <w:pPr>
              <w:jc w:val="center"/>
              <w:rPr>
                <w:sz w:val="20"/>
                <w:szCs w:val="20"/>
              </w:rPr>
            </w:pPr>
          </w:p>
        </w:tc>
      </w:tr>
      <w:tr w:rsidR="006D4DDB" w:rsidRPr="00C23847" w14:paraId="0D65F5F2" w14:textId="77777777" w:rsidTr="00C23847">
        <w:tc>
          <w:tcPr>
            <w:tcW w:w="4904" w:type="dxa"/>
            <w:shd w:val="clear" w:color="auto" w:fill="auto"/>
            <w:noWrap/>
            <w:hideMark/>
          </w:tcPr>
          <w:p w14:paraId="4000C032" w14:textId="77777777" w:rsidR="006D4DDB" w:rsidRPr="00C23847" w:rsidRDefault="006D4DDB" w:rsidP="00E13287">
            <w:pPr>
              <w:jc w:val="left"/>
              <w:rPr>
                <w:sz w:val="20"/>
                <w:szCs w:val="20"/>
              </w:rPr>
            </w:pPr>
            <w:r w:rsidRPr="00C23847">
              <w:rPr>
                <w:sz w:val="20"/>
                <w:szCs w:val="20"/>
              </w:rPr>
              <w:t>Overall (PI-1) variance</w:t>
            </w:r>
          </w:p>
        </w:tc>
        <w:tc>
          <w:tcPr>
            <w:tcW w:w="992" w:type="dxa"/>
            <w:shd w:val="clear" w:color="auto" w:fill="auto"/>
            <w:noWrap/>
            <w:hideMark/>
          </w:tcPr>
          <w:p w14:paraId="77DA2317" w14:textId="77777777" w:rsidR="006D4DDB" w:rsidRPr="00C23847" w:rsidRDefault="006D4DDB" w:rsidP="00E13287">
            <w:pPr>
              <w:jc w:val="center"/>
              <w:rPr>
                <w:sz w:val="20"/>
                <w:szCs w:val="20"/>
              </w:rPr>
            </w:pPr>
          </w:p>
        </w:tc>
        <w:tc>
          <w:tcPr>
            <w:tcW w:w="992" w:type="dxa"/>
            <w:shd w:val="clear" w:color="auto" w:fill="auto"/>
            <w:noWrap/>
            <w:hideMark/>
          </w:tcPr>
          <w:p w14:paraId="06811CE6" w14:textId="77777777" w:rsidR="006D4DDB" w:rsidRPr="00C23847" w:rsidRDefault="006D4DDB" w:rsidP="00E13287">
            <w:pPr>
              <w:jc w:val="center"/>
              <w:rPr>
                <w:sz w:val="20"/>
                <w:szCs w:val="20"/>
              </w:rPr>
            </w:pPr>
          </w:p>
        </w:tc>
        <w:tc>
          <w:tcPr>
            <w:tcW w:w="1843" w:type="dxa"/>
            <w:shd w:val="clear" w:color="auto" w:fill="auto"/>
            <w:noWrap/>
            <w:hideMark/>
          </w:tcPr>
          <w:p w14:paraId="223E5AA1" w14:textId="77777777" w:rsidR="006D4DDB" w:rsidRPr="00C23847" w:rsidRDefault="006D4DDB" w:rsidP="00E13287">
            <w:pPr>
              <w:jc w:val="center"/>
              <w:rPr>
                <w:sz w:val="20"/>
                <w:szCs w:val="20"/>
              </w:rPr>
            </w:pPr>
          </w:p>
        </w:tc>
        <w:tc>
          <w:tcPr>
            <w:tcW w:w="1134" w:type="dxa"/>
            <w:shd w:val="clear" w:color="auto" w:fill="auto"/>
            <w:noWrap/>
            <w:hideMark/>
          </w:tcPr>
          <w:p w14:paraId="4D27995F" w14:textId="77777777" w:rsidR="006D4DDB" w:rsidRPr="00C23847" w:rsidRDefault="006D4DDB" w:rsidP="00E13287">
            <w:pPr>
              <w:jc w:val="center"/>
              <w:rPr>
                <w:sz w:val="20"/>
                <w:szCs w:val="20"/>
              </w:rPr>
            </w:pPr>
          </w:p>
        </w:tc>
        <w:tc>
          <w:tcPr>
            <w:tcW w:w="1985" w:type="dxa"/>
            <w:shd w:val="clear" w:color="auto" w:fill="auto"/>
            <w:noWrap/>
            <w:hideMark/>
          </w:tcPr>
          <w:p w14:paraId="0333A4E9" w14:textId="77777777" w:rsidR="006D4DDB" w:rsidRPr="00C23847" w:rsidRDefault="006D4DDB" w:rsidP="00E13287">
            <w:pPr>
              <w:jc w:val="center"/>
              <w:rPr>
                <w:sz w:val="20"/>
                <w:szCs w:val="20"/>
              </w:rPr>
            </w:pPr>
          </w:p>
        </w:tc>
        <w:tc>
          <w:tcPr>
            <w:tcW w:w="567" w:type="dxa"/>
            <w:shd w:val="clear" w:color="auto" w:fill="auto"/>
            <w:noWrap/>
            <w:hideMark/>
          </w:tcPr>
          <w:p w14:paraId="6F4A387D" w14:textId="77777777" w:rsidR="006D4DDB" w:rsidRPr="00C23847" w:rsidRDefault="006D4DDB" w:rsidP="00E13287">
            <w:pPr>
              <w:jc w:val="center"/>
              <w:rPr>
                <w:sz w:val="20"/>
                <w:szCs w:val="20"/>
              </w:rPr>
            </w:pPr>
            <w:r w:rsidRPr="00C23847">
              <w:rPr>
                <w:sz w:val="20"/>
                <w:szCs w:val="20"/>
              </w:rPr>
              <w:t>77</w:t>
            </w:r>
          </w:p>
        </w:tc>
      </w:tr>
      <w:tr w:rsidR="006D4DDB" w:rsidRPr="00C23847" w14:paraId="62E8760C" w14:textId="77777777" w:rsidTr="00C23847">
        <w:tc>
          <w:tcPr>
            <w:tcW w:w="4904" w:type="dxa"/>
            <w:shd w:val="clear" w:color="auto" w:fill="auto"/>
            <w:noWrap/>
            <w:hideMark/>
          </w:tcPr>
          <w:p w14:paraId="1B9909ED" w14:textId="77777777" w:rsidR="006D4DDB" w:rsidRPr="00C23847" w:rsidRDefault="006D4DDB" w:rsidP="00E13287">
            <w:pPr>
              <w:jc w:val="left"/>
              <w:rPr>
                <w:sz w:val="20"/>
                <w:szCs w:val="20"/>
              </w:rPr>
            </w:pPr>
            <w:r w:rsidRPr="00C23847">
              <w:rPr>
                <w:sz w:val="20"/>
                <w:szCs w:val="20"/>
              </w:rPr>
              <w:t>Composition (PI-2) variance</w:t>
            </w:r>
          </w:p>
        </w:tc>
        <w:tc>
          <w:tcPr>
            <w:tcW w:w="992" w:type="dxa"/>
            <w:shd w:val="clear" w:color="auto" w:fill="auto"/>
            <w:noWrap/>
            <w:hideMark/>
          </w:tcPr>
          <w:p w14:paraId="591E87BD" w14:textId="77777777" w:rsidR="006D4DDB" w:rsidRPr="00C23847" w:rsidRDefault="006D4DDB" w:rsidP="00E13287">
            <w:pPr>
              <w:jc w:val="center"/>
              <w:rPr>
                <w:sz w:val="20"/>
                <w:szCs w:val="20"/>
              </w:rPr>
            </w:pPr>
          </w:p>
        </w:tc>
        <w:tc>
          <w:tcPr>
            <w:tcW w:w="992" w:type="dxa"/>
            <w:shd w:val="clear" w:color="auto" w:fill="auto"/>
            <w:noWrap/>
            <w:hideMark/>
          </w:tcPr>
          <w:p w14:paraId="034A31CF" w14:textId="77777777" w:rsidR="006D4DDB" w:rsidRPr="00C23847" w:rsidRDefault="006D4DDB" w:rsidP="00E13287">
            <w:pPr>
              <w:jc w:val="center"/>
              <w:rPr>
                <w:sz w:val="20"/>
                <w:szCs w:val="20"/>
              </w:rPr>
            </w:pPr>
          </w:p>
        </w:tc>
        <w:tc>
          <w:tcPr>
            <w:tcW w:w="1843" w:type="dxa"/>
            <w:shd w:val="clear" w:color="auto" w:fill="auto"/>
            <w:noWrap/>
            <w:hideMark/>
          </w:tcPr>
          <w:p w14:paraId="50658500" w14:textId="77777777" w:rsidR="006D4DDB" w:rsidRPr="00C23847" w:rsidRDefault="006D4DDB" w:rsidP="00E13287">
            <w:pPr>
              <w:jc w:val="center"/>
              <w:rPr>
                <w:sz w:val="20"/>
                <w:szCs w:val="20"/>
              </w:rPr>
            </w:pPr>
          </w:p>
        </w:tc>
        <w:tc>
          <w:tcPr>
            <w:tcW w:w="1134" w:type="dxa"/>
            <w:shd w:val="clear" w:color="auto" w:fill="auto"/>
            <w:noWrap/>
            <w:hideMark/>
          </w:tcPr>
          <w:p w14:paraId="61AC30AF" w14:textId="77777777" w:rsidR="006D4DDB" w:rsidRPr="00C23847" w:rsidRDefault="006D4DDB" w:rsidP="00E13287">
            <w:pPr>
              <w:jc w:val="center"/>
              <w:rPr>
                <w:sz w:val="20"/>
                <w:szCs w:val="20"/>
              </w:rPr>
            </w:pPr>
          </w:p>
        </w:tc>
        <w:tc>
          <w:tcPr>
            <w:tcW w:w="1985" w:type="dxa"/>
            <w:shd w:val="clear" w:color="auto" w:fill="auto"/>
            <w:noWrap/>
            <w:hideMark/>
          </w:tcPr>
          <w:p w14:paraId="25D498B2" w14:textId="77777777" w:rsidR="006D4DDB" w:rsidRPr="00C23847" w:rsidRDefault="006D4DDB" w:rsidP="00E13287">
            <w:pPr>
              <w:jc w:val="center"/>
              <w:rPr>
                <w:sz w:val="20"/>
                <w:szCs w:val="20"/>
              </w:rPr>
            </w:pPr>
          </w:p>
        </w:tc>
        <w:tc>
          <w:tcPr>
            <w:tcW w:w="567" w:type="dxa"/>
            <w:shd w:val="clear" w:color="auto" w:fill="auto"/>
            <w:noWrap/>
            <w:hideMark/>
          </w:tcPr>
          <w:p w14:paraId="67F2A673" w14:textId="77777777" w:rsidR="006D4DDB" w:rsidRPr="00C23847" w:rsidRDefault="006D4DDB" w:rsidP="00E13287">
            <w:pPr>
              <w:jc w:val="center"/>
              <w:rPr>
                <w:sz w:val="20"/>
                <w:szCs w:val="20"/>
              </w:rPr>
            </w:pPr>
            <w:r w:rsidRPr="00C23847">
              <w:rPr>
                <w:sz w:val="20"/>
                <w:szCs w:val="20"/>
              </w:rPr>
              <w:t>16</w:t>
            </w:r>
          </w:p>
        </w:tc>
      </w:tr>
      <w:tr w:rsidR="006D4DDB" w:rsidRPr="00C23847" w14:paraId="58CE44E2" w14:textId="77777777" w:rsidTr="00C23847">
        <w:tc>
          <w:tcPr>
            <w:tcW w:w="4904" w:type="dxa"/>
            <w:shd w:val="clear" w:color="auto" w:fill="auto"/>
            <w:noWrap/>
            <w:hideMark/>
          </w:tcPr>
          <w:p w14:paraId="0B059642" w14:textId="77777777" w:rsidR="006D4DDB" w:rsidRPr="00C23847" w:rsidRDefault="006D4DDB" w:rsidP="00E13287">
            <w:pPr>
              <w:jc w:val="left"/>
              <w:rPr>
                <w:sz w:val="20"/>
                <w:szCs w:val="20"/>
              </w:rPr>
            </w:pPr>
            <w:r w:rsidRPr="00C23847">
              <w:rPr>
                <w:sz w:val="20"/>
                <w:szCs w:val="20"/>
              </w:rPr>
              <w:t>Contingency share of budget</w:t>
            </w:r>
          </w:p>
        </w:tc>
        <w:tc>
          <w:tcPr>
            <w:tcW w:w="992" w:type="dxa"/>
            <w:shd w:val="clear" w:color="auto" w:fill="auto"/>
            <w:noWrap/>
            <w:hideMark/>
          </w:tcPr>
          <w:p w14:paraId="70622B07" w14:textId="77777777" w:rsidR="006D4DDB" w:rsidRPr="00C23847" w:rsidRDefault="006D4DDB" w:rsidP="00E13287">
            <w:pPr>
              <w:jc w:val="center"/>
              <w:rPr>
                <w:sz w:val="20"/>
                <w:szCs w:val="20"/>
              </w:rPr>
            </w:pPr>
          </w:p>
        </w:tc>
        <w:tc>
          <w:tcPr>
            <w:tcW w:w="992" w:type="dxa"/>
            <w:shd w:val="clear" w:color="auto" w:fill="auto"/>
            <w:noWrap/>
            <w:hideMark/>
          </w:tcPr>
          <w:p w14:paraId="0119AF92" w14:textId="77777777" w:rsidR="006D4DDB" w:rsidRPr="00C23847" w:rsidRDefault="006D4DDB" w:rsidP="00E13287">
            <w:pPr>
              <w:jc w:val="center"/>
              <w:rPr>
                <w:sz w:val="20"/>
                <w:szCs w:val="20"/>
              </w:rPr>
            </w:pPr>
          </w:p>
        </w:tc>
        <w:tc>
          <w:tcPr>
            <w:tcW w:w="1843" w:type="dxa"/>
            <w:shd w:val="clear" w:color="auto" w:fill="auto"/>
            <w:noWrap/>
            <w:hideMark/>
          </w:tcPr>
          <w:p w14:paraId="5171299D" w14:textId="77777777" w:rsidR="006D4DDB" w:rsidRPr="00C23847" w:rsidRDefault="006D4DDB" w:rsidP="00E13287">
            <w:pPr>
              <w:jc w:val="center"/>
              <w:rPr>
                <w:sz w:val="20"/>
                <w:szCs w:val="20"/>
              </w:rPr>
            </w:pPr>
          </w:p>
        </w:tc>
        <w:tc>
          <w:tcPr>
            <w:tcW w:w="1134" w:type="dxa"/>
            <w:shd w:val="clear" w:color="auto" w:fill="auto"/>
            <w:noWrap/>
            <w:hideMark/>
          </w:tcPr>
          <w:p w14:paraId="7D564100" w14:textId="77777777" w:rsidR="006D4DDB" w:rsidRPr="00C23847" w:rsidRDefault="006D4DDB" w:rsidP="00E13287">
            <w:pPr>
              <w:jc w:val="center"/>
              <w:rPr>
                <w:sz w:val="20"/>
                <w:szCs w:val="20"/>
              </w:rPr>
            </w:pPr>
          </w:p>
        </w:tc>
        <w:tc>
          <w:tcPr>
            <w:tcW w:w="1985" w:type="dxa"/>
            <w:shd w:val="clear" w:color="auto" w:fill="auto"/>
            <w:noWrap/>
            <w:hideMark/>
          </w:tcPr>
          <w:p w14:paraId="7108A7EA" w14:textId="77777777" w:rsidR="006D4DDB" w:rsidRPr="00C23847" w:rsidRDefault="006D4DDB" w:rsidP="00E13287">
            <w:pPr>
              <w:jc w:val="center"/>
              <w:rPr>
                <w:sz w:val="20"/>
                <w:szCs w:val="20"/>
              </w:rPr>
            </w:pPr>
          </w:p>
        </w:tc>
        <w:tc>
          <w:tcPr>
            <w:tcW w:w="567" w:type="dxa"/>
            <w:shd w:val="clear" w:color="auto" w:fill="auto"/>
            <w:noWrap/>
            <w:hideMark/>
          </w:tcPr>
          <w:p w14:paraId="741EB337" w14:textId="77777777" w:rsidR="006D4DDB" w:rsidRPr="00C23847" w:rsidRDefault="006D4DDB" w:rsidP="00E13287">
            <w:pPr>
              <w:jc w:val="center"/>
              <w:rPr>
                <w:sz w:val="20"/>
                <w:szCs w:val="20"/>
              </w:rPr>
            </w:pPr>
            <w:r w:rsidRPr="00C23847">
              <w:rPr>
                <w:sz w:val="20"/>
                <w:szCs w:val="20"/>
              </w:rPr>
              <w:t>1</w:t>
            </w:r>
          </w:p>
        </w:tc>
      </w:tr>
    </w:tbl>
    <w:p w14:paraId="7C356E56" w14:textId="77777777" w:rsidR="006D4DDB" w:rsidRPr="00890A84" w:rsidRDefault="006D4DDB" w:rsidP="006D4DDB">
      <w:r w:rsidRPr="00890A84">
        <w:br w:type="page"/>
      </w:r>
    </w:p>
    <w:p w14:paraId="28D6CA16" w14:textId="623500A0" w:rsidR="006D4DDB" w:rsidRPr="00E13287" w:rsidRDefault="006D4DDB" w:rsidP="00E13287">
      <w:pPr>
        <w:pStyle w:val="TableStyle"/>
        <w:rPr>
          <w:rStyle w:val="Strong"/>
          <w:b/>
          <w:bCs w:val="0"/>
        </w:rPr>
      </w:pPr>
      <w:r w:rsidRPr="00E13287">
        <w:rPr>
          <w:rStyle w:val="Strong"/>
          <w:b/>
          <w:bCs w:val="0"/>
        </w:rPr>
        <w:t>Year 2013/14 (</w:t>
      </w:r>
      <w:r w:rsidR="00E73ED7">
        <w:rPr>
          <w:rStyle w:val="Strong"/>
          <w:b/>
          <w:bCs w:val="0"/>
        </w:rPr>
        <w:t>Ksh</w:t>
      </w:r>
      <w:r w:rsidR="00457CF7">
        <w:rPr>
          <w:rStyle w:val="Strong"/>
          <w:b/>
          <w:bCs w:val="0"/>
        </w:rPr>
        <w:t>,</w:t>
      </w:r>
      <w:r w:rsidRPr="00E13287">
        <w:rPr>
          <w:rStyle w:val="Strong"/>
          <w:b/>
          <w:bCs w:val="0"/>
        </w:rPr>
        <w:t xml:space="preserve"> million</w:t>
      </w:r>
      <w:r w:rsidR="00457CF7">
        <w:rPr>
          <w:rStyle w:val="Strong"/>
          <w:b/>
          <w:bCs w:val="0"/>
        </w:rPr>
        <w:t>s</w:t>
      </w:r>
      <w:r w:rsidRPr="00E13287">
        <w:rPr>
          <w:rStyle w:val="Strong"/>
          <w:b/>
          <w:bCs w:val="0"/>
        </w:rPr>
        <w:t xml:space="preserve"> </w:t>
      </w:r>
      <w:r w:rsidR="007678B1">
        <w:rPr>
          <w:rStyle w:val="Strong"/>
          <w:b/>
          <w:bCs w:val="0"/>
        </w:rPr>
        <w:t>and</w:t>
      </w:r>
      <w:r w:rsidR="007678B1" w:rsidRPr="00E13287">
        <w:rPr>
          <w:rStyle w:val="Strong"/>
          <w:b/>
          <w:bCs w:val="0"/>
        </w:rPr>
        <w:t xml:space="preserve"> </w:t>
      </w:r>
      <w:r w:rsidRPr="00E13287">
        <w:rPr>
          <w:rStyle w:val="Strong"/>
          <w:b/>
          <w:bCs w:val="0"/>
        </w:rPr>
        <w:t>%)</w:t>
      </w:r>
    </w:p>
    <w:tbl>
      <w:tblPr>
        <w:tblW w:w="11611" w:type="dxa"/>
        <w:tblInd w:w="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1"/>
        <w:gridCol w:w="1150"/>
        <w:gridCol w:w="992"/>
        <w:gridCol w:w="1984"/>
        <w:gridCol w:w="1150"/>
        <w:gridCol w:w="1415"/>
        <w:gridCol w:w="1559"/>
      </w:tblGrid>
      <w:tr w:rsidR="006D4DDB" w:rsidRPr="00E13287" w14:paraId="5EFF0A69" w14:textId="77777777" w:rsidTr="00E13287">
        <w:tc>
          <w:tcPr>
            <w:tcW w:w="3361" w:type="dxa"/>
            <w:shd w:val="clear" w:color="auto" w:fill="5B9BD5"/>
            <w:noWrap/>
            <w:hideMark/>
          </w:tcPr>
          <w:p w14:paraId="531376BF" w14:textId="77777777" w:rsidR="006D4DDB" w:rsidRPr="00E13287" w:rsidRDefault="006D4DDB" w:rsidP="00585338">
            <w:pPr>
              <w:rPr>
                <w:b/>
                <w:color w:val="FFFFFF" w:themeColor="background1"/>
                <w:sz w:val="20"/>
                <w:szCs w:val="20"/>
              </w:rPr>
            </w:pPr>
            <w:r w:rsidRPr="00E13287">
              <w:rPr>
                <w:b/>
                <w:color w:val="FFFFFF" w:themeColor="background1"/>
                <w:sz w:val="20"/>
                <w:szCs w:val="20"/>
              </w:rPr>
              <w:t>Economic head</w:t>
            </w:r>
          </w:p>
        </w:tc>
        <w:tc>
          <w:tcPr>
            <w:tcW w:w="1150" w:type="dxa"/>
            <w:shd w:val="clear" w:color="auto" w:fill="5B9BD5"/>
            <w:noWrap/>
            <w:hideMark/>
          </w:tcPr>
          <w:p w14:paraId="2CBF658A"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Budget</w:t>
            </w:r>
          </w:p>
        </w:tc>
        <w:tc>
          <w:tcPr>
            <w:tcW w:w="992" w:type="dxa"/>
            <w:shd w:val="clear" w:color="auto" w:fill="5B9BD5"/>
            <w:noWrap/>
            <w:hideMark/>
          </w:tcPr>
          <w:p w14:paraId="45A7250A"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Actual</w:t>
            </w:r>
          </w:p>
        </w:tc>
        <w:tc>
          <w:tcPr>
            <w:tcW w:w="1984" w:type="dxa"/>
            <w:shd w:val="clear" w:color="auto" w:fill="5B9BD5"/>
            <w:hideMark/>
          </w:tcPr>
          <w:p w14:paraId="3844DC88"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Adjusted Budget</w:t>
            </w:r>
          </w:p>
        </w:tc>
        <w:tc>
          <w:tcPr>
            <w:tcW w:w="1150" w:type="dxa"/>
            <w:shd w:val="clear" w:color="auto" w:fill="5B9BD5"/>
            <w:hideMark/>
          </w:tcPr>
          <w:p w14:paraId="44CD1676"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Deviation</w:t>
            </w:r>
          </w:p>
        </w:tc>
        <w:tc>
          <w:tcPr>
            <w:tcW w:w="1415" w:type="dxa"/>
            <w:shd w:val="clear" w:color="auto" w:fill="5B9BD5"/>
            <w:hideMark/>
          </w:tcPr>
          <w:p w14:paraId="0AE38A88"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Abs. Dev.</w:t>
            </w:r>
          </w:p>
        </w:tc>
        <w:tc>
          <w:tcPr>
            <w:tcW w:w="1559" w:type="dxa"/>
            <w:shd w:val="clear" w:color="auto" w:fill="5B9BD5"/>
            <w:noWrap/>
            <w:hideMark/>
          </w:tcPr>
          <w:p w14:paraId="564638D4" w14:textId="26521604" w:rsidR="006D4DDB" w:rsidRPr="00E13287" w:rsidRDefault="006D4DDB" w:rsidP="00E13287">
            <w:pPr>
              <w:jc w:val="center"/>
              <w:rPr>
                <w:b/>
                <w:color w:val="FFFFFF" w:themeColor="background1"/>
                <w:sz w:val="20"/>
                <w:szCs w:val="20"/>
              </w:rPr>
            </w:pPr>
            <w:r w:rsidRPr="00E13287">
              <w:rPr>
                <w:b/>
                <w:color w:val="FFFFFF" w:themeColor="background1"/>
                <w:sz w:val="20"/>
                <w:szCs w:val="20"/>
              </w:rPr>
              <w:t>%</w:t>
            </w:r>
          </w:p>
        </w:tc>
      </w:tr>
      <w:tr w:rsidR="006D4DDB" w:rsidRPr="00E13287" w14:paraId="11EB3B9C" w14:textId="77777777" w:rsidTr="00E13287">
        <w:tc>
          <w:tcPr>
            <w:tcW w:w="3361" w:type="dxa"/>
            <w:shd w:val="clear" w:color="auto" w:fill="auto"/>
            <w:noWrap/>
            <w:hideMark/>
          </w:tcPr>
          <w:p w14:paraId="793F3F79" w14:textId="77777777" w:rsidR="006D4DDB" w:rsidRPr="00E13287" w:rsidRDefault="006D4DDB" w:rsidP="00E13287">
            <w:pPr>
              <w:rPr>
                <w:sz w:val="20"/>
                <w:szCs w:val="20"/>
              </w:rPr>
            </w:pPr>
            <w:r w:rsidRPr="00E13287">
              <w:rPr>
                <w:sz w:val="20"/>
                <w:szCs w:val="20"/>
              </w:rPr>
              <w:t>Compensation of employees</w:t>
            </w:r>
          </w:p>
        </w:tc>
        <w:tc>
          <w:tcPr>
            <w:tcW w:w="1150" w:type="dxa"/>
            <w:shd w:val="clear" w:color="auto" w:fill="auto"/>
            <w:noWrap/>
            <w:hideMark/>
          </w:tcPr>
          <w:p w14:paraId="0A73034A" w14:textId="77777777" w:rsidR="006D4DDB" w:rsidRPr="00E13287" w:rsidRDefault="006D4DDB" w:rsidP="008E2DF1">
            <w:pPr>
              <w:tabs>
                <w:tab w:val="decimal" w:pos="655"/>
              </w:tabs>
              <w:jc w:val="left"/>
              <w:rPr>
                <w:sz w:val="20"/>
                <w:szCs w:val="20"/>
              </w:rPr>
            </w:pPr>
            <w:r w:rsidRPr="00E13287">
              <w:rPr>
                <w:sz w:val="20"/>
                <w:szCs w:val="20"/>
              </w:rPr>
              <w:t>783.2</w:t>
            </w:r>
          </w:p>
        </w:tc>
        <w:tc>
          <w:tcPr>
            <w:tcW w:w="992" w:type="dxa"/>
            <w:shd w:val="clear" w:color="auto" w:fill="auto"/>
            <w:noWrap/>
            <w:hideMark/>
          </w:tcPr>
          <w:p w14:paraId="7951EAF2" w14:textId="4505C71D" w:rsidR="006D4DDB" w:rsidRPr="00E13287" w:rsidRDefault="006D4DDB" w:rsidP="008E2DF1">
            <w:pPr>
              <w:tabs>
                <w:tab w:val="decimal" w:pos="493"/>
              </w:tabs>
              <w:jc w:val="left"/>
              <w:rPr>
                <w:sz w:val="20"/>
                <w:szCs w:val="20"/>
              </w:rPr>
            </w:pPr>
            <w:r w:rsidRPr="00E13287">
              <w:rPr>
                <w:sz w:val="20"/>
                <w:szCs w:val="20"/>
              </w:rPr>
              <w:t>1</w:t>
            </w:r>
            <w:r w:rsidR="008E2DF1">
              <w:rPr>
                <w:sz w:val="20"/>
                <w:szCs w:val="20"/>
              </w:rPr>
              <w:t>,</w:t>
            </w:r>
            <w:r w:rsidRPr="00E13287">
              <w:rPr>
                <w:sz w:val="20"/>
                <w:szCs w:val="20"/>
              </w:rPr>
              <w:t>005.3</w:t>
            </w:r>
          </w:p>
        </w:tc>
        <w:tc>
          <w:tcPr>
            <w:tcW w:w="1984" w:type="dxa"/>
            <w:shd w:val="clear" w:color="auto" w:fill="auto"/>
            <w:noWrap/>
            <w:hideMark/>
          </w:tcPr>
          <w:p w14:paraId="56AF478A" w14:textId="77777777" w:rsidR="006D4DDB" w:rsidRPr="00E13287" w:rsidRDefault="006D4DDB" w:rsidP="001E273B">
            <w:pPr>
              <w:tabs>
                <w:tab w:val="decimal" w:pos="1034"/>
              </w:tabs>
              <w:jc w:val="left"/>
              <w:rPr>
                <w:sz w:val="20"/>
                <w:szCs w:val="20"/>
              </w:rPr>
            </w:pPr>
            <w:r w:rsidRPr="00E13287">
              <w:rPr>
                <w:sz w:val="20"/>
                <w:szCs w:val="20"/>
              </w:rPr>
              <w:t>540.4</w:t>
            </w:r>
          </w:p>
        </w:tc>
        <w:tc>
          <w:tcPr>
            <w:tcW w:w="1150" w:type="dxa"/>
            <w:shd w:val="clear" w:color="auto" w:fill="auto"/>
            <w:noWrap/>
            <w:hideMark/>
          </w:tcPr>
          <w:p w14:paraId="1D585C44" w14:textId="77777777" w:rsidR="006D4DDB" w:rsidRPr="00E13287" w:rsidRDefault="006D4DDB" w:rsidP="001E273B">
            <w:pPr>
              <w:tabs>
                <w:tab w:val="decimal" w:pos="577"/>
              </w:tabs>
              <w:jc w:val="left"/>
              <w:rPr>
                <w:sz w:val="20"/>
                <w:szCs w:val="20"/>
              </w:rPr>
            </w:pPr>
            <w:r w:rsidRPr="00E13287">
              <w:rPr>
                <w:sz w:val="20"/>
                <w:szCs w:val="20"/>
              </w:rPr>
              <w:t>465.0</w:t>
            </w:r>
          </w:p>
        </w:tc>
        <w:tc>
          <w:tcPr>
            <w:tcW w:w="1415" w:type="dxa"/>
            <w:shd w:val="clear" w:color="auto" w:fill="auto"/>
            <w:noWrap/>
            <w:hideMark/>
          </w:tcPr>
          <w:p w14:paraId="61D85C17" w14:textId="77777777" w:rsidR="006D4DDB" w:rsidRPr="00E13287" w:rsidRDefault="006D4DDB" w:rsidP="001E273B">
            <w:pPr>
              <w:tabs>
                <w:tab w:val="decimal" w:pos="694"/>
              </w:tabs>
              <w:jc w:val="left"/>
              <w:rPr>
                <w:sz w:val="20"/>
                <w:szCs w:val="20"/>
              </w:rPr>
            </w:pPr>
            <w:r w:rsidRPr="00E13287">
              <w:rPr>
                <w:sz w:val="20"/>
                <w:szCs w:val="20"/>
              </w:rPr>
              <w:t>465.0</w:t>
            </w:r>
          </w:p>
        </w:tc>
        <w:tc>
          <w:tcPr>
            <w:tcW w:w="1559" w:type="dxa"/>
            <w:shd w:val="clear" w:color="auto" w:fill="auto"/>
            <w:noWrap/>
            <w:hideMark/>
          </w:tcPr>
          <w:p w14:paraId="4451D1D2" w14:textId="77777777" w:rsidR="006D4DDB" w:rsidRPr="00E13287" w:rsidRDefault="006D4DDB" w:rsidP="00E13287">
            <w:pPr>
              <w:jc w:val="center"/>
              <w:rPr>
                <w:sz w:val="20"/>
                <w:szCs w:val="20"/>
              </w:rPr>
            </w:pPr>
            <w:r w:rsidRPr="00E13287">
              <w:rPr>
                <w:sz w:val="20"/>
                <w:szCs w:val="20"/>
              </w:rPr>
              <w:t>86.0</w:t>
            </w:r>
          </w:p>
        </w:tc>
      </w:tr>
      <w:tr w:rsidR="006D4DDB" w:rsidRPr="00E13287" w14:paraId="28AC1FAF" w14:textId="77777777" w:rsidTr="00E13287">
        <w:tc>
          <w:tcPr>
            <w:tcW w:w="3361" w:type="dxa"/>
            <w:shd w:val="clear" w:color="auto" w:fill="auto"/>
            <w:noWrap/>
            <w:hideMark/>
          </w:tcPr>
          <w:p w14:paraId="085A8CBE" w14:textId="77777777" w:rsidR="006D4DDB" w:rsidRPr="00E13287" w:rsidRDefault="006D4DDB" w:rsidP="00E13287">
            <w:pPr>
              <w:rPr>
                <w:sz w:val="20"/>
                <w:szCs w:val="20"/>
              </w:rPr>
            </w:pPr>
            <w:r w:rsidRPr="00E13287">
              <w:rPr>
                <w:sz w:val="20"/>
                <w:szCs w:val="20"/>
              </w:rPr>
              <w:t>Use of goods and services</w:t>
            </w:r>
          </w:p>
        </w:tc>
        <w:tc>
          <w:tcPr>
            <w:tcW w:w="1150" w:type="dxa"/>
            <w:shd w:val="clear" w:color="auto" w:fill="auto"/>
            <w:noWrap/>
            <w:hideMark/>
          </w:tcPr>
          <w:p w14:paraId="14D609ED" w14:textId="6BC4C2D9" w:rsidR="006D4DDB" w:rsidRPr="00E13287" w:rsidRDefault="006D4DDB" w:rsidP="008E2DF1">
            <w:pPr>
              <w:tabs>
                <w:tab w:val="decimal" w:pos="655"/>
              </w:tabs>
              <w:jc w:val="left"/>
              <w:rPr>
                <w:sz w:val="20"/>
                <w:szCs w:val="20"/>
              </w:rPr>
            </w:pPr>
            <w:r w:rsidRPr="00E13287">
              <w:rPr>
                <w:sz w:val="20"/>
                <w:szCs w:val="20"/>
              </w:rPr>
              <w:t>2</w:t>
            </w:r>
            <w:r w:rsidR="008E2DF1">
              <w:rPr>
                <w:sz w:val="20"/>
                <w:szCs w:val="20"/>
              </w:rPr>
              <w:t>,</w:t>
            </w:r>
            <w:r w:rsidRPr="00E13287">
              <w:rPr>
                <w:sz w:val="20"/>
                <w:szCs w:val="20"/>
              </w:rPr>
              <w:t>196.5</w:t>
            </w:r>
          </w:p>
        </w:tc>
        <w:tc>
          <w:tcPr>
            <w:tcW w:w="992" w:type="dxa"/>
            <w:shd w:val="clear" w:color="auto" w:fill="auto"/>
            <w:noWrap/>
            <w:hideMark/>
          </w:tcPr>
          <w:p w14:paraId="724785B6" w14:textId="09B47A4E" w:rsidR="006D4DDB" w:rsidRPr="00E13287" w:rsidRDefault="006D4DDB" w:rsidP="008E2DF1">
            <w:pPr>
              <w:tabs>
                <w:tab w:val="decimal" w:pos="493"/>
              </w:tabs>
              <w:jc w:val="left"/>
              <w:rPr>
                <w:sz w:val="20"/>
                <w:szCs w:val="20"/>
              </w:rPr>
            </w:pPr>
            <w:r w:rsidRPr="00E13287">
              <w:rPr>
                <w:sz w:val="20"/>
                <w:szCs w:val="20"/>
              </w:rPr>
              <w:t>1</w:t>
            </w:r>
            <w:r w:rsidR="008E2DF1">
              <w:rPr>
                <w:sz w:val="20"/>
                <w:szCs w:val="20"/>
              </w:rPr>
              <w:t>,</w:t>
            </w:r>
            <w:r w:rsidRPr="00E13287">
              <w:rPr>
                <w:sz w:val="20"/>
                <w:szCs w:val="20"/>
              </w:rPr>
              <w:t>604.6</w:t>
            </w:r>
          </w:p>
        </w:tc>
        <w:tc>
          <w:tcPr>
            <w:tcW w:w="1984" w:type="dxa"/>
            <w:shd w:val="clear" w:color="auto" w:fill="auto"/>
            <w:noWrap/>
            <w:hideMark/>
          </w:tcPr>
          <w:p w14:paraId="3CE1954C" w14:textId="578DD629" w:rsidR="006D4DDB" w:rsidRPr="00E13287" w:rsidRDefault="006D4DDB" w:rsidP="001E273B">
            <w:pPr>
              <w:tabs>
                <w:tab w:val="decimal" w:pos="1034"/>
              </w:tabs>
              <w:jc w:val="left"/>
              <w:rPr>
                <w:sz w:val="20"/>
                <w:szCs w:val="20"/>
              </w:rPr>
            </w:pPr>
            <w:r w:rsidRPr="00E13287">
              <w:rPr>
                <w:sz w:val="20"/>
                <w:szCs w:val="20"/>
              </w:rPr>
              <w:t>1</w:t>
            </w:r>
            <w:r w:rsidR="008E2DF1">
              <w:rPr>
                <w:sz w:val="20"/>
                <w:szCs w:val="20"/>
              </w:rPr>
              <w:t>,</w:t>
            </w:r>
            <w:r w:rsidRPr="00E13287">
              <w:rPr>
                <w:sz w:val="20"/>
                <w:szCs w:val="20"/>
              </w:rPr>
              <w:t>515.5</w:t>
            </w:r>
          </w:p>
        </w:tc>
        <w:tc>
          <w:tcPr>
            <w:tcW w:w="1150" w:type="dxa"/>
            <w:shd w:val="clear" w:color="auto" w:fill="auto"/>
            <w:noWrap/>
            <w:hideMark/>
          </w:tcPr>
          <w:p w14:paraId="352959F4" w14:textId="77777777" w:rsidR="006D4DDB" w:rsidRPr="00E13287" w:rsidRDefault="006D4DDB" w:rsidP="001E273B">
            <w:pPr>
              <w:tabs>
                <w:tab w:val="decimal" w:pos="577"/>
              </w:tabs>
              <w:jc w:val="left"/>
              <w:rPr>
                <w:sz w:val="20"/>
                <w:szCs w:val="20"/>
              </w:rPr>
            </w:pPr>
            <w:r w:rsidRPr="00E13287">
              <w:rPr>
                <w:sz w:val="20"/>
                <w:szCs w:val="20"/>
              </w:rPr>
              <w:t>89.1</w:t>
            </w:r>
          </w:p>
        </w:tc>
        <w:tc>
          <w:tcPr>
            <w:tcW w:w="1415" w:type="dxa"/>
            <w:shd w:val="clear" w:color="auto" w:fill="auto"/>
            <w:noWrap/>
            <w:hideMark/>
          </w:tcPr>
          <w:p w14:paraId="0E6CBB36" w14:textId="77777777" w:rsidR="006D4DDB" w:rsidRPr="00E13287" w:rsidRDefault="006D4DDB" w:rsidP="001E273B">
            <w:pPr>
              <w:tabs>
                <w:tab w:val="decimal" w:pos="694"/>
              </w:tabs>
              <w:jc w:val="left"/>
              <w:rPr>
                <w:sz w:val="20"/>
                <w:szCs w:val="20"/>
              </w:rPr>
            </w:pPr>
            <w:r w:rsidRPr="00E13287">
              <w:rPr>
                <w:sz w:val="20"/>
                <w:szCs w:val="20"/>
              </w:rPr>
              <w:t>89.1</w:t>
            </w:r>
          </w:p>
        </w:tc>
        <w:tc>
          <w:tcPr>
            <w:tcW w:w="1559" w:type="dxa"/>
            <w:shd w:val="clear" w:color="auto" w:fill="auto"/>
            <w:noWrap/>
            <w:hideMark/>
          </w:tcPr>
          <w:p w14:paraId="7C56CAB9" w14:textId="77777777" w:rsidR="006D4DDB" w:rsidRPr="00E13287" w:rsidRDefault="006D4DDB" w:rsidP="00E13287">
            <w:pPr>
              <w:jc w:val="center"/>
              <w:rPr>
                <w:sz w:val="20"/>
                <w:szCs w:val="20"/>
              </w:rPr>
            </w:pPr>
            <w:r w:rsidRPr="00E13287">
              <w:rPr>
                <w:sz w:val="20"/>
                <w:szCs w:val="20"/>
              </w:rPr>
              <w:t>5.9</w:t>
            </w:r>
          </w:p>
        </w:tc>
      </w:tr>
      <w:tr w:rsidR="006D4DDB" w:rsidRPr="00E13287" w14:paraId="756549BF" w14:textId="77777777" w:rsidTr="00E13287">
        <w:tc>
          <w:tcPr>
            <w:tcW w:w="3361" w:type="dxa"/>
            <w:shd w:val="clear" w:color="auto" w:fill="auto"/>
            <w:noWrap/>
            <w:hideMark/>
          </w:tcPr>
          <w:p w14:paraId="6E483571" w14:textId="77777777" w:rsidR="006D4DDB" w:rsidRPr="00E13287" w:rsidRDefault="006D4DDB" w:rsidP="00E13287">
            <w:pPr>
              <w:rPr>
                <w:sz w:val="20"/>
                <w:szCs w:val="20"/>
              </w:rPr>
            </w:pPr>
            <w:r w:rsidRPr="00E13287">
              <w:rPr>
                <w:sz w:val="20"/>
                <w:szCs w:val="20"/>
              </w:rPr>
              <w:t>Consumption of fixed capital</w:t>
            </w:r>
          </w:p>
        </w:tc>
        <w:tc>
          <w:tcPr>
            <w:tcW w:w="1150" w:type="dxa"/>
            <w:shd w:val="clear" w:color="auto" w:fill="auto"/>
            <w:noWrap/>
            <w:hideMark/>
          </w:tcPr>
          <w:p w14:paraId="63372B15" w14:textId="7673E7BB" w:rsidR="006D4DDB" w:rsidRPr="00E13287" w:rsidRDefault="006D4DDB" w:rsidP="008E2DF1">
            <w:pPr>
              <w:tabs>
                <w:tab w:val="decimal" w:pos="655"/>
              </w:tabs>
              <w:jc w:val="left"/>
              <w:rPr>
                <w:sz w:val="20"/>
                <w:szCs w:val="20"/>
              </w:rPr>
            </w:pPr>
            <w:r w:rsidRPr="00E13287">
              <w:rPr>
                <w:sz w:val="20"/>
                <w:szCs w:val="20"/>
              </w:rPr>
              <w:t>1</w:t>
            </w:r>
            <w:r w:rsidR="008E2DF1">
              <w:rPr>
                <w:sz w:val="20"/>
                <w:szCs w:val="20"/>
              </w:rPr>
              <w:t>,</w:t>
            </w:r>
            <w:r w:rsidRPr="00E13287">
              <w:rPr>
                <w:sz w:val="20"/>
                <w:szCs w:val="20"/>
              </w:rPr>
              <w:t>062.8</w:t>
            </w:r>
          </w:p>
        </w:tc>
        <w:tc>
          <w:tcPr>
            <w:tcW w:w="992" w:type="dxa"/>
            <w:shd w:val="clear" w:color="auto" w:fill="auto"/>
            <w:noWrap/>
            <w:hideMark/>
          </w:tcPr>
          <w:p w14:paraId="567CA85B" w14:textId="77777777" w:rsidR="006D4DDB" w:rsidRPr="00E13287" w:rsidRDefault="006D4DDB" w:rsidP="008E2DF1">
            <w:pPr>
              <w:tabs>
                <w:tab w:val="decimal" w:pos="493"/>
              </w:tabs>
              <w:jc w:val="left"/>
              <w:rPr>
                <w:sz w:val="20"/>
                <w:szCs w:val="20"/>
              </w:rPr>
            </w:pPr>
            <w:r w:rsidRPr="00E13287">
              <w:rPr>
                <w:sz w:val="20"/>
                <w:szCs w:val="20"/>
              </w:rPr>
              <w:t>0.0</w:t>
            </w:r>
          </w:p>
        </w:tc>
        <w:tc>
          <w:tcPr>
            <w:tcW w:w="1984" w:type="dxa"/>
            <w:shd w:val="clear" w:color="auto" w:fill="auto"/>
            <w:noWrap/>
            <w:hideMark/>
          </w:tcPr>
          <w:p w14:paraId="0753A233" w14:textId="77777777" w:rsidR="006D4DDB" w:rsidRPr="00E13287" w:rsidRDefault="006D4DDB" w:rsidP="001E273B">
            <w:pPr>
              <w:tabs>
                <w:tab w:val="decimal" w:pos="1034"/>
              </w:tabs>
              <w:jc w:val="left"/>
              <w:rPr>
                <w:sz w:val="20"/>
                <w:szCs w:val="20"/>
              </w:rPr>
            </w:pPr>
            <w:r w:rsidRPr="00E13287">
              <w:rPr>
                <w:sz w:val="20"/>
                <w:szCs w:val="20"/>
              </w:rPr>
              <w:t>733.3</w:t>
            </w:r>
          </w:p>
        </w:tc>
        <w:tc>
          <w:tcPr>
            <w:tcW w:w="1150" w:type="dxa"/>
            <w:shd w:val="clear" w:color="auto" w:fill="auto"/>
            <w:noWrap/>
            <w:hideMark/>
          </w:tcPr>
          <w:p w14:paraId="2E822AA9" w14:textId="6468AF96" w:rsidR="006D4DDB" w:rsidRPr="00E13287" w:rsidRDefault="008E2DF1" w:rsidP="001E273B">
            <w:pPr>
              <w:tabs>
                <w:tab w:val="decimal" w:pos="577"/>
              </w:tabs>
              <w:jc w:val="left"/>
              <w:rPr>
                <w:sz w:val="20"/>
                <w:szCs w:val="20"/>
              </w:rPr>
            </w:pPr>
            <w:r>
              <w:rPr>
                <w:rFonts w:ascii="Times New Roman" w:hAnsi="Times New Roman" w:cs="Times New Roman"/>
                <w:sz w:val="20"/>
                <w:szCs w:val="20"/>
              </w:rPr>
              <w:t>−</w:t>
            </w:r>
            <w:r w:rsidR="006D4DDB" w:rsidRPr="00E13287">
              <w:rPr>
                <w:sz w:val="20"/>
                <w:szCs w:val="20"/>
              </w:rPr>
              <w:t>733.3</w:t>
            </w:r>
          </w:p>
        </w:tc>
        <w:tc>
          <w:tcPr>
            <w:tcW w:w="1415" w:type="dxa"/>
            <w:shd w:val="clear" w:color="auto" w:fill="auto"/>
            <w:noWrap/>
            <w:hideMark/>
          </w:tcPr>
          <w:p w14:paraId="52AB6EB5" w14:textId="77777777" w:rsidR="006D4DDB" w:rsidRPr="00E13287" w:rsidRDefault="006D4DDB" w:rsidP="001E273B">
            <w:pPr>
              <w:tabs>
                <w:tab w:val="decimal" w:pos="694"/>
              </w:tabs>
              <w:jc w:val="left"/>
              <w:rPr>
                <w:sz w:val="20"/>
                <w:szCs w:val="20"/>
              </w:rPr>
            </w:pPr>
            <w:r w:rsidRPr="00E13287">
              <w:rPr>
                <w:sz w:val="20"/>
                <w:szCs w:val="20"/>
              </w:rPr>
              <w:t>733.3</w:t>
            </w:r>
          </w:p>
        </w:tc>
        <w:tc>
          <w:tcPr>
            <w:tcW w:w="1559" w:type="dxa"/>
            <w:shd w:val="clear" w:color="auto" w:fill="auto"/>
            <w:noWrap/>
            <w:hideMark/>
          </w:tcPr>
          <w:p w14:paraId="15C30360" w14:textId="77777777" w:rsidR="006D4DDB" w:rsidRPr="00E13287" w:rsidRDefault="006D4DDB" w:rsidP="00E13287">
            <w:pPr>
              <w:jc w:val="center"/>
              <w:rPr>
                <w:sz w:val="20"/>
                <w:szCs w:val="20"/>
              </w:rPr>
            </w:pPr>
            <w:r w:rsidRPr="00E13287">
              <w:rPr>
                <w:sz w:val="20"/>
                <w:szCs w:val="20"/>
              </w:rPr>
              <w:t>100.0</w:t>
            </w:r>
          </w:p>
        </w:tc>
      </w:tr>
      <w:tr w:rsidR="006D4DDB" w:rsidRPr="00E13287" w14:paraId="57D72F8E" w14:textId="77777777" w:rsidTr="00E13287">
        <w:tc>
          <w:tcPr>
            <w:tcW w:w="3361" w:type="dxa"/>
            <w:shd w:val="clear" w:color="auto" w:fill="auto"/>
            <w:noWrap/>
            <w:hideMark/>
          </w:tcPr>
          <w:p w14:paraId="49CB165A" w14:textId="77777777" w:rsidR="006D4DDB" w:rsidRPr="00E13287" w:rsidRDefault="006D4DDB" w:rsidP="00E13287">
            <w:pPr>
              <w:rPr>
                <w:sz w:val="20"/>
                <w:szCs w:val="20"/>
              </w:rPr>
            </w:pPr>
            <w:r w:rsidRPr="00E13287">
              <w:rPr>
                <w:sz w:val="20"/>
                <w:szCs w:val="20"/>
              </w:rPr>
              <w:t>Interest</w:t>
            </w:r>
          </w:p>
        </w:tc>
        <w:tc>
          <w:tcPr>
            <w:tcW w:w="1150" w:type="dxa"/>
            <w:shd w:val="clear" w:color="auto" w:fill="auto"/>
            <w:noWrap/>
            <w:hideMark/>
          </w:tcPr>
          <w:p w14:paraId="0F255F2D" w14:textId="77777777" w:rsidR="006D4DDB" w:rsidRPr="00E13287" w:rsidRDefault="006D4DDB" w:rsidP="008E2DF1">
            <w:pPr>
              <w:tabs>
                <w:tab w:val="decimal" w:pos="655"/>
              </w:tabs>
              <w:jc w:val="left"/>
              <w:rPr>
                <w:sz w:val="20"/>
                <w:szCs w:val="20"/>
              </w:rPr>
            </w:pPr>
            <w:r w:rsidRPr="00E13287">
              <w:rPr>
                <w:sz w:val="20"/>
                <w:szCs w:val="20"/>
              </w:rPr>
              <w:t>0.0</w:t>
            </w:r>
          </w:p>
        </w:tc>
        <w:tc>
          <w:tcPr>
            <w:tcW w:w="992" w:type="dxa"/>
            <w:shd w:val="clear" w:color="auto" w:fill="auto"/>
            <w:noWrap/>
            <w:hideMark/>
          </w:tcPr>
          <w:p w14:paraId="27C10B14" w14:textId="2665F7D2" w:rsidR="006D4DDB" w:rsidRPr="00E13287" w:rsidRDefault="006D4DDB" w:rsidP="008E2DF1">
            <w:pPr>
              <w:tabs>
                <w:tab w:val="decimal" w:pos="493"/>
              </w:tabs>
              <w:jc w:val="left"/>
              <w:rPr>
                <w:sz w:val="20"/>
                <w:szCs w:val="20"/>
              </w:rPr>
            </w:pPr>
            <w:r w:rsidRPr="00E13287">
              <w:rPr>
                <w:sz w:val="20"/>
                <w:szCs w:val="20"/>
              </w:rPr>
              <w:t>0</w:t>
            </w:r>
            <w:r w:rsidR="008E2DF1">
              <w:rPr>
                <w:sz w:val="20"/>
                <w:szCs w:val="20"/>
              </w:rPr>
              <w:t>.</w:t>
            </w:r>
            <w:r w:rsidRPr="00E13287">
              <w:rPr>
                <w:sz w:val="20"/>
                <w:szCs w:val="20"/>
              </w:rPr>
              <w:t>0</w:t>
            </w:r>
          </w:p>
        </w:tc>
        <w:tc>
          <w:tcPr>
            <w:tcW w:w="1984" w:type="dxa"/>
            <w:shd w:val="clear" w:color="auto" w:fill="auto"/>
            <w:noWrap/>
            <w:hideMark/>
          </w:tcPr>
          <w:p w14:paraId="33D2CDEA" w14:textId="77777777" w:rsidR="006D4DDB" w:rsidRPr="00E13287" w:rsidRDefault="006D4DDB" w:rsidP="001E273B">
            <w:pPr>
              <w:tabs>
                <w:tab w:val="decimal" w:pos="1034"/>
              </w:tabs>
              <w:jc w:val="left"/>
              <w:rPr>
                <w:sz w:val="20"/>
                <w:szCs w:val="20"/>
              </w:rPr>
            </w:pPr>
            <w:r w:rsidRPr="00E13287">
              <w:rPr>
                <w:sz w:val="20"/>
                <w:szCs w:val="20"/>
              </w:rPr>
              <w:t>0.0</w:t>
            </w:r>
          </w:p>
        </w:tc>
        <w:tc>
          <w:tcPr>
            <w:tcW w:w="1150" w:type="dxa"/>
            <w:shd w:val="clear" w:color="auto" w:fill="auto"/>
            <w:noWrap/>
            <w:hideMark/>
          </w:tcPr>
          <w:p w14:paraId="39326712" w14:textId="30E0EE7C" w:rsidR="006D4DDB" w:rsidRPr="00E13287" w:rsidRDefault="006D4DDB" w:rsidP="001E273B">
            <w:pPr>
              <w:tabs>
                <w:tab w:val="decimal" w:pos="577"/>
              </w:tabs>
              <w:jc w:val="left"/>
              <w:rPr>
                <w:sz w:val="20"/>
                <w:szCs w:val="20"/>
              </w:rPr>
            </w:pPr>
            <w:r w:rsidRPr="00E13287">
              <w:rPr>
                <w:sz w:val="20"/>
                <w:szCs w:val="20"/>
              </w:rPr>
              <w:t>0</w:t>
            </w:r>
            <w:r w:rsidR="001E273B">
              <w:rPr>
                <w:sz w:val="20"/>
                <w:szCs w:val="20"/>
              </w:rPr>
              <w:t>.</w:t>
            </w:r>
            <w:r w:rsidRPr="00E13287">
              <w:rPr>
                <w:sz w:val="20"/>
                <w:szCs w:val="20"/>
              </w:rPr>
              <w:t>0</w:t>
            </w:r>
          </w:p>
        </w:tc>
        <w:tc>
          <w:tcPr>
            <w:tcW w:w="1415" w:type="dxa"/>
            <w:shd w:val="clear" w:color="auto" w:fill="auto"/>
            <w:noWrap/>
            <w:hideMark/>
          </w:tcPr>
          <w:p w14:paraId="5DA8E7F1" w14:textId="77777777" w:rsidR="006D4DDB" w:rsidRPr="00E13287" w:rsidRDefault="006D4DDB" w:rsidP="001E273B">
            <w:pPr>
              <w:tabs>
                <w:tab w:val="decimal" w:pos="694"/>
              </w:tabs>
              <w:jc w:val="left"/>
              <w:rPr>
                <w:sz w:val="20"/>
                <w:szCs w:val="20"/>
              </w:rPr>
            </w:pPr>
            <w:r w:rsidRPr="00E13287">
              <w:rPr>
                <w:sz w:val="20"/>
                <w:szCs w:val="20"/>
              </w:rPr>
              <w:t>0.0</w:t>
            </w:r>
          </w:p>
        </w:tc>
        <w:tc>
          <w:tcPr>
            <w:tcW w:w="1559" w:type="dxa"/>
            <w:shd w:val="clear" w:color="auto" w:fill="auto"/>
            <w:noWrap/>
            <w:hideMark/>
          </w:tcPr>
          <w:p w14:paraId="33D6F08D" w14:textId="663E7460" w:rsidR="006D4DDB" w:rsidRPr="00E13287" w:rsidRDefault="008E2DF1" w:rsidP="00E13287">
            <w:pPr>
              <w:jc w:val="center"/>
              <w:rPr>
                <w:sz w:val="20"/>
                <w:szCs w:val="20"/>
              </w:rPr>
            </w:pPr>
            <w:r>
              <w:rPr>
                <w:sz w:val="20"/>
                <w:szCs w:val="20"/>
              </w:rPr>
              <w:t>—</w:t>
            </w:r>
          </w:p>
        </w:tc>
      </w:tr>
      <w:tr w:rsidR="008E2DF1" w:rsidRPr="00E13287" w14:paraId="26122F94" w14:textId="77777777" w:rsidTr="00E13287">
        <w:tc>
          <w:tcPr>
            <w:tcW w:w="3361" w:type="dxa"/>
            <w:shd w:val="clear" w:color="auto" w:fill="auto"/>
            <w:noWrap/>
            <w:hideMark/>
          </w:tcPr>
          <w:p w14:paraId="75484EB9" w14:textId="77777777" w:rsidR="008E2DF1" w:rsidRPr="00E13287" w:rsidRDefault="008E2DF1" w:rsidP="008E2DF1">
            <w:pPr>
              <w:rPr>
                <w:sz w:val="20"/>
                <w:szCs w:val="20"/>
              </w:rPr>
            </w:pPr>
            <w:r w:rsidRPr="00E13287">
              <w:rPr>
                <w:sz w:val="20"/>
                <w:szCs w:val="20"/>
              </w:rPr>
              <w:t>Subsidies</w:t>
            </w:r>
          </w:p>
        </w:tc>
        <w:tc>
          <w:tcPr>
            <w:tcW w:w="1150" w:type="dxa"/>
            <w:shd w:val="clear" w:color="auto" w:fill="auto"/>
            <w:noWrap/>
            <w:hideMark/>
          </w:tcPr>
          <w:p w14:paraId="7200FDE0" w14:textId="77777777" w:rsidR="008E2DF1" w:rsidRPr="00E13287" w:rsidRDefault="008E2DF1" w:rsidP="008E2DF1">
            <w:pPr>
              <w:tabs>
                <w:tab w:val="decimal" w:pos="655"/>
              </w:tabs>
              <w:jc w:val="left"/>
              <w:rPr>
                <w:sz w:val="20"/>
                <w:szCs w:val="20"/>
              </w:rPr>
            </w:pPr>
            <w:r w:rsidRPr="00E13287">
              <w:rPr>
                <w:sz w:val="20"/>
                <w:szCs w:val="20"/>
              </w:rPr>
              <w:t>0.0</w:t>
            </w:r>
          </w:p>
        </w:tc>
        <w:tc>
          <w:tcPr>
            <w:tcW w:w="992" w:type="dxa"/>
            <w:shd w:val="clear" w:color="auto" w:fill="auto"/>
            <w:noWrap/>
            <w:hideMark/>
          </w:tcPr>
          <w:p w14:paraId="2B185F28" w14:textId="4029D18E" w:rsidR="008E2DF1" w:rsidRPr="00E13287" w:rsidRDefault="008E2DF1" w:rsidP="008E2DF1">
            <w:pPr>
              <w:tabs>
                <w:tab w:val="decimal" w:pos="493"/>
              </w:tabs>
              <w:jc w:val="left"/>
              <w:rPr>
                <w:sz w:val="20"/>
                <w:szCs w:val="20"/>
              </w:rPr>
            </w:pPr>
            <w:r w:rsidRPr="00E13287">
              <w:rPr>
                <w:sz w:val="20"/>
                <w:szCs w:val="20"/>
              </w:rPr>
              <w:t>0</w:t>
            </w:r>
            <w:r>
              <w:rPr>
                <w:sz w:val="20"/>
                <w:szCs w:val="20"/>
              </w:rPr>
              <w:t>.</w:t>
            </w:r>
            <w:r w:rsidRPr="00E13287">
              <w:rPr>
                <w:sz w:val="20"/>
                <w:szCs w:val="20"/>
              </w:rPr>
              <w:t>0</w:t>
            </w:r>
          </w:p>
        </w:tc>
        <w:tc>
          <w:tcPr>
            <w:tcW w:w="1984" w:type="dxa"/>
            <w:shd w:val="clear" w:color="auto" w:fill="auto"/>
            <w:noWrap/>
            <w:hideMark/>
          </w:tcPr>
          <w:p w14:paraId="610740D8" w14:textId="77777777" w:rsidR="008E2DF1" w:rsidRPr="00E13287" w:rsidRDefault="008E2DF1" w:rsidP="001E273B">
            <w:pPr>
              <w:tabs>
                <w:tab w:val="decimal" w:pos="1034"/>
              </w:tabs>
              <w:jc w:val="left"/>
              <w:rPr>
                <w:sz w:val="20"/>
                <w:szCs w:val="20"/>
              </w:rPr>
            </w:pPr>
            <w:r w:rsidRPr="00E13287">
              <w:rPr>
                <w:sz w:val="20"/>
                <w:szCs w:val="20"/>
              </w:rPr>
              <w:t>0.0</w:t>
            </w:r>
          </w:p>
        </w:tc>
        <w:tc>
          <w:tcPr>
            <w:tcW w:w="1150" w:type="dxa"/>
            <w:shd w:val="clear" w:color="auto" w:fill="auto"/>
            <w:noWrap/>
            <w:hideMark/>
          </w:tcPr>
          <w:p w14:paraId="6E4F8AF6" w14:textId="1F590B81" w:rsidR="008E2DF1" w:rsidRPr="00E13287" w:rsidRDefault="008E2DF1" w:rsidP="001E273B">
            <w:pPr>
              <w:tabs>
                <w:tab w:val="decimal" w:pos="577"/>
              </w:tabs>
              <w:jc w:val="left"/>
              <w:rPr>
                <w:sz w:val="20"/>
                <w:szCs w:val="20"/>
              </w:rPr>
            </w:pPr>
            <w:r w:rsidRPr="00E13287">
              <w:rPr>
                <w:sz w:val="20"/>
                <w:szCs w:val="20"/>
              </w:rPr>
              <w:t>0</w:t>
            </w:r>
            <w:r w:rsidR="001E273B">
              <w:rPr>
                <w:sz w:val="20"/>
                <w:szCs w:val="20"/>
              </w:rPr>
              <w:t>.</w:t>
            </w:r>
            <w:r w:rsidRPr="00E13287">
              <w:rPr>
                <w:sz w:val="20"/>
                <w:szCs w:val="20"/>
              </w:rPr>
              <w:t>0</w:t>
            </w:r>
          </w:p>
        </w:tc>
        <w:tc>
          <w:tcPr>
            <w:tcW w:w="1415" w:type="dxa"/>
            <w:shd w:val="clear" w:color="auto" w:fill="auto"/>
            <w:noWrap/>
            <w:hideMark/>
          </w:tcPr>
          <w:p w14:paraId="7C93002A" w14:textId="77777777" w:rsidR="008E2DF1" w:rsidRPr="00E13287" w:rsidRDefault="008E2DF1" w:rsidP="001E273B">
            <w:pPr>
              <w:tabs>
                <w:tab w:val="decimal" w:pos="694"/>
              </w:tabs>
              <w:jc w:val="left"/>
              <w:rPr>
                <w:sz w:val="20"/>
                <w:szCs w:val="20"/>
              </w:rPr>
            </w:pPr>
            <w:r w:rsidRPr="00E13287">
              <w:rPr>
                <w:sz w:val="20"/>
                <w:szCs w:val="20"/>
              </w:rPr>
              <w:t>0.0</w:t>
            </w:r>
          </w:p>
        </w:tc>
        <w:tc>
          <w:tcPr>
            <w:tcW w:w="1559" w:type="dxa"/>
            <w:shd w:val="clear" w:color="auto" w:fill="auto"/>
            <w:noWrap/>
            <w:hideMark/>
          </w:tcPr>
          <w:p w14:paraId="2E7A54C1" w14:textId="19101CD6" w:rsidR="008E2DF1" w:rsidRPr="00E13287" w:rsidRDefault="008E2DF1" w:rsidP="008E2DF1">
            <w:pPr>
              <w:jc w:val="center"/>
              <w:rPr>
                <w:sz w:val="20"/>
                <w:szCs w:val="20"/>
              </w:rPr>
            </w:pPr>
            <w:r w:rsidRPr="00CB3B96">
              <w:rPr>
                <w:sz w:val="20"/>
                <w:szCs w:val="20"/>
              </w:rPr>
              <w:t>—</w:t>
            </w:r>
          </w:p>
        </w:tc>
      </w:tr>
      <w:tr w:rsidR="008E2DF1" w:rsidRPr="00E13287" w14:paraId="10092E0C" w14:textId="77777777" w:rsidTr="00E13287">
        <w:tc>
          <w:tcPr>
            <w:tcW w:w="3361" w:type="dxa"/>
            <w:shd w:val="clear" w:color="auto" w:fill="auto"/>
            <w:noWrap/>
            <w:hideMark/>
          </w:tcPr>
          <w:p w14:paraId="22B814D6" w14:textId="77777777" w:rsidR="008E2DF1" w:rsidRPr="00E13287" w:rsidRDefault="008E2DF1" w:rsidP="008E2DF1">
            <w:pPr>
              <w:rPr>
                <w:sz w:val="20"/>
                <w:szCs w:val="20"/>
              </w:rPr>
            </w:pPr>
            <w:r w:rsidRPr="00E13287">
              <w:rPr>
                <w:sz w:val="20"/>
                <w:szCs w:val="20"/>
              </w:rPr>
              <w:t>Grants</w:t>
            </w:r>
          </w:p>
        </w:tc>
        <w:tc>
          <w:tcPr>
            <w:tcW w:w="1150" w:type="dxa"/>
            <w:shd w:val="clear" w:color="auto" w:fill="auto"/>
            <w:noWrap/>
            <w:hideMark/>
          </w:tcPr>
          <w:p w14:paraId="0B0427F1" w14:textId="77777777" w:rsidR="008E2DF1" w:rsidRPr="00E13287" w:rsidRDefault="008E2DF1" w:rsidP="008E2DF1">
            <w:pPr>
              <w:tabs>
                <w:tab w:val="decimal" w:pos="655"/>
              </w:tabs>
              <w:jc w:val="left"/>
              <w:rPr>
                <w:sz w:val="20"/>
                <w:szCs w:val="20"/>
              </w:rPr>
            </w:pPr>
            <w:r w:rsidRPr="00E13287">
              <w:rPr>
                <w:sz w:val="20"/>
                <w:szCs w:val="20"/>
              </w:rPr>
              <w:t>0.0</w:t>
            </w:r>
          </w:p>
        </w:tc>
        <w:tc>
          <w:tcPr>
            <w:tcW w:w="992" w:type="dxa"/>
            <w:shd w:val="clear" w:color="auto" w:fill="auto"/>
            <w:noWrap/>
            <w:hideMark/>
          </w:tcPr>
          <w:p w14:paraId="397D05FE" w14:textId="77777777" w:rsidR="008E2DF1" w:rsidRPr="00E13287" w:rsidRDefault="008E2DF1" w:rsidP="008E2DF1">
            <w:pPr>
              <w:tabs>
                <w:tab w:val="decimal" w:pos="493"/>
              </w:tabs>
              <w:jc w:val="left"/>
              <w:rPr>
                <w:sz w:val="20"/>
                <w:szCs w:val="20"/>
              </w:rPr>
            </w:pPr>
            <w:r w:rsidRPr="00E13287">
              <w:rPr>
                <w:sz w:val="20"/>
                <w:szCs w:val="20"/>
              </w:rPr>
              <w:t>179.2</w:t>
            </w:r>
          </w:p>
        </w:tc>
        <w:tc>
          <w:tcPr>
            <w:tcW w:w="1984" w:type="dxa"/>
            <w:shd w:val="clear" w:color="auto" w:fill="auto"/>
            <w:noWrap/>
            <w:hideMark/>
          </w:tcPr>
          <w:p w14:paraId="0C5BB905" w14:textId="77777777" w:rsidR="008E2DF1" w:rsidRPr="00E13287" w:rsidRDefault="008E2DF1" w:rsidP="001E273B">
            <w:pPr>
              <w:tabs>
                <w:tab w:val="decimal" w:pos="1034"/>
              </w:tabs>
              <w:jc w:val="left"/>
              <w:rPr>
                <w:sz w:val="20"/>
                <w:szCs w:val="20"/>
              </w:rPr>
            </w:pPr>
            <w:r w:rsidRPr="00E13287">
              <w:rPr>
                <w:sz w:val="20"/>
                <w:szCs w:val="20"/>
              </w:rPr>
              <w:t>0.0</w:t>
            </w:r>
          </w:p>
        </w:tc>
        <w:tc>
          <w:tcPr>
            <w:tcW w:w="1150" w:type="dxa"/>
            <w:shd w:val="clear" w:color="auto" w:fill="auto"/>
            <w:noWrap/>
            <w:hideMark/>
          </w:tcPr>
          <w:p w14:paraId="35D59CD4" w14:textId="77777777" w:rsidR="008E2DF1" w:rsidRPr="00E13287" w:rsidRDefault="008E2DF1" w:rsidP="001E273B">
            <w:pPr>
              <w:tabs>
                <w:tab w:val="decimal" w:pos="577"/>
              </w:tabs>
              <w:jc w:val="left"/>
              <w:rPr>
                <w:sz w:val="20"/>
                <w:szCs w:val="20"/>
              </w:rPr>
            </w:pPr>
            <w:r w:rsidRPr="00E13287">
              <w:rPr>
                <w:sz w:val="20"/>
                <w:szCs w:val="20"/>
              </w:rPr>
              <w:t>179.2</w:t>
            </w:r>
          </w:p>
        </w:tc>
        <w:tc>
          <w:tcPr>
            <w:tcW w:w="1415" w:type="dxa"/>
            <w:shd w:val="clear" w:color="auto" w:fill="auto"/>
            <w:noWrap/>
            <w:hideMark/>
          </w:tcPr>
          <w:p w14:paraId="5EEE4AB4" w14:textId="77777777" w:rsidR="008E2DF1" w:rsidRPr="00E13287" w:rsidRDefault="008E2DF1" w:rsidP="001E273B">
            <w:pPr>
              <w:tabs>
                <w:tab w:val="decimal" w:pos="694"/>
              </w:tabs>
              <w:jc w:val="left"/>
              <w:rPr>
                <w:sz w:val="20"/>
                <w:szCs w:val="20"/>
              </w:rPr>
            </w:pPr>
            <w:r w:rsidRPr="00E13287">
              <w:rPr>
                <w:sz w:val="20"/>
                <w:szCs w:val="20"/>
              </w:rPr>
              <w:t>179.2</w:t>
            </w:r>
          </w:p>
        </w:tc>
        <w:tc>
          <w:tcPr>
            <w:tcW w:w="1559" w:type="dxa"/>
            <w:shd w:val="clear" w:color="auto" w:fill="auto"/>
            <w:noWrap/>
            <w:hideMark/>
          </w:tcPr>
          <w:p w14:paraId="76B4C57C" w14:textId="1A04D3AF" w:rsidR="008E2DF1" w:rsidRPr="00E13287" w:rsidRDefault="008E2DF1" w:rsidP="008E2DF1">
            <w:pPr>
              <w:jc w:val="center"/>
              <w:rPr>
                <w:sz w:val="20"/>
                <w:szCs w:val="20"/>
              </w:rPr>
            </w:pPr>
            <w:r w:rsidRPr="00CB3B96">
              <w:rPr>
                <w:sz w:val="20"/>
                <w:szCs w:val="20"/>
              </w:rPr>
              <w:t>—</w:t>
            </w:r>
          </w:p>
        </w:tc>
      </w:tr>
      <w:tr w:rsidR="008E2DF1" w:rsidRPr="00E13287" w14:paraId="7C9152DD" w14:textId="77777777" w:rsidTr="00E13287">
        <w:tc>
          <w:tcPr>
            <w:tcW w:w="3361" w:type="dxa"/>
            <w:shd w:val="clear" w:color="auto" w:fill="auto"/>
            <w:noWrap/>
            <w:hideMark/>
          </w:tcPr>
          <w:p w14:paraId="4B38298C" w14:textId="77777777" w:rsidR="008E2DF1" w:rsidRPr="00E13287" w:rsidRDefault="008E2DF1" w:rsidP="008E2DF1">
            <w:pPr>
              <w:rPr>
                <w:sz w:val="20"/>
                <w:szCs w:val="20"/>
              </w:rPr>
            </w:pPr>
            <w:r w:rsidRPr="00E13287">
              <w:rPr>
                <w:sz w:val="20"/>
                <w:szCs w:val="20"/>
              </w:rPr>
              <w:t>Social benefits</w:t>
            </w:r>
          </w:p>
        </w:tc>
        <w:tc>
          <w:tcPr>
            <w:tcW w:w="1150" w:type="dxa"/>
            <w:shd w:val="clear" w:color="auto" w:fill="auto"/>
            <w:noWrap/>
            <w:hideMark/>
          </w:tcPr>
          <w:p w14:paraId="449EB9A0" w14:textId="77777777" w:rsidR="008E2DF1" w:rsidRPr="00E13287" w:rsidRDefault="008E2DF1" w:rsidP="008E2DF1">
            <w:pPr>
              <w:tabs>
                <w:tab w:val="decimal" w:pos="655"/>
              </w:tabs>
              <w:jc w:val="left"/>
              <w:rPr>
                <w:sz w:val="20"/>
                <w:szCs w:val="20"/>
              </w:rPr>
            </w:pPr>
            <w:r w:rsidRPr="00E13287">
              <w:rPr>
                <w:sz w:val="20"/>
                <w:szCs w:val="20"/>
              </w:rPr>
              <w:t>0.0</w:t>
            </w:r>
          </w:p>
        </w:tc>
        <w:tc>
          <w:tcPr>
            <w:tcW w:w="992" w:type="dxa"/>
            <w:shd w:val="clear" w:color="auto" w:fill="auto"/>
            <w:noWrap/>
            <w:hideMark/>
          </w:tcPr>
          <w:p w14:paraId="1843F9D5" w14:textId="77777777" w:rsidR="008E2DF1" w:rsidRPr="00E13287" w:rsidRDefault="008E2DF1" w:rsidP="008E2DF1">
            <w:pPr>
              <w:tabs>
                <w:tab w:val="decimal" w:pos="493"/>
              </w:tabs>
              <w:jc w:val="left"/>
              <w:rPr>
                <w:sz w:val="20"/>
                <w:szCs w:val="20"/>
              </w:rPr>
            </w:pPr>
            <w:r w:rsidRPr="00E13287">
              <w:rPr>
                <w:sz w:val="20"/>
                <w:szCs w:val="20"/>
              </w:rPr>
              <w:t>0.0</w:t>
            </w:r>
          </w:p>
        </w:tc>
        <w:tc>
          <w:tcPr>
            <w:tcW w:w="1984" w:type="dxa"/>
            <w:shd w:val="clear" w:color="auto" w:fill="auto"/>
            <w:noWrap/>
            <w:hideMark/>
          </w:tcPr>
          <w:p w14:paraId="02D41788" w14:textId="77777777" w:rsidR="008E2DF1" w:rsidRPr="00E13287" w:rsidRDefault="008E2DF1" w:rsidP="001E273B">
            <w:pPr>
              <w:tabs>
                <w:tab w:val="decimal" w:pos="1034"/>
              </w:tabs>
              <w:jc w:val="left"/>
              <w:rPr>
                <w:sz w:val="20"/>
                <w:szCs w:val="20"/>
              </w:rPr>
            </w:pPr>
            <w:r w:rsidRPr="00E13287">
              <w:rPr>
                <w:sz w:val="20"/>
                <w:szCs w:val="20"/>
              </w:rPr>
              <w:t>0.0</w:t>
            </w:r>
          </w:p>
        </w:tc>
        <w:tc>
          <w:tcPr>
            <w:tcW w:w="1150" w:type="dxa"/>
            <w:shd w:val="clear" w:color="auto" w:fill="auto"/>
            <w:noWrap/>
            <w:hideMark/>
          </w:tcPr>
          <w:p w14:paraId="1D9763E5" w14:textId="77777777" w:rsidR="008E2DF1" w:rsidRPr="00E13287" w:rsidRDefault="008E2DF1" w:rsidP="001E273B">
            <w:pPr>
              <w:tabs>
                <w:tab w:val="decimal" w:pos="577"/>
              </w:tabs>
              <w:jc w:val="left"/>
              <w:rPr>
                <w:sz w:val="20"/>
                <w:szCs w:val="20"/>
              </w:rPr>
            </w:pPr>
            <w:r w:rsidRPr="00E13287">
              <w:rPr>
                <w:sz w:val="20"/>
                <w:szCs w:val="20"/>
              </w:rPr>
              <w:t>0.0</w:t>
            </w:r>
          </w:p>
        </w:tc>
        <w:tc>
          <w:tcPr>
            <w:tcW w:w="1415" w:type="dxa"/>
            <w:shd w:val="clear" w:color="auto" w:fill="auto"/>
            <w:noWrap/>
            <w:hideMark/>
          </w:tcPr>
          <w:p w14:paraId="53E01778" w14:textId="77777777" w:rsidR="008E2DF1" w:rsidRPr="00E13287" w:rsidRDefault="008E2DF1" w:rsidP="001E273B">
            <w:pPr>
              <w:tabs>
                <w:tab w:val="decimal" w:pos="694"/>
              </w:tabs>
              <w:jc w:val="left"/>
              <w:rPr>
                <w:sz w:val="20"/>
                <w:szCs w:val="20"/>
              </w:rPr>
            </w:pPr>
            <w:r w:rsidRPr="00E13287">
              <w:rPr>
                <w:sz w:val="20"/>
                <w:szCs w:val="20"/>
              </w:rPr>
              <w:t>0.0</w:t>
            </w:r>
          </w:p>
        </w:tc>
        <w:tc>
          <w:tcPr>
            <w:tcW w:w="1559" w:type="dxa"/>
            <w:shd w:val="clear" w:color="auto" w:fill="auto"/>
            <w:noWrap/>
            <w:hideMark/>
          </w:tcPr>
          <w:p w14:paraId="56F127D1" w14:textId="2DCE5BE8" w:rsidR="008E2DF1" w:rsidRPr="00E13287" w:rsidRDefault="008E2DF1" w:rsidP="008E2DF1">
            <w:pPr>
              <w:jc w:val="center"/>
              <w:rPr>
                <w:sz w:val="20"/>
                <w:szCs w:val="20"/>
              </w:rPr>
            </w:pPr>
            <w:r w:rsidRPr="00CB3B96">
              <w:rPr>
                <w:sz w:val="20"/>
                <w:szCs w:val="20"/>
              </w:rPr>
              <w:t>—</w:t>
            </w:r>
          </w:p>
        </w:tc>
      </w:tr>
      <w:tr w:rsidR="008E2DF1" w:rsidRPr="00E13287" w14:paraId="06C33550" w14:textId="77777777" w:rsidTr="00E13287">
        <w:tc>
          <w:tcPr>
            <w:tcW w:w="3361" w:type="dxa"/>
            <w:shd w:val="clear" w:color="auto" w:fill="auto"/>
            <w:noWrap/>
            <w:hideMark/>
          </w:tcPr>
          <w:p w14:paraId="6E24F599" w14:textId="77777777" w:rsidR="008E2DF1" w:rsidRPr="00E13287" w:rsidRDefault="008E2DF1" w:rsidP="008E2DF1">
            <w:pPr>
              <w:rPr>
                <w:sz w:val="20"/>
                <w:szCs w:val="20"/>
              </w:rPr>
            </w:pPr>
            <w:r w:rsidRPr="00E13287">
              <w:rPr>
                <w:sz w:val="20"/>
                <w:szCs w:val="20"/>
              </w:rPr>
              <w:t>Other expenses</w:t>
            </w:r>
          </w:p>
        </w:tc>
        <w:tc>
          <w:tcPr>
            <w:tcW w:w="1150" w:type="dxa"/>
            <w:shd w:val="clear" w:color="auto" w:fill="auto"/>
            <w:noWrap/>
            <w:hideMark/>
          </w:tcPr>
          <w:p w14:paraId="1AEEDE9A" w14:textId="77777777" w:rsidR="008E2DF1" w:rsidRPr="00E13287" w:rsidRDefault="008E2DF1" w:rsidP="008E2DF1">
            <w:pPr>
              <w:tabs>
                <w:tab w:val="decimal" w:pos="655"/>
              </w:tabs>
              <w:jc w:val="left"/>
              <w:rPr>
                <w:sz w:val="20"/>
                <w:szCs w:val="20"/>
              </w:rPr>
            </w:pPr>
            <w:r w:rsidRPr="00E13287">
              <w:rPr>
                <w:sz w:val="20"/>
                <w:szCs w:val="20"/>
              </w:rPr>
              <w:t>0.0</w:t>
            </w:r>
          </w:p>
        </w:tc>
        <w:tc>
          <w:tcPr>
            <w:tcW w:w="992" w:type="dxa"/>
            <w:shd w:val="clear" w:color="auto" w:fill="auto"/>
            <w:noWrap/>
            <w:hideMark/>
          </w:tcPr>
          <w:p w14:paraId="58DE82B3" w14:textId="77777777" w:rsidR="008E2DF1" w:rsidRPr="00E13287" w:rsidRDefault="008E2DF1" w:rsidP="008E2DF1">
            <w:pPr>
              <w:tabs>
                <w:tab w:val="decimal" w:pos="493"/>
              </w:tabs>
              <w:jc w:val="left"/>
              <w:rPr>
                <w:sz w:val="20"/>
                <w:szCs w:val="20"/>
              </w:rPr>
            </w:pPr>
            <w:r w:rsidRPr="00E13287">
              <w:rPr>
                <w:sz w:val="20"/>
                <w:szCs w:val="20"/>
              </w:rPr>
              <w:t>0.0</w:t>
            </w:r>
          </w:p>
        </w:tc>
        <w:tc>
          <w:tcPr>
            <w:tcW w:w="1984" w:type="dxa"/>
            <w:shd w:val="clear" w:color="auto" w:fill="auto"/>
            <w:noWrap/>
            <w:hideMark/>
          </w:tcPr>
          <w:p w14:paraId="6B48F52D" w14:textId="361B2250" w:rsidR="008E2DF1" w:rsidRPr="00E13287" w:rsidRDefault="008E2DF1" w:rsidP="001E273B">
            <w:pPr>
              <w:tabs>
                <w:tab w:val="decimal" w:pos="1034"/>
              </w:tabs>
              <w:jc w:val="left"/>
              <w:rPr>
                <w:sz w:val="20"/>
                <w:szCs w:val="20"/>
              </w:rPr>
            </w:pPr>
            <w:r w:rsidRPr="00E13287">
              <w:rPr>
                <w:sz w:val="20"/>
                <w:szCs w:val="20"/>
              </w:rPr>
              <w:t>0</w:t>
            </w:r>
            <w:r w:rsidR="001E273B">
              <w:rPr>
                <w:sz w:val="20"/>
                <w:szCs w:val="20"/>
              </w:rPr>
              <w:t>.</w:t>
            </w:r>
            <w:r w:rsidRPr="00E13287">
              <w:rPr>
                <w:sz w:val="20"/>
                <w:szCs w:val="20"/>
              </w:rPr>
              <w:t>0</w:t>
            </w:r>
          </w:p>
        </w:tc>
        <w:tc>
          <w:tcPr>
            <w:tcW w:w="1150" w:type="dxa"/>
            <w:shd w:val="clear" w:color="auto" w:fill="auto"/>
            <w:noWrap/>
            <w:hideMark/>
          </w:tcPr>
          <w:p w14:paraId="68F2AB9E" w14:textId="77777777" w:rsidR="008E2DF1" w:rsidRPr="00E13287" w:rsidRDefault="008E2DF1" w:rsidP="001E273B">
            <w:pPr>
              <w:tabs>
                <w:tab w:val="decimal" w:pos="577"/>
              </w:tabs>
              <w:jc w:val="left"/>
              <w:rPr>
                <w:sz w:val="20"/>
                <w:szCs w:val="20"/>
              </w:rPr>
            </w:pPr>
            <w:r w:rsidRPr="00E13287">
              <w:rPr>
                <w:sz w:val="20"/>
                <w:szCs w:val="20"/>
              </w:rPr>
              <w:t>0.0</w:t>
            </w:r>
          </w:p>
        </w:tc>
        <w:tc>
          <w:tcPr>
            <w:tcW w:w="1415" w:type="dxa"/>
            <w:shd w:val="clear" w:color="auto" w:fill="auto"/>
            <w:noWrap/>
            <w:hideMark/>
          </w:tcPr>
          <w:p w14:paraId="40AEB85F" w14:textId="77777777" w:rsidR="008E2DF1" w:rsidRPr="00E13287" w:rsidRDefault="008E2DF1" w:rsidP="001E273B">
            <w:pPr>
              <w:tabs>
                <w:tab w:val="decimal" w:pos="694"/>
              </w:tabs>
              <w:jc w:val="left"/>
              <w:rPr>
                <w:sz w:val="20"/>
                <w:szCs w:val="20"/>
              </w:rPr>
            </w:pPr>
            <w:r w:rsidRPr="00E13287">
              <w:rPr>
                <w:sz w:val="20"/>
                <w:szCs w:val="20"/>
              </w:rPr>
              <w:t>0.0</w:t>
            </w:r>
          </w:p>
        </w:tc>
        <w:tc>
          <w:tcPr>
            <w:tcW w:w="1559" w:type="dxa"/>
            <w:shd w:val="clear" w:color="auto" w:fill="auto"/>
            <w:noWrap/>
            <w:hideMark/>
          </w:tcPr>
          <w:p w14:paraId="09E3E48A" w14:textId="423A0D9B" w:rsidR="008E2DF1" w:rsidRPr="00E13287" w:rsidRDefault="008E2DF1" w:rsidP="008E2DF1">
            <w:pPr>
              <w:jc w:val="center"/>
              <w:rPr>
                <w:sz w:val="20"/>
                <w:szCs w:val="20"/>
              </w:rPr>
            </w:pPr>
            <w:r w:rsidRPr="00CB3B96">
              <w:rPr>
                <w:sz w:val="20"/>
                <w:szCs w:val="20"/>
              </w:rPr>
              <w:t>—</w:t>
            </w:r>
          </w:p>
        </w:tc>
      </w:tr>
      <w:tr w:rsidR="006D4DDB" w:rsidRPr="00E13287" w14:paraId="0D1FD48C" w14:textId="77777777" w:rsidTr="00E13287">
        <w:tc>
          <w:tcPr>
            <w:tcW w:w="3361" w:type="dxa"/>
            <w:shd w:val="clear" w:color="auto" w:fill="auto"/>
            <w:noWrap/>
            <w:hideMark/>
          </w:tcPr>
          <w:p w14:paraId="09E0F3DD" w14:textId="77777777" w:rsidR="006D4DDB" w:rsidRPr="00E13287" w:rsidRDefault="006D4DDB" w:rsidP="00E13287">
            <w:pPr>
              <w:rPr>
                <w:sz w:val="20"/>
                <w:szCs w:val="20"/>
              </w:rPr>
            </w:pPr>
            <w:r w:rsidRPr="00E13287">
              <w:rPr>
                <w:sz w:val="20"/>
                <w:szCs w:val="20"/>
              </w:rPr>
              <w:t>Total expenditure</w:t>
            </w:r>
          </w:p>
        </w:tc>
        <w:tc>
          <w:tcPr>
            <w:tcW w:w="1150" w:type="dxa"/>
            <w:shd w:val="clear" w:color="auto" w:fill="auto"/>
            <w:noWrap/>
            <w:hideMark/>
          </w:tcPr>
          <w:p w14:paraId="15F828CC" w14:textId="4828CF3F" w:rsidR="006D4DDB" w:rsidRPr="00E13287" w:rsidRDefault="006D4DDB" w:rsidP="008E2DF1">
            <w:pPr>
              <w:tabs>
                <w:tab w:val="decimal" w:pos="655"/>
              </w:tabs>
              <w:jc w:val="left"/>
              <w:rPr>
                <w:sz w:val="20"/>
                <w:szCs w:val="20"/>
              </w:rPr>
            </w:pPr>
            <w:r w:rsidRPr="00E13287">
              <w:rPr>
                <w:sz w:val="20"/>
                <w:szCs w:val="20"/>
              </w:rPr>
              <w:t>4</w:t>
            </w:r>
            <w:r w:rsidR="008E2DF1">
              <w:rPr>
                <w:sz w:val="20"/>
                <w:szCs w:val="20"/>
              </w:rPr>
              <w:t>,</w:t>
            </w:r>
            <w:r w:rsidRPr="00E13287">
              <w:rPr>
                <w:sz w:val="20"/>
                <w:szCs w:val="20"/>
              </w:rPr>
              <w:t>042.6</w:t>
            </w:r>
          </w:p>
        </w:tc>
        <w:tc>
          <w:tcPr>
            <w:tcW w:w="992" w:type="dxa"/>
            <w:shd w:val="clear" w:color="auto" w:fill="auto"/>
            <w:noWrap/>
            <w:hideMark/>
          </w:tcPr>
          <w:p w14:paraId="6C41E6D5" w14:textId="60A378DB" w:rsidR="006D4DDB" w:rsidRPr="00E13287" w:rsidRDefault="006D4DDB" w:rsidP="008E2DF1">
            <w:pPr>
              <w:tabs>
                <w:tab w:val="decimal" w:pos="493"/>
              </w:tabs>
              <w:jc w:val="left"/>
              <w:rPr>
                <w:sz w:val="20"/>
                <w:szCs w:val="20"/>
              </w:rPr>
            </w:pPr>
            <w:r w:rsidRPr="00E13287">
              <w:rPr>
                <w:sz w:val="20"/>
                <w:szCs w:val="20"/>
              </w:rPr>
              <w:t>2</w:t>
            </w:r>
            <w:r w:rsidR="008E2DF1">
              <w:rPr>
                <w:sz w:val="20"/>
                <w:szCs w:val="20"/>
              </w:rPr>
              <w:t>,</w:t>
            </w:r>
            <w:r w:rsidRPr="00E13287">
              <w:rPr>
                <w:sz w:val="20"/>
                <w:szCs w:val="20"/>
              </w:rPr>
              <w:t>789.1</w:t>
            </w:r>
          </w:p>
        </w:tc>
        <w:tc>
          <w:tcPr>
            <w:tcW w:w="1984" w:type="dxa"/>
            <w:shd w:val="clear" w:color="auto" w:fill="auto"/>
            <w:noWrap/>
            <w:hideMark/>
          </w:tcPr>
          <w:p w14:paraId="37417995" w14:textId="4A0037B8" w:rsidR="006D4DDB" w:rsidRPr="00E13287" w:rsidRDefault="006D4DDB" w:rsidP="001E273B">
            <w:pPr>
              <w:tabs>
                <w:tab w:val="decimal" w:pos="1034"/>
              </w:tabs>
              <w:jc w:val="left"/>
              <w:rPr>
                <w:sz w:val="20"/>
                <w:szCs w:val="20"/>
              </w:rPr>
            </w:pPr>
            <w:r w:rsidRPr="00E13287">
              <w:rPr>
                <w:sz w:val="20"/>
                <w:szCs w:val="20"/>
              </w:rPr>
              <w:t>2</w:t>
            </w:r>
            <w:r w:rsidR="008E2DF1">
              <w:rPr>
                <w:sz w:val="20"/>
                <w:szCs w:val="20"/>
              </w:rPr>
              <w:t>,</w:t>
            </w:r>
            <w:r w:rsidRPr="00E13287">
              <w:rPr>
                <w:sz w:val="20"/>
                <w:szCs w:val="20"/>
              </w:rPr>
              <w:t>789.1</w:t>
            </w:r>
          </w:p>
        </w:tc>
        <w:tc>
          <w:tcPr>
            <w:tcW w:w="1150" w:type="dxa"/>
            <w:shd w:val="clear" w:color="auto" w:fill="auto"/>
            <w:noWrap/>
            <w:hideMark/>
          </w:tcPr>
          <w:p w14:paraId="65E21AE0" w14:textId="77777777" w:rsidR="006D4DDB" w:rsidRPr="00E13287" w:rsidRDefault="006D4DDB" w:rsidP="001E273B">
            <w:pPr>
              <w:tabs>
                <w:tab w:val="decimal" w:pos="577"/>
              </w:tabs>
              <w:jc w:val="left"/>
              <w:rPr>
                <w:sz w:val="20"/>
                <w:szCs w:val="20"/>
              </w:rPr>
            </w:pPr>
            <w:r w:rsidRPr="00E13287">
              <w:rPr>
                <w:sz w:val="20"/>
                <w:szCs w:val="20"/>
              </w:rPr>
              <w:t>0.0</w:t>
            </w:r>
          </w:p>
        </w:tc>
        <w:tc>
          <w:tcPr>
            <w:tcW w:w="1415" w:type="dxa"/>
            <w:shd w:val="clear" w:color="auto" w:fill="auto"/>
            <w:noWrap/>
            <w:hideMark/>
          </w:tcPr>
          <w:p w14:paraId="2E2DE3BC" w14:textId="59E9B305" w:rsidR="006D4DDB" w:rsidRPr="00E13287" w:rsidRDefault="006D4DDB" w:rsidP="001E273B">
            <w:pPr>
              <w:tabs>
                <w:tab w:val="decimal" w:pos="694"/>
              </w:tabs>
              <w:jc w:val="left"/>
              <w:rPr>
                <w:sz w:val="20"/>
                <w:szCs w:val="20"/>
              </w:rPr>
            </w:pPr>
            <w:r w:rsidRPr="00E13287">
              <w:rPr>
                <w:sz w:val="20"/>
                <w:szCs w:val="20"/>
              </w:rPr>
              <w:t>1</w:t>
            </w:r>
            <w:r w:rsidR="008E2DF1">
              <w:rPr>
                <w:sz w:val="20"/>
                <w:szCs w:val="20"/>
              </w:rPr>
              <w:t>,</w:t>
            </w:r>
            <w:r w:rsidRPr="00E13287">
              <w:rPr>
                <w:sz w:val="20"/>
                <w:szCs w:val="20"/>
              </w:rPr>
              <w:t>466.5</w:t>
            </w:r>
          </w:p>
        </w:tc>
        <w:tc>
          <w:tcPr>
            <w:tcW w:w="1559" w:type="dxa"/>
            <w:shd w:val="clear" w:color="auto" w:fill="auto"/>
            <w:noWrap/>
            <w:hideMark/>
          </w:tcPr>
          <w:p w14:paraId="31866D67" w14:textId="77777777" w:rsidR="006D4DDB" w:rsidRPr="00E13287" w:rsidRDefault="006D4DDB" w:rsidP="00E13287">
            <w:pPr>
              <w:jc w:val="center"/>
              <w:rPr>
                <w:sz w:val="20"/>
                <w:szCs w:val="20"/>
              </w:rPr>
            </w:pPr>
          </w:p>
        </w:tc>
      </w:tr>
      <w:tr w:rsidR="006D4DDB" w:rsidRPr="00E13287" w14:paraId="592A5272" w14:textId="77777777" w:rsidTr="00E13287">
        <w:tc>
          <w:tcPr>
            <w:tcW w:w="3361" w:type="dxa"/>
            <w:shd w:val="clear" w:color="auto" w:fill="auto"/>
            <w:noWrap/>
            <w:hideMark/>
          </w:tcPr>
          <w:p w14:paraId="1929C751" w14:textId="77777777" w:rsidR="006D4DDB" w:rsidRPr="00E13287" w:rsidRDefault="006D4DDB" w:rsidP="00E13287">
            <w:pPr>
              <w:rPr>
                <w:sz w:val="20"/>
                <w:szCs w:val="20"/>
              </w:rPr>
            </w:pPr>
            <w:r w:rsidRPr="00E13287">
              <w:rPr>
                <w:sz w:val="20"/>
                <w:szCs w:val="20"/>
              </w:rPr>
              <w:t>Overall variance</w:t>
            </w:r>
          </w:p>
        </w:tc>
        <w:tc>
          <w:tcPr>
            <w:tcW w:w="1150" w:type="dxa"/>
            <w:shd w:val="clear" w:color="auto" w:fill="auto"/>
            <w:noWrap/>
            <w:hideMark/>
          </w:tcPr>
          <w:p w14:paraId="72D03AB3" w14:textId="77777777" w:rsidR="006D4DDB" w:rsidRPr="00E13287" w:rsidRDefault="006D4DDB" w:rsidP="00E13287">
            <w:pPr>
              <w:jc w:val="center"/>
              <w:rPr>
                <w:sz w:val="20"/>
                <w:szCs w:val="20"/>
              </w:rPr>
            </w:pPr>
          </w:p>
        </w:tc>
        <w:tc>
          <w:tcPr>
            <w:tcW w:w="992" w:type="dxa"/>
            <w:shd w:val="clear" w:color="auto" w:fill="auto"/>
            <w:noWrap/>
            <w:hideMark/>
          </w:tcPr>
          <w:p w14:paraId="3968E1C9" w14:textId="77777777" w:rsidR="006D4DDB" w:rsidRPr="00E13287" w:rsidRDefault="006D4DDB" w:rsidP="00E13287">
            <w:pPr>
              <w:jc w:val="center"/>
              <w:rPr>
                <w:sz w:val="20"/>
                <w:szCs w:val="20"/>
              </w:rPr>
            </w:pPr>
          </w:p>
        </w:tc>
        <w:tc>
          <w:tcPr>
            <w:tcW w:w="1984" w:type="dxa"/>
            <w:shd w:val="clear" w:color="auto" w:fill="auto"/>
            <w:noWrap/>
            <w:hideMark/>
          </w:tcPr>
          <w:p w14:paraId="07AAA022" w14:textId="77777777" w:rsidR="006D4DDB" w:rsidRPr="00E13287" w:rsidRDefault="006D4DDB" w:rsidP="00E13287">
            <w:pPr>
              <w:jc w:val="center"/>
              <w:rPr>
                <w:sz w:val="20"/>
                <w:szCs w:val="20"/>
              </w:rPr>
            </w:pPr>
          </w:p>
        </w:tc>
        <w:tc>
          <w:tcPr>
            <w:tcW w:w="1150" w:type="dxa"/>
            <w:shd w:val="clear" w:color="auto" w:fill="auto"/>
            <w:noWrap/>
            <w:hideMark/>
          </w:tcPr>
          <w:p w14:paraId="37CDF019" w14:textId="77777777" w:rsidR="006D4DDB" w:rsidRPr="00E13287" w:rsidRDefault="006D4DDB" w:rsidP="00E13287">
            <w:pPr>
              <w:jc w:val="center"/>
              <w:rPr>
                <w:sz w:val="20"/>
                <w:szCs w:val="20"/>
              </w:rPr>
            </w:pPr>
          </w:p>
        </w:tc>
        <w:tc>
          <w:tcPr>
            <w:tcW w:w="1415" w:type="dxa"/>
            <w:shd w:val="clear" w:color="auto" w:fill="auto"/>
            <w:noWrap/>
            <w:hideMark/>
          </w:tcPr>
          <w:p w14:paraId="7280CE50" w14:textId="77777777" w:rsidR="006D4DDB" w:rsidRPr="00E13287" w:rsidRDefault="006D4DDB" w:rsidP="00E13287">
            <w:pPr>
              <w:jc w:val="center"/>
              <w:rPr>
                <w:sz w:val="20"/>
                <w:szCs w:val="20"/>
              </w:rPr>
            </w:pPr>
          </w:p>
        </w:tc>
        <w:tc>
          <w:tcPr>
            <w:tcW w:w="1559" w:type="dxa"/>
            <w:shd w:val="clear" w:color="auto" w:fill="auto"/>
            <w:noWrap/>
            <w:hideMark/>
          </w:tcPr>
          <w:p w14:paraId="5277CE18" w14:textId="77777777" w:rsidR="006D4DDB" w:rsidRPr="00E13287" w:rsidRDefault="006D4DDB" w:rsidP="00E13287">
            <w:pPr>
              <w:jc w:val="center"/>
              <w:rPr>
                <w:sz w:val="20"/>
                <w:szCs w:val="20"/>
              </w:rPr>
            </w:pPr>
            <w:r w:rsidRPr="00E13287">
              <w:rPr>
                <w:sz w:val="20"/>
                <w:szCs w:val="20"/>
              </w:rPr>
              <w:t>144.9</w:t>
            </w:r>
          </w:p>
        </w:tc>
      </w:tr>
      <w:tr w:rsidR="006D4DDB" w:rsidRPr="00E13287" w14:paraId="497B6B8B" w14:textId="77777777" w:rsidTr="00E13287">
        <w:tc>
          <w:tcPr>
            <w:tcW w:w="3361" w:type="dxa"/>
            <w:shd w:val="clear" w:color="auto" w:fill="auto"/>
            <w:noWrap/>
            <w:hideMark/>
          </w:tcPr>
          <w:p w14:paraId="47A9D68D" w14:textId="77777777" w:rsidR="006D4DDB" w:rsidRPr="00E13287" w:rsidRDefault="006D4DDB" w:rsidP="00E13287">
            <w:pPr>
              <w:rPr>
                <w:sz w:val="20"/>
                <w:szCs w:val="20"/>
              </w:rPr>
            </w:pPr>
            <w:r w:rsidRPr="00E13287">
              <w:rPr>
                <w:sz w:val="20"/>
                <w:szCs w:val="20"/>
              </w:rPr>
              <w:t>Composition variance</w:t>
            </w:r>
          </w:p>
        </w:tc>
        <w:tc>
          <w:tcPr>
            <w:tcW w:w="1150" w:type="dxa"/>
            <w:shd w:val="clear" w:color="auto" w:fill="auto"/>
            <w:noWrap/>
            <w:hideMark/>
          </w:tcPr>
          <w:p w14:paraId="5998B1B8" w14:textId="77777777" w:rsidR="006D4DDB" w:rsidRPr="00E13287" w:rsidRDefault="006D4DDB" w:rsidP="00E13287">
            <w:pPr>
              <w:jc w:val="center"/>
              <w:rPr>
                <w:sz w:val="20"/>
                <w:szCs w:val="20"/>
              </w:rPr>
            </w:pPr>
          </w:p>
        </w:tc>
        <w:tc>
          <w:tcPr>
            <w:tcW w:w="992" w:type="dxa"/>
            <w:shd w:val="clear" w:color="auto" w:fill="auto"/>
            <w:noWrap/>
            <w:hideMark/>
          </w:tcPr>
          <w:p w14:paraId="51E6B928" w14:textId="77777777" w:rsidR="006D4DDB" w:rsidRPr="00E13287" w:rsidRDefault="006D4DDB" w:rsidP="00E13287">
            <w:pPr>
              <w:jc w:val="center"/>
              <w:rPr>
                <w:sz w:val="20"/>
                <w:szCs w:val="20"/>
              </w:rPr>
            </w:pPr>
          </w:p>
        </w:tc>
        <w:tc>
          <w:tcPr>
            <w:tcW w:w="1984" w:type="dxa"/>
            <w:shd w:val="clear" w:color="auto" w:fill="auto"/>
            <w:noWrap/>
            <w:hideMark/>
          </w:tcPr>
          <w:p w14:paraId="1B5A2127" w14:textId="77777777" w:rsidR="006D4DDB" w:rsidRPr="00E13287" w:rsidRDefault="006D4DDB" w:rsidP="00E13287">
            <w:pPr>
              <w:jc w:val="center"/>
              <w:rPr>
                <w:sz w:val="20"/>
                <w:szCs w:val="20"/>
              </w:rPr>
            </w:pPr>
          </w:p>
        </w:tc>
        <w:tc>
          <w:tcPr>
            <w:tcW w:w="1150" w:type="dxa"/>
            <w:shd w:val="clear" w:color="auto" w:fill="auto"/>
            <w:noWrap/>
            <w:hideMark/>
          </w:tcPr>
          <w:p w14:paraId="6BB6A50A" w14:textId="77777777" w:rsidR="006D4DDB" w:rsidRPr="00E13287" w:rsidRDefault="006D4DDB" w:rsidP="00E13287">
            <w:pPr>
              <w:jc w:val="center"/>
              <w:rPr>
                <w:sz w:val="20"/>
                <w:szCs w:val="20"/>
              </w:rPr>
            </w:pPr>
          </w:p>
        </w:tc>
        <w:tc>
          <w:tcPr>
            <w:tcW w:w="1415" w:type="dxa"/>
            <w:shd w:val="clear" w:color="auto" w:fill="auto"/>
            <w:noWrap/>
            <w:hideMark/>
          </w:tcPr>
          <w:p w14:paraId="58E66299" w14:textId="77777777" w:rsidR="006D4DDB" w:rsidRPr="00E13287" w:rsidRDefault="006D4DDB" w:rsidP="00E13287">
            <w:pPr>
              <w:jc w:val="center"/>
              <w:rPr>
                <w:sz w:val="20"/>
                <w:szCs w:val="20"/>
              </w:rPr>
            </w:pPr>
          </w:p>
        </w:tc>
        <w:tc>
          <w:tcPr>
            <w:tcW w:w="1559" w:type="dxa"/>
            <w:shd w:val="clear" w:color="auto" w:fill="auto"/>
            <w:noWrap/>
            <w:hideMark/>
          </w:tcPr>
          <w:p w14:paraId="19616C10" w14:textId="77777777" w:rsidR="006D4DDB" w:rsidRPr="00E13287" w:rsidRDefault="006D4DDB" w:rsidP="00E13287">
            <w:pPr>
              <w:jc w:val="center"/>
              <w:rPr>
                <w:sz w:val="20"/>
                <w:szCs w:val="20"/>
              </w:rPr>
            </w:pPr>
            <w:r w:rsidRPr="00E13287">
              <w:rPr>
                <w:sz w:val="20"/>
                <w:szCs w:val="20"/>
              </w:rPr>
              <w:t>52.6</w:t>
            </w:r>
          </w:p>
        </w:tc>
      </w:tr>
    </w:tbl>
    <w:p w14:paraId="1ED98326" w14:textId="77777777" w:rsidR="006D4DDB" w:rsidRPr="00890A84" w:rsidRDefault="006D4DDB" w:rsidP="006D4DDB"/>
    <w:p w14:paraId="1988FF81" w14:textId="4676214C" w:rsidR="006D4DDB" w:rsidRPr="00E13287" w:rsidRDefault="006D4DDB" w:rsidP="00E13287">
      <w:pPr>
        <w:pStyle w:val="TableStyle"/>
        <w:rPr>
          <w:rStyle w:val="Strong"/>
          <w:b/>
          <w:bCs w:val="0"/>
        </w:rPr>
      </w:pPr>
      <w:r w:rsidRPr="00E13287">
        <w:rPr>
          <w:rStyle w:val="Strong"/>
          <w:b/>
          <w:bCs w:val="0"/>
        </w:rPr>
        <w:t>Year 2014/15 (</w:t>
      </w:r>
      <w:r w:rsidR="00E73ED7">
        <w:rPr>
          <w:rStyle w:val="Strong"/>
          <w:b/>
          <w:bCs w:val="0"/>
        </w:rPr>
        <w:t>Ksh</w:t>
      </w:r>
      <w:r w:rsidR="00457CF7">
        <w:rPr>
          <w:rStyle w:val="Strong"/>
          <w:b/>
          <w:bCs w:val="0"/>
        </w:rPr>
        <w:t>,</w:t>
      </w:r>
      <w:r w:rsidRPr="00E13287">
        <w:rPr>
          <w:rStyle w:val="Strong"/>
          <w:b/>
          <w:bCs w:val="0"/>
        </w:rPr>
        <w:t xml:space="preserve"> millions </w:t>
      </w:r>
      <w:r w:rsidR="005833D7">
        <w:rPr>
          <w:rStyle w:val="Strong"/>
          <w:b/>
          <w:bCs w:val="0"/>
        </w:rPr>
        <w:t>and</w:t>
      </w:r>
      <w:r w:rsidR="005833D7" w:rsidRPr="00E13287">
        <w:rPr>
          <w:rStyle w:val="Strong"/>
          <w:b/>
          <w:bCs w:val="0"/>
        </w:rPr>
        <w:t xml:space="preserve"> </w:t>
      </w:r>
      <w:r w:rsidRPr="00E13287">
        <w:rPr>
          <w:rStyle w:val="Strong"/>
          <w:b/>
          <w:bCs w:val="0"/>
        </w:rPr>
        <w:t>%)</w:t>
      </w:r>
    </w:p>
    <w:tbl>
      <w:tblPr>
        <w:tblW w:w="11603" w:type="dxa"/>
        <w:tblInd w:w="1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80"/>
        <w:gridCol w:w="1240"/>
        <w:gridCol w:w="1300"/>
        <w:gridCol w:w="2343"/>
        <w:gridCol w:w="1150"/>
        <w:gridCol w:w="1431"/>
        <w:gridCol w:w="1559"/>
      </w:tblGrid>
      <w:tr w:rsidR="006D4DDB" w:rsidRPr="00E13287" w14:paraId="16B0C704" w14:textId="77777777" w:rsidTr="00E13287">
        <w:trPr>
          <w:trHeight w:val="173"/>
        </w:trPr>
        <w:tc>
          <w:tcPr>
            <w:tcW w:w="2580" w:type="dxa"/>
            <w:shd w:val="clear" w:color="auto" w:fill="5B9BD5"/>
            <w:noWrap/>
            <w:hideMark/>
          </w:tcPr>
          <w:p w14:paraId="37BEC245"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br w:type="page"/>
              <w:t>Economic head</w:t>
            </w:r>
          </w:p>
        </w:tc>
        <w:tc>
          <w:tcPr>
            <w:tcW w:w="1240" w:type="dxa"/>
            <w:shd w:val="clear" w:color="auto" w:fill="5B9BD5"/>
            <w:noWrap/>
            <w:hideMark/>
          </w:tcPr>
          <w:p w14:paraId="2C2F92B5"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Budget</w:t>
            </w:r>
          </w:p>
        </w:tc>
        <w:tc>
          <w:tcPr>
            <w:tcW w:w="1300" w:type="dxa"/>
            <w:shd w:val="clear" w:color="auto" w:fill="5B9BD5"/>
            <w:noWrap/>
            <w:hideMark/>
          </w:tcPr>
          <w:p w14:paraId="381BE1BA"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Actual</w:t>
            </w:r>
          </w:p>
        </w:tc>
        <w:tc>
          <w:tcPr>
            <w:tcW w:w="2343" w:type="dxa"/>
            <w:shd w:val="clear" w:color="auto" w:fill="5B9BD5"/>
            <w:hideMark/>
          </w:tcPr>
          <w:p w14:paraId="20AF6A59"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Adjusted Budget</w:t>
            </w:r>
          </w:p>
        </w:tc>
        <w:tc>
          <w:tcPr>
            <w:tcW w:w="1150" w:type="dxa"/>
            <w:shd w:val="clear" w:color="auto" w:fill="5B9BD5"/>
            <w:hideMark/>
          </w:tcPr>
          <w:p w14:paraId="048FA0A4"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Deviation</w:t>
            </w:r>
          </w:p>
        </w:tc>
        <w:tc>
          <w:tcPr>
            <w:tcW w:w="1431" w:type="dxa"/>
            <w:shd w:val="clear" w:color="auto" w:fill="5B9BD5"/>
            <w:hideMark/>
          </w:tcPr>
          <w:p w14:paraId="151271EC"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Abs. Dev.</w:t>
            </w:r>
          </w:p>
        </w:tc>
        <w:tc>
          <w:tcPr>
            <w:tcW w:w="1559" w:type="dxa"/>
            <w:shd w:val="clear" w:color="auto" w:fill="5B9BD5"/>
            <w:noWrap/>
            <w:hideMark/>
          </w:tcPr>
          <w:p w14:paraId="7FA92301" w14:textId="35D3EB73" w:rsidR="006D4DDB" w:rsidRPr="00E13287" w:rsidRDefault="006D4DDB" w:rsidP="00E13287">
            <w:pPr>
              <w:jc w:val="center"/>
              <w:rPr>
                <w:b/>
                <w:color w:val="FFFFFF" w:themeColor="background1"/>
                <w:sz w:val="20"/>
                <w:szCs w:val="20"/>
              </w:rPr>
            </w:pPr>
            <w:r w:rsidRPr="00E13287">
              <w:rPr>
                <w:b/>
                <w:color w:val="FFFFFF" w:themeColor="background1"/>
                <w:sz w:val="20"/>
                <w:szCs w:val="20"/>
              </w:rPr>
              <w:t>%</w:t>
            </w:r>
          </w:p>
        </w:tc>
      </w:tr>
      <w:tr w:rsidR="006D4DDB" w:rsidRPr="00E13287" w14:paraId="75869D50" w14:textId="77777777" w:rsidTr="00E13287">
        <w:trPr>
          <w:trHeight w:val="255"/>
        </w:trPr>
        <w:tc>
          <w:tcPr>
            <w:tcW w:w="2580" w:type="dxa"/>
            <w:shd w:val="clear" w:color="auto" w:fill="auto"/>
            <w:noWrap/>
            <w:hideMark/>
          </w:tcPr>
          <w:p w14:paraId="16CF9C6D" w14:textId="77777777" w:rsidR="006D4DDB" w:rsidRPr="00E13287" w:rsidRDefault="006D4DDB" w:rsidP="00585338">
            <w:pPr>
              <w:rPr>
                <w:sz w:val="20"/>
                <w:szCs w:val="20"/>
              </w:rPr>
            </w:pPr>
            <w:r w:rsidRPr="00E13287">
              <w:rPr>
                <w:sz w:val="20"/>
                <w:szCs w:val="20"/>
              </w:rPr>
              <w:t>Compensation of employees</w:t>
            </w:r>
          </w:p>
        </w:tc>
        <w:tc>
          <w:tcPr>
            <w:tcW w:w="1240" w:type="dxa"/>
            <w:shd w:val="clear" w:color="auto" w:fill="auto"/>
            <w:noWrap/>
            <w:hideMark/>
          </w:tcPr>
          <w:p w14:paraId="35B0CF60" w14:textId="3517D95B" w:rsidR="006D4DDB" w:rsidRPr="00E13287" w:rsidRDefault="006D4DDB" w:rsidP="001E273B">
            <w:pPr>
              <w:tabs>
                <w:tab w:val="decimal" w:pos="712"/>
              </w:tabs>
              <w:jc w:val="left"/>
              <w:rPr>
                <w:sz w:val="20"/>
                <w:szCs w:val="20"/>
              </w:rPr>
            </w:pPr>
            <w:r w:rsidRPr="00E13287">
              <w:rPr>
                <w:sz w:val="20"/>
                <w:szCs w:val="20"/>
              </w:rPr>
              <w:t>1</w:t>
            </w:r>
            <w:r w:rsidR="001E273B">
              <w:rPr>
                <w:sz w:val="20"/>
                <w:szCs w:val="20"/>
              </w:rPr>
              <w:t>,</w:t>
            </w:r>
            <w:r w:rsidRPr="00E13287">
              <w:rPr>
                <w:sz w:val="20"/>
                <w:szCs w:val="20"/>
              </w:rPr>
              <w:t>492.3</w:t>
            </w:r>
          </w:p>
        </w:tc>
        <w:tc>
          <w:tcPr>
            <w:tcW w:w="1300" w:type="dxa"/>
            <w:shd w:val="clear" w:color="auto" w:fill="auto"/>
            <w:noWrap/>
            <w:hideMark/>
          </w:tcPr>
          <w:p w14:paraId="5B105E2E" w14:textId="16798B7D" w:rsidR="006D4DDB" w:rsidRPr="00E13287" w:rsidRDefault="006D4DDB" w:rsidP="001E273B">
            <w:pPr>
              <w:tabs>
                <w:tab w:val="decimal" w:pos="712"/>
              </w:tabs>
              <w:jc w:val="left"/>
              <w:rPr>
                <w:sz w:val="20"/>
                <w:szCs w:val="20"/>
              </w:rPr>
            </w:pPr>
            <w:r w:rsidRPr="00E13287">
              <w:rPr>
                <w:sz w:val="20"/>
                <w:szCs w:val="20"/>
              </w:rPr>
              <w:t>1</w:t>
            </w:r>
            <w:r w:rsidR="001E273B">
              <w:rPr>
                <w:sz w:val="20"/>
                <w:szCs w:val="20"/>
              </w:rPr>
              <w:t>,</w:t>
            </w:r>
            <w:r w:rsidRPr="00E13287">
              <w:rPr>
                <w:sz w:val="20"/>
                <w:szCs w:val="20"/>
              </w:rPr>
              <w:t>403.5</w:t>
            </w:r>
          </w:p>
        </w:tc>
        <w:tc>
          <w:tcPr>
            <w:tcW w:w="2343" w:type="dxa"/>
            <w:shd w:val="clear" w:color="auto" w:fill="auto"/>
            <w:noWrap/>
            <w:hideMark/>
          </w:tcPr>
          <w:p w14:paraId="1DF9EF6B" w14:textId="6EFA3DBD" w:rsidR="006D4DDB" w:rsidRPr="00E13287" w:rsidRDefault="006D4DDB" w:rsidP="001E273B">
            <w:pPr>
              <w:tabs>
                <w:tab w:val="decimal" w:pos="1228"/>
              </w:tabs>
              <w:jc w:val="left"/>
              <w:rPr>
                <w:sz w:val="20"/>
                <w:szCs w:val="20"/>
              </w:rPr>
            </w:pPr>
            <w:r w:rsidRPr="00E13287">
              <w:rPr>
                <w:sz w:val="20"/>
                <w:szCs w:val="20"/>
              </w:rPr>
              <w:t>1</w:t>
            </w:r>
            <w:r w:rsidR="001E273B">
              <w:rPr>
                <w:sz w:val="20"/>
                <w:szCs w:val="20"/>
              </w:rPr>
              <w:t>,</w:t>
            </w:r>
            <w:r w:rsidRPr="00E13287">
              <w:rPr>
                <w:sz w:val="20"/>
                <w:szCs w:val="20"/>
              </w:rPr>
              <w:t>029.6</w:t>
            </w:r>
          </w:p>
        </w:tc>
        <w:tc>
          <w:tcPr>
            <w:tcW w:w="1150" w:type="dxa"/>
            <w:shd w:val="clear" w:color="auto" w:fill="auto"/>
            <w:noWrap/>
            <w:hideMark/>
          </w:tcPr>
          <w:p w14:paraId="18629425" w14:textId="77777777" w:rsidR="006D4DDB" w:rsidRPr="00E13287" w:rsidRDefault="006D4DDB" w:rsidP="001E273B">
            <w:pPr>
              <w:tabs>
                <w:tab w:val="decimal" w:pos="596"/>
              </w:tabs>
              <w:jc w:val="left"/>
              <w:rPr>
                <w:sz w:val="20"/>
                <w:szCs w:val="20"/>
              </w:rPr>
            </w:pPr>
            <w:r w:rsidRPr="00E13287">
              <w:rPr>
                <w:sz w:val="20"/>
                <w:szCs w:val="20"/>
              </w:rPr>
              <w:t>373.9</w:t>
            </w:r>
          </w:p>
        </w:tc>
        <w:tc>
          <w:tcPr>
            <w:tcW w:w="1431" w:type="dxa"/>
            <w:shd w:val="clear" w:color="auto" w:fill="auto"/>
            <w:noWrap/>
            <w:hideMark/>
          </w:tcPr>
          <w:p w14:paraId="18DA12BB" w14:textId="77777777" w:rsidR="006D4DDB" w:rsidRPr="00E13287" w:rsidRDefault="006D4DDB" w:rsidP="001E273B">
            <w:pPr>
              <w:tabs>
                <w:tab w:val="decimal" w:pos="712"/>
              </w:tabs>
              <w:jc w:val="left"/>
              <w:rPr>
                <w:sz w:val="20"/>
                <w:szCs w:val="20"/>
              </w:rPr>
            </w:pPr>
            <w:r w:rsidRPr="00E13287">
              <w:rPr>
                <w:sz w:val="20"/>
                <w:szCs w:val="20"/>
              </w:rPr>
              <w:t>373.9</w:t>
            </w:r>
          </w:p>
        </w:tc>
        <w:tc>
          <w:tcPr>
            <w:tcW w:w="1559" w:type="dxa"/>
            <w:shd w:val="clear" w:color="auto" w:fill="auto"/>
            <w:noWrap/>
            <w:hideMark/>
          </w:tcPr>
          <w:p w14:paraId="010D47C2" w14:textId="77777777" w:rsidR="006D4DDB" w:rsidRPr="00E13287" w:rsidRDefault="006D4DDB" w:rsidP="001E273B">
            <w:pPr>
              <w:tabs>
                <w:tab w:val="decimal" w:pos="653"/>
              </w:tabs>
              <w:jc w:val="left"/>
              <w:rPr>
                <w:sz w:val="20"/>
                <w:szCs w:val="20"/>
              </w:rPr>
            </w:pPr>
            <w:r w:rsidRPr="00E13287">
              <w:rPr>
                <w:sz w:val="20"/>
                <w:szCs w:val="20"/>
              </w:rPr>
              <w:t>36.3</w:t>
            </w:r>
          </w:p>
        </w:tc>
      </w:tr>
      <w:tr w:rsidR="006D4DDB" w:rsidRPr="00E13287" w14:paraId="0C3E4277" w14:textId="77777777" w:rsidTr="00E13287">
        <w:trPr>
          <w:trHeight w:val="255"/>
        </w:trPr>
        <w:tc>
          <w:tcPr>
            <w:tcW w:w="2580" w:type="dxa"/>
            <w:shd w:val="clear" w:color="auto" w:fill="auto"/>
            <w:noWrap/>
            <w:hideMark/>
          </w:tcPr>
          <w:p w14:paraId="484DFCFA" w14:textId="77777777" w:rsidR="006D4DDB" w:rsidRPr="00E13287" w:rsidRDefault="006D4DDB" w:rsidP="00585338">
            <w:pPr>
              <w:rPr>
                <w:sz w:val="20"/>
                <w:szCs w:val="20"/>
              </w:rPr>
            </w:pPr>
            <w:r w:rsidRPr="00E13287">
              <w:rPr>
                <w:sz w:val="20"/>
                <w:szCs w:val="20"/>
              </w:rPr>
              <w:t>Use of goods and services</w:t>
            </w:r>
          </w:p>
        </w:tc>
        <w:tc>
          <w:tcPr>
            <w:tcW w:w="1240" w:type="dxa"/>
            <w:shd w:val="clear" w:color="auto" w:fill="auto"/>
            <w:noWrap/>
            <w:hideMark/>
          </w:tcPr>
          <w:p w14:paraId="72EECC06" w14:textId="061A26D7" w:rsidR="006D4DDB" w:rsidRPr="00E13287" w:rsidRDefault="006D4DDB" w:rsidP="001E273B">
            <w:pPr>
              <w:tabs>
                <w:tab w:val="decimal" w:pos="712"/>
              </w:tabs>
              <w:jc w:val="left"/>
              <w:rPr>
                <w:sz w:val="20"/>
                <w:szCs w:val="20"/>
              </w:rPr>
            </w:pPr>
            <w:r w:rsidRPr="00E13287">
              <w:rPr>
                <w:sz w:val="20"/>
                <w:szCs w:val="20"/>
              </w:rPr>
              <w:t>2</w:t>
            </w:r>
            <w:r w:rsidR="001E273B">
              <w:rPr>
                <w:sz w:val="20"/>
                <w:szCs w:val="20"/>
              </w:rPr>
              <w:t>,</w:t>
            </w:r>
            <w:r w:rsidRPr="00E13287">
              <w:rPr>
                <w:sz w:val="20"/>
                <w:szCs w:val="20"/>
              </w:rPr>
              <w:t>131.4</w:t>
            </w:r>
          </w:p>
        </w:tc>
        <w:tc>
          <w:tcPr>
            <w:tcW w:w="1300" w:type="dxa"/>
            <w:shd w:val="clear" w:color="auto" w:fill="auto"/>
            <w:noWrap/>
            <w:hideMark/>
          </w:tcPr>
          <w:p w14:paraId="4E15EDC7" w14:textId="4FE8E7F7" w:rsidR="006D4DDB" w:rsidRPr="00E13287" w:rsidRDefault="006D4DDB" w:rsidP="001E273B">
            <w:pPr>
              <w:tabs>
                <w:tab w:val="decimal" w:pos="712"/>
              </w:tabs>
              <w:jc w:val="left"/>
              <w:rPr>
                <w:sz w:val="20"/>
                <w:szCs w:val="20"/>
              </w:rPr>
            </w:pPr>
            <w:r w:rsidRPr="00E13287">
              <w:rPr>
                <w:sz w:val="20"/>
                <w:szCs w:val="20"/>
              </w:rPr>
              <w:t>2</w:t>
            </w:r>
            <w:r w:rsidR="001E273B">
              <w:rPr>
                <w:sz w:val="20"/>
                <w:szCs w:val="20"/>
              </w:rPr>
              <w:t>,</w:t>
            </w:r>
            <w:r w:rsidRPr="00E13287">
              <w:rPr>
                <w:sz w:val="20"/>
                <w:szCs w:val="20"/>
              </w:rPr>
              <w:t>618.9</w:t>
            </w:r>
          </w:p>
        </w:tc>
        <w:tc>
          <w:tcPr>
            <w:tcW w:w="2343" w:type="dxa"/>
            <w:shd w:val="clear" w:color="auto" w:fill="auto"/>
            <w:noWrap/>
            <w:hideMark/>
          </w:tcPr>
          <w:p w14:paraId="3A4FBED7" w14:textId="111F7905" w:rsidR="006D4DDB" w:rsidRPr="00E13287" w:rsidRDefault="006D4DDB" w:rsidP="001E273B">
            <w:pPr>
              <w:tabs>
                <w:tab w:val="decimal" w:pos="1228"/>
              </w:tabs>
              <w:jc w:val="left"/>
              <w:rPr>
                <w:sz w:val="20"/>
                <w:szCs w:val="20"/>
              </w:rPr>
            </w:pPr>
            <w:r w:rsidRPr="00E13287">
              <w:rPr>
                <w:sz w:val="20"/>
                <w:szCs w:val="20"/>
              </w:rPr>
              <w:t>1</w:t>
            </w:r>
            <w:r w:rsidR="001E273B">
              <w:rPr>
                <w:sz w:val="20"/>
                <w:szCs w:val="20"/>
              </w:rPr>
              <w:t>,</w:t>
            </w:r>
            <w:r w:rsidRPr="00E13287">
              <w:rPr>
                <w:sz w:val="20"/>
                <w:szCs w:val="20"/>
              </w:rPr>
              <w:t>470.5</w:t>
            </w:r>
          </w:p>
        </w:tc>
        <w:tc>
          <w:tcPr>
            <w:tcW w:w="1150" w:type="dxa"/>
            <w:shd w:val="clear" w:color="auto" w:fill="auto"/>
            <w:noWrap/>
            <w:hideMark/>
          </w:tcPr>
          <w:p w14:paraId="205905E4" w14:textId="62711E6B" w:rsidR="006D4DDB" w:rsidRPr="00E13287" w:rsidRDefault="006D4DDB" w:rsidP="001E273B">
            <w:pPr>
              <w:tabs>
                <w:tab w:val="decimal" w:pos="596"/>
              </w:tabs>
              <w:jc w:val="left"/>
              <w:rPr>
                <w:sz w:val="20"/>
                <w:szCs w:val="20"/>
              </w:rPr>
            </w:pPr>
            <w:r w:rsidRPr="00E13287">
              <w:rPr>
                <w:sz w:val="20"/>
                <w:szCs w:val="20"/>
              </w:rPr>
              <w:t>1</w:t>
            </w:r>
            <w:r w:rsidR="001E273B">
              <w:rPr>
                <w:sz w:val="20"/>
                <w:szCs w:val="20"/>
              </w:rPr>
              <w:t>,</w:t>
            </w:r>
            <w:r w:rsidRPr="00E13287">
              <w:rPr>
                <w:sz w:val="20"/>
                <w:szCs w:val="20"/>
              </w:rPr>
              <w:t>148.3</w:t>
            </w:r>
          </w:p>
        </w:tc>
        <w:tc>
          <w:tcPr>
            <w:tcW w:w="1431" w:type="dxa"/>
            <w:shd w:val="clear" w:color="auto" w:fill="auto"/>
            <w:noWrap/>
            <w:hideMark/>
          </w:tcPr>
          <w:p w14:paraId="1243AFC2" w14:textId="6F6AB14D" w:rsidR="006D4DDB" w:rsidRPr="00E13287" w:rsidRDefault="006D4DDB" w:rsidP="001E273B">
            <w:pPr>
              <w:tabs>
                <w:tab w:val="decimal" w:pos="712"/>
              </w:tabs>
              <w:jc w:val="left"/>
              <w:rPr>
                <w:sz w:val="20"/>
                <w:szCs w:val="20"/>
              </w:rPr>
            </w:pPr>
            <w:r w:rsidRPr="00E13287">
              <w:rPr>
                <w:sz w:val="20"/>
                <w:szCs w:val="20"/>
              </w:rPr>
              <w:t>1</w:t>
            </w:r>
            <w:r w:rsidR="001E273B">
              <w:rPr>
                <w:sz w:val="20"/>
                <w:szCs w:val="20"/>
              </w:rPr>
              <w:t>,</w:t>
            </w:r>
            <w:r w:rsidRPr="00E13287">
              <w:rPr>
                <w:sz w:val="20"/>
                <w:szCs w:val="20"/>
              </w:rPr>
              <w:t>148.3</w:t>
            </w:r>
          </w:p>
        </w:tc>
        <w:tc>
          <w:tcPr>
            <w:tcW w:w="1559" w:type="dxa"/>
            <w:shd w:val="clear" w:color="auto" w:fill="auto"/>
            <w:noWrap/>
            <w:hideMark/>
          </w:tcPr>
          <w:p w14:paraId="49BA543B" w14:textId="77777777" w:rsidR="006D4DDB" w:rsidRPr="00E13287" w:rsidRDefault="006D4DDB" w:rsidP="001E273B">
            <w:pPr>
              <w:tabs>
                <w:tab w:val="decimal" w:pos="653"/>
              </w:tabs>
              <w:jc w:val="left"/>
              <w:rPr>
                <w:sz w:val="20"/>
                <w:szCs w:val="20"/>
              </w:rPr>
            </w:pPr>
            <w:r w:rsidRPr="00E13287">
              <w:rPr>
                <w:sz w:val="20"/>
                <w:szCs w:val="20"/>
              </w:rPr>
              <w:t>78.1</w:t>
            </w:r>
          </w:p>
        </w:tc>
      </w:tr>
      <w:tr w:rsidR="006D4DDB" w:rsidRPr="00E13287" w14:paraId="5D5151DD" w14:textId="77777777" w:rsidTr="00E13287">
        <w:trPr>
          <w:trHeight w:val="255"/>
        </w:trPr>
        <w:tc>
          <w:tcPr>
            <w:tcW w:w="2580" w:type="dxa"/>
            <w:shd w:val="clear" w:color="auto" w:fill="auto"/>
            <w:noWrap/>
            <w:hideMark/>
          </w:tcPr>
          <w:p w14:paraId="4B887957" w14:textId="77777777" w:rsidR="006D4DDB" w:rsidRPr="00E13287" w:rsidRDefault="006D4DDB" w:rsidP="00585338">
            <w:pPr>
              <w:rPr>
                <w:sz w:val="20"/>
                <w:szCs w:val="20"/>
              </w:rPr>
            </w:pPr>
            <w:r w:rsidRPr="00E13287">
              <w:rPr>
                <w:sz w:val="20"/>
                <w:szCs w:val="20"/>
              </w:rPr>
              <w:t>Consumption of fixed capital</w:t>
            </w:r>
          </w:p>
        </w:tc>
        <w:tc>
          <w:tcPr>
            <w:tcW w:w="1240" w:type="dxa"/>
            <w:shd w:val="clear" w:color="auto" w:fill="auto"/>
            <w:noWrap/>
            <w:hideMark/>
          </w:tcPr>
          <w:p w14:paraId="4DA3DB97" w14:textId="3450AFEB" w:rsidR="006D4DDB" w:rsidRPr="00E13287" w:rsidRDefault="006D4DDB" w:rsidP="001E273B">
            <w:pPr>
              <w:tabs>
                <w:tab w:val="decimal" w:pos="712"/>
              </w:tabs>
              <w:jc w:val="left"/>
              <w:rPr>
                <w:sz w:val="20"/>
                <w:szCs w:val="20"/>
              </w:rPr>
            </w:pPr>
            <w:r w:rsidRPr="00E13287">
              <w:rPr>
                <w:sz w:val="20"/>
                <w:szCs w:val="20"/>
              </w:rPr>
              <w:t>2</w:t>
            </w:r>
            <w:r w:rsidR="001E273B">
              <w:rPr>
                <w:sz w:val="20"/>
                <w:szCs w:val="20"/>
              </w:rPr>
              <w:t>,</w:t>
            </w:r>
            <w:r w:rsidRPr="00E13287">
              <w:rPr>
                <w:sz w:val="20"/>
                <w:szCs w:val="20"/>
              </w:rPr>
              <w:t>044.8</w:t>
            </w:r>
          </w:p>
        </w:tc>
        <w:tc>
          <w:tcPr>
            <w:tcW w:w="1300" w:type="dxa"/>
            <w:shd w:val="clear" w:color="auto" w:fill="auto"/>
            <w:noWrap/>
            <w:hideMark/>
          </w:tcPr>
          <w:p w14:paraId="222C19A8" w14:textId="77777777" w:rsidR="006D4DDB" w:rsidRPr="00E13287" w:rsidRDefault="006D4DDB" w:rsidP="001E273B">
            <w:pPr>
              <w:tabs>
                <w:tab w:val="decimal" w:pos="712"/>
              </w:tabs>
              <w:jc w:val="left"/>
              <w:rPr>
                <w:sz w:val="20"/>
                <w:szCs w:val="20"/>
              </w:rPr>
            </w:pPr>
            <w:r w:rsidRPr="00E13287">
              <w:rPr>
                <w:sz w:val="20"/>
                <w:szCs w:val="20"/>
              </w:rPr>
              <w:t>0.0</w:t>
            </w:r>
          </w:p>
        </w:tc>
        <w:tc>
          <w:tcPr>
            <w:tcW w:w="2343" w:type="dxa"/>
            <w:shd w:val="clear" w:color="auto" w:fill="auto"/>
            <w:noWrap/>
            <w:hideMark/>
          </w:tcPr>
          <w:p w14:paraId="10E107CB" w14:textId="7F7263F1" w:rsidR="006D4DDB" w:rsidRPr="00E13287" w:rsidRDefault="006D4DDB" w:rsidP="001E273B">
            <w:pPr>
              <w:tabs>
                <w:tab w:val="decimal" w:pos="1228"/>
              </w:tabs>
              <w:jc w:val="left"/>
              <w:rPr>
                <w:sz w:val="20"/>
                <w:szCs w:val="20"/>
              </w:rPr>
            </w:pPr>
            <w:r w:rsidRPr="00E13287">
              <w:rPr>
                <w:sz w:val="20"/>
                <w:szCs w:val="20"/>
              </w:rPr>
              <w:t>1</w:t>
            </w:r>
            <w:r w:rsidR="001E273B">
              <w:rPr>
                <w:sz w:val="20"/>
                <w:szCs w:val="20"/>
              </w:rPr>
              <w:t>,</w:t>
            </w:r>
            <w:r w:rsidRPr="00E13287">
              <w:rPr>
                <w:sz w:val="20"/>
                <w:szCs w:val="20"/>
              </w:rPr>
              <w:t>410.8</w:t>
            </w:r>
          </w:p>
        </w:tc>
        <w:tc>
          <w:tcPr>
            <w:tcW w:w="1150" w:type="dxa"/>
            <w:shd w:val="clear" w:color="auto" w:fill="auto"/>
            <w:noWrap/>
            <w:hideMark/>
          </w:tcPr>
          <w:p w14:paraId="23F4AE58" w14:textId="701C2DEC" w:rsidR="006D4DDB" w:rsidRPr="00E13287" w:rsidRDefault="001E273B" w:rsidP="001E273B">
            <w:pPr>
              <w:tabs>
                <w:tab w:val="decimal" w:pos="596"/>
              </w:tabs>
              <w:jc w:val="left"/>
              <w:rPr>
                <w:sz w:val="20"/>
                <w:szCs w:val="20"/>
              </w:rPr>
            </w:pPr>
            <w:r>
              <w:rPr>
                <w:rFonts w:ascii="Times New Roman" w:hAnsi="Times New Roman" w:cs="Times New Roman"/>
                <w:sz w:val="20"/>
                <w:szCs w:val="20"/>
              </w:rPr>
              <w:t>−</w:t>
            </w:r>
            <w:r w:rsidR="006D4DDB" w:rsidRPr="00E13287">
              <w:rPr>
                <w:sz w:val="20"/>
                <w:szCs w:val="20"/>
              </w:rPr>
              <w:t>1</w:t>
            </w:r>
            <w:r>
              <w:rPr>
                <w:sz w:val="20"/>
                <w:szCs w:val="20"/>
              </w:rPr>
              <w:t>,</w:t>
            </w:r>
            <w:r w:rsidR="006D4DDB" w:rsidRPr="00E13287">
              <w:rPr>
                <w:sz w:val="20"/>
                <w:szCs w:val="20"/>
              </w:rPr>
              <w:t>410.8</w:t>
            </w:r>
          </w:p>
        </w:tc>
        <w:tc>
          <w:tcPr>
            <w:tcW w:w="1431" w:type="dxa"/>
            <w:shd w:val="clear" w:color="auto" w:fill="auto"/>
            <w:noWrap/>
            <w:hideMark/>
          </w:tcPr>
          <w:p w14:paraId="7CD13743" w14:textId="6B20D586" w:rsidR="006D4DDB" w:rsidRPr="00E13287" w:rsidRDefault="006D4DDB" w:rsidP="001E273B">
            <w:pPr>
              <w:tabs>
                <w:tab w:val="decimal" w:pos="712"/>
              </w:tabs>
              <w:jc w:val="left"/>
              <w:rPr>
                <w:sz w:val="20"/>
                <w:szCs w:val="20"/>
              </w:rPr>
            </w:pPr>
            <w:r w:rsidRPr="00E13287">
              <w:rPr>
                <w:sz w:val="20"/>
                <w:szCs w:val="20"/>
              </w:rPr>
              <w:t>1</w:t>
            </w:r>
            <w:r w:rsidR="001E273B">
              <w:rPr>
                <w:sz w:val="20"/>
                <w:szCs w:val="20"/>
              </w:rPr>
              <w:t>,</w:t>
            </w:r>
            <w:r w:rsidRPr="00E13287">
              <w:rPr>
                <w:sz w:val="20"/>
                <w:szCs w:val="20"/>
              </w:rPr>
              <w:t>410.8</w:t>
            </w:r>
          </w:p>
        </w:tc>
        <w:tc>
          <w:tcPr>
            <w:tcW w:w="1559" w:type="dxa"/>
            <w:shd w:val="clear" w:color="auto" w:fill="auto"/>
            <w:noWrap/>
            <w:hideMark/>
          </w:tcPr>
          <w:p w14:paraId="0142089E" w14:textId="77777777" w:rsidR="006D4DDB" w:rsidRPr="00E13287" w:rsidRDefault="006D4DDB" w:rsidP="001E273B">
            <w:pPr>
              <w:tabs>
                <w:tab w:val="decimal" w:pos="653"/>
              </w:tabs>
              <w:jc w:val="left"/>
              <w:rPr>
                <w:sz w:val="20"/>
                <w:szCs w:val="20"/>
              </w:rPr>
            </w:pPr>
            <w:r w:rsidRPr="00E13287">
              <w:rPr>
                <w:sz w:val="20"/>
                <w:szCs w:val="20"/>
              </w:rPr>
              <w:t>100.0</w:t>
            </w:r>
          </w:p>
        </w:tc>
      </w:tr>
      <w:tr w:rsidR="006D4DDB" w:rsidRPr="00E13287" w14:paraId="247928AC" w14:textId="77777777" w:rsidTr="00E13287">
        <w:trPr>
          <w:trHeight w:val="255"/>
        </w:trPr>
        <w:tc>
          <w:tcPr>
            <w:tcW w:w="2580" w:type="dxa"/>
            <w:shd w:val="clear" w:color="auto" w:fill="auto"/>
            <w:noWrap/>
            <w:hideMark/>
          </w:tcPr>
          <w:p w14:paraId="13BE7B88" w14:textId="77777777" w:rsidR="006D4DDB" w:rsidRPr="00E13287" w:rsidRDefault="006D4DDB" w:rsidP="00585338">
            <w:pPr>
              <w:rPr>
                <w:sz w:val="20"/>
                <w:szCs w:val="20"/>
              </w:rPr>
            </w:pPr>
            <w:r w:rsidRPr="00E13287">
              <w:rPr>
                <w:sz w:val="20"/>
                <w:szCs w:val="20"/>
              </w:rPr>
              <w:t>Interest</w:t>
            </w:r>
          </w:p>
        </w:tc>
        <w:tc>
          <w:tcPr>
            <w:tcW w:w="1240" w:type="dxa"/>
            <w:shd w:val="clear" w:color="auto" w:fill="auto"/>
            <w:noWrap/>
            <w:hideMark/>
          </w:tcPr>
          <w:p w14:paraId="0D95D319" w14:textId="77777777" w:rsidR="006D4DDB" w:rsidRPr="00E13287" w:rsidRDefault="006D4DDB" w:rsidP="001E273B">
            <w:pPr>
              <w:tabs>
                <w:tab w:val="decimal" w:pos="712"/>
              </w:tabs>
              <w:jc w:val="left"/>
              <w:rPr>
                <w:sz w:val="20"/>
                <w:szCs w:val="20"/>
              </w:rPr>
            </w:pPr>
            <w:r w:rsidRPr="00E13287">
              <w:rPr>
                <w:sz w:val="20"/>
                <w:szCs w:val="20"/>
              </w:rPr>
              <w:t>0.0</w:t>
            </w:r>
          </w:p>
        </w:tc>
        <w:tc>
          <w:tcPr>
            <w:tcW w:w="1300" w:type="dxa"/>
            <w:shd w:val="clear" w:color="auto" w:fill="auto"/>
            <w:noWrap/>
            <w:hideMark/>
          </w:tcPr>
          <w:p w14:paraId="47D00C85" w14:textId="77777777" w:rsidR="006D4DDB" w:rsidRPr="00E13287" w:rsidRDefault="006D4DDB" w:rsidP="001E273B">
            <w:pPr>
              <w:tabs>
                <w:tab w:val="decimal" w:pos="712"/>
              </w:tabs>
              <w:jc w:val="left"/>
              <w:rPr>
                <w:sz w:val="20"/>
                <w:szCs w:val="20"/>
              </w:rPr>
            </w:pPr>
            <w:r w:rsidRPr="00E13287">
              <w:rPr>
                <w:sz w:val="20"/>
                <w:szCs w:val="20"/>
              </w:rPr>
              <w:t>25.0</w:t>
            </w:r>
          </w:p>
        </w:tc>
        <w:tc>
          <w:tcPr>
            <w:tcW w:w="2343" w:type="dxa"/>
            <w:shd w:val="clear" w:color="auto" w:fill="auto"/>
            <w:noWrap/>
            <w:hideMark/>
          </w:tcPr>
          <w:p w14:paraId="137D2B20" w14:textId="77777777" w:rsidR="006D4DDB" w:rsidRPr="00E13287" w:rsidRDefault="006D4DDB" w:rsidP="001E273B">
            <w:pPr>
              <w:tabs>
                <w:tab w:val="decimal" w:pos="1228"/>
              </w:tabs>
              <w:jc w:val="left"/>
              <w:rPr>
                <w:sz w:val="20"/>
                <w:szCs w:val="20"/>
              </w:rPr>
            </w:pPr>
            <w:r w:rsidRPr="00E13287">
              <w:rPr>
                <w:sz w:val="20"/>
                <w:szCs w:val="20"/>
              </w:rPr>
              <w:t>0.0</w:t>
            </w:r>
          </w:p>
        </w:tc>
        <w:tc>
          <w:tcPr>
            <w:tcW w:w="1150" w:type="dxa"/>
            <w:shd w:val="clear" w:color="auto" w:fill="auto"/>
            <w:noWrap/>
            <w:hideMark/>
          </w:tcPr>
          <w:p w14:paraId="43EC382D" w14:textId="77777777" w:rsidR="006D4DDB" w:rsidRPr="00E13287" w:rsidRDefault="006D4DDB" w:rsidP="001E273B">
            <w:pPr>
              <w:tabs>
                <w:tab w:val="decimal" w:pos="596"/>
              </w:tabs>
              <w:jc w:val="left"/>
              <w:rPr>
                <w:sz w:val="20"/>
                <w:szCs w:val="20"/>
              </w:rPr>
            </w:pPr>
            <w:r w:rsidRPr="00E13287">
              <w:rPr>
                <w:sz w:val="20"/>
                <w:szCs w:val="20"/>
              </w:rPr>
              <w:t>25.0</w:t>
            </w:r>
          </w:p>
        </w:tc>
        <w:tc>
          <w:tcPr>
            <w:tcW w:w="1431" w:type="dxa"/>
            <w:shd w:val="clear" w:color="auto" w:fill="auto"/>
            <w:noWrap/>
            <w:hideMark/>
          </w:tcPr>
          <w:p w14:paraId="5833F01C" w14:textId="77777777" w:rsidR="006D4DDB" w:rsidRPr="00E13287" w:rsidRDefault="006D4DDB" w:rsidP="001E273B">
            <w:pPr>
              <w:tabs>
                <w:tab w:val="decimal" w:pos="712"/>
              </w:tabs>
              <w:jc w:val="left"/>
              <w:rPr>
                <w:sz w:val="20"/>
                <w:szCs w:val="20"/>
              </w:rPr>
            </w:pPr>
            <w:r w:rsidRPr="00E13287">
              <w:rPr>
                <w:sz w:val="20"/>
                <w:szCs w:val="20"/>
              </w:rPr>
              <w:t>25.0</w:t>
            </w:r>
          </w:p>
        </w:tc>
        <w:tc>
          <w:tcPr>
            <w:tcW w:w="1559" w:type="dxa"/>
            <w:shd w:val="clear" w:color="auto" w:fill="auto"/>
            <w:noWrap/>
            <w:hideMark/>
          </w:tcPr>
          <w:p w14:paraId="5B8F533D" w14:textId="3CE82A90" w:rsidR="006D4DDB" w:rsidRPr="00E13287" w:rsidRDefault="001E273B" w:rsidP="00E13287">
            <w:pPr>
              <w:jc w:val="center"/>
              <w:rPr>
                <w:sz w:val="20"/>
                <w:szCs w:val="20"/>
              </w:rPr>
            </w:pPr>
            <w:r>
              <w:rPr>
                <w:sz w:val="20"/>
                <w:szCs w:val="20"/>
              </w:rPr>
              <w:t>—</w:t>
            </w:r>
          </w:p>
        </w:tc>
      </w:tr>
      <w:tr w:rsidR="001E273B" w:rsidRPr="00E13287" w14:paraId="1C3B0598" w14:textId="77777777" w:rsidTr="00E13287">
        <w:trPr>
          <w:trHeight w:val="255"/>
        </w:trPr>
        <w:tc>
          <w:tcPr>
            <w:tcW w:w="2580" w:type="dxa"/>
            <w:shd w:val="clear" w:color="auto" w:fill="auto"/>
            <w:noWrap/>
            <w:hideMark/>
          </w:tcPr>
          <w:p w14:paraId="571A1C55" w14:textId="77777777" w:rsidR="001E273B" w:rsidRPr="00E13287" w:rsidRDefault="001E273B" w:rsidP="001E273B">
            <w:pPr>
              <w:rPr>
                <w:sz w:val="20"/>
                <w:szCs w:val="20"/>
              </w:rPr>
            </w:pPr>
            <w:r w:rsidRPr="00E13287">
              <w:rPr>
                <w:sz w:val="20"/>
                <w:szCs w:val="20"/>
              </w:rPr>
              <w:t>Subsidies</w:t>
            </w:r>
          </w:p>
        </w:tc>
        <w:tc>
          <w:tcPr>
            <w:tcW w:w="1240" w:type="dxa"/>
            <w:shd w:val="clear" w:color="auto" w:fill="auto"/>
            <w:noWrap/>
            <w:hideMark/>
          </w:tcPr>
          <w:p w14:paraId="1FBDDE85" w14:textId="77777777" w:rsidR="001E273B" w:rsidRPr="00E13287" w:rsidRDefault="001E273B" w:rsidP="001E273B">
            <w:pPr>
              <w:tabs>
                <w:tab w:val="decimal" w:pos="712"/>
              </w:tabs>
              <w:jc w:val="left"/>
              <w:rPr>
                <w:sz w:val="20"/>
                <w:szCs w:val="20"/>
              </w:rPr>
            </w:pPr>
            <w:r w:rsidRPr="00E13287">
              <w:rPr>
                <w:sz w:val="20"/>
                <w:szCs w:val="20"/>
              </w:rPr>
              <w:t>0.0</w:t>
            </w:r>
          </w:p>
        </w:tc>
        <w:tc>
          <w:tcPr>
            <w:tcW w:w="1300" w:type="dxa"/>
            <w:shd w:val="clear" w:color="auto" w:fill="auto"/>
            <w:noWrap/>
            <w:hideMark/>
          </w:tcPr>
          <w:p w14:paraId="520E4E89" w14:textId="77777777" w:rsidR="001E273B" w:rsidRPr="00E13287" w:rsidRDefault="001E273B" w:rsidP="001E273B">
            <w:pPr>
              <w:tabs>
                <w:tab w:val="decimal" w:pos="712"/>
              </w:tabs>
              <w:jc w:val="left"/>
              <w:rPr>
                <w:sz w:val="20"/>
                <w:szCs w:val="20"/>
              </w:rPr>
            </w:pPr>
            <w:r w:rsidRPr="00E13287">
              <w:rPr>
                <w:sz w:val="20"/>
                <w:szCs w:val="20"/>
              </w:rPr>
              <w:t>181.2</w:t>
            </w:r>
          </w:p>
        </w:tc>
        <w:tc>
          <w:tcPr>
            <w:tcW w:w="2343" w:type="dxa"/>
            <w:shd w:val="clear" w:color="auto" w:fill="auto"/>
            <w:noWrap/>
            <w:hideMark/>
          </w:tcPr>
          <w:p w14:paraId="09E7BCC8" w14:textId="77777777" w:rsidR="001E273B" w:rsidRPr="00E13287" w:rsidRDefault="001E273B" w:rsidP="001E273B">
            <w:pPr>
              <w:tabs>
                <w:tab w:val="decimal" w:pos="1228"/>
              </w:tabs>
              <w:jc w:val="left"/>
              <w:rPr>
                <w:sz w:val="20"/>
                <w:szCs w:val="20"/>
              </w:rPr>
            </w:pPr>
            <w:r w:rsidRPr="00E13287">
              <w:rPr>
                <w:sz w:val="20"/>
                <w:szCs w:val="20"/>
              </w:rPr>
              <w:t>0.0</w:t>
            </w:r>
          </w:p>
        </w:tc>
        <w:tc>
          <w:tcPr>
            <w:tcW w:w="1150" w:type="dxa"/>
            <w:shd w:val="clear" w:color="auto" w:fill="auto"/>
            <w:noWrap/>
            <w:hideMark/>
          </w:tcPr>
          <w:p w14:paraId="1A42046C" w14:textId="77777777" w:rsidR="001E273B" w:rsidRPr="00E13287" w:rsidRDefault="001E273B" w:rsidP="001E273B">
            <w:pPr>
              <w:tabs>
                <w:tab w:val="decimal" w:pos="596"/>
              </w:tabs>
              <w:jc w:val="left"/>
              <w:rPr>
                <w:sz w:val="20"/>
                <w:szCs w:val="20"/>
              </w:rPr>
            </w:pPr>
            <w:r w:rsidRPr="00E13287">
              <w:rPr>
                <w:sz w:val="20"/>
                <w:szCs w:val="20"/>
              </w:rPr>
              <w:t>181.2</w:t>
            </w:r>
          </w:p>
        </w:tc>
        <w:tc>
          <w:tcPr>
            <w:tcW w:w="1431" w:type="dxa"/>
            <w:shd w:val="clear" w:color="auto" w:fill="auto"/>
            <w:noWrap/>
            <w:hideMark/>
          </w:tcPr>
          <w:p w14:paraId="71B06CD0" w14:textId="77777777" w:rsidR="001E273B" w:rsidRPr="00E13287" w:rsidRDefault="001E273B" w:rsidP="001E273B">
            <w:pPr>
              <w:tabs>
                <w:tab w:val="decimal" w:pos="712"/>
              </w:tabs>
              <w:jc w:val="left"/>
              <w:rPr>
                <w:sz w:val="20"/>
                <w:szCs w:val="20"/>
              </w:rPr>
            </w:pPr>
            <w:r w:rsidRPr="00E13287">
              <w:rPr>
                <w:sz w:val="20"/>
                <w:szCs w:val="20"/>
              </w:rPr>
              <w:t>181.2</w:t>
            </w:r>
          </w:p>
        </w:tc>
        <w:tc>
          <w:tcPr>
            <w:tcW w:w="1559" w:type="dxa"/>
            <w:shd w:val="clear" w:color="auto" w:fill="auto"/>
            <w:noWrap/>
            <w:hideMark/>
          </w:tcPr>
          <w:p w14:paraId="184B4FA4" w14:textId="40058C3C" w:rsidR="001E273B" w:rsidRPr="00E13287" w:rsidRDefault="001E273B" w:rsidP="001E273B">
            <w:pPr>
              <w:jc w:val="center"/>
              <w:rPr>
                <w:sz w:val="20"/>
                <w:szCs w:val="20"/>
              </w:rPr>
            </w:pPr>
            <w:r w:rsidRPr="00181CE7">
              <w:rPr>
                <w:sz w:val="20"/>
                <w:szCs w:val="20"/>
              </w:rPr>
              <w:t>—</w:t>
            </w:r>
          </w:p>
        </w:tc>
      </w:tr>
      <w:tr w:rsidR="001E273B" w:rsidRPr="00E13287" w14:paraId="3ADE143F" w14:textId="77777777" w:rsidTr="00E13287">
        <w:trPr>
          <w:trHeight w:val="255"/>
        </w:trPr>
        <w:tc>
          <w:tcPr>
            <w:tcW w:w="2580" w:type="dxa"/>
            <w:shd w:val="clear" w:color="auto" w:fill="auto"/>
            <w:noWrap/>
            <w:hideMark/>
          </w:tcPr>
          <w:p w14:paraId="1F5268D8" w14:textId="77777777" w:rsidR="001E273B" w:rsidRPr="00E13287" w:rsidRDefault="001E273B" w:rsidP="001E273B">
            <w:pPr>
              <w:rPr>
                <w:sz w:val="20"/>
                <w:szCs w:val="20"/>
              </w:rPr>
            </w:pPr>
            <w:r w:rsidRPr="00E13287">
              <w:rPr>
                <w:sz w:val="20"/>
                <w:szCs w:val="20"/>
              </w:rPr>
              <w:t>Grants</w:t>
            </w:r>
          </w:p>
        </w:tc>
        <w:tc>
          <w:tcPr>
            <w:tcW w:w="1240" w:type="dxa"/>
            <w:shd w:val="clear" w:color="auto" w:fill="auto"/>
            <w:noWrap/>
            <w:hideMark/>
          </w:tcPr>
          <w:p w14:paraId="378CEB07" w14:textId="77777777" w:rsidR="001E273B" w:rsidRPr="00E13287" w:rsidRDefault="001E273B" w:rsidP="001E273B">
            <w:pPr>
              <w:tabs>
                <w:tab w:val="decimal" w:pos="712"/>
              </w:tabs>
              <w:jc w:val="left"/>
              <w:rPr>
                <w:sz w:val="20"/>
                <w:szCs w:val="20"/>
              </w:rPr>
            </w:pPr>
            <w:r w:rsidRPr="00E13287">
              <w:rPr>
                <w:sz w:val="20"/>
                <w:szCs w:val="20"/>
              </w:rPr>
              <w:t>0.0</w:t>
            </w:r>
          </w:p>
        </w:tc>
        <w:tc>
          <w:tcPr>
            <w:tcW w:w="1300" w:type="dxa"/>
            <w:shd w:val="clear" w:color="auto" w:fill="auto"/>
            <w:noWrap/>
            <w:hideMark/>
          </w:tcPr>
          <w:p w14:paraId="34214D1A" w14:textId="77777777" w:rsidR="001E273B" w:rsidRPr="00E13287" w:rsidRDefault="001E273B" w:rsidP="001E273B">
            <w:pPr>
              <w:tabs>
                <w:tab w:val="decimal" w:pos="712"/>
              </w:tabs>
              <w:jc w:val="left"/>
              <w:rPr>
                <w:sz w:val="20"/>
                <w:szCs w:val="20"/>
              </w:rPr>
            </w:pPr>
            <w:r w:rsidRPr="00E13287">
              <w:rPr>
                <w:sz w:val="20"/>
                <w:szCs w:val="20"/>
              </w:rPr>
              <w:t>149.9</w:t>
            </w:r>
          </w:p>
        </w:tc>
        <w:tc>
          <w:tcPr>
            <w:tcW w:w="2343" w:type="dxa"/>
            <w:shd w:val="clear" w:color="auto" w:fill="auto"/>
            <w:noWrap/>
            <w:hideMark/>
          </w:tcPr>
          <w:p w14:paraId="7C97A4F3" w14:textId="77777777" w:rsidR="001E273B" w:rsidRPr="00E13287" w:rsidRDefault="001E273B" w:rsidP="001E273B">
            <w:pPr>
              <w:tabs>
                <w:tab w:val="decimal" w:pos="1228"/>
              </w:tabs>
              <w:jc w:val="left"/>
              <w:rPr>
                <w:sz w:val="20"/>
                <w:szCs w:val="20"/>
              </w:rPr>
            </w:pPr>
            <w:r w:rsidRPr="00E13287">
              <w:rPr>
                <w:sz w:val="20"/>
                <w:szCs w:val="20"/>
              </w:rPr>
              <w:t>0.0</w:t>
            </w:r>
          </w:p>
        </w:tc>
        <w:tc>
          <w:tcPr>
            <w:tcW w:w="1150" w:type="dxa"/>
            <w:shd w:val="clear" w:color="auto" w:fill="auto"/>
            <w:noWrap/>
            <w:hideMark/>
          </w:tcPr>
          <w:p w14:paraId="609FFB8E" w14:textId="77777777" w:rsidR="001E273B" w:rsidRPr="00E13287" w:rsidRDefault="001E273B" w:rsidP="001E273B">
            <w:pPr>
              <w:tabs>
                <w:tab w:val="decimal" w:pos="596"/>
              </w:tabs>
              <w:jc w:val="left"/>
              <w:rPr>
                <w:sz w:val="20"/>
                <w:szCs w:val="20"/>
              </w:rPr>
            </w:pPr>
            <w:r w:rsidRPr="00E13287">
              <w:rPr>
                <w:sz w:val="20"/>
                <w:szCs w:val="20"/>
              </w:rPr>
              <w:t>149.9</w:t>
            </w:r>
          </w:p>
        </w:tc>
        <w:tc>
          <w:tcPr>
            <w:tcW w:w="1431" w:type="dxa"/>
            <w:shd w:val="clear" w:color="auto" w:fill="auto"/>
            <w:noWrap/>
            <w:hideMark/>
          </w:tcPr>
          <w:p w14:paraId="74826B65" w14:textId="77777777" w:rsidR="001E273B" w:rsidRPr="00E13287" w:rsidRDefault="001E273B" w:rsidP="001E273B">
            <w:pPr>
              <w:tabs>
                <w:tab w:val="decimal" w:pos="712"/>
              </w:tabs>
              <w:jc w:val="left"/>
              <w:rPr>
                <w:sz w:val="20"/>
                <w:szCs w:val="20"/>
              </w:rPr>
            </w:pPr>
            <w:r w:rsidRPr="00E13287">
              <w:rPr>
                <w:sz w:val="20"/>
                <w:szCs w:val="20"/>
              </w:rPr>
              <w:t>149.9</w:t>
            </w:r>
          </w:p>
        </w:tc>
        <w:tc>
          <w:tcPr>
            <w:tcW w:w="1559" w:type="dxa"/>
            <w:shd w:val="clear" w:color="auto" w:fill="auto"/>
            <w:noWrap/>
            <w:hideMark/>
          </w:tcPr>
          <w:p w14:paraId="4A5F08B6" w14:textId="012280FA" w:rsidR="001E273B" w:rsidRPr="00E13287" w:rsidRDefault="001E273B" w:rsidP="001E273B">
            <w:pPr>
              <w:jc w:val="center"/>
              <w:rPr>
                <w:sz w:val="20"/>
                <w:szCs w:val="20"/>
              </w:rPr>
            </w:pPr>
            <w:r w:rsidRPr="00181CE7">
              <w:rPr>
                <w:sz w:val="20"/>
                <w:szCs w:val="20"/>
              </w:rPr>
              <w:t>—</w:t>
            </w:r>
          </w:p>
        </w:tc>
      </w:tr>
      <w:tr w:rsidR="001E273B" w:rsidRPr="00E13287" w14:paraId="1D7AF742" w14:textId="77777777" w:rsidTr="00E13287">
        <w:trPr>
          <w:trHeight w:val="255"/>
        </w:trPr>
        <w:tc>
          <w:tcPr>
            <w:tcW w:w="2580" w:type="dxa"/>
            <w:shd w:val="clear" w:color="auto" w:fill="auto"/>
            <w:noWrap/>
            <w:hideMark/>
          </w:tcPr>
          <w:p w14:paraId="74BB7E77" w14:textId="77777777" w:rsidR="001E273B" w:rsidRPr="00E13287" w:rsidRDefault="001E273B" w:rsidP="001E273B">
            <w:pPr>
              <w:rPr>
                <w:sz w:val="20"/>
                <w:szCs w:val="20"/>
              </w:rPr>
            </w:pPr>
            <w:r w:rsidRPr="00E13287">
              <w:rPr>
                <w:sz w:val="20"/>
                <w:szCs w:val="20"/>
              </w:rPr>
              <w:t>Social benefits</w:t>
            </w:r>
          </w:p>
        </w:tc>
        <w:tc>
          <w:tcPr>
            <w:tcW w:w="1240" w:type="dxa"/>
            <w:shd w:val="clear" w:color="auto" w:fill="auto"/>
            <w:noWrap/>
            <w:hideMark/>
          </w:tcPr>
          <w:p w14:paraId="57EF834E" w14:textId="77777777" w:rsidR="001E273B" w:rsidRPr="00E13287" w:rsidRDefault="001E273B" w:rsidP="001E273B">
            <w:pPr>
              <w:tabs>
                <w:tab w:val="decimal" w:pos="712"/>
              </w:tabs>
              <w:jc w:val="left"/>
              <w:rPr>
                <w:sz w:val="20"/>
                <w:szCs w:val="20"/>
              </w:rPr>
            </w:pPr>
            <w:r w:rsidRPr="00E13287">
              <w:rPr>
                <w:sz w:val="20"/>
                <w:szCs w:val="20"/>
              </w:rPr>
              <w:t>0.0</w:t>
            </w:r>
          </w:p>
        </w:tc>
        <w:tc>
          <w:tcPr>
            <w:tcW w:w="1300" w:type="dxa"/>
            <w:shd w:val="clear" w:color="auto" w:fill="auto"/>
            <w:noWrap/>
            <w:hideMark/>
          </w:tcPr>
          <w:p w14:paraId="1A8D2CB7" w14:textId="77777777" w:rsidR="001E273B" w:rsidRPr="00E13287" w:rsidRDefault="001E273B" w:rsidP="001E273B">
            <w:pPr>
              <w:tabs>
                <w:tab w:val="decimal" w:pos="712"/>
              </w:tabs>
              <w:jc w:val="left"/>
              <w:rPr>
                <w:sz w:val="20"/>
                <w:szCs w:val="20"/>
              </w:rPr>
            </w:pPr>
            <w:r w:rsidRPr="00E13287">
              <w:rPr>
                <w:sz w:val="20"/>
                <w:szCs w:val="20"/>
              </w:rPr>
              <w:t>42.9</w:t>
            </w:r>
          </w:p>
        </w:tc>
        <w:tc>
          <w:tcPr>
            <w:tcW w:w="2343" w:type="dxa"/>
            <w:shd w:val="clear" w:color="auto" w:fill="auto"/>
            <w:noWrap/>
            <w:hideMark/>
          </w:tcPr>
          <w:p w14:paraId="34F9391B" w14:textId="77777777" w:rsidR="001E273B" w:rsidRPr="00E13287" w:rsidRDefault="001E273B" w:rsidP="001E273B">
            <w:pPr>
              <w:tabs>
                <w:tab w:val="decimal" w:pos="1228"/>
              </w:tabs>
              <w:jc w:val="left"/>
              <w:rPr>
                <w:sz w:val="20"/>
                <w:szCs w:val="20"/>
              </w:rPr>
            </w:pPr>
            <w:r w:rsidRPr="00E13287">
              <w:rPr>
                <w:sz w:val="20"/>
                <w:szCs w:val="20"/>
              </w:rPr>
              <w:t>0.0</w:t>
            </w:r>
          </w:p>
        </w:tc>
        <w:tc>
          <w:tcPr>
            <w:tcW w:w="1150" w:type="dxa"/>
            <w:shd w:val="clear" w:color="auto" w:fill="auto"/>
            <w:noWrap/>
            <w:hideMark/>
          </w:tcPr>
          <w:p w14:paraId="5810855E" w14:textId="77777777" w:rsidR="001E273B" w:rsidRPr="00E13287" w:rsidRDefault="001E273B" w:rsidP="001E273B">
            <w:pPr>
              <w:tabs>
                <w:tab w:val="decimal" w:pos="596"/>
              </w:tabs>
              <w:jc w:val="left"/>
              <w:rPr>
                <w:sz w:val="20"/>
                <w:szCs w:val="20"/>
              </w:rPr>
            </w:pPr>
            <w:r w:rsidRPr="00E13287">
              <w:rPr>
                <w:sz w:val="20"/>
                <w:szCs w:val="20"/>
              </w:rPr>
              <w:t>42.9</w:t>
            </w:r>
          </w:p>
        </w:tc>
        <w:tc>
          <w:tcPr>
            <w:tcW w:w="1431" w:type="dxa"/>
            <w:shd w:val="clear" w:color="auto" w:fill="auto"/>
            <w:noWrap/>
            <w:hideMark/>
          </w:tcPr>
          <w:p w14:paraId="0CD948B5" w14:textId="77777777" w:rsidR="001E273B" w:rsidRPr="00E13287" w:rsidRDefault="001E273B" w:rsidP="001E273B">
            <w:pPr>
              <w:tabs>
                <w:tab w:val="decimal" w:pos="712"/>
              </w:tabs>
              <w:jc w:val="left"/>
              <w:rPr>
                <w:sz w:val="20"/>
                <w:szCs w:val="20"/>
              </w:rPr>
            </w:pPr>
            <w:r w:rsidRPr="00E13287">
              <w:rPr>
                <w:sz w:val="20"/>
                <w:szCs w:val="20"/>
              </w:rPr>
              <w:t>42.9</w:t>
            </w:r>
          </w:p>
        </w:tc>
        <w:tc>
          <w:tcPr>
            <w:tcW w:w="1559" w:type="dxa"/>
            <w:shd w:val="clear" w:color="auto" w:fill="auto"/>
            <w:noWrap/>
            <w:hideMark/>
          </w:tcPr>
          <w:p w14:paraId="06C70E44" w14:textId="4A99FD7D" w:rsidR="001E273B" w:rsidRPr="00E13287" w:rsidRDefault="001E273B" w:rsidP="001E273B">
            <w:pPr>
              <w:jc w:val="center"/>
              <w:rPr>
                <w:sz w:val="20"/>
                <w:szCs w:val="20"/>
              </w:rPr>
            </w:pPr>
            <w:r w:rsidRPr="00181CE7">
              <w:rPr>
                <w:sz w:val="20"/>
                <w:szCs w:val="20"/>
              </w:rPr>
              <w:t>—</w:t>
            </w:r>
          </w:p>
        </w:tc>
      </w:tr>
      <w:tr w:rsidR="001E273B" w:rsidRPr="00E13287" w14:paraId="114FE93E" w14:textId="77777777" w:rsidTr="00E13287">
        <w:trPr>
          <w:trHeight w:val="255"/>
        </w:trPr>
        <w:tc>
          <w:tcPr>
            <w:tcW w:w="2580" w:type="dxa"/>
            <w:shd w:val="clear" w:color="auto" w:fill="auto"/>
            <w:noWrap/>
            <w:hideMark/>
          </w:tcPr>
          <w:p w14:paraId="116C6D6E" w14:textId="77777777" w:rsidR="001E273B" w:rsidRPr="00E13287" w:rsidRDefault="001E273B" w:rsidP="001E273B">
            <w:pPr>
              <w:rPr>
                <w:sz w:val="20"/>
                <w:szCs w:val="20"/>
              </w:rPr>
            </w:pPr>
            <w:r w:rsidRPr="00E13287">
              <w:rPr>
                <w:sz w:val="20"/>
                <w:szCs w:val="20"/>
              </w:rPr>
              <w:t>Other expenses</w:t>
            </w:r>
          </w:p>
        </w:tc>
        <w:tc>
          <w:tcPr>
            <w:tcW w:w="1240" w:type="dxa"/>
            <w:shd w:val="clear" w:color="auto" w:fill="auto"/>
            <w:noWrap/>
            <w:hideMark/>
          </w:tcPr>
          <w:p w14:paraId="07AECF42" w14:textId="77777777" w:rsidR="001E273B" w:rsidRPr="00E13287" w:rsidRDefault="001E273B" w:rsidP="001E273B">
            <w:pPr>
              <w:tabs>
                <w:tab w:val="decimal" w:pos="712"/>
              </w:tabs>
              <w:jc w:val="left"/>
              <w:rPr>
                <w:sz w:val="20"/>
                <w:szCs w:val="20"/>
              </w:rPr>
            </w:pPr>
            <w:r w:rsidRPr="00E13287">
              <w:rPr>
                <w:sz w:val="20"/>
                <w:szCs w:val="20"/>
              </w:rPr>
              <w:t>0.0</w:t>
            </w:r>
          </w:p>
        </w:tc>
        <w:tc>
          <w:tcPr>
            <w:tcW w:w="1300" w:type="dxa"/>
            <w:shd w:val="clear" w:color="auto" w:fill="auto"/>
            <w:noWrap/>
            <w:hideMark/>
          </w:tcPr>
          <w:p w14:paraId="5851D697" w14:textId="77777777" w:rsidR="001E273B" w:rsidRPr="00E13287" w:rsidRDefault="001E273B" w:rsidP="001E273B">
            <w:pPr>
              <w:tabs>
                <w:tab w:val="decimal" w:pos="712"/>
              </w:tabs>
              <w:jc w:val="left"/>
              <w:rPr>
                <w:sz w:val="20"/>
                <w:szCs w:val="20"/>
              </w:rPr>
            </w:pPr>
            <w:r w:rsidRPr="00E13287">
              <w:rPr>
                <w:sz w:val="20"/>
                <w:szCs w:val="20"/>
              </w:rPr>
              <w:t>10.7</w:t>
            </w:r>
          </w:p>
        </w:tc>
        <w:tc>
          <w:tcPr>
            <w:tcW w:w="2343" w:type="dxa"/>
            <w:shd w:val="clear" w:color="auto" w:fill="auto"/>
            <w:noWrap/>
            <w:hideMark/>
          </w:tcPr>
          <w:p w14:paraId="56A240DC" w14:textId="77777777" w:rsidR="001E273B" w:rsidRPr="00E13287" w:rsidRDefault="001E273B" w:rsidP="001E273B">
            <w:pPr>
              <w:tabs>
                <w:tab w:val="decimal" w:pos="1228"/>
              </w:tabs>
              <w:jc w:val="left"/>
              <w:rPr>
                <w:sz w:val="20"/>
                <w:szCs w:val="20"/>
              </w:rPr>
            </w:pPr>
            <w:r w:rsidRPr="00E13287">
              <w:rPr>
                <w:sz w:val="20"/>
                <w:szCs w:val="20"/>
              </w:rPr>
              <w:t>0.0</w:t>
            </w:r>
          </w:p>
        </w:tc>
        <w:tc>
          <w:tcPr>
            <w:tcW w:w="1150" w:type="dxa"/>
            <w:shd w:val="clear" w:color="auto" w:fill="auto"/>
            <w:noWrap/>
            <w:hideMark/>
          </w:tcPr>
          <w:p w14:paraId="299F283E" w14:textId="77777777" w:rsidR="001E273B" w:rsidRPr="00E13287" w:rsidRDefault="001E273B" w:rsidP="001E273B">
            <w:pPr>
              <w:tabs>
                <w:tab w:val="decimal" w:pos="596"/>
              </w:tabs>
              <w:jc w:val="left"/>
              <w:rPr>
                <w:sz w:val="20"/>
                <w:szCs w:val="20"/>
              </w:rPr>
            </w:pPr>
            <w:r w:rsidRPr="00E13287">
              <w:rPr>
                <w:sz w:val="20"/>
                <w:szCs w:val="20"/>
              </w:rPr>
              <w:t>10.7</w:t>
            </w:r>
          </w:p>
        </w:tc>
        <w:tc>
          <w:tcPr>
            <w:tcW w:w="1431" w:type="dxa"/>
            <w:shd w:val="clear" w:color="auto" w:fill="auto"/>
            <w:noWrap/>
            <w:hideMark/>
          </w:tcPr>
          <w:p w14:paraId="59D790B6" w14:textId="77777777" w:rsidR="001E273B" w:rsidRPr="00E13287" w:rsidRDefault="001E273B" w:rsidP="001E273B">
            <w:pPr>
              <w:tabs>
                <w:tab w:val="decimal" w:pos="712"/>
              </w:tabs>
              <w:jc w:val="left"/>
              <w:rPr>
                <w:sz w:val="20"/>
                <w:szCs w:val="20"/>
              </w:rPr>
            </w:pPr>
            <w:r w:rsidRPr="00E13287">
              <w:rPr>
                <w:sz w:val="20"/>
                <w:szCs w:val="20"/>
              </w:rPr>
              <w:t>10.7</w:t>
            </w:r>
          </w:p>
        </w:tc>
        <w:tc>
          <w:tcPr>
            <w:tcW w:w="1559" w:type="dxa"/>
            <w:shd w:val="clear" w:color="auto" w:fill="auto"/>
            <w:noWrap/>
            <w:hideMark/>
          </w:tcPr>
          <w:p w14:paraId="3DD78D2E" w14:textId="2DEC218A" w:rsidR="001E273B" w:rsidRPr="00E13287" w:rsidRDefault="001E273B" w:rsidP="001E273B">
            <w:pPr>
              <w:jc w:val="center"/>
              <w:rPr>
                <w:sz w:val="20"/>
                <w:szCs w:val="20"/>
              </w:rPr>
            </w:pPr>
            <w:r w:rsidRPr="00181CE7">
              <w:rPr>
                <w:sz w:val="20"/>
                <w:szCs w:val="20"/>
              </w:rPr>
              <w:t>—</w:t>
            </w:r>
          </w:p>
        </w:tc>
      </w:tr>
      <w:tr w:rsidR="006D4DDB" w:rsidRPr="00E13287" w14:paraId="2E3062C2" w14:textId="77777777" w:rsidTr="00E13287">
        <w:trPr>
          <w:trHeight w:val="278"/>
        </w:trPr>
        <w:tc>
          <w:tcPr>
            <w:tcW w:w="2580" w:type="dxa"/>
            <w:shd w:val="clear" w:color="auto" w:fill="auto"/>
            <w:noWrap/>
            <w:hideMark/>
          </w:tcPr>
          <w:p w14:paraId="41B3A699" w14:textId="77777777" w:rsidR="006D4DDB" w:rsidRPr="00E13287" w:rsidRDefault="006D4DDB" w:rsidP="00585338">
            <w:pPr>
              <w:rPr>
                <w:sz w:val="20"/>
                <w:szCs w:val="20"/>
              </w:rPr>
            </w:pPr>
            <w:r w:rsidRPr="00E13287">
              <w:rPr>
                <w:sz w:val="20"/>
                <w:szCs w:val="20"/>
              </w:rPr>
              <w:t>Total expenditure</w:t>
            </w:r>
          </w:p>
        </w:tc>
        <w:tc>
          <w:tcPr>
            <w:tcW w:w="1240" w:type="dxa"/>
            <w:shd w:val="clear" w:color="auto" w:fill="auto"/>
            <w:noWrap/>
            <w:hideMark/>
          </w:tcPr>
          <w:p w14:paraId="240B0277" w14:textId="23027E8F" w:rsidR="006D4DDB" w:rsidRPr="00E13287" w:rsidRDefault="006D4DDB" w:rsidP="001E273B">
            <w:pPr>
              <w:tabs>
                <w:tab w:val="decimal" w:pos="712"/>
              </w:tabs>
              <w:jc w:val="left"/>
              <w:rPr>
                <w:sz w:val="20"/>
                <w:szCs w:val="20"/>
              </w:rPr>
            </w:pPr>
            <w:r w:rsidRPr="00E13287">
              <w:rPr>
                <w:sz w:val="20"/>
                <w:szCs w:val="20"/>
              </w:rPr>
              <w:t>5</w:t>
            </w:r>
            <w:r w:rsidR="001E273B">
              <w:rPr>
                <w:sz w:val="20"/>
                <w:szCs w:val="20"/>
              </w:rPr>
              <w:t>,</w:t>
            </w:r>
            <w:r w:rsidRPr="00E13287">
              <w:rPr>
                <w:sz w:val="20"/>
                <w:szCs w:val="20"/>
              </w:rPr>
              <w:t>668.5</w:t>
            </w:r>
          </w:p>
        </w:tc>
        <w:tc>
          <w:tcPr>
            <w:tcW w:w="1300" w:type="dxa"/>
            <w:shd w:val="clear" w:color="auto" w:fill="auto"/>
            <w:noWrap/>
            <w:hideMark/>
          </w:tcPr>
          <w:p w14:paraId="556A62A0" w14:textId="31BDFCC8" w:rsidR="006D4DDB" w:rsidRPr="00E13287" w:rsidRDefault="006D4DDB" w:rsidP="001E273B">
            <w:pPr>
              <w:tabs>
                <w:tab w:val="decimal" w:pos="712"/>
              </w:tabs>
              <w:jc w:val="left"/>
              <w:rPr>
                <w:sz w:val="20"/>
                <w:szCs w:val="20"/>
              </w:rPr>
            </w:pPr>
            <w:r w:rsidRPr="00E13287">
              <w:rPr>
                <w:sz w:val="20"/>
                <w:szCs w:val="20"/>
              </w:rPr>
              <w:t>4</w:t>
            </w:r>
            <w:r w:rsidR="001E273B">
              <w:rPr>
                <w:sz w:val="20"/>
                <w:szCs w:val="20"/>
              </w:rPr>
              <w:t>,</w:t>
            </w:r>
            <w:r w:rsidRPr="00E13287">
              <w:rPr>
                <w:sz w:val="20"/>
                <w:szCs w:val="20"/>
              </w:rPr>
              <w:t>431.9</w:t>
            </w:r>
          </w:p>
        </w:tc>
        <w:tc>
          <w:tcPr>
            <w:tcW w:w="2343" w:type="dxa"/>
            <w:shd w:val="clear" w:color="auto" w:fill="auto"/>
            <w:noWrap/>
            <w:hideMark/>
          </w:tcPr>
          <w:p w14:paraId="6D567455" w14:textId="60974D69" w:rsidR="006D4DDB" w:rsidRPr="00E13287" w:rsidRDefault="006D4DDB" w:rsidP="001E273B">
            <w:pPr>
              <w:tabs>
                <w:tab w:val="decimal" w:pos="1228"/>
              </w:tabs>
              <w:jc w:val="left"/>
              <w:rPr>
                <w:sz w:val="20"/>
                <w:szCs w:val="20"/>
              </w:rPr>
            </w:pPr>
            <w:r w:rsidRPr="00E13287">
              <w:rPr>
                <w:sz w:val="20"/>
                <w:szCs w:val="20"/>
              </w:rPr>
              <w:t>3</w:t>
            </w:r>
            <w:r w:rsidR="001E273B">
              <w:rPr>
                <w:sz w:val="20"/>
                <w:szCs w:val="20"/>
              </w:rPr>
              <w:t>,</w:t>
            </w:r>
            <w:r w:rsidRPr="00E13287">
              <w:rPr>
                <w:sz w:val="20"/>
                <w:szCs w:val="20"/>
              </w:rPr>
              <w:t>910.9</w:t>
            </w:r>
          </w:p>
        </w:tc>
        <w:tc>
          <w:tcPr>
            <w:tcW w:w="1150" w:type="dxa"/>
            <w:shd w:val="clear" w:color="auto" w:fill="auto"/>
            <w:noWrap/>
            <w:hideMark/>
          </w:tcPr>
          <w:p w14:paraId="28B9C369" w14:textId="77777777" w:rsidR="006D4DDB" w:rsidRPr="00E13287" w:rsidRDefault="006D4DDB" w:rsidP="001E273B">
            <w:pPr>
              <w:tabs>
                <w:tab w:val="decimal" w:pos="596"/>
              </w:tabs>
              <w:jc w:val="left"/>
              <w:rPr>
                <w:sz w:val="20"/>
                <w:szCs w:val="20"/>
              </w:rPr>
            </w:pPr>
            <w:r w:rsidRPr="00E13287">
              <w:rPr>
                <w:sz w:val="20"/>
                <w:szCs w:val="20"/>
              </w:rPr>
              <w:t>521.0</w:t>
            </w:r>
          </w:p>
        </w:tc>
        <w:tc>
          <w:tcPr>
            <w:tcW w:w="1431" w:type="dxa"/>
            <w:shd w:val="clear" w:color="auto" w:fill="auto"/>
            <w:noWrap/>
            <w:hideMark/>
          </w:tcPr>
          <w:p w14:paraId="798A6796" w14:textId="65AC6DF0" w:rsidR="006D4DDB" w:rsidRPr="00E13287" w:rsidRDefault="006D4DDB" w:rsidP="001E273B">
            <w:pPr>
              <w:tabs>
                <w:tab w:val="decimal" w:pos="712"/>
              </w:tabs>
              <w:jc w:val="left"/>
              <w:rPr>
                <w:sz w:val="20"/>
                <w:szCs w:val="20"/>
              </w:rPr>
            </w:pPr>
            <w:r w:rsidRPr="00E13287">
              <w:rPr>
                <w:sz w:val="20"/>
                <w:szCs w:val="20"/>
              </w:rPr>
              <w:t>3</w:t>
            </w:r>
            <w:r w:rsidR="001E273B">
              <w:rPr>
                <w:sz w:val="20"/>
                <w:szCs w:val="20"/>
              </w:rPr>
              <w:t>,</w:t>
            </w:r>
            <w:r w:rsidRPr="00E13287">
              <w:rPr>
                <w:sz w:val="20"/>
                <w:szCs w:val="20"/>
              </w:rPr>
              <w:t>342.6</w:t>
            </w:r>
          </w:p>
        </w:tc>
        <w:tc>
          <w:tcPr>
            <w:tcW w:w="1559" w:type="dxa"/>
            <w:shd w:val="clear" w:color="auto" w:fill="auto"/>
            <w:noWrap/>
            <w:hideMark/>
          </w:tcPr>
          <w:p w14:paraId="4DB4DA88" w14:textId="77777777" w:rsidR="006D4DDB" w:rsidRPr="00E13287" w:rsidRDefault="006D4DDB" w:rsidP="00E13287">
            <w:pPr>
              <w:jc w:val="center"/>
              <w:rPr>
                <w:sz w:val="20"/>
                <w:szCs w:val="20"/>
              </w:rPr>
            </w:pPr>
          </w:p>
        </w:tc>
      </w:tr>
      <w:tr w:rsidR="006D4DDB" w:rsidRPr="00E13287" w14:paraId="1FC5F55A" w14:textId="77777777" w:rsidTr="00E13287">
        <w:trPr>
          <w:trHeight w:val="255"/>
        </w:trPr>
        <w:tc>
          <w:tcPr>
            <w:tcW w:w="2580" w:type="dxa"/>
            <w:shd w:val="clear" w:color="auto" w:fill="auto"/>
            <w:noWrap/>
            <w:hideMark/>
          </w:tcPr>
          <w:p w14:paraId="11496DAB" w14:textId="77777777" w:rsidR="006D4DDB" w:rsidRPr="00E13287" w:rsidRDefault="006D4DDB" w:rsidP="00585338">
            <w:pPr>
              <w:rPr>
                <w:sz w:val="20"/>
                <w:szCs w:val="20"/>
              </w:rPr>
            </w:pPr>
            <w:r w:rsidRPr="00E13287">
              <w:rPr>
                <w:sz w:val="20"/>
                <w:szCs w:val="20"/>
              </w:rPr>
              <w:t>Overall variance</w:t>
            </w:r>
          </w:p>
        </w:tc>
        <w:tc>
          <w:tcPr>
            <w:tcW w:w="1240" w:type="dxa"/>
            <w:shd w:val="clear" w:color="auto" w:fill="auto"/>
            <w:noWrap/>
            <w:hideMark/>
          </w:tcPr>
          <w:p w14:paraId="4900EDA5" w14:textId="77777777" w:rsidR="006D4DDB" w:rsidRPr="00E13287" w:rsidRDefault="006D4DDB" w:rsidP="00E13287">
            <w:pPr>
              <w:jc w:val="center"/>
              <w:rPr>
                <w:sz w:val="20"/>
                <w:szCs w:val="20"/>
              </w:rPr>
            </w:pPr>
          </w:p>
        </w:tc>
        <w:tc>
          <w:tcPr>
            <w:tcW w:w="1300" w:type="dxa"/>
            <w:shd w:val="clear" w:color="auto" w:fill="auto"/>
            <w:noWrap/>
            <w:hideMark/>
          </w:tcPr>
          <w:p w14:paraId="43A9B972" w14:textId="77777777" w:rsidR="006D4DDB" w:rsidRPr="00E13287" w:rsidRDefault="006D4DDB" w:rsidP="00E13287">
            <w:pPr>
              <w:jc w:val="center"/>
              <w:rPr>
                <w:sz w:val="20"/>
                <w:szCs w:val="20"/>
              </w:rPr>
            </w:pPr>
          </w:p>
        </w:tc>
        <w:tc>
          <w:tcPr>
            <w:tcW w:w="2343" w:type="dxa"/>
            <w:shd w:val="clear" w:color="auto" w:fill="auto"/>
            <w:noWrap/>
            <w:hideMark/>
          </w:tcPr>
          <w:p w14:paraId="613C1078" w14:textId="77777777" w:rsidR="006D4DDB" w:rsidRPr="00E13287" w:rsidRDefault="006D4DDB" w:rsidP="00E13287">
            <w:pPr>
              <w:jc w:val="center"/>
              <w:rPr>
                <w:sz w:val="20"/>
                <w:szCs w:val="20"/>
              </w:rPr>
            </w:pPr>
          </w:p>
        </w:tc>
        <w:tc>
          <w:tcPr>
            <w:tcW w:w="1150" w:type="dxa"/>
            <w:shd w:val="clear" w:color="auto" w:fill="auto"/>
            <w:noWrap/>
            <w:hideMark/>
          </w:tcPr>
          <w:p w14:paraId="5850C56D" w14:textId="77777777" w:rsidR="006D4DDB" w:rsidRPr="00E13287" w:rsidRDefault="006D4DDB" w:rsidP="00E13287">
            <w:pPr>
              <w:jc w:val="center"/>
              <w:rPr>
                <w:sz w:val="20"/>
                <w:szCs w:val="20"/>
              </w:rPr>
            </w:pPr>
          </w:p>
        </w:tc>
        <w:tc>
          <w:tcPr>
            <w:tcW w:w="1431" w:type="dxa"/>
            <w:shd w:val="clear" w:color="auto" w:fill="auto"/>
            <w:noWrap/>
            <w:hideMark/>
          </w:tcPr>
          <w:p w14:paraId="2DB2CDC6" w14:textId="77777777" w:rsidR="006D4DDB" w:rsidRPr="00E13287" w:rsidRDefault="006D4DDB" w:rsidP="00E13287">
            <w:pPr>
              <w:jc w:val="center"/>
              <w:rPr>
                <w:sz w:val="20"/>
                <w:szCs w:val="20"/>
              </w:rPr>
            </w:pPr>
          </w:p>
        </w:tc>
        <w:tc>
          <w:tcPr>
            <w:tcW w:w="1559" w:type="dxa"/>
            <w:shd w:val="clear" w:color="auto" w:fill="auto"/>
            <w:noWrap/>
            <w:hideMark/>
          </w:tcPr>
          <w:p w14:paraId="3F8D0357" w14:textId="77777777" w:rsidR="006D4DDB" w:rsidRPr="00E13287" w:rsidRDefault="006D4DDB" w:rsidP="001E273B">
            <w:pPr>
              <w:tabs>
                <w:tab w:val="decimal" w:pos="653"/>
              </w:tabs>
              <w:jc w:val="left"/>
              <w:rPr>
                <w:sz w:val="20"/>
                <w:szCs w:val="20"/>
              </w:rPr>
            </w:pPr>
            <w:r w:rsidRPr="00E13287">
              <w:rPr>
                <w:sz w:val="20"/>
                <w:szCs w:val="20"/>
              </w:rPr>
              <w:t>127.9</w:t>
            </w:r>
          </w:p>
        </w:tc>
      </w:tr>
      <w:tr w:rsidR="006D4DDB" w:rsidRPr="00E13287" w14:paraId="5BD26BDE" w14:textId="77777777" w:rsidTr="00E13287">
        <w:trPr>
          <w:trHeight w:val="255"/>
        </w:trPr>
        <w:tc>
          <w:tcPr>
            <w:tcW w:w="2580" w:type="dxa"/>
            <w:shd w:val="clear" w:color="auto" w:fill="auto"/>
            <w:noWrap/>
            <w:hideMark/>
          </w:tcPr>
          <w:p w14:paraId="086241E2" w14:textId="77777777" w:rsidR="006D4DDB" w:rsidRPr="00E13287" w:rsidRDefault="006D4DDB" w:rsidP="00585338">
            <w:pPr>
              <w:rPr>
                <w:sz w:val="20"/>
                <w:szCs w:val="20"/>
              </w:rPr>
            </w:pPr>
            <w:r w:rsidRPr="00E13287">
              <w:rPr>
                <w:sz w:val="20"/>
                <w:szCs w:val="20"/>
              </w:rPr>
              <w:t>Composition variance</w:t>
            </w:r>
          </w:p>
        </w:tc>
        <w:tc>
          <w:tcPr>
            <w:tcW w:w="1240" w:type="dxa"/>
            <w:shd w:val="clear" w:color="auto" w:fill="auto"/>
            <w:noWrap/>
            <w:hideMark/>
          </w:tcPr>
          <w:p w14:paraId="3C8639D1" w14:textId="77777777" w:rsidR="006D4DDB" w:rsidRPr="00E13287" w:rsidRDefault="006D4DDB" w:rsidP="00E13287">
            <w:pPr>
              <w:jc w:val="center"/>
              <w:rPr>
                <w:sz w:val="20"/>
                <w:szCs w:val="20"/>
              </w:rPr>
            </w:pPr>
          </w:p>
        </w:tc>
        <w:tc>
          <w:tcPr>
            <w:tcW w:w="1300" w:type="dxa"/>
            <w:shd w:val="clear" w:color="auto" w:fill="auto"/>
            <w:noWrap/>
            <w:hideMark/>
          </w:tcPr>
          <w:p w14:paraId="0464E20B" w14:textId="77777777" w:rsidR="006D4DDB" w:rsidRPr="00E13287" w:rsidRDefault="006D4DDB" w:rsidP="00E13287">
            <w:pPr>
              <w:jc w:val="center"/>
              <w:rPr>
                <w:sz w:val="20"/>
                <w:szCs w:val="20"/>
              </w:rPr>
            </w:pPr>
          </w:p>
        </w:tc>
        <w:tc>
          <w:tcPr>
            <w:tcW w:w="2343" w:type="dxa"/>
            <w:shd w:val="clear" w:color="auto" w:fill="auto"/>
            <w:noWrap/>
            <w:hideMark/>
          </w:tcPr>
          <w:p w14:paraId="2D406EAE" w14:textId="77777777" w:rsidR="006D4DDB" w:rsidRPr="00E13287" w:rsidRDefault="006D4DDB" w:rsidP="00E13287">
            <w:pPr>
              <w:jc w:val="center"/>
              <w:rPr>
                <w:sz w:val="20"/>
                <w:szCs w:val="20"/>
              </w:rPr>
            </w:pPr>
          </w:p>
        </w:tc>
        <w:tc>
          <w:tcPr>
            <w:tcW w:w="1150" w:type="dxa"/>
            <w:shd w:val="clear" w:color="auto" w:fill="auto"/>
            <w:noWrap/>
            <w:hideMark/>
          </w:tcPr>
          <w:p w14:paraId="1BE2C2E9" w14:textId="77777777" w:rsidR="006D4DDB" w:rsidRPr="00E13287" w:rsidRDefault="006D4DDB" w:rsidP="00E13287">
            <w:pPr>
              <w:jc w:val="center"/>
              <w:rPr>
                <w:sz w:val="20"/>
                <w:szCs w:val="20"/>
              </w:rPr>
            </w:pPr>
          </w:p>
        </w:tc>
        <w:tc>
          <w:tcPr>
            <w:tcW w:w="1431" w:type="dxa"/>
            <w:shd w:val="clear" w:color="auto" w:fill="auto"/>
            <w:noWrap/>
            <w:hideMark/>
          </w:tcPr>
          <w:p w14:paraId="655C12E0" w14:textId="77777777" w:rsidR="006D4DDB" w:rsidRPr="00E13287" w:rsidRDefault="006D4DDB" w:rsidP="00E13287">
            <w:pPr>
              <w:jc w:val="center"/>
              <w:rPr>
                <w:sz w:val="20"/>
                <w:szCs w:val="20"/>
              </w:rPr>
            </w:pPr>
          </w:p>
        </w:tc>
        <w:tc>
          <w:tcPr>
            <w:tcW w:w="1559" w:type="dxa"/>
            <w:shd w:val="clear" w:color="auto" w:fill="auto"/>
            <w:noWrap/>
            <w:hideMark/>
          </w:tcPr>
          <w:p w14:paraId="184CF7FD" w14:textId="77777777" w:rsidR="006D4DDB" w:rsidRPr="00E13287" w:rsidRDefault="006D4DDB" w:rsidP="001E273B">
            <w:pPr>
              <w:tabs>
                <w:tab w:val="decimal" w:pos="653"/>
              </w:tabs>
              <w:jc w:val="left"/>
              <w:rPr>
                <w:sz w:val="20"/>
                <w:szCs w:val="20"/>
              </w:rPr>
            </w:pPr>
            <w:r w:rsidRPr="00E13287">
              <w:rPr>
                <w:sz w:val="20"/>
                <w:szCs w:val="20"/>
              </w:rPr>
              <w:t>85.5</w:t>
            </w:r>
          </w:p>
        </w:tc>
      </w:tr>
    </w:tbl>
    <w:p w14:paraId="3280FE03" w14:textId="77777777" w:rsidR="006D4DDB" w:rsidRDefault="006D4DDB" w:rsidP="006D4DDB">
      <w:pPr>
        <w:rPr>
          <w:rStyle w:val="Strong"/>
          <w:sz w:val="22"/>
        </w:rPr>
      </w:pPr>
    </w:p>
    <w:p w14:paraId="16267056" w14:textId="49F6CCDC" w:rsidR="006D4DDB" w:rsidRPr="00E13287" w:rsidRDefault="006D4DDB" w:rsidP="00E13287">
      <w:pPr>
        <w:pStyle w:val="TableStyle"/>
        <w:rPr>
          <w:rStyle w:val="Strong"/>
          <w:b/>
          <w:bCs w:val="0"/>
        </w:rPr>
      </w:pPr>
      <w:r w:rsidRPr="00E13287">
        <w:rPr>
          <w:rStyle w:val="Strong"/>
          <w:b/>
          <w:bCs w:val="0"/>
        </w:rPr>
        <w:t>Year 2015/1</w:t>
      </w:r>
      <w:r w:rsidR="007678B1">
        <w:rPr>
          <w:rStyle w:val="Strong"/>
          <w:b/>
          <w:bCs w:val="0"/>
        </w:rPr>
        <w:t>6</w:t>
      </w:r>
      <w:r w:rsidRPr="00E13287">
        <w:rPr>
          <w:rStyle w:val="Strong"/>
          <w:b/>
          <w:bCs w:val="0"/>
        </w:rPr>
        <w:t xml:space="preserve"> (</w:t>
      </w:r>
      <w:r w:rsidR="00E73ED7">
        <w:rPr>
          <w:rStyle w:val="Strong"/>
          <w:b/>
          <w:bCs w:val="0"/>
        </w:rPr>
        <w:t>Ksh</w:t>
      </w:r>
      <w:r w:rsidR="00457CF7">
        <w:rPr>
          <w:rStyle w:val="Strong"/>
          <w:b/>
          <w:bCs w:val="0"/>
        </w:rPr>
        <w:t>,</w:t>
      </w:r>
      <w:r w:rsidRPr="00E13287">
        <w:rPr>
          <w:rStyle w:val="Strong"/>
          <w:b/>
          <w:bCs w:val="0"/>
        </w:rPr>
        <w:t xml:space="preserve"> millions </w:t>
      </w:r>
      <w:r w:rsidR="007678B1">
        <w:rPr>
          <w:rStyle w:val="Strong"/>
          <w:b/>
          <w:bCs w:val="0"/>
        </w:rPr>
        <w:t>and</w:t>
      </w:r>
      <w:r w:rsidRPr="00E13287">
        <w:rPr>
          <w:rStyle w:val="Strong"/>
          <w:b/>
          <w:bCs w:val="0"/>
        </w:rPr>
        <w:t xml:space="preserve"> %)</w:t>
      </w:r>
    </w:p>
    <w:tbl>
      <w:tblPr>
        <w:tblW w:w="11524" w:type="dxa"/>
        <w:tblInd w:w="8" w:type="dxa"/>
        <w:tblBorders>
          <w:top w:val="single" w:sz="6" w:space="0" w:color="006DB6"/>
          <w:left w:val="single" w:sz="6" w:space="0" w:color="006DB6"/>
          <w:bottom w:val="single" w:sz="6" w:space="0" w:color="006DB6"/>
          <w:right w:val="single" w:sz="6" w:space="0" w:color="006DB6"/>
          <w:insideV w:val="single" w:sz="6" w:space="0" w:color="006DB6"/>
        </w:tblBorders>
        <w:tblLook w:val="04A0" w:firstRow="1" w:lastRow="0" w:firstColumn="1" w:lastColumn="0" w:noHBand="0" w:noVBand="1"/>
      </w:tblPr>
      <w:tblGrid>
        <w:gridCol w:w="4211"/>
        <w:gridCol w:w="1276"/>
        <w:gridCol w:w="992"/>
        <w:gridCol w:w="1843"/>
        <w:gridCol w:w="1150"/>
        <w:gridCol w:w="1288"/>
        <w:gridCol w:w="764"/>
      </w:tblGrid>
      <w:tr w:rsidR="006D4DDB" w:rsidRPr="00E13287" w14:paraId="6FD2A500" w14:textId="77777777" w:rsidTr="00E13287">
        <w:trPr>
          <w:tblHeader/>
        </w:trPr>
        <w:tc>
          <w:tcPr>
            <w:tcW w:w="4211" w:type="dxa"/>
            <w:tcBorders>
              <w:top w:val="single" w:sz="4" w:space="0" w:color="9CC2E5"/>
              <w:left w:val="single" w:sz="4" w:space="0" w:color="9CC2E5"/>
              <w:bottom w:val="single" w:sz="4" w:space="0" w:color="9CC2E5"/>
              <w:right w:val="single" w:sz="4" w:space="0" w:color="9CC2E5"/>
            </w:tcBorders>
            <w:shd w:val="clear" w:color="auto" w:fill="5B9BD5"/>
            <w:noWrap/>
            <w:hideMark/>
          </w:tcPr>
          <w:p w14:paraId="5BB04239"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Economic head</w:t>
            </w:r>
          </w:p>
        </w:tc>
        <w:tc>
          <w:tcPr>
            <w:tcW w:w="1276" w:type="dxa"/>
            <w:tcBorders>
              <w:top w:val="single" w:sz="4" w:space="0" w:color="9CC2E5"/>
              <w:left w:val="single" w:sz="4" w:space="0" w:color="9CC2E5"/>
              <w:bottom w:val="single" w:sz="4" w:space="0" w:color="9CC2E5"/>
              <w:right w:val="single" w:sz="4" w:space="0" w:color="9CC2E5"/>
            </w:tcBorders>
            <w:shd w:val="clear" w:color="auto" w:fill="5B9BD5"/>
            <w:noWrap/>
            <w:hideMark/>
          </w:tcPr>
          <w:p w14:paraId="13E95A47"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Budget</w:t>
            </w:r>
          </w:p>
        </w:tc>
        <w:tc>
          <w:tcPr>
            <w:tcW w:w="992" w:type="dxa"/>
            <w:tcBorders>
              <w:top w:val="single" w:sz="4" w:space="0" w:color="9CC2E5"/>
              <w:left w:val="single" w:sz="4" w:space="0" w:color="9CC2E5"/>
              <w:bottom w:val="single" w:sz="4" w:space="0" w:color="9CC2E5"/>
              <w:right w:val="single" w:sz="4" w:space="0" w:color="9CC2E5"/>
            </w:tcBorders>
            <w:shd w:val="clear" w:color="auto" w:fill="5B9BD5"/>
            <w:noWrap/>
            <w:hideMark/>
          </w:tcPr>
          <w:p w14:paraId="7A3919E6"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Actual</w:t>
            </w:r>
          </w:p>
        </w:tc>
        <w:tc>
          <w:tcPr>
            <w:tcW w:w="1843" w:type="dxa"/>
            <w:tcBorders>
              <w:top w:val="single" w:sz="4" w:space="0" w:color="9CC2E5"/>
              <w:left w:val="single" w:sz="4" w:space="0" w:color="9CC2E5"/>
              <w:bottom w:val="single" w:sz="4" w:space="0" w:color="9CC2E5"/>
              <w:right w:val="single" w:sz="4" w:space="0" w:color="9CC2E5"/>
            </w:tcBorders>
            <w:shd w:val="clear" w:color="auto" w:fill="5B9BD5"/>
            <w:hideMark/>
          </w:tcPr>
          <w:p w14:paraId="7BA39106"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Adjusted Budget</w:t>
            </w:r>
          </w:p>
        </w:tc>
        <w:tc>
          <w:tcPr>
            <w:tcW w:w="1150" w:type="dxa"/>
            <w:tcBorders>
              <w:top w:val="single" w:sz="4" w:space="0" w:color="9CC2E5"/>
              <w:left w:val="single" w:sz="4" w:space="0" w:color="9CC2E5"/>
              <w:bottom w:val="single" w:sz="4" w:space="0" w:color="9CC2E5"/>
              <w:right w:val="single" w:sz="4" w:space="0" w:color="9CC2E5"/>
            </w:tcBorders>
            <w:shd w:val="clear" w:color="auto" w:fill="5B9BD5"/>
            <w:hideMark/>
          </w:tcPr>
          <w:p w14:paraId="4CFF98C7"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Deviation</w:t>
            </w:r>
          </w:p>
        </w:tc>
        <w:tc>
          <w:tcPr>
            <w:tcW w:w="1288" w:type="dxa"/>
            <w:tcBorders>
              <w:top w:val="single" w:sz="4" w:space="0" w:color="9CC2E5"/>
              <w:left w:val="single" w:sz="4" w:space="0" w:color="9CC2E5"/>
              <w:bottom w:val="single" w:sz="4" w:space="0" w:color="9CC2E5"/>
              <w:right w:val="single" w:sz="4" w:space="0" w:color="9CC2E5"/>
            </w:tcBorders>
            <w:shd w:val="clear" w:color="auto" w:fill="5B9BD5"/>
            <w:hideMark/>
          </w:tcPr>
          <w:p w14:paraId="0494DF0A" w14:textId="77777777" w:rsidR="006D4DDB" w:rsidRPr="00E13287" w:rsidRDefault="006D4DDB" w:rsidP="00E13287">
            <w:pPr>
              <w:jc w:val="center"/>
              <w:rPr>
                <w:b/>
                <w:color w:val="FFFFFF" w:themeColor="background1"/>
                <w:sz w:val="20"/>
                <w:szCs w:val="20"/>
              </w:rPr>
            </w:pPr>
            <w:r w:rsidRPr="00E13287">
              <w:rPr>
                <w:b/>
                <w:color w:val="FFFFFF" w:themeColor="background1"/>
                <w:sz w:val="20"/>
                <w:szCs w:val="20"/>
              </w:rPr>
              <w:t>Abs. Dev.</w:t>
            </w:r>
          </w:p>
        </w:tc>
        <w:tc>
          <w:tcPr>
            <w:tcW w:w="764" w:type="dxa"/>
            <w:tcBorders>
              <w:top w:val="single" w:sz="4" w:space="0" w:color="9CC2E5"/>
              <w:left w:val="single" w:sz="4" w:space="0" w:color="9CC2E5"/>
              <w:bottom w:val="single" w:sz="4" w:space="0" w:color="9CC2E5"/>
              <w:right w:val="single" w:sz="4" w:space="0" w:color="9CC2E5"/>
            </w:tcBorders>
            <w:shd w:val="clear" w:color="auto" w:fill="5B9BD5"/>
            <w:noWrap/>
            <w:hideMark/>
          </w:tcPr>
          <w:p w14:paraId="5E3D46D1" w14:textId="0E115838" w:rsidR="006D4DDB" w:rsidRPr="00E13287" w:rsidRDefault="006D4DDB" w:rsidP="00E13287">
            <w:pPr>
              <w:jc w:val="center"/>
              <w:rPr>
                <w:b/>
                <w:color w:val="FFFFFF" w:themeColor="background1"/>
                <w:sz w:val="20"/>
                <w:szCs w:val="20"/>
              </w:rPr>
            </w:pPr>
            <w:r w:rsidRPr="00E13287">
              <w:rPr>
                <w:b/>
                <w:color w:val="FFFFFF" w:themeColor="background1"/>
                <w:sz w:val="20"/>
                <w:szCs w:val="20"/>
              </w:rPr>
              <w:t>%</w:t>
            </w:r>
          </w:p>
        </w:tc>
      </w:tr>
      <w:tr w:rsidR="006D4DDB" w:rsidRPr="00E13287" w14:paraId="3333C146" w14:textId="77777777" w:rsidTr="00E13287">
        <w:tc>
          <w:tcPr>
            <w:tcW w:w="4211" w:type="dxa"/>
            <w:tcBorders>
              <w:top w:val="single" w:sz="4" w:space="0" w:color="9CC2E5"/>
            </w:tcBorders>
            <w:shd w:val="clear" w:color="auto" w:fill="auto"/>
            <w:noWrap/>
            <w:hideMark/>
          </w:tcPr>
          <w:p w14:paraId="7F10F279" w14:textId="77777777" w:rsidR="006D4DDB" w:rsidRPr="00E13287" w:rsidRDefault="006D4DDB" w:rsidP="00585338">
            <w:pPr>
              <w:rPr>
                <w:sz w:val="20"/>
                <w:szCs w:val="20"/>
              </w:rPr>
            </w:pPr>
            <w:r w:rsidRPr="00E13287">
              <w:rPr>
                <w:sz w:val="20"/>
                <w:szCs w:val="20"/>
              </w:rPr>
              <w:t>Compensation of employees</w:t>
            </w:r>
          </w:p>
        </w:tc>
        <w:tc>
          <w:tcPr>
            <w:tcW w:w="1276" w:type="dxa"/>
            <w:tcBorders>
              <w:top w:val="single" w:sz="4" w:space="0" w:color="9CC2E5"/>
            </w:tcBorders>
            <w:shd w:val="clear" w:color="auto" w:fill="auto"/>
            <w:noWrap/>
            <w:hideMark/>
          </w:tcPr>
          <w:p w14:paraId="4833075D" w14:textId="041AAD80" w:rsidR="006D4DDB" w:rsidRPr="00E13287" w:rsidRDefault="006D4DDB" w:rsidP="001E273B">
            <w:pPr>
              <w:tabs>
                <w:tab w:val="decimal" w:pos="710"/>
              </w:tabs>
              <w:jc w:val="left"/>
              <w:rPr>
                <w:sz w:val="20"/>
                <w:szCs w:val="20"/>
              </w:rPr>
            </w:pPr>
            <w:r w:rsidRPr="00E13287">
              <w:rPr>
                <w:sz w:val="20"/>
                <w:szCs w:val="20"/>
              </w:rPr>
              <w:t>1</w:t>
            </w:r>
            <w:r w:rsidR="001E273B">
              <w:rPr>
                <w:sz w:val="20"/>
                <w:szCs w:val="20"/>
              </w:rPr>
              <w:t>,</w:t>
            </w:r>
            <w:r w:rsidRPr="00E13287">
              <w:rPr>
                <w:sz w:val="20"/>
                <w:szCs w:val="20"/>
              </w:rPr>
              <w:t>641.5</w:t>
            </w:r>
          </w:p>
        </w:tc>
        <w:tc>
          <w:tcPr>
            <w:tcW w:w="992" w:type="dxa"/>
            <w:tcBorders>
              <w:top w:val="single" w:sz="4" w:space="0" w:color="9CC2E5"/>
            </w:tcBorders>
            <w:shd w:val="clear" w:color="auto" w:fill="auto"/>
            <w:noWrap/>
            <w:hideMark/>
          </w:tcPr>
          <w:p w14:paraId="68AE5AEA" w14:textId="73DB7A59" w:rsidR="006D4DDB" w:rsidRPr="00E13287" w:rsidRDefault="006D4DDB" w:rsidP="001E273B">
            <w:pPr>
              <w:tabs>
                <w:tab w:val="decimal" w:pos="513"/>
              </w:tabs>
              <w:jc w:val="left"/>
              <w:rPr>
                <w:sz w:val="20"/>
                <w:szCs w:val="20"/>
              </w:rPr>
            </w:pPr>
            <w:r w:rsidRPr="00E13287">
              <w:rPr>
                <w:sz w:val="20"/>
                <w:szCs w:val="20"/>
              </w:rPr>
              <w:t>1</w:t>
            </w:r>
            <w:r w:rsidR="001E273B">
              <w:rPr>
                <w:sz w:val="20"/>
                <w:szCs w:val="20"/>
              </w:rPr>
              <w:t>,</w:t>
            </w:r>
            <w:r w:rsidRPr="00E13287">
              <w:rPr>
                <w:sz w:val="20"/>
                <w:szCs w:val="20"/>
              </w:rPr>
              <w:t>545.5</w:t>
            </w:r>
          </w:p>
        </w:tc>
        <w:tc>
          <w:tcPr>
            <w:tcW w:w="1843" w:type="dxa"/>
            <w:tcBorders>
              <w:top w:val="single" w:sz="4" w:space="0" w:color="9CC2E5"/>
            </w:tcBorders>
            <w:shd w:val="clear" w:color="auto" w:fill="auto"/>
            <w:noWrap/>
            <w:hideMark/>
          </w:tcPr>
          <w:p w14:paraId="03E2C4F0" w14:textId="5FF2E2EF" w:rsidR="006D4DDB" w:rsidRPr="00E13287" w:rsidRDefault="006D4DDB" w:rsidP="001E273B">
            <w:pPr>
              <w:tabs>
                <w:tab w:val="decimal" w:pos="865"/>
              </w:tabs>
              <w:jc w:val="left"/>
              <w:rPr>
                <w:sz w:val="20"/>
                <w:szCs w:val="20"/>
              </w:rPr>
            </w:pPr>
            <w:r w:rsidRPr="00E13287">
              <w:rPr>
                <w:sz w:val="20"/>
                <w:szCs w:val="20"/>
              </w:rPr>
              <w:t>1</w:t>
            </w:r>
            <w:r w:rsidR="001E273B">
              <w:rPr>
                <w:sz w:val="20"/>
                <w:szCs w:val="20"/>
              </w:rPr>
              <w:t>,</w:t>
            </w:r>
            <w:r w:rsidRPr="00E13287">
              <w:rPr>
                <w:sz w:val="20"/>
                <w:szCs w:val="20"/>
              </w:rPr>
              <w:t>132.5</w:t>
            </w:r>
          </w:p>
        </w:tc>
        <w:tc>
          <w:tcPr>
            <w:tcW w:w="1150" w:type="dxa"/>
            <w:tcBorders>
              <w:top w:val="single" w:sz="4" w:space="0" w:color="9CC2E5"/>
            </w:tcBorders>
            <w:shd w:val="clear" w:color="auto" w:fill="auto"/>
            <w:noWrap/>
            <w:hideMark/>
          </w:tcPr>
          <w:p w14:paraId="2DA9DD51" w14:textId="77777777" w:rsidR="006D4DDB" w:rsidRPr="00E13287" w:rsidRDefault="006D4DDB" w:rsidP="001E273B">
            <w:pPr>
              <w:tabs>
                <w:tab w:val="decimal" w:pos="561"/>
              </w:tabs>
              <w:jc w:val="left"/>
              <w:rPr>
                <w:sz w:val="20"/>
                <w:szCs w:val="20"/>
              </w:rPr>
            </w:pPr>
            <w:r w:rsidRPr="00E13287">
              <w:rPr>
                <w:sz w:val="20"/>
                <w:szCs w:val="20"/>
              </w:rPr>
              <w:t>413.0</w:t>
            </w:r>
          </w:p>
        </w:tc>
        <w:tc>
          <w:tcPr>
            <w:tcW w:w="1288" w:type="dxa"/>
            <w:tcBorders>
              <w:top w:val="single" w:sz="4" w:space="0" w:color="9CC2E5"/>
            </w:tcBorders>
            <w:shd w:val="clear" w:color="auto" w:fill="auto"/>
            <w:noWrap/>
            <w:hideMark/>
          </w:tcPr>
          <w:p w14:paraId="689C33C1" w14:textId="77777777" w:rsidR="006D4DDB" w:rsidRPr="00E13287" w:rsidRDefault="006D4DDB" w:rsidP="001E273B">
            <w:pPr>
              <w:tabs>
                <w:tab w:val="decimal" w:pos="759"/>
              </w:tabs>
              <w:jc w:val="left"/>
              <w:rPr>
                <w:sz w:val="20"/>
                <w:szCs w:val="20"/>
              </w:rPr>
            </w:pPr>
            <w:r w:rsidRPr="00E13287">
              <w:rPr>
                <w:sz w:val="20"/>
                <w:szCs w:val="20"/>
              </w:rPr>
              <w:t>413.0</w:t>
            </w:r>
          </w:p>
        </w:tc>
        <w:tc>
          <w:tcPr>
            <w:tcW w:w="764" w:type="dxa"/>
            <w:tcBorders>
              <w:top w:val="single" w:sz="4" w:space="0" w:color="9CC2E5"/>
            </w:tcBorders>
            <w:shd w:val="clear" w:color="auto" w:fill="auto"/>
            <w:noWrap/>
            <w:hideMark/>
          </w:tcPr>
          <w:p w14:paraId="4B7A7051" w14:textId="1C1DF15C" w:rsidR="006D4DDB" w:rsidRPr="00E13287" w:rsidRDefault="006D4DDB" w:rsidP="001E273B">
            <w:pPr>
              <w:tabs>
                <w:tab w:val="decimal" w:pos="277"/>
              </w:tabs>
              <w:jc w:val="left"/>
              <w:rPr>
                <w:sz w:val="20"/>
                <w:szCs w:val="20"/>
              </w:rPr>
            </w:pPr>
            <w:r w:rsidRPr="00E13287">
              <w:rPr>
                <w:sz w:val="20"/>
                <w:szCs w:val="20"/>
              </w:rPr>
              <w:t>36</w:t>
            </w:r>
            <w:r w:rsidR="001E273B">
              <w:rPr>
                <w:sz w:val="20"/>
                <w:szCs w:val="20"/>
              </w:rPr>
              <w:t>.</w:t>
            </w:r>
            <w:r w:rsidRPr="00E13287">
              <w:rPr>
                <w:sz w:val="20"/>
                <w:szCs w:val="20"/>
              </w:rPr>
              <w:t>5</w:t>
            </w:r>
          </w:p>
        </w:tc>
      </w:tr>
      <w:tr w:rsidR="006D4DDB" w:rsidRPr="00E13287" w14:paraId="1D43C836" w14:textId="77777777" w:rsidTr="00E13287">
        <w:tc>
          <w:tcPr>
            <w:tcW w:w="4211" w:type="dxa"/>
            <w:shd w:val="clear" w:color="auto" w:fill="auto"/>
            <w:noWrap/>
            <w:hideMark/>
          </w:tcPr>
          <w:p w14:paraId="638A58D8" w14:textId="77777777" w:rsidR="006D4DDB" w:rsidRPr="00E13287" w:rsidRDefault="006D4DDB" w:rsidP="00585338">
            <w:pPr>
              <w:rPr>
                <w:sz w:val="20"/>
                <w:szCs w:val="20"/>
              </w:rPr>
            </w:pPr>
            <w:r w:rsidRPr="00E13287">
              <w:rPr>
                <w:sz w:val="20"/>
                <w:szCs w:val="20"/>
              </w:rPr>
              <w:t>Use of goods and services</w:t>
            </w:r>
          </w:p>
        </w:tc>
        <w:tc>
          <w:tcPr>
            <w:tcW w:w="1276" w:type="dxa"/>
            <w:shd w:val="clear" w:color="auto" w:fill="auto"/>
            <w:noWrap/>
            <w:hideMark/>
          </w:tcPr>
          <w:p w14:paraId="4D7F3C12" w14:textId="0E7EB73C" w:rsidR="006D4DDB" w:rsidRPr="00E13287" w:rsidRDefault="006D4DDB" w:rsidP="001E273B">
            <w:pPr>
              <w:tabs>
                <w:tab w:val="decimal" w:pos="710"/>
              </w:tabs>
              <w:jc w:val="left"/>
              <w:rPr>
                <w:sz w:val="20"/>
                <w:szCs w:val="20"/>
              </w:rPr>
            </w:pPr>
            <w:r w:rsidRPr="00E13287">
              <w:rPr>
                <w:sz w:val="20"/>
                <w:szCs w:val="20"/>
              </w:rPr>
              <w:t>2</w:t>
            </w:r>
            <w:r w:rsidR="001E273B">
              <w:rPr>
                <w:sz w:val="20"/>
                <w:szCs w:val="20"/>
              </w:rPr>
              <w:t>,</w:t>
            </w:r>
            <w:r w:rsidRPr="00E13287">
              <w:rPr>
                <w:sz w:val="20"/>
                <w:szCs w:val="20"/>
              </w:rPr>
              <w:t>285.9</w:t>
            </w:r>
          </w:p>
        </w:tc>
        <w:tc>
          <w:tcPr>
            <w:tcW w:w="992" w:type="dxa"/>
            <w:shd w:val="clear" w:color="auto" w:fill="auto"/>
            <w:noWrap/>
            <w:hideMark/>
          </w:tcPr>
          <w:p w14:paraId="25306412" w14:textId="45F19521" w:rsidR="006D4DDB" w:rsidRPr="00E13287" w:rsidRDefault="006D4DDB" w:rsidP="001E273B">
            <w:pPr>
              <w:tabs>
                <w:tab w:val="decimal" w:pos="513"/>
              </w:tabs>
              <w:jc w:val="left"/>
              <w:rPr>
                <w:sz w:val="20"/>
                <w:szCs w:val="20"/>
              </w:rPr>
            </w:pPr>
            <w:r w:rsidRPr="00E13287">
              <w:rPr>
                <w:sz w:val="20"/>
                <w:szCs w:val="20"/>
              </w:rPr>
              <w:t>2</w:t>
            </w:r>
            <w:r w:rsidR="001E273B">
              <w:rPr>
                <w:sz w:val="20"/>
                <w:szCs w:val="20"/>
              </w:rPr>
              <w:t>,</w:t>
            </w:r>
            <w:r w:rsidRPr="00E13287">
              <w:rPr>
                <w:sz w:val="20"/>
                <w:szCs w:val="20"/>
              </w:rPr>
              <w:t>826.8</w:t>
            </w:r>
          </w:p>
        </w:tc>
        <w:tc>
          <w:tcPr>
            <w:tcW w:w="1843" w:type="dxa"/>
            <w:shd w:val="clear" w:color="auto" w:fill="auto"/>
            <w:noWrap/>
            <w:hideMark/>
          </w:tcPr>
          <w:p w14:paraId="4C7BBEBC" w14:textId="03F8E3C3" w:rsidR="006D4DDB" w:rsidRPr="00E13287" w:rsidRDefault="006D4DDB" w:rsidP="001E273B">
            <w:pPr>
              <w:tabs>
                <w:tab w:val="decimal" w:pos="865"/>
              </w:tabs>
              <w:jc w:val="left"/>
              <w:rPr>
                <w:sz w:val="20"/>
                <w:szCs w:val="20"/>
              </w:rPr>
            </w:pPr>
            <w:r w:rsidRPr="00E13287">
              <w:rPr>
                <w:sz w:val="20"/>
                <w:szCs w:val="20"/>
              </w:rPr>
              <w:t>1</w:t>
            </w:r>
            <w:r w:rsidR="001E273B">
              <w:rPr>
                <w:sz w:val="20"/>
                <w:szCs w:val="20"/>
              </w:rPr>
              <w:t>,</w:t>
            </w:r>
            <w:r w:rsidRPr="00E13287">
              <w:rPr>
                <w:sz w:val="20"/>
                <w:szCs w:val="20"/>
              </w:rPr>
              <w:t>577.2</w:t>
            </w:r>
          </w:p>
        </w:tc>
        <w:tc>
          <w:tcPr>
            <w:tcW w:w="1150" w:type="dxa"/>
            <w:shd w:val="clear" w:color="auto" w:fill="auto"/>
            <w:noWrap/>
            <w:hideMark/>
          </w:tcPr>
          <w:p w14:paraId="425114FA" w14:textId="6E5420F9" w:rsidR="006D4DDB" w:rsidRPr="00E13287" w:rsidRDefault="006D4DDB" w:rsidP="001E273B">
            <w:pPr>
              <w:tabs>
                <w:tab w:val="decimal" w:pos="561"/>
              </w:tabs>
              <w:jc w:val="left"/>
              <w:rPr>
                <w:sz w:val="20"/>
                <w:szCs w:val="20"/>
              </w:rPr>
            </w:pPr>
            <w:r w:rsidRPr="00E13287">
              <w:rPr>
                <w:sz w:val="20"/>
                <w:szCs w:val="20"/>
              </w:rPr>
              <w:t>1</w:t>
            </w:r>
            <w:r w:rsidR="001E273B">
              <w:rPr>
                <w:sz w:val="20"/>
                <w:szCs w:val="20"/>
              </w:rPr>
              <w:t>,</w:t>
            </w:r>
            <w:r w:rsidRPr="00E13287">
              <w:rPr>
                <w:sz w:val="20"/>
                <w:szCs w:val="20"/>
              </w:rPr>
              <w:t>249.6</w:t>
            </w:r>
          </w:p>
        </w:tc>
        <w:tc>
          <w:tcPr>
            <w:tcW w:w="1288" w:type="dxa"/>
            <w:shd w:val="clear" w:color="auto" w:fill="auto"/>
            <w:noWrap/>
            <w:hideMark/>
          </w:tcPr>
          <w:p w14:paraId="3B9E9D20" w14:textId="0E8A65B3" w:rsidR="006D4DDB" w:rsidRPr="00E13287" w:rsidRDefault="006D4DDB" w:rsidP="001E273B">
            <w:pPr>
              <w:tabs>
                <w:tab w:val="decimal" w:pos="759"/>
              </w:tabs>
              <w:jc w:val="left"/>
              <w:rPr>
                <w:sz w:val="20"/>
                <w:szCs w:val="20"/>
              </w:rPr>
            </w:pPr>
            <w:r w:rsidRPr="00E13287">
              <w:rPr>
                <w:sz w:val="20"/>
                <w:szCs w:val="20"/>
              </w:rPr>
              <w:t>1</w:t>
            </w:r>
            <w:r w:rsidR="001E273B">
              <w:rPr>
                <w:sz w:val="20"/>
                <w:szCs w:val="20"/>
              </w:rPr>
              <w:t>,</w:t>
            </w:r>
            <w:r w:rsidRPr="00E13287">
              <w:rPr>
                <w:sz w:val="20"/>
                <w:szCs w:val="20"/>
              </w:rPr>
              <w:t>249.6</w:t>
            </w:r>
          </w:p>
        </w:tc>
        <w:tc>
          <w:tcPr>
            <w:tcW w:w="764" w:type="dxa"/>
            <w:shd w:val="clear" w:color="auto" w:fill="auto"/>
            <w:noWrap/>
            <w:hideMark/>
          </w:tcPr>
          <w:p w14:paraId="4EFEBA74" w14:textId="77777777" w:rsidR="006D4DDB" w:rsidRPr="00E13287" w:rsidRDefault="006D4DDB" w:rsidP="001E273B">
            <w:pPr>
              <w:tabs>
                <w:tab w:val="decimal" w:pos="277"/>
              </w:tabs>
              <w:jc w:val="left"/>
              <w:rPr>
                <w:sz w:val="20"/>
                <w:szCs w:val="20"/>
              </w:rPr>
            </w:pPr>
            <w:r w:rsidRPr="00E13287">
              <w:rPr>
                <w:sz w:val="20"/>
                <w:szCs w:val="20"/>
              </w:rPr>
              <w:t>79.2</w:t>
            </w:r>
          </w:p>
        </w:tc>
      </w:tr>
      <w:tr w:rsidR="006D4DDB" w:rsidRPr="00E13287" w14:paraId="3F659941" w14:textId="77777777" w:rsidTr="00E13287">
        <w:tc>
          <w:tcPr>
            <w:tcW w:w="4211" w:type="dxa"/>
            <w:shd w:val="clear" w:color="auto" w:fill="auto"/>
            <w:noWrap/>
            <w:hideMark/>
          </w:tcPr>
          <w:p w14:paraId="4C6491D0" w14:textId="77777777" w:rsidR="006D4DDB" w:rsidRPr="00E13287" w:rsidRDefault="006D4DDB" w:rsidP="00585338">
            <w:pPr>
              <w:rPr>
                <w:sz w:val="20"/>
                <w:szCs w:val="20"/>
              </w:rPr>
            </w:pPr>
            <w:r w:rsidRPr="00E13287">
              <w:rPr>
                <w:sz w:val="20"/>
                <w:szCs w:val="20"/>
              </w:rPr>
              <w:t>Consumption of fixed capital</w:t>
            </w:r>
          </w:p>
        </w:tc>
        <w:tc>
          <w:tcPr>
            <w:tcW w:w="1276" w:type="dxa"/>
            <w:shd w:val="clear" w:color="auto" w:fill="auto"/>
            <w:noWrap/>
            <w:hideMark/>
          </w:tcPr>
          <w:p w14:paraId="493ABC5E" w14:textId="2E4820F6" w:rsidR="006D4DDB" w:rsidRPr="00E13287" w:rsidRDefault="006D4DDB" w:rsidP="001E273B">
            <w:pPr>
              <w:tabs>
                <w:tab w:val="decimal" w:pos="710"/>
              </w:tabs>
              <w:jc w:val="left"/>
              <w:rPr>
                <w:sz w:val="20"/>
                <w:szCs w:val="20"/>
              </w:rPr>
            </w:pPr>
            <w:r w:rsidRPr="00E13287">
              <w:rPr>
                <w:sz w:val="20"/>
                <w:szCs w:val="20"/>
              </w:rPr>
              <w:t>2</w:t>
            </w:r>
            <w:r w:rsidR="001E273B">
              <w:rPr>
                <w:sz w:val="20"/>
                <w:szCs w:val="20"/>
              </w:rPr>
              <w:t>,</w:t>
            </w:r>
            <w:r w:rsidRPr="00E13287">
              <w:rPr>
                <w:sz w:val="20"/>
                <w:szCs w:val="20"/>
              </w:rPr>
              <w:t>661.4</w:t>
            </w:r>
          </w:p>
        </w:tc>
        <w:tc>
          <w:tcPr>
            <w:tcW w:w="992" w:type="dxa"/>
            <w:shd w:val="clear" w:color="auto" w:fill="auto"/>
            <w:noWrap/>
            <w:hideMark/>
          </w:tcPr>
          <w:p w14:paraId="6D5939E3" w14:textId="77777777" w:rsidR="006D4DDB" w:rsidRPr="00E13287" w:rsidRDefault="006D4DDB" w:rsidP="001E273B">
            <w:pPr>
              <w:tabs>
                <w:tab w:val="decimal" w:pos="513"/>
              </w:tabs>
              <w:jc w:val="left"/>
              <w:rPr>
                <w:sz w:val="20"/>
                <w:szCs w:val="20"/>
              </w:rPr>
            </w:pPr>
            <w:r w:rsidRPr="00E13287">
              <w:rPr>
                <w:sz w:val="20"/>
                <w:szCs w:val="20"/>
              </w:rPr>
              <w:t>0.0</w:t>
            </w:r>
          </w:p>
        </w:tc>
        <w:tc>
          <w:tcPr>
            <w:tcW w:w="1843" w:type="dxa"/>
            <w:shd w:val="clear" w:color="auto" w:fill="auto"/>
            <w:noWrap/>
            <w:hideMark/>
          </w:tcPr>
          <w:p w14:paraId="130EAE35" w14:textId="7E4669C2" w:rsidR="006D4DDB" w:rsidRPr="00E13287" w:rsidRDefault="006D4DDB" w:rsidP="001E273B">
            <w:pPr>
              <w:tabs>
                <w:tab w:val="decimal" w:pos="865"/>
              </w:tabs>
              <w:jc w:val="left"/>
              <w:rPr>
                <w:sz w:val="20"/>
                <w:szCs w:val="20"/>
              </w:rPr>
            </w:pPr>
            <w:r w:rsidRPr="00E13287">
              <w:rPr>
                <w:sz w:val="20"/>
                <w:szCs w:val="20"/>
              </w:rPr>
              <w:t>1</w:t>
            </w:r>
            <w:r w:rsidR="001E273B">
              <w:rPr>
                <w:sz w:val="20"/>
                <w:szCs w:val="20"/>
              </w:rPr>
              <w:t>,</w:t>
            </w:r>
            <w:r w:rsidRPr="00E13287">
              <w:rPr>
                <w:sz w:val="20"/>
                <w:szCs w:val="20"/>
              </w:rPr>
              <w:t>836.2</w:t>
            </w:r>
          </w:p>
        </w:tc>
        <w:tc>
          <w:tcPr>
            <w:tcW w:w="1150" w:type="dxa"/>
            <w:shd w:val="clear" w:color="auto" w:fill="auto"/>
            <w:noWrap/>
            <w:hideMark/>
          </w:tcPr>
          <w:p w14:paraId="353DDABB" w14:textId="780E148C" w:rsidR="006D4DDB" w:rsidRPr="00E13287" w:rsidRDefault="001E273B" w:rsidP="001E273B">
            <w:pPr>
              <w:tabs>
                <w:tab w:val="decimal" w:pos="561"/>
              </w:tabs>
              <w:jc w:val="left"/>
              <w:rPr>
                <w:sz w:val="20"/>
                <w:szCs w:val="20"/>
              </w:rPr>
            </w:pPr>
            <w:r>
              <w:rPr>
                <w:rFonts w:ascii="Times New Roman" w:hAnsi="Times New Roman" w:cs="Times New Roman"/>
                <w:sz w:val="20"/>
                <w:szCs w:val="20"/>
              </w:rPr>
              <w:t>−</w:t>
            </w:r>
            <w:r w:rsidR="006D4DDB" w:rsidRPr="00E13287">
              <w:rPr>
                <w:sz w:val="20"/>
                <w:szCs w:val="20"/>
              </w:rPr>
              <w:t>1</w:t>
            </w:r>
            <w:r>
              <w:rPr>
                <w:sz w:val="20"/>
                <w:szCs w:val="20"/>
              </w:rPr>
              <w:t>,</w:t>
            </w:r>
            <w:r w:rsidR="006D4DDB" w:rsidRPr="00E13287">
              <w:rPr>
                <w:sz w:val="20"/>
                <w:szCs w:val="20"/>
              </w:rPr>
              <w:t>836.2</w:t>
            </w:r>
          </w:p>
        </w:tc>
        <w:tc>
          <w:tcPr>
            <w:tcW w:w="1288" w:type="dxa"/>
            <w:shd w:val="clear" w:color="auto" w:fill="auto"/>
            <w:noWrap/>
            <w:hideMark/>
          </w:tcPr>
          <w:p w14:paraId="20FD099C" w14:textId="6E6C346E" w:rsidR="006D4DDB" w:rsidRPr="00E13287" w:rsidRDefault="006D4DDB" w:rsidP="001E273B">
            <w:pPr>
              <w:tabs>
                <w:tab w:val="decimal" w:pos="759"/>
              </w:tabs>
              <w:jc w:val="left"/>
              <w:rPr>
                <w:sz w:val="20"/>
                <w:szCs w:val="20"/>
              </w:rPr>
            </w:pPr>
            <w:r w:rsidRPr="00E13287">
              <w:rPr>
                <w:sz w:val="20"/>
                <w:szCs w:val="20"/>
              </w:rPr>
              <w:t>1</w:t>
            </w:r>
            <w:r w:rsidR="001E273B">
              <w:rPr>
                <w:sz w:val="20"/>
                <w:szCs w:val="20"/>
              </w:rPr>
              <w:t>,</w:t>
            </w:r>
            <w:r w:rsidRPr="00E13287">
              <w:rPr>
                <w:sz w:val="20"/>
                <w:szCs w:val="20"/>
              </w:rPr>
              <w:t>836.2</w:t>
            </w:r>
          </w:p>
        </w:tc>
        <w:tc>
          <w:tcPr>
            <w:tcW w:w="764" w:type="dxa"/>
            <w:shd w:val="clear" w:color="auto" w:fill="auto"/>
            <w:noWrap/>
            <w:hideMark/>
          </w:tcPr>
          <w:p w14:paraId="266658B3" w14:textId="77777777" w:rsidR="006D4DDB" w:rsidRPr="00E13287" w:rsidRDefault="006D4DDB" w:rsidP="001E273B">
            <w:pPr>
              <w:tabs>
                <w:tab w:val="decimal" w:pos="277"/>
              </w:tabs>
              <w:jc w:val="left"/>
              <w:rPr>
                <w:sz w:val="20"/>
                <w:szCs w:val="20"/>
              </w:rPr>
            </w:pPr>
            <w:r w:rsidRPr="00E13287">
              <w:rPr>
                <w:sz w:val="20"/>
                <w:szCs w:val="20"/>
              </w:rPr>
              <w:t>100.0</w:t>
            </w:r>
          </w:p>
        </w:tc>
      </w:tr>
      <w:tr w:rsidR="006D4DDB" w:rsidRPr="00E13287" w14:paraId="0301A175" w14:textId="77777777" w:rsidTr="00E13287">
        <w:tc>
          <w:tcPr>
            <w:tcW w:w="4211" w:type="dxa"/>
            <w:shd w:val="clear" w:color="auto" w:fill="auto"/>
            <w:noWrap/>
            <w:hideMark/>
          </w:tcPr>
          <w:p w14:paraId="37B51E5E" w14:textId="77777777" w:rsidR="006D4DDB" w:rsidRPr="00E13287" w:rsidRDefault="006D4DDB" w:rsidP="00585338">
            <w:pPr>
              <w:rPr>
                <w:sz w:val="20"/>
                <w:szCs w:val="20"/>
              </w:rPr>
            </w:pPr>
            <w:r w:rsidRPr="00E13287">
              <w:rPr>
                <w:sz w:val="20"/>
                <w:szCs w:val="20"/>
              </w:rPr>
              <w:t>Interest</w:t>
            </w:r>
          </w:p>
        </w:tc>
        <w:tc>
          <w:tcPr>
            <w:tcW w:w="1276" w:type="dxa"/>
            <w:shd w:val="clear" w:color="auto" w:fill="auto"/>
            <w:noWrap/>
            <w:hideMark/>
          </w:tcPr>
          <w:p w14:paraId="3A5AC820" w14:textId="77777777" w:rsidR="006D4DDB" w:rsidRPr="00E13287" w:rsidRDefault="006D4DDB" w:rsidP="001E273B">
            <w:pPr>
              <w:tabs>
                <w:tab w:val="decimal" w:pos="710"/>
              </w:tabs>
              <w:jc w:val="left"/>
              <w:rPr>
                <w:sz w:val="20"/>
                <w:szCs w:val="20"/>
              </w:rPr>
            </w:pPr>
            <w:r w:rsidRPr="00E13287">
              <w:rPr>
                <w:sz w:val="20"/>
                <w:szCs w:val="20"/>
              </w:rPr>
              <w:t>0.0</w:t>
            </w:r>
          </w:p>
        </w:tc>
        <w:tc>
          <w:tcPr>
            <w:tcW w:w="992" w:type="dxa"/>
            <w:shd w:val="clear" w:color="auto" w:fill="auto"/>
            <w:noWrap/>
            <w:hideMark/>
          </w:tcPr>
          <w:p w14:paraId="47BC5482" w14:textId="77777777" w:rsidR="006D4DDB" w:rsidRPr="00E13287" w:rsidRDefault="006D4DDB" w:rsidP="001E273B">
            <w:pPr>
              <w:tabs>
                <w:tab w:val="decimal" w:pos="513"/>
              </w:tabs>
              <w:jc w:val="left"/>
              <w:rPr>
                <w:sz w:val="20"/>
                <w:szCs w:val="20"/>
              </w:rPr>
            </w:pPr>
            <w:r w:rsidRPr="00E13287">
              <w:rPr>
                <w:sz w:val="20"/>
                <w:szCs w:val="20"/>
              </w:rPr>
              <w:t>31.2</w:t>
            </w:r>
          </w:p>
        </w:tc>
        <w:tc>
          <w:tcPr>
            <w:tcW w:w="1843" w:type="dxa"/>
            <w:shd w:val="clear" w:color="auto" w:fill="auto"/>
            <w:noWrap/>
            <w:hideMark/>
          </w:tcPr>
          <w:p w14:paraId="1F02D3BF" w14:textId="77777777" w:rsidR="006D4DDB" w:rsidRPr="00E13287" w:rsidRDefault="006D4DDB" w:rsidP="001E273B">
            <w:pPr>
              <w:tabs>
                <w:tab w:val="decimal" w:pos="865"/>
              </w:tabs>
              <w:jc w:val="left"/>
              <w:rPr>
                <w:sz w:val="20"/>
                <w:szCs w:val="20"/>
              </w:rPr>
            </w:pPr>
            <w:r w:rsidRPr="00E13287">
              <w:rPr>
                <w:sz w:val="20"/>
                <w:szCs w:val="20"/>
              </w:rPr>
              <w:t>0.0</w:t>
            </w:r>
          </w:p>
        </w:tc>
        <w:tc>
          <w:tcPr>
            <w:tcW w:w="1150" w:type="dxa"/>
            <w:shd w:val="clear" w:color="auto" w:fill="auto"/>
            <w:noWrap/>
            <w:hideMark/>
          </w:tcPr>
          <w:p w14:paraId="4A821C08" w14:textId="77777777" w:rsidR="006D4DDB" w:rsidRPr="00E13287" w:rsidRDefault="006D4DDB" w:rsidP="001E273B">
            <w:pPr>
              <w:tabs>
                <w:tab w:val="decimal" w:pos="561"/>
              </w:tabs>
              <w:jc w:val="left"/>
              <w:rPr>
                <w:sz w:val="20"/>
                <w:szCs w:val="20"/>
              </w:rPr>
            </w:pPr>
            <w:r w:rsidRPr="00E13287">
              <w:rPr>
                <w:sz w:val="20"/>
                <w:szCs w:val="20"/>
              </w:rPr>
              <w:t>31.2</w:t>
            </w:r>
          </w:p>
        </w:tc>
        <w:tc>
          <w:tcPr>
            <w:tcW w:w="1288" w:type="dxa"/>
            <w:shd w:val="clear" w:color="auto" w:fill="auto"/>
            <w:noWrap/>
            <w:hideMark/>
          </w:tcPr>
          <w:p w14:paraId="7C7A29FB" w14:textId="77777777" w:rsidR="006D4DDB" w:rsidRPr="00E13287" w:rsidRDefault="006D4DDB" w:rsidP="001E273B">
            <w:pPr>
              <w:tabs>
                <w:tab w:val="decimal" w:pos="759"/>
              </w:tabs>
              <w:jc w:val="left"/>
              <w:rPr>
                <w:sz w:val="20"/>
                <w:szCs w:val="20"/>
              </w:rPr>
            </w:pPr>
            <w:r w:rsidRPr="00E13287">
              <w:rPr>
                <w:sz w:val="20"/>
                <w:szCs w:val="20"/>
              </w:rPr>
              <w:t>31.2</w:t>
            </w:r>
          </w:p>
        </w:tc>
        <w:tc>
          <w:tcPr>
            <w:tcW w:w="764" w:type="dxa"/>
            <w:shd w:val="clear" w:color="auto" w:fill="auto"/>
            <w:noWrap/>
            <w:hideMark/>
          </w:tcPr>
          <w:p w14:paraId="75A98288" w14:textId="43C11D4E" w:rsidR="006D4DDB" w:rsidRPr="00E13287" w:rsidRDefault="001E273B" w:rsidP="00E13287">
            <w:pPr>
              <w:jc w:val="center"/>
              <w:rPr>
                <w:sz w:val="20"/>
                <w:szCs w:val="20"/>
              </w:rPr>
            </w:pPr>
            <w:r>
              <w:rPr>
                <w:sz w:val="20"/>
                <w:szCs w:val="20"/>
              </w:rPr>
              <w:t>—</w:t>
            </w:r>
          </w:p>
        </w:tc>
      </w:tr>
      <w:tr w:rsidR="006D4DDB" w:rsidRPr="00E13287" w14:paraId="7CFB71DE" w14:textId="77777777" w:rsidTr="00E13287">
        <w:tc>
          <w:tcPr>
            <w:tcW w:w="4211" w:type="dxa"/>
            <w:shd w:val="clear" w:color="auto" w:fill="auto"/>
            <w:noWrap/>
            <w:hideMark/>
          </w:tcPr>
          <w:p w14:paraId="709BB754" w14:textId="77777777" w:rsidR="006D4DDB" w:rsidRPr="00E13287" w:rsidRDefault="006D4DDB" w:rsidP="00585338">
            <w:pPr>
              <w:rPr>
                <w:sz w:val="20"/>
                <w:szCs w:val="20"/>
              </w:rPr>
            </w:pPr>
            <w:r w:rsidRPr="00E13287">
              <w:rPr>
                <w:sz w:val="20"/>
                <w:szCs w:val="20"/>
              </w:rPr>
              <w:t>Subsidies</w:t>
            </w:r>
          </w:p>
        </w:tc>
        <w:tc>
          <w:tcPr>
            <w:tcW w:w="1276" w:type="dxa"/>
            <w:shd w:val="clear" w:color="auto" w:fill="auto"/>
            <w:noWrap/>
            <w:hideMark/>
          </w:tcPr>
          <w:p w14:paraId="20D509B5" w14:textId="77777777" w:rsidR="006D4DDB" w:rsidRPr="00E13287" w:rsidRDefault="006D4DDB" w:rsidP="001E273B">
            <w:pPr>
              <w:tabs>
                <w:tab w:val="decimal" w:pos="710"/>
              </w:tabs>
              <w:jc w:val="left"/>
              <w:rPr>
                <w:sz w:val="20"/>
                <w:szCs w:val="20"/>
              </w:rPr>
            </w:pPr>
            <w:r w:rsidRPr="00E13287">
              <w:rPr>
                <w:sz w:val="20"/>
                <w:szCs w:val="20"/>
              </w:rPr>
              <w:t>0.0</w:t>
            </w:r>
          </w:p>
        </w:tc>
        <w:tc>
          <w:tcPr>
            <w:tcW w:w="992" w:type="dxa"/>
            <w:shd w:val="clear" w:color="auto" w:fill="auto"/>
            <w:noWrap/>
            <w:hideMark/>
          </w:tcPr>
          <w:p w14:paraId="27E2166F" w14:textId="77777777" w:rsidR="006D4DDB" w:rsidRPr="00E13287" w:rsidRDefault="006D4DDB" w:rsidP="001E273B">
            <w:pPr>
              <w:tabs>
                <w:tab w:val="decimal" w:pos="513"/>
              </w:tabs>
              <w:jc w:val="left"/>
              <w:rPr>
                <w:sz w:val="20"/>
                <w:szCs w:val="20"/>
              </w:rPr>
            </w:pPr>
            <w:r w:rsidRPr="00E13287">
              <w:rPr>
                <w:sz w:val="20"/>
                <w:szCs w:val="20"/>
              </w:rPr>
              <w:t>0.0</w:t>
            </w:r>
          </w:p>
        </w:tc>
        <w:tc>
          <w:tcPr>
            <w:tcW w:w="1843" w:type="dxa"/>
            <w:shd w:val="clear" w:color="auto" w:fill="auto"/>
            <w:noWrap/>
            <w:hideMark/>
          </w:tcPr>
          <w:p w14:paraId="27836436" w14:textId="77777777" w:rsidR="006D4DDB" w:rsidRPr="00E13287" w:rsidRDefault="006D4DDB" w:rsidP="001E273B">
            <w:pPr>
              <w:tabs>
                <w:tab w:val="decimal" w:pos="865"/>
              </w:tabs>
              <w:jc w:val="left"/>
              <w:rPr>
                <w:sz w:val="20"/>
                <w:szCs w:val="20"/>
              </w:rPr>
            </w:pPr>
            <w:r w:rsidRPr="00E13287">
              <w:rPr>
                <w:sz w:val="20"/>
                <w:szCs w:val="20"/>
              </w:rPr>
              <w:t>0.0</w:t>
            </w:r>
          </w:p>
        </w:tc>
        <w:tc>
          <w:tcPr>
            <w:tcW w:w="1150" w:type="dxa"/>
            <w:shd w:val="clear" w:color="auto" w:fill="auto"/>
            <w:noWrap/>
            <w:hideMark/>
          </w:tcPr>
          <w:p w14:paraId="76A834D2" w14:textId="77777777" w:rsidR="006D4DDB" w:rsidRPr="00E13287" w:rsidRDefault="006D4DDB" w:rsidP="001E273B">
            <w:pPr>
              <w:tabs>
                <w:tab w:val="decimal" w:pos="561"/>
              </w:tabs>
              <w:jc w:val="left"/>
              <w:rPr>
                <w:sz w:val="20"/>
                <w:szCs w:val="20"/>
              </w:rPr>
            </w:pPr>
            <w:r w:rsidRPr="00E13287">
              <w:rPr>
                <w:sz w:val="20"/>
                <w:szCs w:val="20"/>
              </w:rPr>
              <w:t>0.0</w:t>
            </w:r>
          </w:p>
        </w:tc>
        <w:tc>
          <w:tcPr>
            <w:tcW w:w="1288" w:type="dxa"/>
            <w:shd w:val="clear" w:color="auto" w:fill="auto"/>
            <w:noWrap/>
            <w:hideMark/>
          </w:tcPr>
          <w:p w14:paraId="2DFF47E3" w14:textId="77777777" w:rsidR="006D4DDB" w:rsidRPr="00E13287" w:rsidRDefault="006D4DDB" w:rsidP="001E273B">
            <w:pPr>
              <w:tabs>
                <w:tab w:val="decimal" w:pos="759"/>
              </w:tabs>
              <w:jc w:val="left"/>
              <w:rPr>
                <w:sz w:val="20"/>
                <w:szCs w:val="20"/>
              </w:rPr>
            </w:pPr>
            <w:r w:rsidRPr="00E13287">
              <w:rPr>
                <w:sz w:val="20"/>
                <w:szCs w:val="20"/>
              </w:rPr>
              <w:t>0.0</w:t>
            </w:r>
          </w:p>
        </w:tc>
        <w:tc>
          <w:tcPr>
            <w:tcW w:w="764" w:type="dxa"/>
            <w:shd w:val="clear" w:color="auto" w:fill="auto"/>
            <w:noWrap/>
            <w:hideMark/>
          </w:tcPr>
          <w:p w14:paraId="3575A303" w14:textId="628E0CBB" w:rsidR="006D4DDB" w:rsidRPr="00E13287" w:rsidRDefault="001E273B" w:rsidP="00E13287">
            <w:pPr>
              <w:jc w:val="center"/>
              <w:rPr>
                <w:sz w:val="20"/>
                <w:szCs w:val="20"/>
              </w:rPr>
            </w:pPr>
            <w:r>
              <w:rPr>
                <w:sz w:val="20"/>
                <w:szCs w:val="20"/>
              </w:rPr>
              <w:t>—</w:t>
            </w:r>
          </w:p>
        </w:tc>
      </w:tr>
      <w:tr w:rsidR="006D4DDB" w:rsidRPr="00E13287" w14:paraId="7AE7F7FA" w14:textId="77777777" w:rsidTr="00E13287">
        <w:tc>
          <w:tcPr>
            <w:tcW w:w="4211" w:type="dxa"/>
            <w:shd w:val="clear" w:color="auto" w:fill="auto"/>
            <w:noWrap/>
            <w:hideMark/>
          </w:tcPr>
          <w:p w14:paraId="554C524D" w14:textId="77777777" w:rsidR="006D4DDB" w:rsidRPr="00E13287" w:rsidRDefault="006D4DDB" w:rsidP="00585338">
            <w:pPr>
              <w:rPr>
                <w:sz w:val="20"/>
                <w:szCs w:val="20"/>
              </w:rPr>
            </w:pPr>
            <w:r w:rsidRPr="00E13287">
              <w:rPr>
                <w:sz w:val="20"/>
                <w:szCs w:val="20"/>
              </w:rPr>
              <w:t>Grants</w:t>
            </w:r>
          </w:p>
        </w:tc>
        <w:tc>
          <w:tcPr>
            <w:tcW w:w="1276" w:type="dxa"/>
            <w:shd w:val="clear" w:color="auto" w:fill="auto"/>
            <w:noWrap/>
            <w:hideMark/>
          </w:tcPr>
          <w:p w14:paraId="6BFE292A" w14:textId="77777777" w:rsidR="006D4DDB" w:rsidRPr="00E13287" w:rsidRDefault="006D4DDB" w:rsidP="001E273B">
            <w:pPr>
              <w:tabs>
                <w:tab w:val="decimal" w:pos="710"/>
              </w:tabs>
              <w:jc w:val="left"/>
              <w:rPr>
                <w:sz w:val="20"/>
                <w:szCs w:val="20"/>
              </w:rPr>
            </w:pPr>
            <w:r w:rsidRPr="00E13287">
              <w:rPr>
                <w:sz w:val="20"/>
                <w:szCs w:val="20"/>
              </w:rPr>
              <w:t>0.0</w:t>
            </w:r>
          </w:p>
        </w:tc>
        <w:tc>
          <w:tcPr>
            <w:tcW w:w="992" w:type="dxa"/>
            <w:shd w:val="clear" w:color="auto" w:fill="auto"/>
            <w:noWrap/>
            <w:hideMark/>
          </w:tcPr>
          <w:p w14:paraId="107E1E41" w14:textId="77777777" w:rsidR="006D4DDB" w:rsidRPr="00E13287" w:rsidRDefault="006D4DDB" w:rsidP="001E273B">
            <w:pPr>
              <w:tabs>
                <w:tab w:val="decimal" w:pos="513"/>
              </w:tabs>
              <w:jc w:val="left"/>
              <w:rPr>
                <w:sz w:val="20"/>
                <w:szCs w:val="20"/>
              </w:rPr>
            </w:pPr>
            <w:r w:rsidRPr="00E13287">
              <w:rPr>
                <w:sz w:val="20"/>
                <w:szCs w:val="20"/>
              </w:rPr>
              <w:t>578.2</w:t>
            </w:r>
          </w:p>
        </w:tc>
        <w:tc>
          <w:tcPr>
            <w:tcW w:w="1843" w:type="dxa"/>
            <w:shd w:val="clear" w:color="auto" w:fill="auto"/>
            <w:noWrap/>
            <w:hideMark/>
          </w:tcPr>
          <w:p w14:paraId="515B6FF7" w14:textId="77777777" w:rsidR="006D4DDB" w:rsidRPr="00E13287" w:rsidRDefault="006D4DDB" w:rsidP="001E273B">
            <w:pPr>
              <w:tabs>
                <w:tab w:val="decimal" w:pos="865"/>
              </w:tabs>
              <w:jc w:val="left"/>
              <w:rPr>
                <w:sz w:val="20"/>
                <w:szCs w:val="20"/>
              </w:rPr>
            </w:pPr>
            <w:r w:rsidRPr="00E13287">
              <w:rPr>
                <w:sz w:val="20"/>
                <w:szCs w:val="20"/>
              </w:rPr>
              <w:t>0.0</w:t>
            </w:r>
          </w:p>
        </w:tc>
        <w:tc>
          <w:tcPr>
            <w:tcW w:w="1150" w:type="dxa"/>
            <w:shd w:val="clear" w:color="auto" w:fill="auto"/>
            <w:noWrap/>
            <w:hideMark/>
          </w:tcPr>
          <w:p w14:paraId="3BE33417" w14:textId="77777777" w:rsidR="006D4DDB" w:rsidRPr="00E13287" w:rsidRDefault="006D4DDB" w:rsidP="001E273B">
            <w:pPr>
              <w:tabs>
                <w:tab w:val="decimal" w:pos="561"/>
              </w:tabs>
              <w:jc w:val="left"/>
              <w:rPr>
                <w:sz w:val="20"/>
                <w:szCs w:val="20"/>
              </w:rPr>
            </w:pPr>
            <w:r w:rsidRPr="00E13287">
              <w:rPr>
                <w:sz w:val="20"/>
                <w:szCs w:val="20"/>
              </w:rPr>
              <w:t>578.2</w:t>
            </w:r>
          </w:p>
        </w:tc>
        <w:tc>
          <w:tcPr>
            <w:tcW w:w="1288" w:type="dxa"/>
            <w:shd w:val="clear" w:color="auto" w:fill="auto"/>
            <w:noWrap/>
            <w:hideMark/>
          </w:tcPr>
          <w:p w14:paraId="16523CA3" w14:textId="77777777" w:rsidR="006D4DDB" w:rsidRPr="00E13287" w:rsidRDefault="006D4DDB" w:rsidP="001E273B">
            <w:pPr>
              <w:tabs>
                <w:tab w:val="decimal" w:pos="759"/>
              </w:tabs>
              <w:jc w:val="left"/>
              <w:rPr>
                <w:sz w:val="20"/>
                <w:szCs w:val="20"/>
              </w:rPr>
            </w:pPr>
            <w:r w:rsidRPr="00E13287">
              <w:rPr>
                <w:sz w:val="20"/>
                <w:szCs w:val="20"/>
              </w:rPr>
              <w:t>578.2</w:t>
            </w:r>
          </w:p>
        </w:tc>
        <w:tc>
          <w:tcPr>
            <w:tcW w:w="764" w:type="dxa"/>
            <w:shd w:val="clear" w:color="auto" w:fill="auto"/>
            <w:noWrap/>
            <w:hideMark/>
          </w:tcPr>
          <w:p w14:paraId="6BECEA5E" w14:textId="7E8B4223" w:rsidR="006D4DDB" w:rsidRPr="00E13287" w:rsidRDefault="001E273B" w:rsidP="00E13287">
            <w:pPr>
              <w:jc w:val="center"/>
              <w:rPr>
                <w:sz w:val="20"/>
                <w:szCs w:val="20"/>
              </w:rPr>
            </w:pPr>
            <w:r>
              <w:rPr>
                <w:sz w:val="20"/>
                <w:szCs w:val="20"/>
              </w:rPr>
              <w:t>—</w:t>
            </w:r>
          </w:p>
        </w:tc>
      </w:tr>
      <w:tr w:rsidR="006D4DDB" w:rsidRPr="00E13287" w14:paraId="1538A972" w14:textId="77777777" w:rsidTr="00E13287">
        <w:tc>
          <w:tcPr>
            <w:tcW w:w="4211" w:type="dxa"/>
            <w:shd w:val="clear" w:color="auto" w:fill="auto"/>
            <w:noWrap/>
            <w:hideMark/>
          </w:tcPr>
          <w:p w14:paraId="30213E50" w14:textId="77777777" w:rsidR="006D4DDB" w:rsidRPr="00E13287" w:rsidRDefault="006D4DDB" w:rsidP="00585338">
            <w:pPr>
              <w:rPr>
                <w:sz w:val="20"/>
                <w:szCs w:val="20"/>
              </w:rPr>
            </w:pPr>
            <w:r w:rsidRPr="00E13287">
              <w:rPr>
                <w:sz w:val="20"/>
                <w:szCs w:val="20"/>
              </w:rPr>
              <w:t>Social benefits</w:t>
            </w:r>
          </w:p>
        </w:tc>
        <w:tc>
          <w:tcPr>
            <w:tcW w:w="1276" w:type="dxa"/>
            <w:shd w:val="clear" w:color="auto" w:fill="auto"/>
            <w:noWrap/>
            <w:hideMark/>
          </w:tcPr>
          <w:p w14:paraId="06604CB9" w14:textId="77777777" w:rsidR="006D4DDB" w:rsidRPr="00E13287" w:rsidRDefault="006D4DDB" w:rsidP="001E273B">
            <w:pPr>
              <w:tabs>
                <w:tab w:val="decimal" w:pos="710"/>
              </w:tabs>
              <w:jc w:val="left"/>
              <w:rPr>
                <w:sz w:val="20"/>
                <w:szCs w:val="20"/>
              </w:rPr>
            </w:pPr>
            <w:r w:rsidRPr="00E13287">
              <w:rPr>
                <w:sz w:val="20"/>
                <w:szCs w:val="20"/>
              </w:rPr>
              <w:t>0.0</w:t>
            </w:r>
          </w:p>
        </w:tc>
        <w:tc>
          <w:tcPr>
            <w:tcW w:w="992" w:type="dxa"/>
            <w:shd w:val="clear" w:color="auto" w:fill="auto"/>
            <w:noWrap/>
            <w:hideMark/>
          </w:tcPr>
          <w:p w14:paraId="376BF786" w14:textId="77777777" w:rsidR="006D4DDB" w:rsidRPr="00E13287" w:rsidRDefault="006D4DDB" w:rsidP="001E273B">
            <w:pPr>
              <w:tabs>
                <w:tab w:val="decimal" w:pos="513"/>
              </w:tabs>
              <w:jc w:val="left"/>
              <w:rPr>
                <w:sz w:val="20"/>
                <w:szCs w:val="20"/>
              </w:rPr>
            </w:pPr>
            <w:r w:rsidRPr="00E13287">
              <w:rPr>
                <w:sz w:val="20"/>
                <w:szCs w:val="20"/>
              </w:rPr>
              <w:t>35.0</w:t>
            </w:r>
          </w:p>
        </w:tc>
        <w:tc>
          <w:tcPr>
            <w:tcW w:w="1843" w:type="dxa"/>
            <w:shd w:val="clear" w:color="auto" w:fill="auto"/>
            <w:noWrap/>
            <w:hideMark/>
          </w:tcPr>
          <w:p w14:paraId="4403B0DD" w14:textId="77777777" w:rsidR="006D4DDB" w:rsidRPr="00E13287" w:rsidRDefault="006D4DDB" w:rsidP="001E273B">
            <w:pPr>
              <w:tabs>
                <w:tab w:val="decimal" w:pos="865"/>
              </w:tabs>
              <w:jc w:val="left"/>
              <w:rPr>
                <w:sz w:val="20"/>
                <w:szCs w:val="20"/>
              </w:rPr>
            </w:pPr>
            <w:r w:rsidRPr="00E13287">
              <w:rPr>
                <w:sz w:val="20"/>
                <w:szCs w:val="20"/>
              </w:rPr>
              <w:t>0.0</w:t>
            </w:r>
          </w:p>
        </w:tc>
        <w:tc>
          <w:tcPr>
            <w:tcW w:w="1150" w:type="dxa"/>
            <w:shd w:val="clear" w:color="auto" w:fill="auto"/>
            <w:noWrap/>
            <w:hideMark/>
          </w:tcPr>
          <w:p w14:paraId="5CA4D850" w14:textId="77777777" w:rsidR="006D4DDB" w:rsidRPr="00E13287" w:rsidRDefault="006D4DDB" w:rsidP="001E273B">
            <w:pPr>
              <w:tabs>
                <w:tab w:val="decimal" w:pos="561"/>
              </w:tabs>
              <w:jc w:val="left"/>
              <w:rPr>
                <w:sz w:val="20"/>
                <w:szCs w:val="20"/>
              </w:rPr>
            </w:pPr>
            <w:r w:rsidRPr="00E13287">
              <w:rPr>
                <w:sz w:val="20"/>
                <w:szCs w:val="20"/>
              </w:rPr>
              <w:t>35.0</w:t>
            </w:r>
          </w:p>
        </w:tc>
        <w:tc>
          <w:tcPr>
            <w:tcW w:w="1288" w:type="dxa"/>
            <w:shd w:val="clear" w:color="auto" w:fill="auto"/>
            <w:noWrap/>
            <w:hideMark/>
          </w:tcPr>
          <w:p w14:paraId="3B0B6096" w14:textId="77777777" w:rsidR="006D4DDB" w:rsidRPr="00E13287" w:rsidRDefault="006D4DDB" w:rsidP="001E273B">
            <w:pPr>
              <w:tabs>
                <w:tab w:val="decimal" w:pos="759"/>
              </w:tabs>
              <w:jc w:val="left"/>
              <w:rPr>
                <w:sz w:val="20"/>
                <w:szCs w:val="20"/>
              </w:rPr>
            </w:pPr>
            <w:r w:rsidRPr="00E13287">
              <w:rPr>
                <w:sz w:val="20"/>
                <w:szCs w:val="20"/>
              </w:rPr>
              <w:t>35.0</w:t>
            </w:r>
          </w:p>
        </w:tc>
        <w:tc>
          <w:tcPr>
            <w:tcW w:w="764" w:type="dxa"/>
            <w:shd w:val="clear" w:color="auto" w:fill="auto"/>
            <w:noWrap/>
            <w:hideMark/>
          </w:tcPr>
          <w:p w14:paraId="3E852712" w14:textId="3F75419C" w:rsidR="006D4DDB" w:rsidRPr="00E13287" w:rsidRDefault="001E273B" w:rsidP="00E13287">
            <w:pPr>
              <w:jc w:val="center"/>
              <w:rPr>
                <w:sz w:val="20"/>
                <w:szCs w:val="20"/>
              </w:rPr>
            </w:pPr>
            <w:r>
              <w:rPr>
                <w:sz w:val="20"/>
                <w:szCs w:val="20"/>
              </w:rPr>
              <w:t>—</w:t>
            </w:r>
          </w:p>
        </w:tc>
      </w:tr>
      <w:tr w:rsidR="006D4DDB" w:rsidRPr="00E13287" w14:paraId="7AEBA8C4" w14:textId="77777777" w:rsidTr="00E13287">
        <w:tc>
          <w:tcPr>
            <w:tcW w:w="4211" w:type="dxa"/>
            <w:shd w:val="clear" w:color="auto" w:fill="auto"/>
            <w:noWrap/>
            <w:hideMark/>
          </w:tcPr>
          <w:p w14:paraId="39C92DF7" w14:textId="77777777" w:rsidR="006D4DDB" w:rsidRPr="00E13287" w:rsidRDefault="006D4DDB" w:rsidP="00585338">
            <w:pPr>
              <w:rPr>
                <w:sz w:val="20"/>
                <w:szCs w:val="20"/>
              </w:rPr>
            </w:pPr>
            <w:r w:rsidRPr="00E13287">
              <w:rPr>
                <w:sz w:val="20"/>
                <w:szCs w:val="20"/>
              </w:rPr>
              <w:t>Other expenses</w:t>
            </w:r>
          </w:p>
        </w:tc>
        <w:tc>
          <w:tcPr>
            <w:tcW w:w="1276" w:type="dxa"/>
            <w:shd w:val="clear" w:color="auto" w:fill="auto"/>
            <w:noWrap/>
            <w:hideMark/>
          </w:tcPr>
          <w:p w14:paraId="75F5355E" w14:textId="77777777" w:rsidR="006D4DDB" w:rsidRPr="00E13287" w:rsidRDefault="006D4DDB" w:rsidP="001E273B">
            <w:pPr>
              <w:tabs>
                <w:tab w:val="decimal" w:pos="710"/>
              </w:tabs>
              <w:jc w:val="left"/>
              <w:rPr>
                <w:sz w:val="20"/>
                <w:szCs w:val="20"/>
              </w:rPr>
            </w:pPr>
            <w:r w:rsidRPr="00E13287">
              <w:rPr>
                <w:sz w:val="20"/>
                <w:szCs w:val="20"/>
              </w:rPr>
              <w:t>0.0</w:t>
            </w:r>
          </w:p>
        </w:tc>
        <w:tc>
          <w:tcPr>
            <w:tcW w:w="992" w:type="dxa"/>
            <w:shd w:val="clear" w:color="auto" w:fill="auto"/>
            <w:noWrap/>
            <w:hideMark/>
          </w:tcPr>
          <w:p w14:paraId="5B0D52C7" w14:textId="77777777" w:rsidR="006D4DDB" w:rsidRPr="00E13287" w:rsidRDefault="006D4DDB" w:rsidP="001E273B">
            <w:pPr>
              <w:tabs>
                <w:tab w:val="decimal" w:pos="513"/>
              </w:tabs>
              <w:jc w:val="left"/>
              <w:rPr>
                <w:sz w:val="20"/>
                <w:szCs w:val="20"/>
              </w:rPr>
            </w:pPr>
            <w:r w:rsidRPr="00E13287">
              <w:rPr>
                <w:sz w:val="20"/>
                <w:szCs w:val="20"/>
              </w:rPr>
              <w:t>32.6</w:t>
            </w:r>
          </w:p>
        </w:tc>
        <w:tc>
          <w:tcPr>
            <w:tcW w:w="1843" w:type="dxa"/>
            <w:shd w:val="clear" w:color="auto" w:fill="auto"/>
            <w:noWrap/>
            <w:hideMark/>
          </w:tcPr>
          <w:p w14:paraId="292D9168" w14:textId="77777777" w:rsidR="006D4DDB" w:rsidRPr="00E13287" w:rsidRDefault="006D4DDB" w:rsidP="001E273B">
            <w:pPr>
              <w:tabs>
                <w:tab w:val="decimal" w:pos="865"/>
              </w:tabs>
              <w:jc w:val="left"/>
              <w:rPr>
                <w:sz w:val="20"/>
                <w:szCs w:val="20"/>
              </w:rPr>
            </w:pPr>
            <w:r w:rsidRPr="00E13287">
              <w:rPr>
                <w:sz w:val="20"/>
                <w:szCs w:val="20"/>
              </w:rPr>
              <w:t>0.0</w:t>
            </w:r>
          </w:p>
        </w:tc>
        <w:tc>
          <w:tcPr>
            <w:tcW w:w="1150" w:type="dxa"/>
            <w:shd w:val="clear" w:color="auto" w:fill="auto"/>
            <w:noWrap/>
            <w:hideMark/>
          </w:tcPr>
          <w:p w14:paraId="543018F3" w14:textId="77777777" w:rsidR="006D4DDB" w:rsidRPr="00E13287" w:rsidRDefault="006D4DDB" w:rsidP="001E273B">
            <w:pPr>
              <w:tabs>
                <w:tab w:val="decimal" w:pos="561"/>
              </w:tabs>
              <w:jc w:val="left"/>
              <w:rPr>
                <w:sz w:val="20"/>
                <w:szCs w:val="20"/>
              </w:rPr>
            </w:pPr>
            <w:r w:rsidRPr="00E13287">
              <w:rPr>
                <w:sz w:val="20"/>
                <w:szCs w:val="20"/>
              </w:rPr>
              <w:t>32.6</w:t>
            </w:r>
          </w:p>
        </w:tc>
        <w:tc>
          <w:tcPr>
            <w:tcW w:w="1288" w:type="dxa"/>
            <w:shd w:val="clear" w:color="auto" w:fill="auto"/>
            <w:noWrap/>
            <w:hideMark/>
          </w:tcPr>
          <w:p w14:paraId="5439F7C5" w14:textId="77777777" w:rsidR="006D4DDB" w:rsidRPr="00E13287" w:rsidRDefault="006D4DDB" w:rsidP="001E273B">
            <w:pPr>
              <w:tabs>
                <w:tab w:val="decimal" w:pos="759"/>
              </w:tabs>
              <w:jc w:val="left"/>
              <w:rPr>
                <w:sz w:val="20"/>
                <w:szCs w:val="20"/>
              </w:rPr>
            </w:pPr>
            <w:r w:rsidRPr="00E13287">
              <w:rPr>
                <w:sz w:val="20"/>
                <w:szCs w:val="20"/>
              </w:rPr>
              <w:t>32.6</w:t>
            </w:r>
          </w:p>
        </w:tc>
        <w:tc>
          <w:tcPr>
            <w:tcW w:w="764" w:type="dxa"/>
            <w:shd w:val="clear" w:color="auto" w:fill="auto"/>
            <w:noWrap/>
            <w:hideMark/>
          </w:tcPr>
          <w:p w14:paraId="4EE32412" w14:textId="1062D21F" w:rsidR="006D4DDB" w:rsidRPr="00E13287" w:rsidRDefault="001E273B" w:rsidP="00E13287">
            <w:pPr>
              <w:jc w:val="center"/>
              <w:rPr>
                <w:sz w:val="20"/>
                <w:szCs w:val="20"/>
              </w:rPr>
            </w:pPr>
            <w:r>
              <w:rPr>
                <w:sz w:val="20"/>
                <w:szCs w:val="20"/>
              </w:rPr>
              <w:t>—</w:t>
            </w:r>
          </w:p>
        </w:tc>
      </w:tr>
      <w:tr w:rsidR="006D4DDB" w:rsidRPr="00E13287" w14:paraId="2E5FD34C" w14:textId="77777777" w:rsidTr="00E13287">
        <w:tc>
          <w:tcPr>
            <w:tcW w:w="4211" w:type="dxa"/>
            <w:shd w:val="clear" w:color="auto" w:fill="auto"/>
            <w:noWrap/>
            <w:hideMark/>
          </w:tcPr>
          <w:p w14:paraId="3DB66C6D" w14:textId="77777777" w:rsidR="006D4DDB" w:rsidRPr="00E13287" w:rsidRDefault="006D4DDB" w:rsidP="00585338">
            <w:pPr>
              <w:rPr>
                <w:sz w:val="20"/>
                <w:szCs w:val="20"/>
              </w:rPr>
            </w:pPr>
            <w:r w:rsidRPr="00E13287">
              <w:rPr>
                <w:sz w:val="20"/>
                <w:szCs w:val="20"/>
              </w:rPr>
              <w:t>Total expenditure</w:t>
            </w:r>
          </w:p>
        </w:tc>
        <w:tc>
          <w:tcPr>
            <w:tcW w:w="1276" w:type="dxa"/>
            <w:shd w:val="clear" w:color="auto" w:fill="auto"/>
            <w:noWrap/>
            <w:hideMark/>
          </w:tcPr>
          <w:p w14:paraId="1A6A69F1" w14:textId="1CF1D7A9" w:rsidR="006D4DDB" w:rsidRPr="00E13287" w:rsidRDefault="006D4DDB" w:rsidP="001E273B">
            <w:pPr>
              <w:tabs>
                <w:tab w:val="decimal" w:pos="710"/>
              </w:tabs>
              <w:jc w:val="left"/>
              <w:rPr>
                <w:sz w:val="20"/>
                <w:szCs w:val="20"/>
              </w:rPr>
            </w:pPr>
            <w:r w:rsidRPr="00E13287">
              <w:rPr>
                <w:sz w:val="20"/>
                <w:szCs w:val="20"/>
              </w:rPr>
              <w:t>6</w:t>
            </w:r>
            <w:r w:rsidR="001E273B">
              <w:rPr>
                <w:sz w:val="20"/>
                <w:szCs w:val="20"/>
              </w:rPr>
              <w:t>,</w:t>
            </w:r>
            <w:r w:rsidRPr="00E13287">
              <w:rPr>
                <w:sz w:val="20"/>
                <w:szCs w:val="20"/>
              </w:rPr>
              <w:t>588.8</w:t>
            </w:r>
          </w:p>
        </w:tc>
        <w:tc>
          <w:tcPr>
            <w:tcW w:w="992" w:type="dxa"/>
            <w:shd w:val="clear" w:color="auto" w:fill="auto"/>
            <w:noWrap/>
            <w:hideMark/>
          </w:tcPr>
          <w:p w14:paraId="7F6EFBF1" w14:textId="4AD20C8D" w:rsidR="006D4DDB" w:rsidRPr="00E13287" w:rsidRDefault="006D4DDB" w:rsidP="001E273B">
            <w:pPr>
              <w:tabs>
                <w:tab w:val="decimal" w:pos="513"/>
              </w:tabs>
              <w:jc w:val="left"/>
              <w:rPr>
                <w:sz w:val="20"/>
                <w:szCs w:val="20"/>
              </w:rPr>
            </w:pPr>
            <w:r w:rsidRPr="00E13287">
              <w:rPr>
                <w:sz w:val="20"/>
                <w:szCs w:val="20"/>
              </w:rPr>
              <w:t>5</w:t>
            </w:r>
            <w:r w:rsidR="001E273B">
              <w:rPr>
                <w:sz w:val="20"/>
                <w:szCs w:val="20"/>
              </w:rPr>
              <w:t>,</w:t>
            </w:r>
            <w:r w:rsidRPr="00E13287">
              <w:rPr>
                <w:sz w:val="20"/>
                <w:szCs w:val="20"/>
              </w:rPr>
              <w:t>049.2</w:t>
            </w:r>
          </w:p>
        </w:tc>
        <w:tc>
          <w:tcPr>
            <w:tcW w:w="1843" w:type="dxa"/>
            <w:shd w:val="clear" w:color="auto" w:fill="auto"/>
            <w:noWrap/>
            <w:hideMark/>
          </w:tcPr>
          <w:p w14:paraId="5FC451FF" w14:textId="6D04E4F9" w:rsidR="006D4DDB" w:rsidRPr="00E13287" w:rsidRDefault="006D4DDB" w:rsidP="001E273B">
            <w:pPr>
              <w:tabs>
                <w:tab w:val="decimal" w:pos="865"/>
              </w:tabs>
              <w:jc w:val="left"/>
              <w:rPr>
                <w:sz w:val="20"/>
                <w:szCs w:val="20"/>
              </w:rPr>
            </w:pPr>
            <w:r w:rsidRPr="00E13287">
              <w:rPr>
                <w:sz w:val="20"/>
                <w:szCs w:val="20"/>
              </w:rPr>
              <w:t>4</w:t>
            </w:r>
            <w:r w:rsidR="001E273B">
              <w:rPr>
                <w:sz w:val="20"/>
                <w:szCs w:val="20"/>
              </w:rPr>
              <w:t>,</w:t>
            </w:r>
            <w:r w:rsidRPr="00E13287">
              <w:rPr>
                <w:sz w:val="20"/>
                <w:szCs w:val="20"/>
              </w:rPr>
              <w:t>545.8</w:t>
            </w:r>
          </w:p>
        </w:tc>
        <w:tc>
          <w:tcPr>
            <w:tcW w:w="1150" w:type="dxa"/>
            <w:shd w:val="clear" w:color="auto" w:fill="auto"/>
            <w:noWrap/>
            <w:hideMark/>
          </w:tcPr>
          <w:p w14:paraId="098A90D0" w14:textId="77777777" w:rsidR="006D4DDB" w:rsidRPr="00E13287" w:rsidRDefault="006D4DDB" w:rsidP="001E273B">
            <w:pPr>
              <w:tabs>
                <w:tab w:val="decimal" w:pos="561"/>
              </w:tabs>
              <w:jc w:val="left"/>
              <w:rPr>
                <w:sz w:val="20"/>
                <w:szCs w:val="20"/>
              </w:rPr>
            </w:pPr>
            <w:r w:rsidRPr="00E13287">
              <w:rPr>
                <w:sz w:val="20"/>
                <w:szCs w:val="20"/>
              </w:rPr>
              <w:t>503.3</w:t>
            </w:r>
          </w:p>
        </w:tc>
        <w:tc>
          <w:tcPr>
            <w:tcW w:w="1288" w:type="dxa"/>
            <w:shd w:val="clear" w:color="auto" w:fill="auto"/>
            <w:noWrap/>
            <w:hideMark/>
          </w:tcPr>
          <w:p w14:paraId="23E221A1" w14:textId="7A5ADADC" w:rsidR="006D4DDB" w:rsidRPr="00E13287" w:rsidRDefault="006D4DDB" w:rsidP="001E273B">
            <w:pPr>
              <w:tabs>
                <w:tab w:val="decimal" w:pos="759"/>
              </w:tabs>
              <w:jc w:val="left"/>
              <w:rPr>
                <w:sz w:val="20"/>
                <w:szCs w:val="20"/>
              </w:rPr>
            </w:pPr>
            <w:r w:rsidRPr="00E13287">
              <w:rPr>
                <w:sz w:val="20"/>
                <w:szCs w:val="20"/>
              </w:rPr>
              <w:t>4</w:t>
            </w:r>
            <w:r w:rsidR="001E273B">
              <w:rPr>
                <w:sz w:val="20"/>
                <w:szCs w:val="20"/>
              </w:rPr>
              <w:t>,</w:t>
            </w:r>
            <w:r w:rsidRPr="00E13287">
              <w:rPr>
                <w:sz w:val="20"/>
                <w:szCs w:val="20"/>
              </w:rPr>
              <w:t>175.7</w:t>
            </w:r>
          </w:p>
        </w:tc>
        <w:tc>
          <w:tcPr>
            <w:tcW w:w="764" w:type="dxa"/>
            <w:shd w:val="clear" w:color="auto" w:fill="auto"/>
            <w:noWrap/>
            <w:hideMark/>
          </w:tcPr>
          <w:p w14:paraId="3530DB74" w14:textId="77777777" w:rsidR="006D4DDB" w:rsidRPr="00E13287" w:rsidRDefault="006D4DDB" w:rsidP="00E13287">
            <w:pPr>
              <w:jc w:val="center"/>
              <w:rPr>
                <w:sz w:val="20"/>
                <w:szCs w:val="20"/>
              </w:rPr>
            </w:pPr>
          </w:p>
        </w:tc>
      </w:tr>
      <w:tr w:rsidR="006D4DDB" w:rsidRPr="00E13287" w14:paraId="7217D7D6" w14:textId="77777777" w:rsidTr="00E13287">
        <w:tc>
          <w:tcPr>
            <w:tcW w:w="4211" w:type="dxa"/>
            <w:shd w:val="clear" w:color="auto" w:fill="auto"/>
            <w:noWrap/>
            <w:hideMark/>
          </w:tcPr>
          <w:p w14:paraId="2D39E280" w14:textId="77777777" w:rsidR="006D4DDB" w:rsidRPr="00E13287" w:rsidRDefault="006D4DDB" w:rsidP="00585338">
            <w:pPr>
              <w:rPr>
                <w:sz w:val="20"/>
                <w:szCs w:val="20"/>
              </w:rPr>
            </w:pPr>
            <w:r w:rsidRPr="00E13287">
              <w:rPr>
                <w:sz w:val="20"/>
                <w:szCs w:val="20"/>
              </w:rPr>
              <w:t>Overall variance</w:t>
            </w:r>
          </w:p>
        </w:tc>
        <w:tc>
          <w:tcPr>
            <w:tcW w:w="1276" w:type="dxa"/>
            <w:shd w:val="clear" w:color="auto" w:fill="auto"/>
            <w:noWrap/>
            <w:hideMark/>
          </w:tcPr>
          <w:p w14:paraId="20B324D0" w14:textId="77777777" w:rsidR="006D4DDB" w:rsidRPr="00E13287" w:rsidRDefault="006D4DDB" w:rsidP="00E13287">
            <w:pPr>
              <w:jc w:val="center"/>
              <w:rPr>
                <w:sz w:val="20"/>
                <w:szCs w:val="20"/>
              </w:rPr>
            </w:pPr>
          </w:p>
        </w:tc>
        <w:tc>
          <w:tcPr>
            <w:tcW w:w="992" w:type="dxa"/>
            <w:shd w:val="clear" w:color="auto" w:fill="auto"/>
            <w:noWrap/>
            <w:hideMark/>
          </w:tcPr>
          <w:p w14:paraId="13981103" w14:textId="77777777" w:rsidR="006D4DDB" w:rsidRPr="00E13287" w:rsidRDefault="006D4DDB" w:rsidP="00E13287">
            <w:pPr>
              <w:jc w:val="center"/>
              <w:rPr>
                <w:sz w:val="20"/>
                <w:szCs w:val="20"/>
              </w:rPr>
            </w:pPr>
          </w:p>
        </w:tc>
        <w:tc>
          <w:tcPr>
            <w:tcW w:w="1843" w:type="dxa"/>
            <w:shd w:val="clear" w:color="auto" w:fill="auto"/>
            <w:noWrap/>
            <w:hideMark/>
          </w:tcPr>
          <w:p w14:paraId="4BD16493" w14:textId="77777777" w:rsidR="006D4DDB" w:rsidRPr="00E13287" w:rsidRDefault="006D4DDB" w:rsidP="00E13287">
            <w:pPr>
              <w:jc w:val="center"/>
              <w:rPr>
                <w:sz w:val="20"/>
                <w:szCs w:val="20"/>
              </w:rPr>
            </w:pPr>
          </w:p>
        </w:tc>
        <w:tc>
          <w:tcPr>
            <w:tcW w:w="1150" w:type="dxa"/>
            <w:shd w:val="clear" w:color="auto" w:fill="auto"/>
            <w:noWrap/>
            <w:hideMark/>
          </w:tcPr>
          <w:p w14:paraId="3B0C35FE" w14:textId="77777777" w:rsidR="006D4DDB" w:rsidRPr="00E13287" w:rsidRDefault="006D4DDB" w:rsidP="00E13287">
            <w:pPr>
              <w:jc w:val="center"/>
              <w:rPr>
                <w:sz w:val="20"/>
                <w:szCs w:val="20"/>
              </w:rPr>
            </w:pPr>
          </w:p>
        </w:tc>
        <w:tc>
          <w:tcPr>
            <w:tcW w:w="1288" w:type="dxa"/>
            <w:shd w:val="clear" w:color="auto" w:fill="auto"/>
            <w:noWrap/>
            <w:hideMark/>
          </w:tcPr>
          <w:p w14:paraId="5E801BE7" w14:textId="77777777" w:rsidR="006D4DDB" w:rsidRPr="00E13287" w:rsidRDefault="006D4DDB" w:rsidP="00E13287">
            <w:pPr>
              <w:jc w:val="center"/>
              <w:rPr>
                <w:sz w:val="20"/>
                <w:szCs w:val="20"/>
              </w:rPr>
            </w:pPr>
          </w:p>
        </w:tc>
        <w:tc>
          <w:tcPr>
            <w:tcW w:w="764" w:type="dxa"/>
            <w:shd w:val="clear" w:color="auto" w:fill="auto"/>
            <w:noWrap/>
            <w:hideMark/>
          </w:tcPr>
          <w:p w14:paraId="73BB4375" w14:textId="77777777" w:rsidR="006D4DDB" w:rsidRPr="00E13287" w:rsidRDefault="006D4DDB" w:rsidP="001E273B">
            <w:pPr>
              <w:tabs>
                <w:tab w:val="decimal" w:pos="277"/>
              </w:tabs>
              <w:jc w:val="left"/>
              <w:rPr>
                <w:sz w:val="20"/>
                <w:szCs w:val="20"/>
              </w:rPr>
            </w:pPr>
            <w:r w:rsidRPr="00E13287">
              <w:rPr>
                <w:sz w:val="20"/>
                <w:szCs w:val="20"/>
              </w:rPr>
              <w:t>130.5</w:t>
            </w:r>
          </w:p>
        </w:tc>
      </w:tr>
      <w:tr w:rsidR="006D4DDB" w:rsidRPr="00E13287" w14:paraId="17D6067D" w14:textId="77777777" w:rsidTr="00E13287">
        <w:tc>
          <w:tcPr>
            <w:tcW w:w="4211" w:type="dxa"/>
            <w:shd w:val="clear" w:color="auto" w:fill="auto"/>
            <w:noWrap/>
            <w:hideMark/>
          </w:tcPr>
          <w:p w14:paraId="17C02228" w14:textId="77777777" w:rsidR="006D4DDB" w:rsidRPr="00E13287" w:rsidRDefault="006D4DDB" w:rsidP="00585338">
            <w:pPr>
              <w:rPr>
                <w:sz w:val="20"/>
                <w:szCs w:val="20"/>
              </w:rPr>
            </w:pPr>
            <w:r w:rsidRPr="00E13287">
              <w:rPr>
                <w:sz w:val="20"/>
                <w:szCs w:val="20"/>
              </w:rPr>
              <w:t>Composition variance</w:t>
            </w:r>
          </w:p>
        </w:tc>
        <w:tc>
          <w:tcPr>
            <w:tcW w:w="1276" w:type="dxa"/>
            <w:shd w:val="clear" w:color="auto" w:fill="auto"/>
            <w:noWrap/>
            <w:hideMark/>
          </w:tcPr>
          <w:p w14:paraId="40EB2449" w14:textId="77777777" w:rsidR="006D4DDB" w:rsidRPr="00E13287" w:rsidRDefault="006D4DDB" w:rsidP="00E13287">
            <w:pPr>
              <w:jc w:val="center"/>
              <w:rPr>
                <w:sz w:val="20"/>
                <w:szCs w:val="20"/>
              </w:rPr>
            </w:pPr>
          </w:p>
        </w:tc>
        <w:tc>
          <w:tcPr>
            <w:tcW w:w="992" w:type="dxa"/>
            <w:shd w:val="clear" w:color="auto" w:fill="auto"/>
            <w:noWrap/>
            <w:hideMark/>
          </w:tcPr>
          <w:p w14:paraId="17DBD080" w14:textId="77777777" w:rsidR="006D4DDB" w:rsidRPr="00E13287" w:rsidRDefault="006D4DDB" w:rsidP="00E13287">
            <w:pPr>
              <w:jc w:val="center"/>
              <w:rPr>
                <w:sz w:val="20"/>
                <w:szCs w:val="20"/>
              </w:rPr>
            </w:pPr>
          </w:p>
        </w:tc>
        <w:tc>
          <w:tcPr>
            <w:tcW w:w="1843" w:type="dxa"/>
            <w:shd w:val="clear" w:color="auto" w:fill="auto"/>
            <w:noWrap/>
            <w:hideMark/>
          </w:tcPr>
          <w:p w14:paraId="66DA7904" w14:textId="77777777" w:rsidR="006D4DDB" w:rsidRPr="00E13287" w:rsidRDefault="006D4DDB" w:rsidP="00E13287">
            <w:pPr>
              <w:jc w:val="center"/>
              <w:rPr>
                <w:sz w:val="20"/>
                <w:szCs w:val="20"/>
              </w:rPr>
            </w:pPr>
          </w:p>
        </w:tc>
        <w:tc>
          <w:tcPr>
            <w:tcW w:w="1150" w:type="dxa"/>
            <w:shd w:val="clear" w:color="auto" w:fill="auto"/>
            <w:noWrap/>
            <w:hideMark/>
          </w:tcPr>
          <w:p w14:paraId="66618955" w14:textId="77777777" w:rsidR="006D4DDB" w:rsidRPr="00E13287" w:rsidRDefault="006D4DDB" w:rsidP="00E13287">
            <w:pPr>
              <w:jc w:val="center"/>
              <w:rPr>
                <w:sz w:val="20"/>
                <w:szCs w:val="20"/>
              </w:rPr>
            </w:pPr>
          </w:p>
        </w:tc>
        <w:tc>
          <w:tcPr>
            <w:tcW w:w="1288" w:type="dxa"/>
            <w:shd w:val="clear" w:color="auto" w:fill="auto"/>
            <w:noWrap/>
            <w:hideMark/>
          </w:tcPr>
          <w:p w14:paraId="46DE7DE3" w14:textId="77777777" w:rsidR="006D4DDB" w:rsidRPr="00E13287" w:rsidRDefault="006D4DDB" w:rsidP="00E13287">
            <w:pPr>
              <w:jc w:val="center"/>
              <w:rPr>
                <w:sz w:val="20"/>
                <w:szCs w:val="20"/>
              </w:rPr>
            </w:pPr>
          </w:p>
        </w:tc>
        <w:tc>
          <w:tcPr>
            <w:tcW w:w="764" w:type="dxa"/>
            <w:shd w:val="clear" w:color="auto" w:fill="auto"/>
            <w:noWrap/>
            <w:hideMark/>
          </w:tcPr>
          <w:p w14:paraId="6090388B" w14:textId="77777777" w:rsidR="006D4DDB" w:rsidRPr="00E13287" w:rsidRDefault="006D4DDB" w:rsidP="001E273B">
            <w:pPr>
              <w:tabs>
                <w:tab w:val="decimal" w:pos="277"/>
              </w:tabs>
              <w:jc w:val="left"/>
              <w:rPr>
                <w:sz w:val="20"/>
                <w:szCs w:val="20"/>
              </w:rPr>
            </w:pPr>
            <w:r w:rsidRPr="00E13287">
              <w:rPr>
                <w:sz w:val="20"/>
                <w:szCs w:val="20"/>
              </w:rPr>
              <w:t>91.9</w:t>
            </w:r>
          </w:p>
        </w:tc>
      </w:tr>
    </w:tbl>
    <w:p w14:paraId="08C3A2A9" w14:textId="77777777" w:rsidR="006D4DDB" w:rsidRPr="00890A84" w:rsidRDefault="006D4DDB" w:rsidP="006D4DDB"/>
    <w:p w14:paraId="2CC89C86" w14:textId="77777777" w:rsidR="009A109B" w:rsidRPr="00323A8C" w:rsidRDefault="009A109B" w:rsidP="00323A8C"/>
    <w:sectPr w:rsidR="009A109B" w:rsidRPr="00323A8C" w:rsidSect="00323A8C">
      <w:pgSz w:w="15840" w:h="12240" w:orient="landscape"/>
      <w:pgMar w:top="1440" w:right="1440" w:bottom="1440" w:left="1440" w:header="760" w:footer="7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2760" w14:textId="77777777" w:rsidR="008B59A7" w:rsidRDefault="008B59A7" w:rsidP="00A767CB">
      <w:r>
        <w:separator/>
      </w:r>
    </w:p>
    <w:p w14:paraId="118563F9" w14:textId="77777777" w:rsidR="008B59A7" w:rsidRDefault="008B59A7" w:rsidP="00A767CB"/>
  </w:endnote>
  <w:endnote w:type="continuationSeparator" w:id="0">
    <w:p w14:paraId="7FED6805" w14:textId="77777777" w:rsidR="008B59A7" w:rsidRDefault="008B59A7" w:rsidP="00A767CB">
      <w:r>
        <w:continuationSeparator/>
      </w:r>
    </w:p>
    <w:p w14:paraId="51BC9009" w14:textId="77777777" w:rsidR="008B59A7" w:rsidRDefault="008B59A7" w:rsidP="00A76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AECOM Sans">
    <w:altName w:val="Calibri"/>
    <w:charset w:val="00"/>
    <w:family w:val="swiss"/>
    <w:pitch w:val="variable"/>
    <w:sig w:usb0="00000000"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59AE" w14:textId="77777777" w:rsidR="007815B0" w:rsidRDefault="007815B0" w:rsidP="00A767CB">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970527"/>
      <w:docPartObj>
        <w:docPartGallery w:val="Page Numbers (Bottom of Page)"/>
        <w:docPartUnique/>
      </w:docPartObj>
    </w:sdtPr>
    <w:sdtEndPr>
      <w:rPr>
        <w:noProof/>
      </w:rPr>
    </w:sdtEndPr>
    <w:sdtContent>
      <w:p w14:paraId="2AB8FC75" w14:textId="5EAF7A1C" w:rsidR="007815B0" w:rsidRDefault="008B59A7" w:rsidP="00AB619A">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286848"/>
      <w:docPartObj>
        <w:docPartGallery w:val="Page Numbers (Bottom of Page)"/>
        <w:docPartUnique/>
      </w:docPartObj>
    </w:sdtPr>
    <w:sdtEndPr>
      <w:rPr>
        <w:noProof/>
      </w:rPr>
    </w:sdtEndPr>
    <w:sdtContent>
      <w:p w14:paraId="05C12B86" w14:textId="77777777" w:rsidR="007815B0" w:rsidRDefault="007815B0" w:rsidP="00AB61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0B82" w14:textId="77777777" w:rsidR="007815B0" w:rsidRDefault="007815B0" w:rsidP="00B64296">
    <w:pPr>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FC3B" w14:textId="77777777" w:rsidR="008B59A7" w:rsidRDefault="008B59A7" w:rsidP="00A767CB">
      <w:r>
        <w:separator/>
      </w:r>
    </w:p>
  </w:footnote>
  <w:footnote w:type="continuationSeparator" w:id="0">
    <w:p w14:paraId="2211FEB7" w14:textId="77777777" w:rsidR="008B59A7" w:rsidRDefault="008B59A7" w:rsidP="00A767CB">
      <w:r>
        <w:continuationSeparator/>
      </w:r>
    </w:p>
    <w:p w14:paraId="27657E89" w14:textId="77777777" w:rsidR="008B59A7" w:rsidRDefault="008B59A7" w:rsidP="00A767CB"/>
  </w:footnote>
  <w:footnote w:id="1">
    <w:p w14:paraId="23226ABC" w14:textId="480F679B" w:rsidR="007815B0" w:rsidRPr="00096008" w:rsidRDefault="007815B0" w:rsidP="00A767CB">
      <w:pPr>
        <w:pStyle w:val="FootnoteText"/>
      </w:pPr>
      <w:r>
        <w:rPr>
          <w:rStyle w:val="FootnoteReference"/>
        </w:rPr>
        <w:footnoteRef/>
      </w:r>
      <w:r>
        <w:t xml:space="preserve"> See http://</w:t>
      </w:r>
      <w:r w:rsidRPr="00096008">
        <w:t>www.cob.go.ke</w:t>
      </w:r>
      <w:r>
        <w:t>.</w:t>
      </w:r>
    </w:p>
  </w:footnote>
  <w:footnote w:id="2">
    <w:p w14:paraId="7A65607F" w14:textId="61221B99" w:rsidR="007815B0" w:rsidRPr="00231420" w:rsidRDefault="007815B0" w:rsidP="00D52523">
      <w:pPr>
        <w:pStyle w:val="FootnoteText"/>
      </w:pPr>
      <w:r>
        <w:rPr>
          <w:rStyle w:val="FootnoteReference"/>
        </w:rPr>
        <w:footnoteRef/>
      </w:r>
      <w:r>
        <w:t xml:space="preserve"> See: </w:t>
      </w:r>
      <w:r w:rsidRPr="00231420">
        <w:t>http://www.oagkenya.go.ke/index.php/reports/cat_view/2-reports/11-county-governments/203-county-government-reports-2015-2016</w:t>
      </w:r>
      <w:r>
        <w:t>.</w:t>
      </w:r>
    </w:p>
  </w:footnote>
  <w:footnote w:id="3">
    <w:p w14:paraId="1E33DCCD" w14:textId="7E86DC9C" w:rsidR="007815B0" w:rsidRPr="00DA35A9" w:rsidRDefault="007815B0" w:rsidP="00D52523">
      <w:pPr>
        <w:pStyle w:val="FootnoteText"/>
        <w:rPr>
          <w:lang w:val="en-US"/>
        </w:rPr>
      </w:pPr>
      <w:r>
        <w:rPr>
          <w:rStyle w:val="FootnoteReference"/>
        </w:rPr>
        <w:footnoteRef/>
      </w:r>
      <w:r>
        <w:t xml:space="preserve"> </w:t>
      </w:r>
      <w:r w:rsidRPr="009E3EF3">
        <w:t>https://www.kajiado.go.ke/downloads/?mdocs-cat=mdocs-cat-4</w:t>
      </w:r>
      <w:r>
        <w:t>.</w:t>
      </w:r>
    </w:p>
  </w:footnote>
  <w:footnote w:id="4">
    <w:p w14:paraId="46AA7745" w14:textId="2E1D4877" w:rsidR="007815B0" w:rsidRPr="00A860CB" w:rsidRDefault="007815B0" w:rsidP="00D52523">
      <w:pPr>
        <w:pStyle w:val="FootnoteText"/>
      </w:pPr>
      <w:r>
        <w:rPr>
          <w:rStyle w:val="FootnoteReference"/>
        </w:rPr>
        <w:footnoteRef/>
      </w:r>
      <w:r>
        <w:t xml:space="preserve"> </w:t>
      </w:r>
      <w:r w:rsidRPr="00A860CB">
        <w:t>http://www.ppoa.go.ke/2015-08-24-14-47-13/pparb-decisions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D45D" w14:textId="77777777" w:rsidR="007815B0" w:rsidRPr="00FF34B5" w:rsidRDefault="007815B0" w:rsidP="00A767CB">
    <w:r w:rsidRPr="00FF34B5">
      <w:t xml:space="preserve">PEFA framework for the assessment of public financial management, February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E1B0" w14:textId="77777777" w:rsidR="007815B0" w:rsidRDefault="007815B0" w:rsidP="00D52523">
    <w:r w:rsidRPr="00AE74D8">
      <w:t>PEFA framework for the assessment of public financial management at the county level,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F8A7" w14:textId="77777777" w:rsidR="007815B0" w:rsidRPr="00AE74D8" w:rsidRDefault="007815B0" w:rsidP="00D52523">
    <w:r w:rsidRPr="00AE74D8">
      <w:t>PEFA framework for the assessment of public financial management at the county level,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2BAF" w14:textId="77777777" w:rsidR="007815B0" w:rsidRPr="00AE74D8" w:rsidRDefault="007815B0" w:rsidP="00D52523">
    <w:r w:rsidRPr="00AE74D8">
      <w:t>PEFA framework for the assessment of public financial management at the county level,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FA0"/>
    <w:multiLevelType w:val="hybridMultilevel"/>
    <w:tmpl w:val="E39A1FF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50F5"/>
    <w:multiLevelType w:val="multilevel"/>
    <w:tmpl w:val="1436D4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AF215C"/>
    <w:multiLevelType w:val="multilevel"/>
    <w:tmpl w:val="04C65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962293"/>
    <w:multiLevelType w:val="hybridMultilevel"/>
    <w:tmpl w:val="A5B21120"/>
    <w:lvl w:ilvl="0" w:tplc="B6DEFF0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F97727C"/>
    <w:multiLevelType w:val="hybridMultilevel"/>
    <w:tmpl w:val="C10EABC4"/>
    <w:lvl w:ilvl="0" w:tplc="3F76F7B0">
      <w:start w:val="1"/>
      <w:numFmt w:val="lowerLetter"/>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A7AFD"/>
    <w:multiLevelType w:val="hybridMultilevel"/>
    <w:tmpl w:val="276EE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C4289"/>
    <w:multiLevelType w:val="hybridMultilevel"/>
    <w:tmpl w:val="6F8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279C5"/>
    <w:multiLevelType w:val="hybridMultilevel"/>
    <w:tmpl w:val="91505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03DEB"/>
    <w:multiLevelType w:val="hybridMultilevel"/>
    <w:tmpl w:val="2170099C"/>
    <w:lvl w:ilvl="0" w:tplc="896683A4">
      <w:start w:val="3"/>
      <w:numFmt w:val="bullet"/>
      <w:lvlText w:val="•"/>
      <w:lvlJc w:val="left"/>
      <w:pPr>
        <w:ind w:left="810" w:hanging="45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F0860"/>
    <w:multiLevelType w:val="hybridMultilevel"/>
    <w:tmpl w:val="304E8680"/>
    <w:lvl w:ilvl="0" w:tplc="4C0CE160">
      <w:start w:val="1"/>
      <w:numFmt w:val="decimal"/>
      <w:pStyle w:val="ListParagraph"/>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B9C2963"/>
    <w:multiLevelType w:val="hybridMultilevel"/>
    <w:tmpl w:val="F04ADD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664FF6"/>
    <w:multiLevelType w:val="hybridMultilevel"/>
    <w:tmpl w:val="88E2EB82"/>
    <w:lvl w:ilvl="0" w:tplc="08090001">
      <w:start w:val="1"/>
      <w:numFmt w:val="bullet"/>
      <w:lvlText w:val=""/>
      <w:lvlJc w:val="left"/>
      <w:pPr>
        <w:ind w:left="1080" w:hanging="360"/>
      </w:pPr>
      <w:rPr>
        <w:rFonts w:ascii="Symbol" w:hAnsi="Symbol" w:hint="default"/>
      </w:rPr>
    </w:lvl>
    <w:lvl w:ilvl="1" w:tplc="EC4228A4">
      <w:start w:val="1"/>
      <w:numFmt w:val="bullet"/>
      <w:lvlText w:val="o"/>
      <w:lvlJc w:val="left"/>
      <w:pPr>
        <w:ind w:left="1800" w:hanging="360"/>
      </w:pPr>
      <w:rPr>
        <w:rFonts w:ascii="Courier New" w:hAnsi="Courier New" w:hint="default"/>
        <w:sz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A6B4A5A"/>
    <w:multiLevelType w:val="hybridMultilevel"/>
    <w:tmpl w:val="4B7E86E4"/>
    <w:lvl w:ilvl="0" w:tplc="04090001">
      <w:start w:val="1"/>
      <w:numFmt w:val="bullet"/>
      <w:lvlText w:val=""/>
      <w:lvlJc w:val="left"/>
      <w:pPr>
        <w:ind w:left="450" w:hanging="45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D593268"/>
    <w:multiLevelType w:val="hybridMultilevel"/>
    <w:tmpl w:val="B00E79D8"/>
    <w:lvl w:ilvl="0" w:tplc="F6C6AA28">
      <w:start w:val="1"/>
      <w:numFmt w:val="low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6374B"/>
    <w:multiLevelType w:val="hybridMultilevel"/>
    <w:tmpl w:val="D8AE4B02"/>
    <w:lvl w:ilvl="0" w:tplc="04090001">
      <w:start w:val="1"/>
      <w:numFmt w:val="bullet"/>
      <w:lvlText w:val=""/>
      <w:lvlJc w:val="left"/>
      <w:pPr>
        <w:ind w:left="810" w:hanging="4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878F8"/>
    <w:multiLevelType w:val="hybridMultilevel"/>
    <w:tmpl w:val="58F4233A"/>
    <w:lvl w:ilvl="0" w:tplc="3F76F7B0">
      <w:start w:val="1"/>
      <w:numFmt w:val="lowerLetter"/>
      <w:lvlText w:val="(%1)"/>
      <w:lvlJc w:val="left"/>
      <w:pPr>
        <w:ind w:left="360" w:hanging="360"/>
      </w:pPr>
      <w:rPr>
        <w:rFonts w:hint="default"/>
        <w:b w:val="0"/>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9B03E9"/>
    <w:multiLevelType w:val="hybridMultilevel"/>
    <w:tmpl w:val="AA200124"/>
    <w:lvl w:ilvl="0" w:tplc="5642AD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02B7F"/>
    <w:multiLevelType w:val="hybridMultilevel"/>
    <w:tmpl w:val="AF4811F2"/>
    <w:lvl w:ilvl="0" w:tplc="3F76F7B0">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1"/>
  </w:num>
  <w:num w:numId="4">
    <w:abstractNumId w:val="13"/>
  </w:num>
  <w:num w:numId="5">
    <w:abstractNumId w:val="10"/>
  </w:num>
  <w:num w:numId="6">
    <w:abstractNumId w:val="8"/>
  </w:num>
  <w:num w:numId="7">
    <w:abstractNumId w:val="3"/>
  </w:num>
  <w:num w:numId="8">
    <w:abstractNumId w:val="15"/>
  </w:num>
  <w:num w:numId="9">
    <w:abstractNumId w:val="9"/>
  </w:num>
  <w:num w:numId="10">
    <w:abstractNumId w:val="17"/>
  </w:num>
  <w:num w:numId="11">
    <w:abstractNumId w:val="12"/>
  </w:num>
  <w:num w:numId="12">
    <w:abstractNumId w:val="7"/>
  </w:num>
  <w:num w:numId="13">
    <w:abstractNumId w:val="4"/>
  </w:num>
  <w:num w:numId="14">
    <w:abstractNumId w:val="11"/>
  </w:num>
  <w:num w:numId="15">
    <w:abstractNumId w:val="0"/>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CE"/>
    <w:rsid w:val="00000222"/>
    <w:rsid w:val="00000DE4"/>
    <w:rsid w:val="000018BE"/>
    <w:rsid w:val="00001C9D"/>
    <w:rsid w:val="0000454C"/>
    <w:rsid w:val="0000531C"/>
    <w:rsid w:val="000060C1"/>
    <w:rsid w:val="0000614B"/>
    <w:rsid w:val="00007E0A"/>
    <w:rsid w:val="000112D0"/>
    <w:rsid w:val="00015D76"/>
    <w:rsid w:val="0001675F"/>
    <w:rsid w:val="00017087"/>
    <w:rsid w:val="00021787"/>
    <w:rsid w:val="00026156"/>
    <w:rsid w:val="000335AC"/>
    <w:rsid w:val="00033A33"/>
    <w:rsid w:val="00035673"/>
    <w:rsid w:val="0003569F"/>
    <w:rsid w:val="000368C6"/>
    <w:rsid w:val="00042807"/>
    <w:rsid w:val="00042CE8"/>
    <w:rsid w:val="00043BB3"/>
    <w:rsid w:val="0004546D"/>
    <w:rsid w:val="00046095"/>
    <w:rsid w:val="00050154"/>
    <w:rsid w:val="00056420"/>
    <w:rsid w:val="00057464"/>
    <w:rsid w:val="000578F8"/>
    <w:rsid w:val="00057B7D"/>
    <w:rsid w:val="00057C3E"/>
    <w:rsid w:val="000609DD"/>
    <w:rsid w:val="00063852"/>
    <w:rsid w:val="000647D8"/>
    <w:rsid w:val="00064D88"/>
    <w:rsid w:val="000668F5"/>
    <w:rsid w:val="00066928"/>
    <w:rsid w:val="00071A61"/>
    <w:rsid w:val="00072F36"/>
    <w:rsid w:val="000731AC"/>
    <w:rsid w:val="00075996"/>
    <w:rsid w:val="00076ADC"/>
    <w:rsid w:val="000815BE"/>
    <w:rsid w:val="00083049"/>
    <w:rsid w:val="00083109"/>
    <w:rsid w:val="000831D1"/>
    <w:rsid w:val="00085029"/>
    <w:rsid w:val="00085387"/>
    <w:rsid w:val="00085824"/>
    <w:rsid w:val="000879D8"/>
    <w:rsid w:val="00090837"/>
    <w:rsid w:val="000926B2"/>
    <w:rsid w:val="000934B6"/>
    <w:rsid w:val="00093A2F"/>
    <w:rsid w:val="000947CD"/>
    <w:rsid w:val="00096008"/>
    <w:rsid w:val="00097785"/>
    <w:rsid w:val="00097B44"/>
    <w:rsid w:val="000A08C1"/>
    <w:rsid w:val="000A13C4"/>
    <w:rsid w:val="000A19E7"/>
    <w:rsid w:val="000A4C5E"/>
    <w:rsid w:val="000A6F37"/>
    <w:rsid w:val="000A7E03"/>
    <w:rsid w:val="000A7EA8"/>
    <w:rsid w:val="000B0802"/>
    <w:rsid w:val="000B08ED"/>
    <w:rsid w:val="000B28CB"/>
    <w:rsid w:val="000B3419"/>
    <w:rsid w:val="000B415C"/>
    <w:rsid w:val="000B4EB8"/>
    <w:rsid w:val="000B54FC"/>
    <w:rsid w:val="000B60D8"/>
    <w:rsid w:val="000B6447"/>
    <w:rsid w:val="000B67AB"/>
    <w:rsid w:val="000B6DB3"/>
    <w:rsid w:val="000C0054"/>
    <w:rsid w:val="000C169B"/>
    <w:rsid w:val="000C3B27"/>
    <w:rsid w:val="000C45C8"/>
    <w:rsid w:val="000C473F"/>
    <w:rsid w:val="000C4CCE"/>
    <w:rsid w:val="000C5AAB"/>
    <w:rsid w:val="000C5CAA"/>
    <w:rsid w:val="000C70B6"/>
    <w:rsid w:val="000C73E4"/>
    <w:rsid w:val="000C7E3D"/>
    <w:rsid w:val="000D176E"/>
    <w:rsid w:val="000D302F"/>
    <w:rsid w:val="000D3391"/>
    <w:rsid w:val="000D4A35"/>
    <w:rsid w:val="000D563E"/>
    <w:rsid w:val="000D5995"/>
    <w:rsid w:val="000D619C"/>
    <w:rsid w:val="000D69BA"/>
    <w:rsid w:val="000E1FDE"/>
    <w:rsid w:val="000E2D4F"/>
    <w:rsid w:val="000E4A0A"/>
    <w:rsid w:val="000E50C5"/>
    <w:rsid w:val="000E52C1"/>
    <w:rsid w:val="000E5801"/>
    <w:rsid w:val="000F0C92"/>
    <w:rsid w:val="000F2DC8"/>
    <w:rsid w:val="000F2E25"/>
    <w:rsid w:val="000F432D"/>
    <w:rsid w:val="000F5335"/>
    <w:rsid w:val="000F581E"/>
    <w:rsid w:val="000F6FCA"/>
    <w:rsid w:val="000F7333"/>
    <w:rsid w:val="00100163"/>
    <w:rsid w:val="00100703"/>
    <w:rsid w:val="00100EF0"/>
    <w:rsid w:val="0010185F"/>
    <w:rsid w:val="001035B6"/>
    <w:rsid w:val="00105FC9"/>
    <w:rsid w:val="00106D85"/>
    <w:rsid w:val="00113B8E"/>
    <w:rsid w:val="00115997"/>
    <w:rsid w:val="00116C94"/>
    <w:rsid w:val="001214EA"/>
    <w:rsid w:val="00123901"/>
    <w:rsid w:val="00123AEF"/>
    <w:rsid w:val="001258EA"/>
    <w:rsid w:val="0012710A"/>
    <w:rsid w:val="0012722E"/>
    <w:rsid w:val="001278E8"/>
    <w:rsid w:val="00130D14"/>
    <w:rsid w:val="00131E99"/>
    <w:rsid w:val="0013234B"/>
    <w:rsid w:val="00133A75"/>
    <w:rsid w:val="001352A1"/>
    <w:rsid w:val="00135E66"/>
    <w:rsid w:val="0013758F"/>
    <w:rsid w:val="001404DB"/>
    <w:rsid w:val="001412E3"/>
    <w:rsid w:val="00141377"/>
    <w:rsid w:val="00145015"/>
    <w:rsid w:val="0014559B"/>
    <w:rsid w:val="0014574C"/>
    <w:rsid w:val="001461CF"/>
    <w:rsid w:val="00147553"/>
    <w:rsid w:val="00147D25"/>
    <w:rsid w:val="00147FE1"/>
    <w:rsid w:val="00150555"/>
    <w:rsid w:val="001532FE"/>
    <w:rsid w:val="001539EB"/>
    <w:rsid w:val="00153D60"/>
    <w:rsid w:val="00153E82"/>
    <w:rsid w:val="00154EA8"/>
    <w:rsid w:val="00155E6A"/>
    <w:rsid w:val="001562A7"/>
    <w:rsid w:val="00156800"/>
    <w:rsid w:val="00156987"/>
    <w:rsid w:val="001573B3"/>
    <w:rsid w:val="00157700"/>
    <w:rsid w:val="001620B2"/>
    <w:rsid w:val="001648B7"/>
    <w:rsid w:val="0016520B"/>
    <w:rsid w:val="00171D87"/>
    <w:rsid w:val="00172DA0"/>
    <w:rsid w:val="00174483"/>
    <w:rsid w:val="001746C8"/>
    <w:rsid w:val="00180DCE"/>
    <w:rsid w:val="001815C6"/>
    <w:rsid w:val="00181733"/>
    <w:rsid w:val="00182BB6"/>
    <w:rsid w:val="00183AEF"/>
    <w:rsid w:val="00185430"/>
    <w:rsid w:val="0018611F"/>
    <w:rsid w:val="0018759F"/>
    <w:rsid w:val="00187B82"/>
    <w:rsid w:val="00187BED"/>
    <w:rsid w:val="00190ECF"/>
    <w:rsid w:val="00191790"/>
    <w:rsid w:val="001920C9"/>
    <w:rsid w:val="001923DD"/>
    <w:rsid w:val="001927B0"/>
    <w:rsid w:val="00192FBA"/>
    <w:rsid w:val="0019325F"/>
    <w:rsid w:val="001958FF"/>
    <w:rsid w:val="00196BCE"/>
    <w:rsid w:val="00196FAE"/>
    <w:rsid w:val="001A73D9"/>
    <w:rsid w:val="001A77A7"/>
    <w:rsid w:val="001A781B"/>
    <w:rsid w:val="001A7F14"/>
    <w:rsid w:val="001A7FB4"/>
    <w:rsid w:val="001B10E3"/>
    <w:rsid w:val="001C1D54"/>
    <w:rsid w:val="001C3935"/>
    <w:rsid w:val="001C3EF0"/>
    <w:rsid w:val="001C52F2"/>
    <w:rsid w:val="001C76C9"/>
    <w:rsid w:val="001C7BF8"/>
    <w:rsid w:val="001D22A8"/>
    <w:rsid w:val="001D2B0D"/>
    <w:rsid w:val="001D2B72"/>
    <w:rsid w:val="001D3CD5"/>
    <w:rsid w:val="001D3FC2"/>
    <w:rsid w:val="001D510A"/>
    <w:rsid w:val="001D6748"/>
    <w:rsid w:val="001D7BA9"/>
    <w:rsid w:val="001D7E75"/>
    <w:rsid w:val="001E0DE4"/>
    <w:rsid w:val="001E273B"/>
    <w:rsid w:val="001E3161"/>
    <w:rsid w:val="001E3CAC"/>
    <w:rsid w:val="001E3DBF"/>
    <w:rsid w:val="001E4C13"/>
    <w:rsid w:val="001E510A"/>
    <w:rsid w:val="001E5311"/>
    <w:rsid w:val="001E56F7"/>
    <w:rsid w:val="001E5C52"/>
    <w:rsid w:val="001E7F1A"/>
    <w:rsid w:val="001F0611"/>
    <w:rsid w:val="001F238A"/>
    <w:rsid w:val="001F3CD5"/>
    <w:rsid w:val="001F4DD3"/>
    <w:rsid w:val="001F51BB"/>
    <w:rsid w:val="001F5238"/>
    <w:rsid w:val="001F5925"/>
    <w:rsid w:val="00200115"/>
    <w:rsid w:val="0020046C"/>
    <w:rsid w:val="002009AB"/>
    <w:rsid w:val="002014A5"/>
    <w:rsid w:val="00202D90"/>
    <w:rsid w:val="00210254"/>
    <w:rsid w:val="002105C5"/>
    <w:rsid w:val="00211831"/>
    <w:rsid w:val="00211D4A"/>
    <w:rsid w:val="00213444"/>
    <w:rsid w:val="00216B8B"/>
    <w:rsid w:val="00217FA1"/>
    <w:rsid w:val="002215BF"/>
    <w:rsid w:val="00221A40"/>
    <w:rsid w:val="00221AEE"/>
    <w:rsid w:val="00223ECE"/>
    <w:rsid w:val="00225259"/>
    <w:rsid w:val="00226736"/>
    <w:rsid w:val="002277B6"/>
    <w:rsid w:val="00227897"/>
    <w:rsid w:val="00230B85"/>
    <w:rsid w:val="00231420"/>
    <w:rsid w:val="00231A8E"/>
    <w:rsid w:val="002321B6"/>
    <w:rsid w:val="002339CE"/>
    <w:rsid w:val="00233D65"/>
    <w:rsid w:val="0023421C"/>
    <w:rsid w:val="002348E6"/>
    <w:rsid w:val="002351FE"/>
    <w:rsid w:val="0023528A"/>
    <w:rsid w:val="002356F8"/>
    <w:rsid w:val="00236D25"/>
    <w:rsid w:val="00240136"/>
    <w:rsid w:val="0024028A"/>
    <w:rsid w:val="002402E0"/>
    <w:rsid w:val="00240EB1"/>
    <w:rsid w:val="002451A1"/>
    <w:rsid w:val="002459A1"/>
    <w:rsid w:val="002479C0"/>
    <w:rsid w:val="0025026D"/>
    <w:rsid w:val="002503C9"/>
    <w:rsid w:val="00250AB1"/>
    <w:rsid w:val="00251368"/>
    <w:rsid w:val="002522DA"/>
    <w:rsid w:val="00252668"/>
    <w:rsid w:val="002537C7"/>
    <w:rsid w:val="00254B2E"/>
    <w:rsid w:val="00254F02"/>
    <w:rsid w:val="00255803"/>
    <w:rsid w:val="00256531"/>
    <w:rsid w:val="00257925"/>
    <w:rsid w:val="00260F29"/>
    <w:rsid w:val="002610BA"/>
    <w:rsid w:val="0026221B"/>
    <w:rsid w:val="002632E1"/>
    <w:rsid w:val="00265349"/>
    <w:rsid w:val="00265ABC"/>
    <w:rsid w:val="0026727F"/>
    <w:rsid w:val="002705F5"/>
    <w:rsid w:val="00270FF4"/>
    <w:rsid w:val="00273165"/>
    <w:rsid w:val="00274A7B"/>
    <w:rsid w:val="00275018"/>
    <w:rsid w:val="0027510E"/>
    <w:rsid w:val="00275C4E"/>
    <w:rsid w:val="00277B42"/>
    <w:rsid w:val="00280C4D"/>
    <w:rsid w:val="0028293B"/>
    <w:rsid w:val="00284153"/>
    <w:rsid w:val="0028503B"/>
    <w:rsid w:val="002857DD"/>
    <w:rsid w:val="00290BA4"/>
    <w:rsid w:val="002915F8"/>
    <w:rsid w:val="00291EB9"/>
    <w:rsid w:val="00294285"/>
    <w:rsid w:val="002953AD"/>
    <w:rsid w:val="00295463"/>
    <w:rsid w:val="002955BE"/>
    <w:rsid w:val="002969B1"/>
    <w:rsid w:val="002973C9"/>
    <w:rsid w:val="00297A6C"/>
    <w:rsid w:val="002A05DD"/>
    <w:rsid w:val="002A14B9"/>
    <w:rsid w:val="002A3897"/>
    <w:rsid w:val="002A39B9"/>
    <w:rsid w:val="002A647B"/>
    <w:rsid w:val="002A7005"/>
    <w:rsid w:val="002A7C15"/>
    <w:rsid w:val="002A7CDC"/>
    <w:rsid w:val="002B0181"/>
    <w:rsid w:val="002B02BF"/>
    <w:rsid w:val="002B24A7"/>
    <w:rsid w:val="002B26BC"/>
    <w:rsid w:val="002B3E5B"/>
    <w:rsid w:val="002B5DE0"/>
    <w:rsid w:val="002B5E0F"/>
    <w:rsid w:val="002B6D74"/>
    <w:rsid w:val="002B701C"/>
    <w:rsid w:val="002C2D9E"/>
    <w:rsid w:val="002C4952"/>
    <w:rsid w:val="002C617C"/>
    <w:rsid w:val="002C647C"/>
    <w:rsid w:val="002D0E49"/>
    <w:rsid w:val="002D177B"/>
    <w:rsid w:val="002D301D"/>
    <w:rsid w:val="002D3314"/>
    <w:rsid w:val="002D4B46"/>
    <w:rsid w:val="002D6344"/>
    <w:rsid w:val="002E0E96"/>
    <w:rsid w:val="002E151F"/>
    <w:rsid w:val="002E1CC9"/>
    <w:rsid w:val="002E1DA8"/>
    <w:rsid w:val="002E21CF"/>
    <w:rsid w:val="002E52F9"/>
    <w:rsid w:val="002E5885"/>
    <w:rsid w:val="002E5B7E"/>
    <w:rsid w:val="002E5E63"/>
    <w:rsid w:val="002E643A"/>
    <w:rsid w:val="002E7679"/>
    <w:rsid w:val="002F09D4"/>
    <w:rsid w:val="002F210D"/>
    <w:rsid w:val="002F33B5"/>
    <w:rsid w:val="002F5595"/>
    <w:rsid w:val="002F750E"/>
    <w:rsid w:val="002F76E1"/>
    <w:rsid w:val="0030208C"/>
    <w:rsid w:val="00302671"/>
    <w:rsid w:val="00302964"/>
    <w:rsid w:val="00303CD5"/>
    <w:rsid w:val="00304CBD"/>
    <w:rsid w:val="00310112"/>
    <w:rsid w:val="003103F3"/>
    <w:rsid w:val="00311590"/>
    <w:rsid w:val="00311FF9"/>
    <w:rsid w:val="00323A8C"/>
    <w:rsid w:val="00325489"/>
    <w:rsid w:val="00325B79"/>
    <w:rsid w:val="003267BA"/>
    <w:rsid w:val="00326827"/>
    <w:rsid w:val="00331248"/>
    <w:rsid w:val="00331B71"/>
    <w:rsid w:val="00331D48"/>
    <w:rsid w:val="00332285"/>
    <w:rsid w:val="00333A7D"/>
    <w:rsid w:val="00333C9E"/>
    <w:rsid w:val="00334D65"/>
    <w:rsid w:val="00336AAD"/>
    <w:rsid w:val="00340181"/>
    <w:rsid w:val="00340307"/>
    <w:rsid w:val="003405E9"/>
    <w:rsid w:val="00340AFA"/>
    <w:rsid w:val="00341F41"/>
    <w:rsid w:val="00342247"/>
    <w:rsid w:val="0034265C"/>
    <w:rsid w:val="00343DFC"/>
    <w:rsid w:val="00344F3C"/>
    <w:rsid w:val="003455FC"/>
    <w:rsid w:val="0034627C"/>
    <w:rsid w:val="003464BD"/>
    <w:rsid w:val="00347277"/>
    <w:rsid w:val="00350561"/>
    <w:rsid w:val="0035094E"/>
    <w:rsid w:val="00351368"/>
    <w:rsid w:val="0035342B"/>
    <w:rsid w:val="00354536"/>
    <w:rsid w:val="00354723"/>
    <w:rsid w:val="00354DD1"/>
    <w:rsid w:val="00355DE9"/>
    <w:rsid w:val="0035600E"/>
    <w:rsid w:val="00360926"/>
    <w:rsid w:val="00360C89"/>
    <w:rsid w:val="00361C4E"/>
    <w:rsid w:val="00362511"/>
    <w:rsid w:val="00362C7F"/>
    <w:rsid w:val="003637FA"/>
    <w:rsid w:val="00364EAC"/>
    <w:rsid w:val="00365229"/>
    <w:rsid w:val="00366232"/>
    <w:rsid w:val="003677F4"/>
    <w:rsid w:val="00367E92"/>
    <w:rsid w:val="00371704"/>
    <w:rsid w:val="00372633"/>
    <w:rsid w:val="00372EBA"/>
    <w:rsid w:val="00374040"/>
    <w:rsid w:val="003746E1"/>
    <w:rsid w:val="0037470C"/>
    <w:rsid w:val="00375605"/>
    <w:rsid w:val="00381CAC"/>
    <w:rsid w:val="00381DE1"/>
    <w:rsid w:val="00383E87"/>
    <w:rsid w:val="0038417E"/>
    <w:rsid w:val="003867CE"/>
    <w:rsid w:val="003879F4"/>
    <w:rsid w:val="00390AE0"/>
    <w:rsid w:val="00394CB2"/>
    <w:rsid w:val="00395343"/>
    <w:rsid w:val="003956D5"/>
    <w:rsid w:val="00396261"/>
    <w:rsid w:val="0039651C"/>
    <w:rsid w:val="003A04F0"/>
    <w:rsid w:val="003A1F78"/>
    <w:rsid w:val="003A1FE9"/>
    <w:rsid w:val="003A2516"/>
    <w:rsid w:val="003A2672"/>
    <w:rsid w:val="003A34F3"/>
    <w:rsid w:val="003A5491"/>
    <w:rsid w:val="003A5747"/>
    <w:rsid w:val="003A6969"/>
    <w:rsid w:val="003A7B42"/>
    <w:rsid w:val="003B27E7"/>
    <w:rsid w:val="003B6EB5"/>
    <w:rsid w:val="003C27A5"/>
    <w:rsid w:val="003C2BAB"/>
    <w:rsid w:val="003C5CF5"/>
    <w:rsid w:val="003C7202"/>
    <w:rsid w:val="003C7585"/>
    <w:rsid w:val="003D0343"/>
    <w:rsid w:val="003D0A20"/>
    <w:rsid w:val="003D11A0"/>
    <w:rsid w:val="003D3FF5"/>
    <w:rsid w:val="003D4EFF"/>
    <w:rsid w:val="003D7C5B"/>
    <w:rsid w:val="003E00B4"/>
    <w:rsid w:val="003E0A09"/>
    <w:rsid w:val="003E15D0"/>
    <w:rsid w:val="003E17F9"/>
    <w:rsid w:val="003E1C86"/>
    <w:rsid w:val="003E5424"/>
    <w:rsid w:val="003E5B0C"/>
    <w:rsid w:val="003E68F2"/>
    <w:rsid w:val="003E690F"/>
    <w:rsid w:val="003E7474"/>
    <w:rsid w:val="003E7509"/>
    <w:rsid w:val="003F161A"/>
    <w:rsid w:val="003F1636"/>
    <w:rsid w:val="003F1AC8"/>
    <w:rsid w:val="003F1FF6"/>
    <w:rsid w:val="003F2317"/>
    <w:rsid w:val="003F55F4"/>
    <w:rsid w:val="003F64A4"/>
    <w:rsid w:val="0040013E"/>
    <w:rsid w:val="00400265"/>
    <w:rsid w:val="0040210C"/>
    <w:rsid w:val="00404E9E"/>
    <w:rsid w:val="00405EDF"/>
    <w:rsid w:val="0040687B"/>
    <w:rsid w:val="00407F77"/>
    <w:rsid w:val="00410C5A"/>
    <w:rsid w:val="004126FB"/>
    <w:rsid w:val="00412AB5"/>
    <w:rsid w:val="00415351"/>
    <w:rsid w:val="00415C65"/>
    <w:rsid w:val="00416F7E"/>
    <w:rsid w:val="0042033E"/>
    <w:rsid w:val="00424E30"/>
    <w:rsid w:val="0042535B"/>
    <w:rsid w:val="00426456"/>
    <w:rsid w:val="004312E8"/>
    <w:rsid w:val="0043151B"/>
    <w:rsid w:val="00432E87"/>
    <w:rsid w:val="00432F14"/>
    <w:rsid w:val="004340C8"/>
    <w:rsid w:val="00434CFA"/>
    <w:rsid w:val="00436A93"/>
    <w:rsid w:val="00440B5B"/>
    <w:rsid w:val="00440C27"/>
    <w:rsid w:val="004418C1"/>
    <w:rsid w:val="004419E9"/>
    <w:rsid w:val="00441B87"/>
    <w:rsid w:val="004455D8"/>
    <w:rsid w:val="0044721C"/>
    <w:rsid w:val="0045183B"/>
    <w:rsid w:val="004525A1"/>
    <w:rsid w:val="00452F1A"/>
    <w:rsid w:val="004546D0"/>
    <w:rsid w:val="004554BD"/>
    <w:rsid w:val="00455E3D"/>
    <w:rsid w:val="00456628"/>
    <w:rsid w:val="00457A27"/>
    <w:rsid w:val="00457CF7"/>
    <w:rsid w:val="004614B9"/>
    <w:rsid w:val="00462972"/>
    <w:rsid w:val="004643AF"/>
    <w:rsid w:val="004666EA"/>
    <w:rsid w:val="00466728"/>
    <w:rsid w:val="00466F37"/>
    <w:rsid w:val="004671F0"/>
    <w:rsid w:val="00467922"/>
    <w:rsid w:val="00471AED"/>
    <w:rsid w:val="00472154"/>
    <w:rsid w:val="0047250B"/>
    <w:rsid w:val="00472898"/>
    <w:rsid w:val="00473E7D"/>
    <w:rsid w:val="00474B20"/>
    <w:rsid w:val="00481ED9"/>
    <w:rsid w:val="004820F8"/>
    <w:rsid w:val="00482F03"/>
    <w:rsid w:val="00483877"/>
    <w:rsid w:val="0048397F"/>
    <w:rsid w:val="00483CD7"/>
    <w:rsid w:val="00483E24"/>
    <w:rsid w:val="0048429E"/>
    <w:rsid w:val="004846A5"/>
    <w:rsid w:val="00485518"/>
    <w:rsid w:val="0049034F"/>
    <w:rsid w:val="00492AA3"/>
    <w:rsid w:val="00493DFD"/>
    <w:rsid w:val="004949B1"/>
    <w:rsid w:val="00494E32"/>
    <w:rsid w:val="0049656D"/>
    <w:rsid w:val="00497720"/>
    <w:rsid w:val="00497D2D"/>
    <w:rsid w:val="004A04CE"/>
    <w:rsid w:val="004A1FAD"/>
    <w:rsid w:val="004A2812"/>
    <w:rsid w:val="004A48F7"/>
    <w:rsid w:val="004A608C"/>
    <w:rsid w:val="004B4949"/>
    <w:rsid w:val="004B4E1C"/>
    <w:rsid w:val="004B4E72"/>
    <w:rsid w:val="004B5027"/>
    <w:rsid w:val="004B580F"/>
    <w:rsid w:val="004B5C6F"/>
    <w:rsid w:val="004B6441"/>
    <w:rsid w:val="004B785A"/>
    <w:rsid w:val="004C0174"/>
    <w:rsid w:val="004C0359"/>
    <w:rsid w:val="004C3569"/>
    <w:rsid w:val="004C3622"/>
    <w:rsid w:val="004C45E3"/>
    <w:rsid w:val="004C488B"/>
    <w:rsid w:val="004C5C84"/>
    <w:rsid w:val="004C5EDC"/>
    <w:rsid w:val="004D2A27"/>
    <w:rsid w:val="004D3A84"/>
    <w:rsid w:val="004D3ECC"/>
    <w:rsid w:val="004D53E9"/>
    <w:rsid w:val="004E08CC"/>
    <w:rsid w:val="004E2024"/>
    <w:rsid w:val="004E3221"/>
    <w:rsid w:val="004E46E2"/>
    <w:rsid w:val="004E6B38"/>
    <w:rsid w:val="004E702B"/>
    <w:rsid w:val="004E7D9C"/>
    <w:rsid w:val="004F1A9E"/>
    <w:rsid w:val="004F2142"/>
    <w:rsid w:val="004F21A0"/>
    <w:rsid w:val="004F37E9"/>
    <w:rsid w:val="004F5FBA"/>
    <w:rsid w:val="004F607B"/>
    <w:rsid w:val="004F6ECA"/>
    <w:rsid w:val="004F74E4"/>
    <w:rsid w:val="00500B9E"/>
    <w:rsid w:val="0050548F"/>
    <w:rsid w:val="005059ED"/>
    <w:rsid w:val="00505B54"/>
    <w:rsid w:val="00505BAE"/>
    <w:rsid w:val="00506312"/>
    <w:rsid w:val="005074B1"/>
    <w:rsid w:val="00507C7A"/>
    <w:rsid w:val="00511F47"/>
    <w:rsid w:val="00513872"/>
    <w:rsid w:val="00514BAE"/>
    <w:rsid w:val="00514EE0"/>
    <w:rsid w:val="0051684C"/>
    <w:rsid w:val="00523B88"/>
    <w:rsid w:val="00525393"/>
    <w:rsid w:val="005311BE"/>
    <w:rsid w:val="00533BB1"/>
    <w:rsid w:val="00534381"/>
    <w:rsid w:val="00534546"/>
    <w:rsid w:val="005348E6"/>
    <w:rsid w:val="00535474"/>
    <w:rsid w:val="00535A5E"/>
    <w:rsid w:val="00535F37"/>
    <w:rsid w:val="0053677C"/>
    <w:rsid w:val="00542063"/>
    <w:rsid w:val="00542A42"/>
    <w:rsid w:val="005440C6"/>
    <w:rsid w:val="005448A6"/>
    <w:rsid w:val="00545B0C"/>
    <w:rsid w:val="005469CE"/>
    <w:rsid w:val="00550173"/>
    <w:rsid w:val="00550954"/>
    <w:rsid w:val="00552A7E"/>
    <w:rsid w:val="00554A0F"/>
    <w:rsid w:val="00555134"/>
    <w:rsid w:val="00555629"/>
    <w:rsid w:val="00556A6A"/>
    <w:rsid w:val="00556C13"/>
    <w:rsid w:val="005577A5"/>
    <w:rsid w:val="005578EE"/>
    <w:rsid w:val="0056635C"/>
    <w:rsid w:val="0056743D"/>
    <w:rsid w:val="00567A2F"/>
    <w:rsid w:val="005734C0"/>
    <w:rsid w:val="00573922"/>
    <w:rsid w:val="005744B1"/>
    <w:rsid w:val="00575090"/>
    <w:rsid w:val="005806C9"/>
    <w:rsid w:val="00580B42"/>
    <w:rsid w:val="00582ACA"/>
    <w:rsid w:val="00582D3D"/>
    <w:rsid w:val="005833D7"/>
    <w:rsid w:val="00583B98"/>
    <w:rsid w:val="00583CF6"/>
    <w:rsid w:val="005849E4"/>
    <w:rsid w:val="00584D53"/>
    <w:rsid w:val="00585338"/>
    <w:rsid w:val="00587CCC"/>
    <w:rsid w:val="00590175"/>
    <w:rsid w:val="005908A4"/>
    <w:rsid w:val="00590C8E"/>
    <w:rsid w:val="00591BCA"/>
    <w:rsid w:val="00592028"/>
    <w:rsid w:val="005920F2"/>
    <w:rsid w:val="00593385"/>
    <w:rsid w:val="00594428"/>
    <w:rsid w:val="00596DF9"/>
    <w:rsid w:val="00597F9B"/>
    <w:rsid w:val="005A017F"/>
    <w:rsid w:val="005A05B8"/>
    <w:rsid w:val="005A0635"/>
    <w:rsid w:val="005A0954"/>
    <w:rsid w:val="005A55AC"/>
    <w:rsid w:val="005A612A"/>
    <w:rsid w:val="005A7FF8"/>
    <w:rsid w:val="005B0A9A"/>
    <w:rsid w:val="005B25FA"/>
    <w:rsid w:val="005B3ACF"/>
    <w:rsid w:val="005B4860"/>
    <w:rsid w:val="005B540E"/>
    <w:rsid w:val="005B593C"/>
    <w:rsid w:val="005B7386"/>
    <w:rsid w:val="005B7CBC"/>
    <w:rsid w:val="005C0554"/>
    <w:rsid w:val="005C26CB"/>
    <w:rsid w:val="005C299B"/>
    <w:rsid w:val="005C6920"/>
    <w:rsid w:val="005D01DB"/>
    <w:rsid w:val="005D0722"/>
    <w:rsid w:val="005D1D61"/>
    <w:rsid w:val="005D22A7"/>
    <w:rsid w:val="005D4B8A"/>
    <w:rsid w:val="005D5228"/>
    <w:rsid w:val="005D6DA4"/>
    <w:rsid w:val="005E325B"/>
    <w:rsid w:val="005E34E8"/>
    <w:rsid w:val="005E724F"/>
    <w:rsid w:val="005F0322"/>
    <w:rsid w:val="005F38BB"/>
    <w:rsid w:val="005F4164"/>
    <w:rsid w:val="005F41BD"/>
    <w:rsid w:val="005F4BE1"/>
    <w:rsid w:val="006020C9"/>
    <w:rsid w:val="00602CCD"/>
    <w:rsid w:val="00602F73"/>
    <w:rsid w:val="00602F9D"/>
    <w:rsid w:val="00603E0D"/>
    <w:rsid w:val="00604DBF"/>
    <w:rsid w:val="0060734F"/>
    <w:rsid w:val="00607486"/>
    <w:rsid w:val="00607B97"/>
    <w:rsid w:val="00610106"/>
    <w:rsid w:val="00612DBE"/>
    <w:rsid w:val="00614BD4"/>
    <w:rsid w:val="00615A9C"/>
    <w:rsid w:val="00615D36"/>
    <w:rsid w:val="006203CC"/>
    <w:rsid w:val="006213BE"/>
    <w:rsid w:val="0062142D"/>
    <w:rsid w:val="00621A03"/>
    <w:rsid w:val="00621FD5"/>
    <w:rsid w:val="00625C7E"/>
    <w:rsid w:val="0062777E"/>
    <w:rsid w:val="00627BB3"/>
    <w:rsid w:val="00630635"/>
    <w:rsid w:val="006316A8"/>
    <w:rsid w:val="0063392B"/>
    <w:rsid w:val="00635ECD"/>
    <w:rsid w:val="00636ED8"/>
    <w:rsid w:val="00637ADF"/>
    <w:rsid w:val="0064033B"/>
    <w:rsid w:val="006412D7"/>
    <w:rsid w:val="006418DE"/>
    <w:rsid w:val="00641CF8"/>
    <w:rsid w:val="0064251C"/>
    <w:rsid w:val="00642525"/>
    <w:rsid w:val="00643491"/>
    <w:rsid w:val="00643A6B"/>
    <w:rsid w:val="006455AF"/>
    <w:rsid w:val="0064572F"/>
    <w:rsid w:val="00645989"/>
    <w:rsid w:val="00645A59"/>
    <w:rsid w:val="00646E15"/>
    <w:rsid w:val="006471A4"/>
    <w:rsid w:val="00652EC2"/>
    <w:rsid w:val="00656226"/>
    <w:rsid w:val="00657BE2"/>
    <w:rsid w:val="00660F0E"/>
    <w:rsid w:val="006638C2"/>
    <w:rsid w:val="00664B07"/>
    <w:rsid w:val="0066590D"/>
    <w:rsid w:val="0066677C"/>
    <w:rsid w:val="00667D86"/>
    <w:rsid w:val="00670A5F"/>
    <w:rsid w:val="00671E8A"/>
    <w:rsid w:val="006728BA"/>
    <w:rsid w:val="0067624D"/>
    <w:rsid w:val="006766C9"/>
    <w:rsid w:val="00677B95"/>
    <w:rsid w:val="00682E13"/>
    <w:rsid w:val="00684F33"/>
    <w:rsid w:val="00685850"/>
    <w:rsid w:val="006863FA"/>
    <w:rsid w:val="006877E2"/>
    <w:rsid w:val="00691256"/>
    <w:rsid w:val="00691266"/>
    <w:rsid w:val="00691BDD"/>
    <w:rsid w:val="00692345"/>
    <w:rsid w:val="00696941"/>
    <w:rsid w:val="006A0827"/>
    <w:rsid w:val="006A1AD9"/>
    <w:rsid w:val="006A1F6D"/>
    <w:rsid w:val="006A298A"/>
    <w:rsid w:val="006A2DD3"/>
    <w:rsid w:val="006A4877"/>
    <w:rsid w:val="006A53ED"/>
    <w:rsid w:val="006A739E"/>
    <w:rsid w:val="006A7643"/>
    <w:rsid w:val="006B0593"/>
    <w:rsid w:val="006B05E9"/>
    <w:rsid w:val="006B0723"/>
    <w:rsid w:val="006B0C9A"/>
    <w:rsid w:val="006B15F3"/>
    <w:rsid w:val="006B1B7A"/>
    <w:rsid w:val="006B1C2C"/>
    <w:rsid w:val="006B30D8"/>
    <w:rsid w:val="006B3D13"/>
    <w:rsid w:val="006B565B"/>
    <w:rsid w:val="006B6AFE"/>
    <w:rsid w:val="006C4274"/>
    <w:rsid w:val="006C4D85"/>
    <w:rsid w:val="006C7838"/>
    <w:rsid w:val="006D0595"/>
    <w:rsid w:val="006D1AE2"/>
    <w:rsid w:val="006D24AF"/>
    <w:rsid w:val="006D2A5C"/>
    <w:rsid w:val="006D4DDB"/>
    <w:rsid w:val="006E625A"/>
    <w:rsid w:val="006E70B4"/>
    <w:rsid w:val="006E7B98"/>
    <w:rsid w:val="006F0846"/>
    <w:rsid w:val="006F18E5"/>
    <w:rsid w:val="006F22A9"/>
    <w:rsid w:val="006F4446"/>
    <w:rsid w:val="0070201D"/>
    <w:rsid w:val="0070237D"/>
    <w:rsid w:val="00704C57"/>
    <w:rsid w:val="00704C66"/>
    <w:rsid w:val="0070690E"/>
    <w:rsid w:val="0070731D"/>
    <w:rsid w:val="0071129E"/>
    <w:rsid w:val="00712968"/>
    <w:rsid w:val="00713568"/>
    <w:rsid w:val="00714E1B"/>
    <w:rsid w:val="007152B3"/>
    <w:rsid w:val="0071553C"/>
    <w:rsid w:val="00723BE1"/>
    <w:rsid w:val="00723E26"/>
    <w:rsid w:val="00723FCB"/>
    <w:rsid w:val="00726218"/>
    <w:rsid w:val="007274DE"/>
    <w:rsid w:val="00732EF0"/>
    <w:rsid w:val="00733101"/>
    <w:rsid w:val="00733A4F"/>
    <w:rsid w:val="007348EC"/>
    <w:rsid w:val="00734994"/>
    <w:rsid w:val="0073628E"/>
    <w:rsid w:val="00741126"/>
    <w:rsid w:val="007416BB"/>
    <w:rsid w:val="00742984"/>
    <w:rsid w:val="007434EA"/>
    <w:rsid w:val="00743DDF"/>
    <w:rsid w:val="00744ABC"/>
    <w:rsid w:val="00745914"/>
    <w:rsid w:val="00747EB2"/>
    <w:rsid w:val="00751636"/>
    <w:rsid w:val="00751D83"/>
    <w:rsid w:val="00754B33"/>
    <w:rsid w:val="00755F6E"/>
    <w:rsid w:val="0075704D"/>
    <w:rsid w:val="007603E0"/>
    <w:rsid w:val="0076055C"/>
    <w:rsid w:val="00761BC5"/>
    <w:rsid w:val="00762744"/>
    <w:rsid w:val="007634D7"/>
    <w:rsid w:val="00766014"/>
    <w:rsid w:val="007678B1"/>
    <w:rsid w:val="00770BEB"/>
    <w:rsid w:val="00771A94"/>
    <w:rsid w:val="007725E6"/>
    <w:rsid w:val="0077349C"/>
    <w:rsid w:val="00773F0B"/>
    <w:rsid w:val="0077563A"/>
    <w:rsid w:val="00776573"/>
    <w:rsid w:val="00776E84"/>
    <w:rsid w:val="00777D7A"/>
    <w:rsid w:val="007806B6"/>
    <w:rsid w:val="007815B0"/>
    <w:rsid w:val="007829BC"/>
    <w:rsid w:val="007830F9"/>
    <w:rsid w:val="00783DC6"/>
    <w:rsid w:val="007841E7"/>
    <w:rsid w:val="007856DD"/>
    <w:rsid w:val="00785C64"/>
    <w:rsid w:val="00790020"/>
    <w:rsid w:val="0079133C"/>
    <w:rsid w:val="00791495"/>
    <w:rsid w:val="007917DA"/>
    <w:rsid w:val="007929DF"/>
    <w:rsid w:val="00793775"/>
    <w:rsid w:val="00794A56"/>
    <w:rsid w:val="00795324"/>
    <w:rsid w:val="00795816"/>
    <w:rsid w:val="007961DA"/>
    <w:rsid w:val="0079652E"/>
    <w:rsid w:val="00796593"/>
    <w:rsid w:val="00796E11"/>
    <w:rsid w:val="00796F6B"/>
    <w:rsid w:val="0079721E"/>
    <w:rsid w:val="007A0E93"/>
    <w:rsid w:val="007A1A8D"/>
    <w:rsid w:val="007A1AB1"/>
    <w:rsid w:val="007A353C"/>
    <w:rsid w:val="007A393A"/>
    <w:rsid w:val="007A3DCE"/>
    <w:rsid w:val="007A4C89"/>
    <w:rsid w:val="007A4EBA"/>
    <w:rsid w:val="007A7A9B"/>
    <w:rsid w:val="007B17A2"/>
    <w:rsid w:val="007B1D2C"/>
    <w:rsid w:val="007B37F4"/>
    <w:rsid w:val="007B5AF6"/>
    <w:rsid w:val="007B5FCE"/>
    <w:rsid w:val="007B6B14"/>
    <w:rsid w:val="007C0845"/>
    <w:rsid w:val="007C22B1"/>
    <w:rsid w:val="007C321C"/>
    <w:rsid w:val="007C3F72"/>
    <w:rsid w:val="007D26A4"/>
    <w:rsid w:val="007D2861"/>
    <w:rsid w:val="007D522E"/>
    <w:rsid w:val="007D6A2E"/>
    <w:rsid w:val="007D6EC5"/>
    <w:rsid w:val="007D6F9E"/>
    <w:rsid w:val="007E117C"/>
    <w:rsid w:val="007E1DF5"/>
    <w:rsid w:val="007E312C"/>
    <w:rsid w:val="007E38B3"/>
    <w:rsid w:val="007E776E"/>
    <w:rsid w:val="007F02E7"/>
    <w:rsid w:val="007F16B6"/>
    <w:rsid w:val="007F17B3"/>
    <w:rsid w:val="007F5760"/>
    <w:rsid w:val="007F6363"/>
    <w:rsid w:val="007F6700"/>
    <w:rsid w:val="007F688B"/>
    <w:rsid w:val="007F7DB7"/>
    <w:rsid w:val="00801192"/>
    <w:rsid w:val="00804B72"/>
    <w:rsid w:val="0080684C"/>
    <w:rsid w:val="00811752"/>
    <w:rsid w:val="00812ACE"/>
    <w:rsid w:val="008133B5"/>
    <w:rsid w:val="00814173"/>
    <w:rsid w:val="00814F4A"/>
    <w:rsid w:val="008155C4"/>
    <w:rsid w:val="00816E2A"/>
    <w:rsid w:val="00820B14"/>
    <w:rsid w:val="00821B18"/>
    <w:rsid w:val="0082271B"/>
    <w:rsid w:val="0082486B"/>
    <w:rsid w:val="00825190"/>
    <w:rsid w:val="0082664F"/>
    <w:rsid w:val="00826793"/>
    <w:rsid w:val="0083480E"/>
    <w:rsid w:val="00834899"/>
    <w:rsid w:val="008358EB"/>
    <w:rsid w:val="0083766A"/>
    <w:rsid w:val="0084077C"/>
    <w:rsid w:val="00841A24"/>
    <w:rsid w:val="00842023"/>
    <w:rsid w:val="0084326F"/>
    <w:rsid w:val="008442B4"/>
    <w:rsid w:val="00844BE6"/>
    <w:rsid w:val="00845AB0"/>
    <w:rsid w:val="008460C6"/>
    <w:rsid w:val="00846431"/>
    <w:rsid w:val="00846878"/>
    <w:rsid w:val="00847207"/>
    <w:rsid w:val="00852186"/>
    <w:rsid w:val="0085242F"/>
    <w:rsid w:val="00852716"/>
    <w:rsid w:val="00854E15"/>
    <w:rsid w:val="00855344"/>
    <w:rsid w:val="00856205"/>
    <w:rsid w:val="008576FE"/>
    <w:rsid w:val="00862777"/>
    <w:rsid w:val="00862F8C"/>
    <w:rsid w:val="008636E3"/>
    <w:rsid w:val="00863FD5"/>
    <w:rsid w:val="00864D78"/>
    <w:rsid w:val="00865CDE"/>
    <w:rsid w:val="00866675"/>
    <w:rsid w:val="00867565"/>
    <w:rsid w:val="00867DDD"/>
    <w:rsid w:val="00870F07"/>
    <w:rsid w:val="00873EAF"/>
    <w:rsid w:val="00874067"/>
    <w:rsid w:val="00876044"/>
    <w:rsid w:val="00876803"/>
    <w:rsid w:val="00881166"/>
    <w:rsid w:val="0088379D"/>
    <w:rsid w:val="0088596A"/>
    <w:rsid w:val="00887057"/>
    <w:rsid w:val="008876BE"/>
    <w:rsid w:val="00890A84"/>
    <w:rsid w:val="008919D9"/>
    <w:rsid w:val="00892216"/>
    <w:rsid w:val="00892AFC"/>
    <w:rsid w:val="008938E5"/>
    <w:rsid w:val="00893B4A"/>
    <w:rsid w:val="008948B6"/>
    <w:rsid w:val="00894ACE"/>
    <w:rsid w:val="008975E8"/>
    <w:rsid w:val="00897EF6"/>
    <w:rsid w:val="008A1FFA"/>
    <w:rsid w:val="008A38CB"/>
    <w:rsid w:val="008A646C"/>
    <w:rsid w:val="008A7375"/>
    <w:rsid w:val="008B0081"/>
    <w:rsid w:val="008B0714"/>
    <w:rsid w:val="008B2124"/>
    <w:rsid w:val="008B33F6"/>
    <w:rsid w:val="008B449C"/>
    <w:rsid w:val="008B59A7"/>
    <w:rsid w:val="008B6A0A"/>
    <w:rsid w:val="008C00CA"/>
    <w:rsid w:val="008C1047"/>
    <w:rsid w:val="008C12B8"/>
    <w:rsid w:val="008C35CA"/>
    <w:rsid w:val="008C39F7"/>
    <w:rsid w:val="008C4223"/>
    <w:rsid w:val="008C4758"/>
    <w:rsid w:val="008D15E4"/>
    <w:rsid w:val="008D273E"/>
    <w:rsid w:val="008D6101"/>
    <w:rsid w:val="008D68ED"/>
    <w:rsid w:val="008E032E"/>
    <w:rsid w:val="008E06F9"/>
    <w:rsid w:val="008E2871"/>
    <w:rsid w:val="008E2DF1"/>
    <w:rsid w:val="008E345E"/>
    <w:rsid w:val="008E3C7E"/>
    <w:rsid w:val="008E3C95"/>
    <w:rsid w:val="008E4458"/>
    <w:rsid w:val="008F0897"/>
    <w:rsid w:val="008F1917"/>
    <w:rsid w:val="008F1990"/>
    <w:rsid w:val="008F1E5A"/>
    <w:rsid w:val="008F2009"/>
    <w:rsid w:val="008F2F7F"/>
    <w:rsid w:val="008F4C20"/>
    <w:rsid w:val="008F5984"/>
    <w:rsid w:val="008F73B4"/>
    <w:rsid w:val="008F73DB"/>
    <w:rsid w:val="008F7526"/>
    <w:rsid w:val="008F7B9C"/>
    <w:rsid w:val="009001A2"/>
    <w:rsid w:val="00901049"/>
    <w:rsid w:val="00904245"/>
    <w:rsid w:val="00904407"/>
    <w:rsid w:val="00904461"/>
    <w:rsid w:val="00904640"/>
    <w:rsid w:val="00905721"/>
    <w:rsid w:val="009078E1"/>
    <w:rsid w:val="0091086E"/>
    <w:rsid w:val="00912949"/>
    <w:rsid w:val="00913048"/>
    <w:rsid w:val="0091317E"/>
    <w:rsid w:val="00913B82"/>
    <w:rsid w:val="009154C6"/>
    <w:rsid w:val="0091652C"/>
    <w:rsid w:val="00916F24"/>
    <w:rsid w:val="00920059"/>
    <w:rsid w:val="009209D3"/>
    <w:rsid w:val="00920AFF"/>
    <w:rsid w:val="0092104F"/>
    <w:rsid w:val="00921BE3"/>
    <w:rsid w:val="00923C71"/>
    <w:rsid w:val="009242A1"/>
    <w:rsid w:val="0092523B"/>
    <w:rsid w:val="00926399"/>
    <w:rsid w:val="00930AE4"/>
    <w:rsid w:val="00930F32"/>
    <w:rsid w:val="00931AF6"/>
    <w:rsid w:val="00933DF9"/>
    <w:rsid w:val="00940A1A"/>
    <w:rsid w:val="009417A8"/>
    <w:rsid w:val="0094205A"/>
    <w:rsid w:val="009471DC"/>
    <w:rsid w:val="00947230"/>
    <w:rsid w:val="00950BEC"/>
    <w:rsid w:val="00952BD4"/>
    <w:rsid w:val="00953C6A"/>
    <w:rsid w:val="009544FD"/>
    <w:rsid w:val="0095510C"/>
    <w:rsid w:val="00955ED2"/>
    <w:rsid w:val="009613BF"/>
    <w:rsid w:val="00963D42"/>
    <w:rsid w:val="00963F68"/>
    <w:rsid w:val="0096787D"/>
    <w:rsid w:val="00971E9F"/>
    <w:rsid w:val="00973829"/>
    <w:rsid w:val="00973C4D"/>
    <w:rsid w:val="00976A6F"/>
    <w:rsid w:val="00977324"/>
    <w:rsid w:val="009835B8"/>
    <w:rsid w:val="0098546F"/>
    <w:rsid w:val="0098743A"/>
    <w:rsid w:val="00991896"/>
    <w:rsid w:val="009919C0"/>
    <w:rsid w:val="009924A7"/>
    <w:rsid w:val="009934DC"/>
    <w:rsid w:val="009937BE"/>
    <w:rsid w:val="00994311"/>
    <w:rsid w:val="00995CC8"/>
    <w:rsid w:val="0099665D"/>
    <w:rsid w:val="009972FE"/>
    <w:rsid w:val="00997EEC"/>
    <w:rsid w:val="009A0E14"/>
    <w:rsid w:val="009A109B"/>
    <w:rsid w:val="009A16C7"/>
    <w:rsid w:val="009A1C28"/>
    <w:rsid w:val="009A26F6"/>
    <w:rsid w:val="009A4554"/>
    <w:rsid w:val="009A5CBD"/>
    <w:rsid w:val="009A6E06"/>
    <w:rsid w:val="009A72A8"/>
    <w:rsid w:val="009B0949"/>
    <w:rsid w:val="009B0D77"/>
    <w:rsid w:val="009B1007"/>
    <w:rsid w:val="009B28C5"/>
    <w:rsid w:val="009B31F5"/>
    <w:rsid w:val="009B59CF"/>
    <w:rsid w:val="009B6449"/>
    <w:rsid w:val="009B6500"/>
    <w:rsid w:val="009B6528"/>
    <w:rsid w:val="009B66EE"/>
    <w:rsid w:val="009B6FA4"/>
    <w:rsid w:val="009B7BC7"/>
    <w:rsid w:val="009C0DF4"/>
    <w:rsid w:val="009C0E3D"/>
    <w:rsid w:val="009C1912"/>
    <w:rsid w:val="009C1B44"/>
    <w:rsid w:val="009C1C5F"/>
    <w:rsid w:val="009C2127"/>
    <w:rsid w:val="009C22FA"/>
    <w:rsid w:val="009C28BF"/>
    <w:rsid w:val="009C31E3"/>
    <w:rsid w:val="009C39DF"/>
    <w:rsid w:val="009C5A73"/>
    <w:rsid w:val="009D040F"/>
    <w:rsid w:val="009D1409"/>
    <w:rsid w:val="009D21FC"/>
    <w:rsid w:val="009D2C50"/>
    <w:rsid w:val="009D494D"/>
    <w:rsid w:val="009D53B1"/>
    <w:rsid w:val="009D73FF"/>
    <w:rsid w:val="009E07C3"/>
    <w:rsid w:val="009E17D5"/>
    <w:rsid w:val="009E1E95"/>
    <w:rsid w:val="009E2D1B"/>
    <w:rsid w:val="009E37D1"/>
    <w:rsid w:val="009E3EF3"/>
    <w:rsid w:val="009E4090"/>
    <w:rsid w:val="009E426A"/>
    <w:rsid w:val="009E4716"/>
    <w:rsid w:val="009E5608"/>
    <w:rsid w:val="009E74D4"/>
    <w:rsid w:val="009F11F5"/>
    <w:rsid w:val="009F36CE"/>
    <w:rsid w:val="009F4975"/>
    <w:rsid w:val="009F5CCA"/>
    <w:rsid w:val="009F753A"/>
    <w:rsid w:val="00A0058E"/>
    <w:rsid w:val="00A008BB"/>
    <w:rsid w:val="00A010D9"/>
    <w:rsid w:val="00A01781"/>
    <w:rsid w:val="00A029B8"/>
    <w:rsid w:val="00A04AFC"/>
    <w:rsid w:val="00A1007D"/>
    <w:rsid w:val="00A105CA"/>
    <w:rsid w:val="00A10DCD"/>
    <w:rsid w:val="00A11323"/>
    <w:rsid w:val="00A11DF8"/>
    <w:rsid w:val="00A12A71"/>
    <w:rsid w:val="00A150E7"/>
    <w:rsid w:val="00A1590C"/>
    <w:rsid w:val="00A16626"/>
    <w:rsid w:val="00A23812"/>
    <w:rsid w:val="00A23FF4"/>
    <w:rsid w:val="00A241F1"/>
    <w:rsid w:val="00A266CE"/>
    <w:rsid w:val="00A30C45"/>
    <w:rsid w:val="00A315D2"/>
    <w:rsid w:val="00A31751"/>
    <w:rsid w:val="00A31A01"/>
    <w:rsid w:val="00A32237"/>
    <w:rsid w:val="00A336C5"/>
    <w:rsid w:val="00A337ED"/>
    <w:rsid w:val="00A33F38"/>
    <w:rsid w:val="00A34221"/>
    <w:rsid w:val="00A34D91"/>
    <w:rsid w:val="00A357A4"/>
    <w:rsid w:val="00A407EA"/>
    <w:rsid w:val="00A408C1"/>
    <w:rsid w:val="00A40E55"/>
    <w:rsid w:val="00A4152D"/>
    <w:rsid w:val="00A41965"/>
    <w:rsid w:val="00A4518B"/>
    <w:rsid w:val="00A508FC"/>
    <w:rsid w:val="00A50ACA"/>
    <w:rsid w:val="00A50CA9"/>
    <w:rsid w:val="00A54A58"/>
    <w:rsid w:val="00A569E4"/>
    <w:rsid w:val="00A60077"/>
    <w:rsid w:val="00A60087"/>
    <w:rsid w:val="00A61A7D"/>
    <w:rsid w:val="00A62AB5"/>
    <w:rsid w:val="00A63BBC"/>
    <w:rsid w:val="00A65B24"/>
    <w:rsid w:val="00A66D19"/>
    <w:rsid w:val="00A704A0"/>
    <w:rsid w:val="00A70510"/>
    <w:rsid w:val="00A705B3"/>
    <w:rsid w:val="00A71771"/>
    <w:rsid w:val="00A72E09"/>
    <w:rsid w:val="00A746EB"/>
    <w:rsid w:val="00A747AD"/>
    <w:rsid w:val="00A767CB"/>
    <w:rsid w:val="00A76EBB"/>
    <w:rsid w:val="00A770D3"/>
    <w:rsid w:val="00A77ED1"/>
    <w:rsid w:val="00A82EDC"/>
    <w:rsid w:val="00A82FF9"/>
    <w:rsid w:val="00A8402C"/>
    <w:rsid w:val="00A845DF"/>
    <w:rsid w:val="00A860CB"/>
    <w:rsid w:val="00A8724E"/>
    <w:rsid w:val="00A87FE9"/>
    <w:rsid w:val="00A90224"/>
    <w:rsid w:val="00A90490"/>
    <w:rsid w:val="00A91240"/>
    <w:rsid w:val="00A95236"/>
    <w:rsid w:val="00A97A29"/>
    <w:rsid w:val="00AA1B29"/>
    <w:rsid w:val="00AA1C73"/>
    <w:rsid w:val="00AA205C"/>
    <w:rsid w:val="00AA31BE"/>
    <w:rsid w:val="00AA736A"/>
    <w:rsid w:val="00AA75E5"/>
    <w:rsid w:val="00AB29B0"/>
    <w:rsid w:val="00AB29C5"/>
    <w:rsid w:val="00AB2A99"/>
    <w:rsid w:val="00AB486A"/>
    <w:rsid w:val="00AB5191"/>
    <w:rsid w:val="00AB619A"/>
    <w:rsid w:val="00AB69BC"/>
    <w:rsid w:val="00AB7A1E"/>
    <w:rsid w:val="00AC1A6F"/>
    <w:rsid w:val="00AC3DFC"/>
    <w:rsid w:val="00AC650E"/>
    <w:rsid w:val="00AD018E"/>
    <w:rsid w:val="00AD1183"/>
    <w:rsid w:val="00AD1E34"/>
    <w:rsid w:val="00AD4971"/>
    <w:rsid w:val="00AD5064"/>
    <w:rsid w:val="00AD5071"/>
    <w:rsid w:val="00AD59A3"/>
    <w:rsid w:val="00AD5B8E"/>
    <w:rsid w:val="00AE04E2"/>
    <w:rsid w:val="00AE1CEF"/>
    <w:rsid w:val="00AE22DC"/>
    <w:rsid w:val="00AE2E94"/>
    <w:rsid w:val="00AE59F9"/>
    <w:rsid w:val="00AE7221"/>
    <w:rsid w:val="00AE74D8"/>
    <w:rsid w:val="00AE7C64"/>
    <w:rsid w:val="00AF14D1"/>
    <w:rsid w:val="00AF14DF"/>
    <w:rsid w:val="00AF1FCB"/>
    <w:rsid w:val="00AF2C61"/>
    <w:rsid w:val="00AF34D8"/>
    <w:rsid w:val="00AF3F6E"/>
    <w:rsid w:val="00AF4479"/>
    <w:rsid w:val="00AF4E1B"/>
    <w:rsid w:val="00AF4E6A"/>
    <w:rsid w:val="00AF5A81"/>
    <w:rsid w:val="00B0088A"/>
    <w:rsid w:val="00B01739"/>
    <w:rsid w:val="00B02975"/>
    <w:rsid w:val="00B02D41"/>
    <w:rsid w:val="00B05A86"/>
    <w:rsid w:val="00B074FE"/>
    <w:rsid w:val="00B11F18"/>
    <w:rsid w:val="00B13021"/>
    <w:rsid w:val="00B14D0E"/>
    <w:rsid w:val="00B14D62"/>
    <w:rsid w:val="00B1584E"/>
    <w:rsid w:val="00B16FA8"/>
    <w:rsid w:val="00B20782"/>
    <w:rsid w:val="00B20CB3"/>
    <w:rsid w:val="00B224D8"/>
    <w:rsid w:val="00B23680"/>
    <w:rsid w:val="00B236A5"/>
    <w:rsid w:val="00B25774"/>
    <w:rsid w:val="00B26C4C"/>
    <w:rsid w:val="00B26CE9"/>
    <w:rsid w:val="00B270B6"/>
    <w:rsid w:val="00B302C2"/>
    <w:rsid w:val="00B30EE2"/>
    <w:rsid w:val="00B31161"/>
    <w:rsid w:val="00B311D4"/>
    <w:rsid w:val="00B31672"/>
    <w:rsid w:val="00B331D4"/>
    <w:rsid w:val="00B3328D"/>
    <w:rsid w:val="00B34B44"/>
    <w:rsid w:val="00B36EA0"/>
    <w:rsid w:val="00B37C19"/>
    <w:rsid w:val="00B408CA"/>
    <w:rsid w:val="00B423F6"/>
    <w:rsid w:val="00B43BDA"/>
    <w:rsid w:val="00B45562"/>
    <w:rsid w:val="00B4651B"/>
    <w:rsid w:val="00B46ED1"/>
    <w:rsid w:val="00B472D0"/>
    <w:rsid w:val="00B51264"/>
    <w:rsid w:val="00B5136A"/>
    <w:rsid w:val="00B53221"/>
    <w:rsid w:val="00B536A9"/>
    <w:rsid w:val="00B5380E"/>
    <w:rsid w:val="00B548DD"/>
    <w:rsid w:val="00B55DCC"/>
    <w:rsid w:val="00B56D8F"/>
    <w:rsid w:val="00B576F4"/>
    <w:rsid w:val="00B61690"/>
    <w:rsid w:val="00B63102"/>
    <w:rsid w:val="00B634F5"/>
    <w:rsid w:val="00B64296"/>
    <w:rsid w:val="00B652B6"/>
    <w:rsid w:val="00B66762"/>
    <w:rsid w:val="00B6682A"/>
    <w:rsid w:val="00B7216F"/>
    <w:rsid w:val="00B72C21"/>
    <w:rsid w:val="00B73C7D"/>
    <w:rsid w:val="00B745DD"/>
    <w:rsid w:val="00B75AF5"/>
    <w:rsid w:val="00B75EBB"/>
    <w:rsid w:val="00B76196"/>
    <w:rsid w:val="00B76937"/>
    <w:rsid w:val="00B777B7"/>
    <w:rsid w:val="00B80513"/>
    <w:rsid w:val="00B80CF3"/>
    <w:rsid w:val="00B82B65"/>
    <w:rsid w:val="00B82EC2"/>
    <w:rsid w:val="00B837DA"/>
    <w:rsid w:val="00B8438A"/>
    <w:rsid w:val="00B8594B"/>
    <w:rsid w:val="00B862AC"/>
    <w:rsid w:val="00B868D9"/>
    <w:rsid w:val="00B86EBD"/>
    <w:rsid w:val="00B87477"/>
    <w:rsid w:val="00B90797"/>
    <w:rsid w:val="00B90AE5"/>
    <w:rsid w:val="00B90F6E"/>
    <w:rsid w:val="00B91B46"/>
    <w:rsid w:val="00B92B88"/>
    <w:rsid w:val="00B93752"/>
    <w:rsid w:val="00B97A81"/>
    <w:rsid w:val="00B97E28"/>
    <w:rsid w:val="00BA04BD"/>
    <w:rsid w:val="00BA08FC"/>
    <w:rsid w:val="00BA12C5"/>
    <w:rsid w:val="00BA18EE"/>
    <w:rsid w:val="00BA2D5D"/>
    <w:rsid w:val="00BA3E5F"/>
    <w:rsid w:val="00BA5059"/>
    <w:rsid w:val="00BA543F"/>
    <w:rsid w:val="00BA5B3D"/>
    <w:rsid w:val="00BA61A1"/>
    <w:rsid w:val="00BA6598"/>
    <w:rsid w:val="00BA6A16"/>
    <w:rsid w:val="00BA6B2B"/>
    <w:rsid w:val="00BA77EE"/>
    <w:rsid w:val="00BB00E2"/>
    <w:rsid w:val="00BB036A"/>
    <w:rsid w:val="00BB04FA"/>
    <w:rsid w:val="00BB0D60"/>
    <w:rsid w:val="00BB1084"/>
    <w:rsid w:val="00BB1C9D"/>
    <w:rsid w:val="00BB3C2C"/>
    <w:rsid w:val="00BB5351"/>
    <w:rsid w:val="00BB5781"/>
    <w:rsid w:val="00BC0553"/>
    <w:rsid w:val="00BC1180"/>
    <w:rsid w:val="00BC20F3"/>
    <w:rsid w:val="00BC4353"/>
    <w:rsid w:val="00BC6B69"/>
    <w:rsid w:val="00BC764F"/>
    <w:rsid w:val="00BD006A"/>
    <w:rsid w:val="00BD124D"/>
    <w:rsid w:val="00BD1A1C"/>
    <w:rsid w:val="00BD1DB9"/>
    <w:rsid w:val="00BD3BC9"/>
    <w:rsid w:val="00BD44CC"/>
    <w:rsid w:val="00BD59DF"/>
    <w:rsid w:val="00BD70C8"/>
    <w:rsid w:val="00BD7ED6"/>
    <w:rsid w:val="00BE00F0"/>
    <w:rsid w:val="00BE1A7D"/>
    <w:rsid w:val="00BE1C2F"/>
    <w:rsid w:val="00BE289E"/>
    <w:rsid w:val="00BE293E"/>
    <w:rsid w:val="00BE32A1"/>
    <w:rsid w:val="00BE6764"/>
    <w:rsid w:val="00BE67C1"/>
    <w:rsid w:val="00BF0BF8"/>
    <w:rsid w:val="00BF0EE2"/>
    <w:rsid w:val="00BF3102"/>
    <w:rsid w:val="00BF4724"/>
    <w:rsid w:val="00BF5948"/>
    <w:rsid w:val="00BF6BD4"/>
    <w:rsid w:val="00BF7E6B"/>
    <w:rsid w:val="00C00912"/>
    <w:rsid w:val="00C0156B"/>
    <w:rsid w:val="00C02E06"/>
    <w:rsid w:val="00C047FD"/>
    <w:rsid w:val="00C04A8A"/>
    <w:rsid w:val="00C05E3B"/>
    <w:rsid w:val="00C07D97"/>
    <w:rsid w:val="00C120F3"/>
    <w:rsid w:val="00C14382"/>
    <w:rsid w:val="00C160A8"/>
    <w:rsid w:val="00C168C9"/>
    <w:rsid w:val="00C1692D"/>
    <w:rsid w:val="00C169B2"/>
    <w:rsid w:val="00C217C0"/>
    <w:rsid w:val="00C219DE"/>
    <w:rsid w:val="00C22279"/>
    <w:rsid w:val="00C22996"/>
    <w:rsid w:val="00C23847"/>
    <w:rsid w:val="00C25896"/>
    <w:rsid w:val="00C26076"/>
    <w:rsid w:val="00C263D3"/>
    <w:rsid w:val="00C27131"/>
    <w:rsid w:val="00C27C4A"/>
    <w:rsid w:val="00C27E75"/>
    <w:rsid w:val="00C3128D"/>
    <w:rsid w:val="00C32EC8"/>
    <w:rsid w:val="00C33847"/>
    <w:rsid w:val="00C33E17"/>
    <w:rsid w:val="00C4012E"/>
    <w:rsid w:val="00C406A5"/>
    <w:rsid w:val="00C408CF"/>
    <w:rsid w:val="00C41012"/>
    <w:rsid w:val="00C4296C"/>
    <w:rsid w:val="00C42D7B"/>
    <w:rsid w:val="00C456E6"/>
    <w:rsid w:val="00C45744"/>
    <w:rsid w:val="00C46234"/>
    <w:rsid w:val="00C50D63"/>
    <w:rsid w:val="00C51A5D"/>
    <w:rsid w:val="00C54516"/>
    <w:rsid w:val="00C5583C"/>
    <w:rsid w:val="00C57573"/>
    <w:rsid w:val="00C577DD"/>
    <w:rsid w:val="00C57E67"/>
    <w:rsid w:val="00C6175E"/>
    <w:rsid w:val="00C646D5"/>
    <w:rsid w:val="00C65C71"/>
    <w:rsid w:val="00C66266"/>
    <w:rsid w:val="00C6674B"/>
    <w:rsid w:val="00C67ED1"/>
    <w:rsid w:val="00C70C5F"/>
    <w:rsid w:val="00C71E9B"/>
    <w:rsid w:val="00C76ACC"/>
    <w:rsid w:val="00C76FCE"/>
    <w:rsid w:val="00C81E15"/>
    <w:rsid w:val="00C8447F"/>
    <w:rsid w:val="00C87C03"/>
    <w:rsid w:val="00C91E03"/>
    <w:rsid w:val="00C93E90"/>
    <w:rsid w:val="00C94545"/>
    <w:rsid w:val="00C94D37"/>
    <w:rsid w:val="00C954EC"/>
    <w:rsid w:val="00CA1B0F"/>
    <w:rsid w:val="00CA1BE5"/>
    <w:rsid w:val="00CA3595"/>
    <w:rsid w:val="00CA52CE"/>
    <w:rsid w:val="00CA5D0D"/>
    <w:rsid w:val="00CB08E3"/>
    <w:rsid w:val="00CB0974"/>
    <w:rsid w:val="00CB127D"/>
    <w:rsid w:val="00CB17B2"/>
    <w:rsid w:val="00CB1BF0"/>
    <w:rsid w:val="00CB46C0"/>
    <w:rsid w:val="00CB5323"/>
    <w:rsid w:val="00CB6363"/>
    <w:rsid w:val="00CB6EA9"/>
    <w:rsid w:val="00CB7ADE"/>
    <w:rsid w:val="00CC4B34"/>
    <w:rsid w:val="00CC5BC5"/>
    <w:rsid w:val="00CC5D3A"/>
    <w:rsid w:val="00CC709C"/>
    <w:rsid w:val="00CC78F5"/>
    <w:rsid w:val="00CD01EA"/>
    <w:rsid w:val="00CD06DB"/>
    <w:rsid w:val="00CD6EC4"/>
    <w:rsid w:val="00CD7F09"/>
    <w:rsid w:val="00CE26CE"/>
    <w:rsid w:val="00CE3088"/>
    <w:rsid w:val="00CE3237"/>
    <w:rsid w:val="00CE36E6"/>
    <w:rsid w:val="00CE4531"/>
    <w:rsid w:val="00CE47F3"/>
    <w:rsid w:val="00CE4E02"/>
    <w:rsid w:val="00CE4FE8"/>
    <w:rsid w:val="00CE518F"/>
    <w:rsid w:val="00CE7993"/>
    <w:rsid w:val="00CF005D"/>
    <w:rsid w:val="00CF13B1"/>
    <w:rsid w:val="00CF2E77"/>
    <w:rsid w:val="00CF3105"/>
    <w:rsid w:val="00CF4F79"/>
    <w:rsid w:val="00CF5676"/>
    <w:rsid w:val="00CF5F27"/>
    <w:rsid w:val="00CF7E72"/>
    <w:rsid w:val="00D00E7B"/>
    <w:rsid w:val="00D0169E"/>
    <w:rsid w:val="00D01C7A"/>
    <w:rsid w:val="00D020F9"/>
    <w:rsid w:val="00D038E1"/>
    <w:rsid w:val="00D03D09"/>
    <w:rsid w:val="00D06102"/>
    <w:rsid w:val="00D0707A"/>
    <w:rsid w:val="00D100DF"/>
    <w:rsid w:val="00D10942"/>
    <w:rsid w:val="00D109E7"/>
    <w:rsid w:val="00D10D60"/>
    <w:rsid w:val="00D11013"/>
    <w:rsid w:val="00D12CEF"/>
    <w:rsid w:val="00D15DC7"/>
    <w:rsid w:val="00D20BBC"/>
    <w:rsid w:val="00D231AB"/>
    <w:rsid w:val="00D24633"/>
    <w:rsid w:val="00D332DF"/>
    <w:rsid w:val="00D33C5C"/>
    <w:rsid w:val="00D33F1D"/>
    <w:rsid w:val="00D34CD2"/>
    <w:rsid w:val="00D35AFD"/>
    <w:rsid w:val="00D35EAD"/>
    <w:rsid w:val="00D361E9"/>
    <w:rsid w:val="00D368B8"/>
    <w:rsid w:val="00D37E04"/>
    <w:rsid w:val="00D37F75"/>
    <w:rsid w:val="00D42993"/>
    <w:rsid w:val="00D42CD0"/>
    <w:rsid w:val="00D42D4D"/>
    <w:rsid w:val="00D44E4B"/>
    <w:rsid w:val="00D47AB6"/>
    <w:rsid w:val="00D47B45"/>
    <w:rsid w:val="00D508DD"/>
    <w:rsid w:val="00D52465"/>
    <w:rsid w:val="00D52523"/>
    <w:rsid w:val="00D543DD"/>
    <w:rsid w:val="00D573D6"/>
    <w:rsid w:val="00D63675"/>
    <w:rsid w:val="00D664D9"/>
    <w:rsid w:val="00D6726B"/>
    <w:rsid w:val="00D67D74"/>
    <w:rsid w:val="00D71D03"/>
    <w:rsid w:val="00D7430A"/>
    <w:rsid w:val="00D74A58"/>
    <w:rsid w:val="00D75ACA"/>
    <w:rsid w:val="00D80DF1"/>
    <w:rsid w:val="00D8390B"/>
    <w:rsid w:val="00D85036"/>
    <w:rsid w:val="00D8536E"/>
    <w:rsid w:val="00D85A5B"/>
    <w:rsid w:val="00D86117"/>
    <w:rsid w:val="00D909A3"/>
    <w:rsid w:val="00D90AAE"/>
    <w:rsid w:val="00D92566"/>
    <w:rsid w:val="00D94B3F"/>
    <w:rsid w:val="00D95361"/>
    <w:rsid w:val="00D97F6B"/>
    <w:rsid w:val="00DA1651"/>
    <w:rsid w:val="00DA35A9"/>
    <w:rsid w:val="00DA49C5"/>
    <w:rsid w:val="00DA53CA"/>
    <w:rsid w:val="00DA53CD"/>
    <w:rsid w:val="00DA5452"/>
    <w:rsid w:val="00DA5A14"/>
    <w:rsid w:val="00DB17E8"/>
    <w:rsid w:val="00DB3114"/>
    <w:rsid w:val="00DB31E6"/>
    <w:rsid w:val="00DB3C94"/>
    <w:rsid w:val="00DB4549"/>
    <w:rsid w:val="00DB5983"/>
    <w:rsid w:val="00DC028E"/>
    <w:rsid w:val="00DC03DB"/>
    <w:rsid w:val="00DC0FF9"/>
    <w:rsid w:val="00DC2989"/>
    <w:rsid w:val="00DC31B9"/>
    <w:rsid w:val="00DC3210"/>
    <w:rsid w:val="00DC3457"/>
    <w:rsid w:val="00DC358A"/>
    <w:rsid w:val="00DC411F"/>
    <w:rsid w:val="00DC54C9"/>
    <w:rsid w:val="00DC5DC7"/>
    <w:rsid w:val="00DC7524"/>
    <w:rsid w:val="00DC77C9"/>
    <w:rsid w:val="00DC79D4"/>
    <w:rsid w:val="00DC7B2B"/>
    <w:rsid w:val="00DC7FBF"/>
    <w:rsid w:val="00DD0332"/>
    <w:rsid w:val="00DD1628"/>
    <w:rsid w:val="00DD4E17"/>
    <w:rsid w:val="00DE1D40"/>
    <w:rsid w:val="00DE2593"/>
    <w:rsid w:val="00DE4A50"/>
    <w:rsid w:val="00DE4D14"/>
    <w:rsid w:val="00DE59BB"/>
    <w:rsid w:val="00DE5A69"/>
    <w:rsid w:val="00DE5A6F"/>
    <w:rsid w:val="00DE7DA3"/>
    <w:rsid w:val="00DE7E80"/>
    <w:rsid w:val="00DF0257"/>
    <w:rsid w:val="00DF0D7D"/>
    <w:rsid w:val="00DF111A"/>
    <w:rsid w:val="00DF1504"/>
    <w:rsid w:val="00DF1D61"/>
    <w:rsid w:val="00DF236A"/>
    <w:rsid w:val="00DF24D0"/>
    <w:rsid w:val="00DF2ED1"/>
    <w:rsid w:val="00DF4488"/>
    <w:rsid w:val="00DF4F2E"/>
    <w:rsid w:val="00DF53B2"/>
    <w:rsid w:val="00DF68B1"/>
    <w:rsid w:val="00E01A98"/>
    <w:rsid w:val="00E01C77"/>
    <w:rsid w:val="00E02FF6"/>
    <w:rsid w:val="00E03637"/>
    <w:rsid w:val="00E04C34"/>
    <w:rsid w:val="00E062AC"/>
    <w:rsid w:val="00E0683A"/>
    <w:rsid w:val="00E07501"/>
    <w:rsid w:val="00E075B4"/>
    <w:rsid w:val="00E07DF0"/>
    <w:rsid w:val="00E106A8"/>
    <w:rsid w:val="00E1126C"/>
    <w:rsid w:val="00E11CFA"/>
    <w:rsid w:val="00E128C6"/>
    <w:rsid w:val="00E12F93"/>
    <w:rsid w:val="00E13287"/>
    <w:rsid w:val="00E14DFD"/>
    <w:rsid w:val="00E16C7C"/>
    <w:rsid w:val="00E17644"/>
    <w:rsid w:val="00E17FCF"/>
    <w:rsid w:val="00E21EEA"/>
    <w:rsid w:val="00E23AE3"/>
    <w:rsid w:val="00E23D7E"/>
    <w:rsid w:val="00E24200"/>
    <w:rsid w:val="00E25AD3"/>
    <w:rsid w:val="00E2615E"/>
    <w:rsid w:val="00E26385"/>
    <w:rsid w:val="00E2741E"/>
    <w:rsid w:val="00E3087D"/>
    <w:rsid w:val="00E31320"/>
    <w:rsid w:val="00E330DA"/>
    <w:rsid w:val="00E33145"/>
    <w:rsid w:val="00E33B3A"/>
    <w:rsid w:val="00E36E31"/>
    <w:rsid w:val="00E40311"/>
    <w:rsid w:val="00E40ABE"/>
    <w:rsid w:val="00E42BB9"/>
    <w:rsid w:val="00E42EA9"/>
    <w:rsid w:val="00E44CE4"/>
    <w:rsid w:val="00E466EA"/>
    <w:rsid w:val="00E46929"/>
    <w:rsid w:val="00E47B43"/>
    <w:rsid w:val="00E51AC7"/>
    <w:rsid w:val="00E53D18"/>
    <w:rsid w:val="00E5449C"/>
    <w:rsid w:val="00E55F4E"/>
    <w:rsid w:val="00E56226"/>
    <w:rsid w:val="00E56D81"/>
    <w:rsid w:val="00E600C7"/>
    <w:rsid w:val="00E605AB"/>
    <w:rsid w:val="00E6198A"/>
    <w:rsid w:val="00E629CD"/>
    <w:rsid w:val="00E64C23"/>
    <w:rsid w:val="00E65D35"/>
    <w:rsid w:val="00E66384"/>
    <w:rsid w:val="00E66E9D"/>
    <w:rsid w:val="00E66F5E"/>
    <w:rsid w:val="00E67A9B"/>
    <w:rsid w:val="00E7022E"/>
    <w:rsid w:val="00E70E46"/>
    <w:rsid w:val="00E71572"/>
    <w:rsid w:val="00E7251A"/>
    <w:rsid w:val="00E734D3"/>
    <w:rsid w:val="00E73D90"/>
    <w:rsid w:val="00E73ED7"/>
    <w:rsid w:val="00E7507E"/>
    <w:rsid w:val="00E7562E"/>
    <w:rsid w:val="00E767EA"/>
    <w:rsid w:val="00E76B2D"/>
    <w:rsid w:val="00E81435"/>
    <w:rsid w:val="00E8410A"/>
    <w:rsid w:val="00E84376"/>
    <w:rsid w:val="00E8527C"/>
    <w:rsid w:val="00E85897"/>
    <w:rsid w:val="00E85B2F"/>
    <w:rsid w:val="00E8628C"/>
    <w:rsid w:val="00E8785A"/>
    <w:rsid w:val="00E911A4"/>
    <w:rsid w:val="00E91499"/>
    <w:rsid w:val="00E93E2F"/>
    <w:rsid w:val="00E956C6"/>
    <w:rsid w:val="00EA001E"/>
    <w:rsid w:val="00EA0D4E"/>
    <w:rsid w:val="00EA41A6"/>
    <w:rsid w:val="00EA489B"/>
    <w:rsid w:val="00EA4A9C"/>
    <w:rsid w:val="00EA4EAF"/>
    <w:rsid w:val="00EA5E6B"/>
    <w:rsid w:val="00EA5E8A"/>
    <w:rsid w:val="00EB09D7"/>
    <w:rsid w:val="00EB15D6"/>
    <w:rsid w:val="00EB30A1"/>
    <w:rsid w:val="00EB59CC"/>
    <w:rsid w:val="00EB621E"/>
    <w:rsid w:val="00EB6AF2"/>
    <w:rsid w:val="00EB6CFF"/>
    <w:rsid w:val="00EC1E21"/>
    <w:rsid w:val="00EC2EEE"/>
    <w:rsid w:val="00EC301B"/>
    <w:rsid w:val="00EC4B41"/>
    <w:rsid w:val="00EC5559"/>
    <w:rsid w:val="00EC7AB7"/>
    <w:rsid w:val="00ED1659"/>
    <w:rsid w:val="00ED1E32"/>
    <w:rsid w:val="00ED2179"/>
    <w:rsid w:val="00ED2A55"/>
    <w:rsid w:val="00ED31DF"/>
    <w:rsid w:val="00ED36FE"/>
    <w:rsid w:val="00ED3BBE"/>
    <w:rsid w:val="00ED43B5"/>
    <w:rsid w:val="00ED5882"/>
    <w:rsid w:val="00ED5A71"/>
    <w:rsid w:val="00ED5A95"/>
    <w:rsid w:val="00ED652C"/>
    <w:rsid w:val="00ED66CB"/>
    <w:rsid w:val="00ED7CD2"/>
    <w:rsid w:val="00ED7E0A"/>
    <w:rsid w:val="00EE05F6"/>
    <w:rsid w:val="00EE09D8"/>
    <w:rsid w:val="00EE1698"/>
    <w:rsid w:val="00EE1783"/>
    <w:rsid w:val="00EE4459"/>
    <w:rsid w:val="00EE4626"/>
    <w:rsid w:val="00EE5FFC"/>
    <w:rsid w:val="00EE7B65"/>
    <w:rsid w:val="00EF13A3"/>
    <w:rsid w:val="00EF1B62"/>
    <w:rsid w:val="00EF2DB7"/>
    <w:rsid w:val="00EF63F2"/>
    <w:rsid w:val="00EF6C7A"/>
    <w:rsid w:val="00EF7789"/>
    <w:rsid w:val="00F03BD4"/>
    <w:rsid w:val="00F0476E"/>
    <w:rsid w:val="00F057DE"/>
    <w:rsid w:val="00F06B5D"/>
    <w:rsid w:val="00F11064"/>
    <w:rsid w:val="00F12332"/>
    <w:rsid w:val="00F138ED"/>
    <w:rsid w:val="00F13AE6"/>
    <w:rsid w:val="00F142E3"/>
    <w:rsid w:val="00F16983"/>
    <w:rsid w:val="00F177B8"/>
    <w:rsid w:val="00F21DCC"/>
    <w:rsid w:val="00F23A2D"/>
    <w:rsid w:val="00F23E7D"/>
    <w:rsid w:val="00F24CAF"/>
    <w:rsid w:val="00F25DF0"/>
    <w:rsid w:val="00F2686E"/>
    <w:rsid w:val="00F26EC5"/>
    <w:rsid w:val="00F3119B"/>
    <w:rsid w:val="00F32CA1"/>
    <w:rsid w:val="00F369A0"/>
    <w:rsid w:val="00F36DE9"/>
    <w:rsid w:val="00F40901"/>
    <w:rsid w:val="00F42347"/>
    <w:rsid w:val="00F42E4F"/>
    <w:rsid w:val="00F44047"/>
    <w:rsid w:val="00F4415D"/>
    <w:rsid w:val="00F4460F"/>
    <w:rsid w:val="00F44AF0"/>
    <w:rsid w:val="00F50DB1"/>
    <w:rsid w:val="00F5429C"/>
    <w:rsid w:val="00F5478A"/>
    <w:rsid w:val="00F56A34"/>
    <w:rsid w:val="00F56A67"/>
    <w:rsid w:val="00F57585"/>
    <w:rsid w:val="00F622FB"/>
    <w:rsid w:val="00F6350F"/>
    <w:rsid w:val="00F63D82"/>
    <w:rsid w:val="00F64BE9"/>
    <w:rsid w:val="00F64E27"/>
    <w:rsid w:val="00F677C9"/>
    <w:rsid w:val="00F67D00"/>
    <w:rsid w:val="00F71448"/>
    <w:rsid w:val="00F7460F"/>
    <w:rsid w:val="00F7473B"/>
    <w:rsid w:val="00F7623B"/>
    <w:rsid w:val="00F77FEA"/>
    <w:rsid w:val="00F801E3"/>
    <w:rsid w:val="00F808A2"/>
    <w:rsid w:val="00F81253"/>
    <w:rsid w:val="00F8154B"/>
    <w:rsid w:val="00F81680"/>
    <w:rsid w:val="00F82E51"/>
    <w:rsid w:val="00F9158F"/>
    <w:rsid w:val="00F93520"/>
    <w:rsid w:val="00F94B7A"/>
    <w:rsid w:val="00F94EBB"/>
    <w:rsid w:val="00F9661B"/>
    <w:rsid w:val="00F97161"/>
    <w:rsid w:val="00FA0B8F"/>
    <w:rsid w:val="00FA225D"/>
    <w:rsid w:val="00FA2BEF"/>
    <w:rsid w:val="00FA3E1F"/>
    <w:rsid w:val="00FA5445"/>
    <w:rsid w:val="00FA6614"/>
    <w:rsid w:val="00FA6BED"/>
    <w:rsid w:val="00FB026A"/>
    <w:rsid w:val="00FB358E"/>
    <w:rsid w:val="00FB420F"/>
    <w:rsid w:val="00FB4C2F"/>
    <w:rsid w:val="00FB55B1"/>
    <w:rsid w:val="00FB5D79"/>
    <w:rsid w:val="00FB6314"/>
    <w:rsid w:val="00FC03CD"/>
    <w:rsid w:val="00FC05D1"/>
    <w:rsid w:val="00FC062C"/>
    <w:rsid w:val="00FC0DD0"/>
    <w:rsid w:val="00FC0ED2"/>
    <w:rsid w:val="00FC521F"/>
    <w:rsid w:val="00FC5CF5"/>
    <w:rsid w:val="00FC6487"/>
    <w:rsid w:val="00FD1053"/>
    <w:rsid w:val="00FD169B"/>
    <w:rsid w:val="00FD1F45"/>
    <w:rsid w:val="00FD4336"/>
    <w:rsid w:val="00FD5857"/>
    <w:rsid w:val="00FD6956"/>
    <w:rsid w:val="00FD6E8F"/>
    <w:rsid w:val="00FD74E3"/>
    <w:rsid w:val="00FE07C0"/>
    <w:rsid w:val="00FE30AE"/>
    <w:rsid w:val="00FE3E14"/>
    <w:rsid w:val="00FE3FB2"/>
    <w:rsid w:val="00FE4551"/>
    <w:rsid w:val="00FE4905"/>
    <w:rsid w:val="00FF162D"/>
    <w:rsid w:val="00FF1880"/>
    <w:rsid w:val="00FF482D"/>
    <w:rsid w:val="00FF75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EC41"/>
  <w15:docId w15:val="{80C12659-FF74-49F6-AB49-A57F3330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8D9"/>
    <w:pPr>
      <w:jc w:val="both"/>
    </w:pPr>
    <w:rPr>
      <w:rFonts w:eastAsia="Times New Roman" w:cs="Calibri"/>
      <w:sz w:val="24"/>
      <w:szCs w:val="22"/>
      <w:lang w:eastAsia="fr-FR"/>
    </w:rPr>
  </w:style>
  <w:style w:type="paragraph" w:styleId="Heading1">
    <w:name w:val="heading 1"/>
    <w:next w:val="Normal"/>
    <w:link w:val="Heading1Char"/>
    <w:uiPriority w:val="9"/>
    <w:unhideWhenUsed/>
    <w:qFormat/>
    <w:rsid w:val="0045183B"/>
    <w:pPr>
      <w:keepNext/>
      <w:pageBreakBefore/>
      <w:numPr>
        <w:numId w:val="3"/>
      </w:numPr>
      <w:spacing w:after="240"/>
      <w:ind w:left="0" w:firstLine="0"/>
      <w:outlineLvl w:val="0"/>
    </w:pPr>
    <w:rPr>
      <w:rFonts w:cs="Calibri"/>
      <w:b/>
      <w:smallCaps/>
      <w:color w:val="002060"/>
      <w:sz w:val="32"/>
      <w:szCs w:val="22"/>
      <w:lang w:eastAsia="fr-FR"/>
    </w:rPr>
  </w:style>
  <w:style w:type="paragraph" w:styleId="Heading2">
    <w:name w:val="heading 2"/>
    <w:next w:val="Normal"/>
    <w:link w:val="Heading2Char"/>
    <w:uiPriority w:val="9"/>
    <w:unhideWhenUsed/>
    <w:qFormat/>
    <w:rsid w:val="005849E4"/>
    <w:pPr>
      <w:keepNext/>
      <w:keepLines/>
      <w:numPr>
        <w:ilvl w:val="1"/>
        <w:numId w:val="3"/>
      </w:numPr>
      <w:spacing w:after="240"/>
      <w:jc w:val="both"/>
      <w:outlineLvl w:val="1"/>
    </w:pPr>
    <w:rPr>
      <w:rFonts w:eastAsia="Arial" w:cs="Calibri"/>
      <w:b/>
      <w:color w:val="0070C0"/>
      <w:sz w:val="24"/>
      <w:szCs w:val="30"/>
      <w:lang w:eastAsia="fr-FR"/>
    </w:rPr>
  </w:style>
  <w:style w:type="paragraph" w:styleId="Heading3">
    <w:name w:val="heading 3"/>
    <w:next w:val="Normal"/>
    <w:link w:val="Heading3Char"/>
    <w:uiPriority w:val="9"/>
    <w:unhideWhenUsed/>
    <w:qFormat/>
    <w:rsid w:val="005849E4"/>
    <w:pPr>
      <w:keepNext/>
      <w:keepLines/>
      <w:spacing w:before="240" w:after="120" w:line="259" w:lineRule="auto"/>
      <w:ind w:left="720" w:hanging="720"/>
      <w:outlineLvl w:val="2"/>
    </w:pPr>
    <w:rPr>
      <w:rFonts w:eastAsia="Arial" w:cs="Arial"/>
      <w:b/>
      <w:color w:val="0070C0"/>
      <w:sz w:val="22"/>
      <w:szCs w:val="22"/>
      <w:lang w:val="fr-FR" w:eastAsia="fr-FR"/>
    </w:rPr>
  </w:style>
  <w:style w:type="paragraph" w:styleId="Heading4">
    <w:name w:val="heading 4"/>
    <w:next w:val="Normal"/>
    <w:link w:val="Heading4Char"/>
    <w:uiPriority w:val="9"/>
    <w:unhideWhenUsed/>
    <w:qFormat/>
    <w:rsid w:val="006E7B98"/>
    <w:pPr>
      <w:keepNext/>
      <w:keepLines/>
      <w:spacing w:after="240"/>
      <w:jc w:val="both"/>
      <w:outlineLvl w:val="3"/>
    </w:pPr>
    <w:rPr>
      <w:rFonts w:cs="Calibri"/>
      <w:b/>
      <w:color w:val="0070C0"/>
      <w:sz w:val="22"/>
      <w:szCs w:val="25"/>
      <w:lang w:eastAsia="fr-FR"/>
    </w:rPr>
  </w:style>
  <w:style w:type="paragraph" w:styleId="Heading5">
    <w:name w:val="heading 5"/>
    <w:next w:val="Normal"/>
    <w:link w:val="Heading5Char"/>
    <w:uiPriority w:val="9"/>
    <w:unhideWhenUsed/>
    <w:qFormat/>
    <w:rsid w:val="00BA6B2B"/>
    <w:pPr>
      <w:keepNext/>
      <w:keepLines/>
      <w:spacing w:before="240" w:after="240"/>
      <w:jc w:val="both"/>
      <w:outlineLvl w:val="4"/>
    </w:pPr>
    <w:rPr>
      <w:rFonts w:cs="Calibri"/>
      <w:b/>
      <w:i/>
      <w:color w:val="0070C0"/>
      <w:sz w:val="22"/>
      <w:szCs w:val="22"/>
      <w:lang w:eastAsia="fr-FR"/>
    </w:rPr>
  </w:style>
  <w:style w:type="paragraph" w:styleId="Heading6">
    <w:name w:val="heading 6"/>
    <w:basedOn w:val="Normal"/>
    <w:next w:val="Normal"/>
    <w:link w:val="Heading6Char"/>
    <w:uiPriority w:val="9"/>
    <w:unhideWhenUsed/>
    <w:qFormat/>
    <w:rsid w:val="007829BC"/>
    <w:pPr>
      <w:keepNext/>
      <w:keepLines/>
      <w:spacing w:before="40"/>
      <w:ind w:left="1152" w:hanging="1152"/>
      <w:outlineLvl w:val="5"/>
    </w:pPr>
    <w:rPr>
      <w:rFonts w:ascii="Calibri Light" w:hAnsi="Calibri Light" w:cs="Times New Roman"/>
      <w:color w:val="1F4D78"/>
    </w:rPr>
  </w:style>
  <w:style w:type="paragraph" w:styleId="Heading7">
    <w:name w:val="heading 7"/>
    <w:basedOn w:val="Normal"/>
    <w:next w:val="Normal"/>
    <w:link w:val="Heading7Char"/>
    <w:uiPriority w:val="9"/>
    <w:semiHidden/>
    <w:unhideWhenUsed/>
    <w:qFormat/>
    <w:rsid w:val="00394CB2"/>
    <w:pPr>
      <w:keepNext/>
      <w:keepLines/>
      <w:numPr>
        <w:ilvl w:val="6"/>
        <w:numId w:val="3"/>
      </w:numPr>
      <w:spacing w:before="40"/>
      <w:outlineLvl w:val="6"/>
    </w:pPr>
    <w:rPr>
      <w:rFonts w:ascii="Calibri Light" w:hAnsi="Calibri Light" w:cs="Times New Roman"/>
      <w:i/>
      <w:iCs/>
      <w:color w:val="1F4D78"/>
    </w:rPr>
  </w:style>
  <w:style w:type="paragraph" w:styleId="Heading8">
    <w:name w:val="heading 8"/>
    <w:basedOn w:val="Normal"/>
    <w:next w:val="Normal"/>
    <w:link w:val="Heading8Char"/>
    <w:uiPriority w:val="9"/>
    <w:semiHidden/>
    <w:unhideWhenUsed/>
    <w:qFormat/>
    <w:rsid w:val="00394CB2"/>
    <w:pPr>
      <w:keepNext/>
      <w:keepLines/>
      <w:numPr>
        <w:ilvl w:val="7"/>
        <w:numId w:val="3"/>
      </w:numPr>
      <w:spacing w:before="40"/>
      <w:outlineLvl w:val="7"/>
    </w:pPr>
    <w:rPr>
      <w:rFonts w:ascii="Calibri Light"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394CB2"/>
    <w:pPr>
      <w:keepNext/>
      <w:keepLines/>
      <w:numPr>
        <w:ilvl w:val="8"/>
        <w:numId w:val="3"/>
      </w:numPr>
      <w:spacing w:before="40"/>
      <w:outlineLvl w:val="8"/>
    </w:pPr>
    <w:rPr>
      <w:rFonts w:ascii="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83B"/>
    <w:rPr>
      <w:rFonts w:cs="Calibri"/>
      <w:b/>
      <w:smallCaps/>
      <w:color w:val="002060"/>
      <w:sz w:val="32"/>
      <w:szCs w:val="22"/>
      <w:lang w:eastAsia="fr-FR"/>
    </w:rPr>
  </w:style>
  <w:style w:type="character" w:customStyle="1" w:styleId="Heading2Char">
    <w:name w:val="Heading 2 Char"/>
    <w:link w:val="Heading2"/>
    <w:uiPriority w:val="9"/>
    <w:rsid w:val="005849E4"/>
    <w:rPr>
      <w:rFonts w:eastAsia="Arial" w:cs="Calibri"/>
      <w:b/>
      <w:color w:val="0070C0"/>
      <w:sz w:val="24"/>
      <w:szCs w:val="30"/>
      <w:lang w:eastAsia="fr-FR"/>
    </w:rPr>
  </w:style>
  <w:style w:type="character" w:customStyle="1" w:styleId="Heading3Char">
    <w:name w:val="Heading 3 Char"/>
    <w:link w:val="Heading3"/>
    <w:uiPriority w:val="9"/>
    <w:rsid w:val="005849E4"/>
    <w:rPr>
      <w:rFonts w:eastAsia="Arial" w:cs="Arial"/>
      <w:b/>
      <w:color w:val="0070C0"/>
      <w:sz w:val="22"/>
      <w:szCs w:val="22"/>
      <w:lang w:val="fr-FR" w:eastAsia="fr-FR"/>
    </w:rPr>
  </w:style>
  <w:style w:type="character" w:customStyle="1" w:styleId="Heading4Char">
    <w:name w:val="Heading 4 Char"/>
    <w:link w:val="Heading4"/>
    <w:uiPriority w:val="9"/>
    <w:rsid w:val="006E7B98"/>
    <w:rPr>
      <w:rFonts w:cs="Calibri"/>
      <w:b/>
      <w:color w:val="0070C0"/>
      <w:sz w:val="22"/>
      <w:szCs w:val="25"/>
      <w:lang w:eastAsia="fr-FR"/>
    </w:rPr>
  </w:style>
  <w:style w:type="character" w:customStyle="1" w:styleId="Heading5Char">
    <w:name w:val="Heading 5 Char"/>
    <w:link w:val="Heading5"/>
    <w:uiPriority w:val="9"/>
    <w:rsid w:val="00BA6B2B"/>
    <w:rPr>
      <w:rFonts w:cs="Calibri"/>
      <w:b/>
      <w:i/>
      <w:color w:val="0070C0"/>
      <w:sz w:val="22"/>
      <w:szCs w:val="22"/>
      <w:lang w:eastAsia="fr-FR"/>
    </w:rPr>
  </w:style>
  <w:style w:type="paragraph" w:customStyle="1" w:styleId="footnotedescription">
    <w:name w:val="footnote description"/>
    <w:next w:val="Normal"/>
    <w:link w:val="footnotedescriptionChar"/>
    <w:hidden/>
    <w:rsid w:val="00CA52CE"/>
    <w:pPr>
      <w:spacing w:line="259" w:lineRule="auto"/>
      <w:ind w:left="720"/>
      <w:jc w:val="both"/>
    </w:pPr>
    <w:rPr>
      <w:rFonts w:cs="Calibri"/>
      <w:color w:val="000000"/>
      <w:szCs w:val="22"/>
      <w:lang w:val="fr-FR" w:eastAsia="fr-FR"/>
    </w:rPr>
  </w:style>
  <w:style w:type="character" w:customStyle="1" w:styleId="footnotedescriptionChar">
    <w:name w:val="footnote description Char"/>
    <w:link w:val="footnotedescription"/>
    <w:rsid w:val="00CA52CE"/>
    <w:rPr>
      <w:rFonts w:ascii="Calibri" w:eastAsia="Calibri" w:hAnsi="Calibri" w:cs="Calibri"/>
      <w:color w:val="000000"/>
      <w:sz w:val="20"/>
      <w:lang w:val="fr-FR" w:eastAsia="fr-FR"/>
    </w:rPr>
  </w:style>
  <w:style w:type="paragraph" w:styleId="TOC1">
    <w:name w:val="toc 1"/>
    <w:hidden/>
    <w:uiPriority w:val="39"/>
    <w:rsid w:val="00CA52CE"/>
    <w:pPr>
      <w:spacing w:after="89" w:line="247" w:lineRule="auto"/>
      <w:ind w:left="25" w:right="21" w:hanging="9"/>
      <w:jc w:val="both"/>
    </w:pPr>
    <w:rPr>
      <w:rFonts w:cs="Calibri"/>
      <w:color w:val="000000"/>
      <w:sz w:val="22"/>
      <w:szCs w:val="22"/>
      <w:lang w:val="fr-FR" w:eastAsia="fr-FR"/>
    </w:rPr>
  </w:style>
  <w:style w:type="paragraph" w:styleId="TOC2">
    <w:name w:val="toc 2"/>
    <w:hidden/>
    <w:uiPriority w:val="39"/>
    <w:rsid w:val="00CA52CE"/>
    <w:pPr>
      <w:spacing w:after="89" w:line="247" w:lineRule="auto"/>
      <w:ind w:left="265" w:right="21" w:hanging="9"/>
      <w:jc w:val="both"/>
    </w:pPr>
    <w:rPr>
      <w:rFonts w:cs="Calibri"/>
      <w:color w:val="000000"/>
      <w:sz w:val="22"/>
      <w:szCs w:val="22"/>
      <w:lang w:val="fr-FR" w:eastAsia="fr-FR"/>
    </w:rPr>
  </w:style>
  <w:style w:type="paragraph" w:styleId="TOC3">
    <w:name w:val="toc 3"/>
    <w:hidden/>
    <w:uiPriority w:val="39"/>
    <w:rsid w:val="00CA52CE"/>
    <w:pPr>
      <w:spacing w:after="87" w:line="247" w:lineRule="auto"/>
      <w:ind w:left="505" w:right="21" w:hanging="9"/>
      <w:jc w:val="both"/>
    </w:pPr>
    <w:rPr>
      <w:rFonts w:cs="Calibri"/>
      <w:color w:val="000000"/>
      <w:sz w:val="22"/>
      <w:szCs w:val="22"/>
      <w:lang w:val="fr-FR" w:eastAsia="fr-FR"/>
    </w:rPr>
  </w:style>
  <w:style w:type="character" w:customStyle="1" w:styleId="footnotemark">
    <w:name w:val="footnote mark"/>
    <w:hidden/>
    <w:rsid w:val="00CA52CE"/>
    <w:rPr>
      <w:rFonts w:ascii="Calibri" w:eastAsia="Calibri" w:hAnsi="Calibri" w:cs="Calibri"/>
      <w:color w:val="000000"/>
      <w:sz w:val="20"/>
      <w:vertAlign w:val="superscript"/>
    </w:rPr>
  </w:style>
  <w:style w:type="table" w:customStyle="1" w:styleId="TableGrid">
    <w:name w:val="TableGrid"/>
    <w:rsid w:val="00CA52CE"/>
    <w:rPr>
      <w:rFonts w:eastAsia="Times New Roman"/>
      <w:sz w:val="22"/>
      <w:szCs w:val="22"/>
      <w:lang w:val="fr-FR" w:eastAsia="fr-FR"/>
    </w:rPr>
    <w:tblPr>
      <w:tblCellMar>
        <w:top w:w="0" w:type="dxa"/>
        <w:left w:w="0" w:type="dxa"/>
        <w:bottom w:w="0" w:type="dxa"/>
        <w:right w:w="0" w:type="dxa"/>
      </w:tblCellMar>
    </w:tblPr>
  </w:style>
  <w:style w:type="paragraph" w:styleId="ListParagraph">
    <w:name w:val="List Paragraph"/>
    <w:aliases w:val="Resume Title,List Paragraph_Table bullets"/>
    <w:basedOn w:val="Normal"/>
    <w:link w:val="ListParagraphChar"/>
    <w:uiPriority w:val="34"/>
    <w:qFormat/>
    <w:rsid w:val="002277B6"/>
    <w:pPr>
      <w:numPr>
        <w:numId w:val="9"/>
      </w:numPr>
      <w:contextualSpacing/>
    </w:pPr>
  </w:style>
  <w:style w:type="table" w:customStyle="1" w:styleId="GridTable4-Accent11">
    <w:name w:val="Grid Table 4 - Accent 11"/>
    <w:basedOn w:val="TableNormal"/>
    <w:uiPriority w:val="49"/>
    <w:rsid w:val="005448A6"/>
    <w:pPr>
      <w:ind w:left="34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B0088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Caption">
    <w:name w:val="caption"/>
    <w:basedOn w:val="Normal"/>
    <w:next w:val="Normal"/>
    <w:link w:val="CaptionChar"/>
    <w:uiPriority w:val="35"/>
    <w:unhideWhenUsed/>
    <w:qFormat/>
    <w:rsid w:val="009E3EF3"/>
    <w:pPr>
      <w:spacing w:after="200"/>
    </w:pPr>
    <w:rPr>
      <w:i/>
      <w:iCs/>
      <w:color w:val="44546A"/>
      <w:szCs w:val="18"/>
    </w:rPr>
  </w:style>
  <w:style w:type="character" w:customStyle="1" w:styleId="Heading6Char">
    <w:name w:val="Heading 6 Char"/>
    <w:link w:val="Heading6"/>
    <w:uiPriority w:val="9"/>
    <w:rsid w:val="007829BC"/>
    <w:rPr>
      <w:rFonts w:ascii="Calibri Light" w:eastAsia="Times New Roman" w:hAnsi="Calibri Light" w:cs="Times New Roman"/>
      <w:color w:val="1F4D78"/>
      <w:lang w:eastAsia="en-GB"/>
    </w:rPr>
  </w:style>
  <w:style w:type="character" w:customStyle="1" w:styleId="Heading7Char">
    <w:name w:val="Heading 7 Char"/>
    <w:link w:val="Heading7"/>
    <w:uiPriority w:val="9"/>
    <w:semiHidden/>
    <w:rsid w:val="00394CB2"/>
    <w:rPr>
      <w:rFonts w:ascii="Calibri Light" w:eastAsia="Times New Roman" w:hAnsi="Calibri Light"/>
      <w:i/>
      <w:iCs/>
      <w:color w:val="1F4D78"/>
      <w:sz w:val="24"/>
      <w:szCs w:val="22"/>
      <w:lang w:eastAsia="fr-FR"/>
    </w:rPr>
  </w:style>
  <w:style w:type="character" w:customStyle="1" w:styleId="Heading8Char">
    <w:name w:val="Heading 8 Char"/>
    <w:link w:val="Heading8"/>
    <w:uiPriority w:val="9"/>
    <w:semiHidden/>
    <w:rsid w:val="00394CB2"/>
    <w:rPr>
      <w:rFonts w:ascii="Calibri Light" w:eastAsia="Times New Roman" w:hAnsi="Calibri Light"/>
      <w:color w:val="272727"/>
      <w:sz w:val="21"/>
      <w:szCs w:val="21"/>
      <w:lang w:eastAsia="fr-FR"/>
    </w:rPr>
  </w:style>
  <w:style w:type="character" w:customStyle="1" w:styleId="Heading9Char">
    <w:name w:val="Heading 9 Char"/>
    <w:link w:val="Heading9"/>
    <w:uiPriority w:val="9"/>
    <w:semiHidden/>
    <w:rsid w:val="00394CB2"/>
    <w:rPr>
      <w:rFonts w:ascii="Calibri Light" w:eastAsia="Times New Roman" w:hAnsi="Calibri Light"/>
      <w:i/>
      <w:iCs/>
      <w:color w:val="272727"/>
      <w:sz w:val="21"/>
      <w:szCs w:val="21"/>
      <w:lang w:eastAsia="fr-FR"/>
    </w:rPr>
  </w:style>
  <w:style w:type="character" w:styleId="CommentReference">
    <w:name w:val="annotation reference"/>
    <w:uiPriority w:val="99"/>
    <w:semiHidden/>
    <w:unhideWhenUsed/>
    <w:rsid w:val="003E00B4"/>
    <w:rPr>
      <w:sz w:val="16"/>
      <w:szCs w:val="16"/>
    </w:rPr>
  </w:style>
  <w:style w:type="paragraph" w:styleId="CommentText">
    <w:name w:val="annotation text"/>
    <w:basedOn w:val="Normal"/>
    <w:link w:val="CommentTextChar"/>
    <w:uiPriority w:val="99"/>
    <w:unhideWhenUsed/>
    <w:rsid w:val="003E00B4"/>
    <w:rPr>
      <w:sz w:val="20"/>
      <w:szCs w:val="20"/>
    </w:rPr>
  </w:style>
  <w:style w:type="character" w:customStyle="1" w:styleId="CommentTextChar">
    <w:name w:val="Comment Text Char"/>
    <w:link w:val="CommentText"/>
    <w:uiPriority w:val="99"/>
    <w:rsid w:val="003E00B4"/>
    <w:rPr>
      <w:sz w:val="20"/>
      <w:szCs w:val="20"/>
      <w:lang w:val="en-US"/>
    </w:rPr>
  </w:style>
  <w:style w:type="paragraph" w:styleId="CommentSubject">
    <w:name w:val="annotation subject"/>
    <w:basedOn w:val="CommentText"/>
    <w:next w:val="CommentText"/>
    <w:link w:val="CommentSubjectChar"/>
    <w:uiPriority w:val="99"/>
    <w:semiHidden/>
    <w:unhideWhenUsed/>
    <w:rsid w:val="003E00B4"/>
    <w:rPr>
      <w:b/>
      <w:bCs/>
    </w:rPr>
  </w:style>
  <w:style w:type="character" w:customStyle="1" w:styleId="CommentSubjectChar">
    <w:name w:val="Comment Subject Char"/>
    <w:link w:val="CommentSubject"/>
    <w:uiPriority w:val="99"/>
    <w:semiHidden/>
    <w:rsid w:val="003E00B4"/>
    <w:rPr>
      <w:b/>
      <w:bCs/>
      <w:sz w:val="20"/>
      <w:szCs w:val="20"/>
      <w:lang w:val="en-US"/>
    </w:rPr>
  </w:style>
  <w:style w:type="paragraph" w:styleId="BalloonText">
    <w:name w:val="Balloon Text"/>
    <w:basedOn w:val="Normal"/>
    <w:link w:val="BalloonTextChar"/>
    <w:uiPriority w:val="99"/>
    <w:semiHidden/>
    <w:unhideWhenUsed/>
    <w:rsid w:val="003E00B4"/>
    <w:rPr>
      <w:rFonts w:ascii="Segoe UI" w:hAnsi="Segoe UI" w:cs="Segoe UI"/>
      <w:sz w:val="18"/>
      <w:szCs w:val="18"/>
    </w:rPr>
  </w:style>
  <w:style w:type="character" w:customStyle="1" w:styleId="BalloonTextChar">
    <w:name w:val="Balloon Text Char"/>
    <w:link w:val="BalloonText"/>
    <w:uiPriority w:val="99"/>
    <w:semiHidden/>
    <w:rsid w:val="003E00B4"/>
    <w:rPr>
      <w:rFonts w:ascii="Segoe UI" w:hAnsi="Segoe UI" w:cs="Segoe UI"/>
      <w:sz w:val="18"/>
      <w:szCs w:val="18"/>
      <w:lang w:val="en-US"/>
    </w:rPr>
  </w:style>
  <w:style w:type="table" w:styleId="TableGrid0">
    <w:name w:val="Table Grid"/>
    <w:basedOn w:val="TableNormal"/>
    <w:uiPriority w:val="39"/>
    <w:rsid w:val="0054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87C03"/>
    <w:rPr>
      <w:i/>
      <w:iCs/>
      <w:sz w:val="20"/>
    </w:rPr>
  </w:style>
  <w:style w:type="table" w:customStyle="1" w:styleId="GridTable4-Accent12">
    <w:name w:val="Grid Table 4 - Accent 12"/>
    <w:basedOn w:val="TableNormal"/>
    <w:uiPriority w:val="49"/>
    <w:rsid w:val="00CE518F"/>
    <w:pPr>
      <w:ind w:left="34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yperlink">
    <w:name w:val="Hyperlink"/>
    <w:uiPriority w:val="99"/>
    <w:unhideWhenUsed/>
    <w:rsid w:val="0034265C"/>
    <w:rPr>
      <w:color w:val="0563C1"/>
      <w:u w:val="single"/>
    </w:rPr>
  </w:style>
  <w:style w:type="table" w:customStyle="1" w:styleId="GridTable4-Accent13">
    <w:name w:val="Grid Table 4 - Accent 13"/>
    <w:basedOn w:val="TableNormal"/>
    <w:uiPriority w:val="49"/>
    <w:rsid w:val="00BF47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aliases w:val="Resume Title Char,List Paragraph_Table bullets Char"/>
    <w:link w:val="ListParagraph"/>
    <w:uiPriority w:val="34"/>
    <w:rsid w:val="002277B6"/>
    <w:rPr>
      <w:rFonts w:eastAsia="Times New Roman" w:cs="Calibri"/>
      <w:sz w:val="24"/>
      <w:szCs w:val="22"/>
      <w:lang w:eastAsia="fr-FR"/>
    </w:rPr>
  </w:style>
  <w:style w:type="table" w:customStyle="1" w:styleId="GridTable4-Accent130">
    <w:name w:val="Grid Table 4 - Accent 13"/>
    <w:basedOn w:val="TableNormal"/>
    <w:uiPriority w:val="49"/>
    <w:rsid w:val="00F23E7D"/>
    <w:pPr>
      <w:ind w:left="34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5B3ACF"/>
    <w:pPr>
      <w:autoSpaceDE w:val="0"/>
      <w:autoSpaceDN w:val="0"/>
      <w:adjustRightInd w:val="0"/>
    </w:pPr>
    <w:rPr>
      <w:rFonts w:ascii="Footlight MT Light" w:hAnsi="Footlight MT Light" w:cs="Footlight MT Light"/>
      <w:color w:val="000000"/>
      <w:sz w:val="24"/>
      <w:szCs w:val="24"/>
      <w:lang w:val="en-US" w:eastAsia="en-US"/>
    </w:rPr>
  </w:style>
  <w:style w:type="paragraph" w:customStyle="1" w:styleId="Italic">
    <w:name w:val="Italic"/>
    <w:basedOn w:val="Normal"/>
    <w:link w:val="ItalicChar"/>
    <w:rsid w:val="002E52F9"/>
    <w:rPr>
      <w:i/>
    </w:rPr>
  </w:style>
  <w:style w:type="character" w:customStyle="1" w:styleId="ItalicChar">
    <w:name w:val="Italic Char"/>
    <w:link w:val="Italic"/>
    <w:rsid w:val="002E52F9"/>
    <w:rPr>
      <w:rFonts w:eastAsia="Times New Roman" w:cs="Calibri"/>
      <w:i/>
      <w:sz w:val="24"/>
      <w:szCs w:val="24"/>
      <w:lang w:eastAsia="fr-FR"/>
    </w:rPr>
  </w:style>
  <w:style w:type="paragraph" w:styleId="FootnoteText">
    <w:name w:val="footnote text"/>
    <w:aliases w:val="single space,ALTS FOOTNOTE,ADB,footnote text,fn,ft,Footnote Text Char Char,FOOTNOTES,Footnote Text Char Char Char Char Char Char Char Char Char Char,WB-Fußnotentext,Footnote,Fußnote,WB-Fuﬂnotentext,Fuﬂnote,Geneva 9,f"/>
    <w:basedOn w:val="Normal"/>
    <w:link w:val="FootnoteTextChar"/>
    <w:unhideWhenUsed/>
    <w:rsid w:val="009E3EF3"/>
    <w:rPr>
      <w:sz w:val="20"/>
      <w:szCs w:val="20"/>
    </w:rPr>
  </w:style>
  <w:style w:type="character" w:customStyle="1" w:styleId="FootnoteTextChar">
    <w:name w:val="Footnote Text Char"/>
    <w:aliases w:val="single space Char,ALTS FOOTNOTE Char,ADB Char,footnote text Char,fn Char,ft Char,Footnote Text Char Char Char,FOOTNOTES Char,Footnote Text Char Char Char Char Char Char Char Char Char Char Char,WB-Fußnotentext Char,Footnote Char"/>
    <w:link w:val="FootnoteText"/>
    <w:rsid w:val="009E3EF3"/>
    <w:rPr>
      <w:sz w:val="20"/>
      <w:szCs w:val="20"/>
      <w:lang w:val="en-US"/>
    </w:rPr>
  </w:style>
  <w:style w:type="character" w:styleId="FootnoteReference">
    <w:name w:val="footnote reference"/>
    <w:aliases w:val="ftref,Char Char"/>
    <w:unhideWhenUsed/>
    <w:rsid w:val="009E3EF3"/>
    <w:rPr>
      <w:vertAlign w:val="superscript"/>
    </w:rPr>
  </w:style>
  <w:style w:type="character" w:styleId="Strong">
    <w:name w:val="Strong"/>
    <w:uiPriority w:val="22"/>
    <w:qFormat/>
    <w:rsid w:val="00BA5059"/>
    <w:rPr>
      <w:b/>
      <w:bCs/>
    </w:rPr>
  </w:style>
  <w:style w:type="table" w:customStyle="1" w:styleId="table-style-blauw-070-none">
    <w:name w:val="table-style-blauw-070-none"/>
    <w:basedOn w:val="TableNormal"/>
    <w:rsid w:val="00BA543F"/>
    <w:pPr>
      <w:spacing w:line="280" w:lineRule="atLeast"/>
    </w:pPr>
    <w:rPr>
      <w:rFonts w:ascii="Arial" w:eastAsia="Times New Roman" w:hAnsi="Arial"/>
      <w:color w:val="000000"/>
      <w:sz w:val="18"/>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rPr>
        <w:rFonts w:cs="Times New Roman"/>
      </w:rPr>
      <w:tblPr/>
      <w:tcPr>
        <w:tcBorders>
          <w:top w:val="single" w:sz="6" w:space="0" w:color="A6A6A6"/>
        </w:tcBorders>
      </w:tcPr>
    </w:tblStylePr>
    <w:tblStylePr w:type="band2Horz">
      <w:rPr>
        <w:rFonts w:cs="Times New Roman"/>
      </w:rPr>
      <w:tblPr/>
      <w:tcPr>
        <w:tcBorders>
          <w:top w:val="single" w:sz="6" w:space="0" w:color="A6A6A6"/>
        </w:tcBorders>
      </w:tcPr>
    </w:tblStylePr>
  </w:style>
  <w:style w:type="paragraph" w:customStyle="1" w:styleId="table-text">
    <w:name w:val="table-text"/>
    <w:basedOn w:val="Normal"/>
    <w:rsid w:val="00BA543F"/>
    <w:pPr>
      <w:spacing w:line="280" w:lineRule="atLeast"/>
    </w:pPr>
    <w:rPr>
      <w:rFonts w:ascii="Arial" w:hAnsi="Arial"/>
      <w:sz w:val="16"/>
    </w:rPr>
  </w:style>
  <w:style w:type="paragraph" w:styleId="TableofFigures">
    <w:name w:val="table of figures"/>
    <w:basedOn w:val="Normal"/>
    <w:next w:val="Normal"/>
    <w:uiPriority w:val="99"/>
    <w:unhideWhenUsed/>
    <w:rsid w:val="009A26F6"/>
    <w:rPr>
      <w:sz w:val="22"/>
    </w:rPr>
  </w:style>
  <w:style w:type="paragraph" w:styleId="TOCHeading">
    <w:name w:val="TOC Heading"/>
    <w:basedOn w:val="Heading1"/>
    <w:next w:val="Normal"/>
    <w:uiPriority w:val="39"/>
    <w:unhideWhenUsed/>
    <w:qFormat/>
    <w:rsid w:val="00E42BB9"/>
    <w:pPr>
      <w:pageBreakBefore w:val="0"/>
      <w:numPr>
        <w:numId w:val="0"/>
      </w:numPr>
      <w:spacing w:before="240" w:after="0"/>
      <w:outlineLvl w:val="9"/>
    </w:pPr>
    <w:rPr>
      <w:rFonts w:ascii="Calibri Light" w:eastAsia="Times New Roman" w:hAnsi="Calibri Light" w:cs="Times New Roman"/>
      <w:color w:val="2E74B5"/>
      <w:szCs w:val="32"/>
      <w:lang w:val="en-US" w:eastAsia="en-US"/>
    </w:rPr>
  </w:style>
  <w:style w:type="paragraph" w:customStyle="1" w:styleId="DefaultText">
    <w:name w:val="Default Text"/>
    <w:basedOn w:val="Normal"/>
    <w:link w:val="DefaultTextChar"/>
    <w:rsid w:val="00973C4D"/>
    <w:pPr>
      <w:tabs>
        <w:tab w:val="left" w:pos="1545"/>
      </w:tabs>
      <w:spacing w:line="280" w:lineRule="atLeast"/>
    </w:pPr>
    <w:rPr>
      <w:rFonts w:ascii="Arial" w:hAnsi="Arial"/>
      <w:sz w:val="20"/>
    </w:rPr>
  </w:style>
  <w:style w:type="character" w:customStyle="1" w:styleId="DefaultTextChar">
    <w:name w:val="Default Text Char"/>
    <w:link w:val="DefaultText"/>
    <w:locked/>
    <w:rsid w:val="00973C4D"/>
    <w:rPr>
      <w:rFonts w:ascii="Arial" w:eastAsia="Times New Roman" w:hAnsi="Arial" w:cs="Times New Roman"/>
      <w:sz w:val="20"/>
      <w:szCs w:val="24"/>
      <w:lang w:eastAsia="fr-FR"/>
    </w:rPr>
  </w:style>
  <w:style w:type="paragraph" w:styleId="Title">
    <w:name w:val="Title"/>
    <w:basedOn w:val="Normal"/>
    <w:next w:val="Normal"/>
    <w:link w:val="TitleChar"/>
    <w:uiPriority w:val="10"/>
    <w:qFormat/>
    <w:rsid w:val="00331248"/>
    <w:pPr>
      <w:contextualSpacing/>
      <w:jc w:val="center"/>
    </w:pPr>
    <w:rPr>
      <w:rFonts w:ascii="Calibri Light" w:hAnsi="Calibri Light" w:cs="Times New Roman"/>
      <w:b/>
      <w:spacing w:val="-10"/>
      <w:kern w:val="28"/>
      <w:sz w:val="44"/>
      <w:szCs w:val="56"/>
    </w:rPr>
  </w:style>
  <w:style w:type="character" w:customStyle="1" w:styleId="TitleChar">
    <w:name w:val="Title Char"/>
    <w:link w:val="Title"/>
    <w:uiPriority w:val="10"/>
    <w:rsid w:val="00331248"/>
    <w:rPr>
      <w:rFonts w:ascii="Calibri Light" w:eastAsia="Times New Roman" w:hAnsi="Calibri Light" w:cs="Times New Roman"/>
      <w:b/>
      <w:spacing w:val="-10"/>
      <w:kern w:val="28"/>
      <w:sz w:val="44"/>
      <w:szCs w:val="56"/>
      <w:lang w:eastAsia="en-GB"/>
    </w:rPr>
  </w:style>
  <w:style w:type="character" w:styleId="SubtleEmphasis">
    <w:name w:val="Subtle Emphasis"/>
    <w:uiPriority w:val="19"/>
    <w:qFormat/>
    <w:rsid w:val="00331248"/>
    <w:rPr>
      <w:i/>
      <w:iCs/>
      <w:color w:val="404040"/>
    </w:rPr>
  </w:style>
  <w:style w:type="paragraph" w:customStyle="1" w:styleId="italic0">
    <w:name w:val="italic"/>
    <w:basedOn w:val="Italic"/>
    <w:link w:val="italicChar0"/>
    <w:qFormat/>
    <w:rsid w:val="00331248"/>
  </w:style>
  <w:style w:type="character" w:styleId="BookTitle">
    <w:name w:val="Book Title"/>
    <w:uiPriority w:val="33"/>
    <w:qFormat/>
    <w:rsid w:val="001D3CD5"/>
    <w:rPr>
      <w:b/>
      <w:bCs/>
      <w:i/>
      <w:iCs/>
      <w:spacing w:val="5"/>
    </w:rPr>
  </w:style>
  <w:style w:type="character" w:customStyle="1" w:styleId="italicChar0">
    <w:name w:val="italic Char"/>
    <w:link w:val="italic0"/>
    <w:rsid w:val="00331248"/>
    <w:rPr>
      <w:rFonts w:eastAsia="Times New Roman" w:cs="Calibri"/>
      <w:i/>
      <w:sz w:val="24"/>
      <w:szCs w:val="24"/>
      <w:lang w:val="en-US" w:eastAsia="fr-FR"/>
    </w:rPr>
  </w:style>
  <w:style w:type="table" w:customStyle="1" w:styleId="GridTable4-Accent111">
    <w:name w:val="Grid Table 4 - Accent 111"/>
    <w:basedOn w:val="TableNormal"/>
    <w:uiPriority w:val="49"/>
    <w:rsid w:val="009A109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ighlight">
    <w:name w:val="highlight"/>
    <w:basedOn w:val="DefaultParagraphFont"/>
    <w:rsid w:val="006A1F6D"/>
  </w:style>
  <w:style w:type="paragraph" w:styleId="NoSpacing">
    <w:name w:val="No Spacing"/>
    <w:uiPriority w:val="1"/>
    <w:qFormat/>
    <w:rsid w:val="007856DD"/>
    <w:pPr>
      <w:jc w:val="both"/>
    </w:pPr>
    <w:rPr>
      <w:rFonts w:eastAsia="Times New Roman" w:cs="Calibri"/>
      <w:sz w:val="24"/>
      <w:szCs w:val="24"/>
      <w:lang w:eastAsia="fr-FR"/>
    </w:rPr>
  </w:style>
  <w:style w:type="paragraph" w:styleId="Header">
    <w:name w:val="header"/>
    <w:basedOn w:val="Normal"/>
    <w:link w:val="HeaderChar"/>
    <w:uiPriority w:val="99"/>
    <w:unhideWhenUsed/>
    <w:rsid w:val="002105C5"/>
    <w:pPr>
      <w:tabs>
        <w:tab w:val="center" w:pos="4513"/>
        <w:tab w:val="right" w:pos="9026"/>
      </w:tabs>
    </w:pPr>
  </w:style>
  <w:style w:type="character" w:customStyle="1" w:styleId="HeaderChar">
    <w:name w:val="Header Char"/>
    <w:link w:val="Header"/>
    <w:uiPriority w:val="99"/>
    <w:rsid w:val="002105C5"/>
    <w:rPr>
      <w:rFonts w:eastAsia="Times New Roman" w:cs="Calibri"/>
      <w:sz w:val="24"/>
      <w:szCs w:val="24"/>
      <w:lang w:eastAsia="fr-FR"/>
    </w:rPr>
  </w:style>
  <w:style w:type="paragraph" w:customStyle="1" w:styleId="TableStyle">
    <w:name w:val="Table Style"/>
    <w:basedOn w:val="Caption"/>
    <w:link w:val="TableStyleChar"/>
    <w:qFormat/>
    <w:rsid w:val="008E345E"/>
    <w:pPr>
      <w:keepNext/>
      <w:spacing w:before="120" w:after="120"/>
      <w:jc w:val="left"/>
    </w:pPr>
    <w:rPr>
      <w:b/>
      <w:i w:val="0"/>
      <w:color w:val="00B0F0"/>
      <w:sz w:val="20"/>
      <w:szCs w:val="22"/>
    </w:rPr>
  </w:style>
  <w:style w:type="paragraph" w:styleId="Footer">
    <w:name w:val="footer"/>
    <w:basedOn w:val="Normal"/>
    <w:link w:val="FooterChar"/>
    <w:uiPriority w:val="99"/>
    <w:unhideWhenUsed/>
    <w:rsid w:val="00AD5071"/>
    <w:pPr>
      <w:tabs>
        <w:tab w:val="center" w:pos="4513"/>
        <w:tab w:val="right" w:pos="9026"/>
      </w:tabs>
    </w:pPr>
  </w:style>
  <w:style w:type="character" w:customStyle="1" w:styleId="CaptionChar">
    <w:name w:val="Caption Char"/>
    <w:link w:val="Caption"/>
    <w:uiPriority w:val="35"/>
    <w:rsid w:val="00B25774"/>
    <w:rPr>
      <w:rFonts w:eastAsia="Times New Roman" w:cs="Calibri"/>
      <w:i/>
      <w:iCs/>
      <w:color w:val="44546A"/>
      <w:sz w:val="24"/>
      <w:szCs w:val="18"/>
      <w:lang w:eastAsia="fr-FR"/>
    </w:rPr>
  </w:style>
  <w:style w:type="character" w:customStyle="1" w:styleId="TableStyleChar">
    <w:name w:val="Table Style Char"/>
    <w:link w:val="TableStyle"/>
    <w:rsid w:val="008E345E"/>
    <w:rPr>
      <w:rFonts w:eastAsia="Times New Roman" w:cs="Calibri"/>
      <w:b/>
      <w:iCs/>
      <w:color w:val="00B0F0"/>
      <w:szCs w:val="22"/>
      <w:lang w:eastAsia="fr-FR"/>
    </w:rPr>
  </w:style>
  <w:style w:type="character" w:customStyle="1" w:styleId="FooterChar">
    <w:name w:val="Footer Char"/>
    <w:link w:val="Footer"/>
    <w:uiPriority w:val="99"/>
    <w:rsid w:val="00AD5071"/>
    <w:rPr>
      <w:rFonts w:eastAsia="Times New Roman" w:cs="Calibri"/>
      <w:sz w:val="24"/>
      <w:szCs w:val="24"/>
      <w:lang w:eastAsia="fr-FR"/>
    </w:rPr>
  </w:style>
  <w:style w:type="character" w:styleId="LineNumber">
    <w:name w:val="line number"/>
    <w:basedOn w:val="DefaultParagraphFont"/>
    <w:uiPriority w:val="99"/>
    <w:semiHidden/>
    <w:unhideWhenUsed/>
    <w:rsid w:val="00AD5071"/>
  </w:style>
  <w:style w:type="character" w:styleId="IntenseEmphasis">
    <w:name w:val="Intense Emphasis"/>
    <w:uiPriority w:val="21"/>
    <w:qFormat/>
    <w:rsid w:val="009B7BC7"/>
    <w:rPr>
      <w:b/>
      <w:bCs/>
      <w:color w:val="0D557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413">
      <w:bodyDiv w:val="1"/>
      <w:marLeft w:val="0"/>
      <w:marRight w:val="0"/>
      <w:marTop w:val="0"/>
      <w:marBottom w:val="0"/>
      <w:divBdr>
        <w:top w:val="none" w:sz="0" w:space="0" w:color="auto"/>
        <w:left w:val="none" w:sz="0" w:space="0" w:color="auto"/>
        <w:bottom w:val="none" w:sz="0" w:space="0" w:color="auto"/>
        <w:right w:val="none" w:sz="0" w:space="0" w:color="auto"/>
      </w:divBdr>
    </w:div>
    <w:div w:id="34895731">
      <w:bodyDiv w:val="1"/>
      <w:marLeft w:val="0"/>
      <w:marRight w:val="0"/>
      <w:marTop w:val="0"/>
      <w:marBottom w:val="0"/>
      <w:divBdr>
        <w:top w:val="none" w:sz="0" w:space="0" w:color="auto"/>
        <w:left w:val="none" w:sz="0" w:space="0" w:color="auto"/>
        <w:bottom w:val="none" w:sz="0" w:space="0" w:color="auto"/>
        <w:right w:val="none" w:sz="0" w:space="0" w:color="auto"/>
      </w:divBdr>
    </w:div>
    <w:div w:id="3651474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60980327">
      <w:bodyDiv w:val="1"/>
      <w:marLeft w:val="0"/>
      <w:marRight w:val="0"/>
      <w:marTop w:val="0"/>
      <w:marBottom w:val="0"/>
      <w:divBdr>
        <w:top w:val="none" w:sz="0" w:space="0" w:color="auto"/>
        <w:left w:val="none" w:sz="0" w:space="0" w:color="auto"/>
        <w:bottom w:val="none" w:sz="0" w:space="0" w:color="auto"/>
        <w:right w:val="none" w:sz="0" w:space="0" w:color="auto"/>
      </w:divBdr>
    </w:div>
    <w:div w:id="61290999">
      <w:bodyDiv w:val="1"/>
      <w:marLeft w:val="0"/>
      <w:marRight w:val="0"/>
      <w:marTop w:val="0"/>
      <w:marBottom w:val="0"/>
      <w:divBdr>
        <w:top w:val="none" w:sz="0" w:space="0" w:color="auto"/>
        <w:left w:val="none" w:sz="0" w:space="0" w:color="auto"/>
        <w:bottom w:val="none" w:sz="0" w:space="0" w:color="auto"/>
        <w:right w:val="none" w:sz="0" w:space="0" w:color="auto"/>
      </w:divBdr>
    </w:div>
    <w:div w:id="120198592">
      <w:bodyDiv w:val="1"/>
      <w:marLeft w:val="0"/>
      <w:marRight w:val="0"/>
      <w:marTop w:val="0"/>
      <w:marBottom w:val="0"/>
      <w:divBdr>
        <w:top w:val="none" w:sz="0" w:space="0" w:color="auto"/>
        <w:left w:val="none" w:sz="0" w:space="0" w:color="auto"/>
        <w:bottom w:val="none" w:sz="0" w:space="0" w:color="auto"/>
        <w:right w:val="none" w:sz="0" w:space="0" w:color="auto"/>
      </w:divBdr>
    </w:div>
    <w:div w:id="150563825">
      <w:bodyDiv w:val="1"/>
      <w:marLeft w:val="0"/>
      <w:marRight w:val="0"/>
      <w:marTop w:val="0"/>
      <w:marBottom w:val="0"/>
      <w:divBdr>
        <w:top w:val="none" w:sz="0" w:space="0" w:color="auto"/>
        <w:left w:val="none" w:sz="0" w:space="0" w:color="auto"/>
        <w:bottom w:val="none" w:sz="0" w:space="0" w:color="auto"/>
        <w:right w:val="none" w:sz="0" w:space="0" w:color="auto"/>
      </w:divBdr>
    </w:div>
    <w:div w:id="179122765">
      <w:bodyDiv w:val="1"/>
      <w:marLeft w:val="0"/>
      <w:marRight w:val="0"/>
      <w:marTop w:val="0"/>
      <w:marBottom w:val="0"/>
      <w:divBdr>
        <w:top w:val="none" w:sz="0" w:space="0" w:color="auto"/>
        <w:left w:val="none" w:sz="0" w:space="0" w:color="auto"/>
        <w:bottom w:val="none" w:sz="0" w:space="0" w:color="auto"/>
        <w:right w:val="none" w:sz="0" w:space="0" w:color="auto"/>
      </w:divBdr>
    </w:div>
    <w:div w:id="203443283">
      <w:bodyDiv w:val="1"/>
      <w:marLeft w:val="0"/>
      <w:marRight w:val="0"/>
      <w:marTop w:val="0"/>
      <w:marBottom w:val="0"/>
      <w:divBdr>
        <w:top w:val="none" w:sz="0" w:space="0" w:color="auto"/>
        <w:left w:val="none" w:sz="0" w:space="0" w:color="auto"/>
        <w:bottom w:val="none" w:sz="0" w:space="0" w:color="auto"/>
        <w:right w:val="none" w:sz="0" w:space="0" w:color="auto"/>
      </w:divBdr>
    </w:div>
    <w:div w:id="234903727">
      <w:bodyDiv w:val="1"/>
      <w:marLeft w:val="0"/>
      <w:marRight w:val="0"/>
      <w:marTop w:val="0"/>
      <w:marBottom w:val="0"/>
      <w:divBdr>
        <w:top w:val="none" w:sz="0" w:space="0" w:color="auto"/>
        <w:left w:val="none" w:sz="0" w:space="0" w:color="auto"/>
        <w:bottom w:val="none" w:sz="0" w:space="0" w:color="auto"/>
        <w:right w:val="none" w:sz="0" w:space="0" w:color="auto"/>
      </w:divBdr>
    </w:div>
    <w:div w:id="238101261">
      <w:bodyDiv w:val="1"/>
      <w:marLeft w:val="0"/>
      <w:marRight w:val="0"/>
      <w:marTop w:val="0"/>
      <w:marBottom w:val="0"/>
      <w:divBdr>
        <w:top w:val="none" w:sz="0" w:space="0" w:color="auto"/>
        <w:left w:val="none" w:sz="0" w:space="0" w:color="auto"/>
        <w:bottom w:val="none" w:sz="0" w:space="0" w:color="auto"/>
        <w:right w:val="none" w:sz="0" w:space="0" w:color="auto"/>
      </w:divBdr>
    </w:div>
    <w:div w:id="299462086">
      <w:bodyDiv w:val="1"/>
      <w:marLeft w:val="0"/>
      <w:marRight w:val="0"/>
      <w:marTop w:val="0"/>
      <w:marBottom w:val="0"/>
      <w:divBdr>
        <w:top w:val="none" w:sz="0" w:space="0" w:color="auto"/>
        <w:left w:val="none" w:sz="0" w:space="0" w:color="auto"/>
        <w:bottom w:val="none" w:sz="0" w:space="0" w:color="auto"/>
        <w:right w:val="none" w:sz="0" w:space="0" w:color="auto"/>
      </w:divBdr>
    </w:div>
    <w:div w:id="309528245">
      <w:bodyDiv w:val="1"/>
      <w:marLeft w:val="0"/>
      <w:marRight w:val="0"/>
      <w:marTop w:val="0"/>
      <w:marBottom w:val="0"/>
      <w:divBdr>
        <w:top w:val="none" w:sz="0" w:space="0" w:color="auto"/>
        <w:left w:val="none" w:sz="0" w:space="0" w:color="auto"/>
        <w:bottom w:val="none" w:sz="0" w:space="0" w:color="auto"/>
        <w:right w:val="none" w:sz="0" w:space="0" w:color="auto"/>
      </w:divBdr>
    </w:div>
    <w:div w:id="333188487">
      <w:bodyDiv w:val="1"/>
      <w:marLeft w:val="0"/>
      <w:marRight w:val="0"/>
      <w:marTop w:val="0"/>
      <w:marBottom w:val="0"/>
      <w:divBdr>
        <w:top w:val="none" w:sz="0" w:space="0" w:color="auto"/>
        <w:left w:val="none" w:sz="0" w:space="0" w:color="auto"/>
        <w:bottom w:val="none" w:sz="0" w:space="0" w:color="auto"/>
        <w:right w:val="none" w:sz="0" w:space="0" w:color="auto"/>
      </w:divBdr>
    </w:div>
    <w:div w:id="364211429">
      <w:bodyDiv w:val="1"/>
      <w:marLeft w:val="0"/>
      <w:marRight w:val="0"/>
      <w:marTop w:val="0"/>
      <w:marBottom w:val="0"/>
      <w:divBdr>
        <w:top w:val="none" w:sz="0" w:space="0" w:color="auto"/>
        <w:left w:val="none" w:sz="0" w:space="0" w:color="auto"/>
        <w:bottom w:val="none" w:sz="0" w:space="0" w:color="auto"/>
        <w:right w:val="none" w:sz="0" w:space="0" w:color="auto"/>
      </w:divBdr>
    </w:div>
    <w:div w:id="373896588">
      <w:bodyDiv w:val="1"/>
      <w:marLeft w:val="0"/>
      <w:marRight w:val="0"/>
      <w:marTop w:val="0"/>
      <w:marBottom w:val="0"/>
      <w:divBdr>
        <w:top w:val="none" w:sz="0" w:space="0" w:color="auto"/>
        <w:left w:val="none" w:sz="0" w:space="0" w:color="auto"/>
        <w:bottom w:val="none" w:sz="0" w:space="0" w:color="auto"/>
        <w:right w:val="none" w:sz="0" w:space="0" w:color="auto"/>
      </w:divBdr>
    </w:div>
    <w:div w:id="382604016">
      <w:bodyDiv w:val="1"/>
      <w:marLeft w:val="0"/>
      <w:marRight w:val="0"/>
      <w:marTop w:val="0"/>
      <w:marBottom w:val="0"/>
      <w:divBdr>
        <w:top w:val="none" w:sz="0" w:space="0" w:color="auto"/>
        <w:left w:val="none" w:sz="0" w:space="0" w:color="auto"/>
        <w:bottom w:val="none" w:sz="0" w:space="0" w:color="auto"/>
        <w:right w:val="none" w:sz="0" w:space="0" w:color="auto"/>
      </w:divBdr>
    </w:div>
    <w:div w:id="444814752">
      <w:bodyDiv w:val="1"/>
      <w:marLeft w:val="0"/>
      <w:marRight w:val="0"/>
      <w:marTop w:val="0"/>
      <w:marBottom w:val="0"/>
      <w:divBdr>
        <w:top w:val="none" w:sz="0" w:space="0" w:color="auto"/>
        <w:left w:val="none" w:sz="0" w:space="0" w:color="auto"/>
        <w:bottom w:val="none" w:sz="0" w:space="0" w:color="auto"/>
        <w:right w:val="none" w:sz="0" w:space="0" w:color="auto"/>
      </w:divBdr>
    </w:div>
    <w:div w:id="455830201">
      <w:bodyDiv w:val="1"/>
      <w:marLeft w:val="0"/>
      <w:marRight w:val="0"/>
      <w:marTop w:val="0"/>
      <w:marBottom w:val="0"/>
      <w:divBdr>
        <w:top w:val="none" w:sz="0" w:space="0" w:color="auto"/>
        <w:left w:val="none" w:sz="0" w:space="0" w:color="auto"/>
        <w:bottom w:val="none" w:sz="0" w:space="0" w:color="auto"/>
        <w:right w:val="none" w:sz="0" w:space="0" w:color="auto"/>
      </w:divBdr>
    </w:div>
    <w:div w:id="483164086">
      <w:bodyDiv w:val="1"/>
      <w:marLeft w:val="0"/>
      <w:marRight w:val="0"/>
      <w:marTop w:val="0"/>
      <w:marBottom w:val="0"/>
      <w:divBdr>
        <w:top w:val="none" w:sz="0" w:space="0" w:color="auto"/>
        <w:left w:val="none" w:sz="0" w:space="0" w:color="auto"/>
        <w:bottom w:val="none" w:sz="0" w:space="0" w:color="auto"/>
        <w:right w:val="none" w:sz="0" w:space="0" w:color="auto"/>
      </w:divBdr>
    </w:div>
    <w:div w:id="500775895">
      <w:bodyDiv w:val="1"/>
      <w:marLeft w:val="0"/>
      <w:marRight w:val="0"/>
      <w:marTop w:val="0"/>
      <w:marBottom w:val="0"/>
      <w:divBdr>
        <w:top w:val="none" w:sz="0" w:space="0" w:color="auto"/>
        <w:left w:val="none" w:sz="0" w:space="0" w:color="auto"/>
        <w:bottom w:val="none" w:sz="0" w:space="0" w:color="auto"/>
        <w:right w:val="none" w:sz="0" w:space="0" w:color="auto"/>
      </w:divBdr>
    </w:div>
    <w:div w:id="535390413">
      <w:bodyDiv w:val="1"/>
      <w:marLeft w:val="0"/>
      <w:marRight w:val="0"/>
      <w:marTop w:val="0"/>
      <w:marBottom w:val="0"/>
      <w:divBdr>
        <w:top w:val="none" w:sz="0" w:space="0" w:color="auto"/>
        <w:left w:val="none" w:sz="0" w:space="0" w:color="auto"/>
        <w:bottom w:val="none" w:sz="0" w:space="0" w:color="auto"/>
        <w:right w:val="none" w:sz="0" w:space="0" w:color="auto"/>
      </w:divBdr>
    </w:div>
    <w:div w:id="565918612">
      <w:bodyDiv w:val="1"/>
      <w:marLeft w:val="0"/>
      <w:marRight w:val="0"/>
      <w:marTop w:val="0"/>
      <w:marBottom w:val="0"/>
      <w:divBdr>
        <w:top w:val="none" w:sz="0" w:space="0" w:color="auto"/>
        <w:left w:val="none" w:sz="0" w:space="0" w:color="auto"/>
        <w:bottom w:val="none" w:sz="0" w:space="0" w:color="auto"/>
        <w:right w:val="none" w:sz="0" w:space="0" w:color="auto"/>
      </w:divBdr>
    </w:div>
    <w:div w:id="627470268">
      <w:bodyDiv w:val="1"/>
      <w:marLeft w:val="0"/>
      <w:marRight w:val="0"/>
      <w:marTop w:val="0"/>
      <w:marBottom w:val="0"/>
      <w:divBdr>
        <w:top w:val="none" w:sz="0" w:space="0" w:color="auto"/>
        <w:left w:val="none" w:sz="0" w:space="0" w:color="auto"/>
        <w:bottom w:val="none" w:sz="0" w:space="0" w:color="auto"/>
        <w:right w:val="none" w:sz="0" w:space="0" w:color="auto"/>
      </w:divBdr>
    </w:div>
    <w:div w:id="643508928">
      <w:bodyDiv w:val="1"/>
      <w:marLeft w:val="0"/>
      <w:marRight w:val="0"/>
      <w:marTop w:val="0"/>
      <w:marBottom w:val="0"/>
      <w:divBdr>
        <w:top w:val="none" w:sz="0" w:space="0" w:color="auto"/>
        <w:left w:val="none" w:sz="0" w:space="0" w:color="auto"/>
        <w:bottom w:val="none" w:sz="0" w:space="0" w:color="auto"/>
        <w:right w:val="none" w:sz="0" w:space="0" w:color="auto"/>
      </w:divBdr>
    </w:div>
    <w:div w:id="658382787">
      <w:bodyDiv w:val="1"/>
      <w:marLeft w:val="0"/>
      <w:marRight w:val="0"/>
      <w:marTop w:val="0"/>
      <w:marBottom w:val="0"/>
      <w:divBdr>
        <w:top w:val="none" w:sz="0" w:space="0" w:color="auto"/>
        <w:left w:val="none" w:sz="0" w:space="0" w:color="auto"/>
        <w:bottom w:val="none" w:sz="0" w:space="0" w:color="auto"/>
        <w:right w:val="none" w:sz="0" w:space="0" w:color="auto"/>
      </w:divBdr>
    </w:div>
    <w:div w:id="680929728">
      <w:bodyDiv w:val="1"/>
      <w:marLeft w:val="0"/>
      <w:marRight w:val="0"/>
      <w:marTop w:val="0"/>
      <w:marBottom w:val="0"/>
      <w:divBdr>
        <w:top w:val="none" w:sz="0" w:space="0" w:color="auto"/>
        <w:left w:val="none" w:sz="0" w:space="0" w:color="auto"/>
        <w:bottom w:val="none" w:sz="0" w:space="0" w:color="auto"/>
        <w:right w:val="none" w:sz="0" w:space="0" w:color="auto"/>
      </w:divBdr>
    </w:div>
    <w:div w:id="684868507">
      <w:bodyDiv w:val="1"/>
      <w:marLeft w:val="0"/>
      <w:marRight w:val="0"/>
      <w:marTop w:val="0"/>
      <w:marBottom w:val="0"/>
      <w:divBdr>
        <w:top w:val="none" w:sz="0" w:space="0" w:color="auto"/>
        <w:left w:val="none" w:sz="0" w:space="0" w:color="auto"/>
        <w:bottom w:val="none" w:sz="0" w:space="0" w:color="auto"/>
        <w:right w:val="none" w:sz="0" w:space="0" w:color="auto"/>
      </w:divBdr>
    </w:div>
    <w:div w:id="689726497">
      <w:bodyDiv w:val="1"/>
      <w:marLeft w:val="0"/>
      <w:marRight w:val="0"/>
      <w:marTop w:val="0"/>
      <w:marBottom w:val="0"/>
      <w:divBdr>
        <w:top w:val="none" w:sz="0" w:space="0" w:color="auto"/>
        <w:left w:val="none" w:sz="0" w:space="0" w:color="auto"/>
        <w:bottom w:val="none" w:sz="0" w:space="0" w:color="auto"/>
        <w:right w:val="none" w:sz="0" w:space="0" w:color="auto"/>
      </w:divBdr>
    </w:div>
    <w:div w:id="695696855">
      <w:bodyDiv w:val="1"/>
      <w:marLeft w:val="0"/>
      <w:marRight w:val="0"/>
      <w:marTop w:val="0"/>
      <w:marBottom w:val="0"/>
      <w:divBdr>
        <w:top w:val="none" w:sz="0" w:space="0" w:color="auto"/>
        <w:left w:val="none" w:sz="0" w:space="0" w:color="auto"/>
        <w:bottom w:val="none" w:sz="0" w:space="0" w:color="auto"/>
        <w:right w:val="none" w:sz="0" w:space="0" w:color="auto"/>
      </w:divBdr>
    </w:div>
    <w:div w:id="797451714">
      <w:bodyDiv w:val="1"/>
      <w:marLeft w:val="0"/>
      <w:marRight w:val="0"/>
      <w:marTop w:val="0"/>
      <w:marBottom w:val="0"/>
      <w:divBdr>
        <w:top w:val="none" w:sz="0" w:space="0" w:color="auto"/>
        <w:left w:val="none" w:sz="0" w:space="0" w:color="auto"/>
        <w:bottom w:val="none" w:sz="0" w:space="0" w:color="auto"/>
        <w:right w:val="none" w:sz="0" w:space="0" w:color="auto"/>
      </w:divBdr>
    </w:div>
    <w:div w:id="816336018">
      <w:bodyDiv w:val="1"/>
      <w:marLeft w:val="0"/>
      <w:marRight w:val="0"/>
      <w:marTop w:val="0"/>
      <w:marBottom w:val="0"/>
      <w:divBdr>
        <w:top w:val="none" w:sz="0" w:space="0" w:color="auto"/>
        <w:left w:val="none" w:sz="0" w:space="0" w:color="auto"/>
        <w:bottom w:val="none" w:sz="0" w:space="0" w:color="auto"/>
        <w:right w:val="none" w:sz="0" w:space="0" w:color="auto"/>
      </w:divBdr>
    </w:div>
    <w:div w:id="819729315">
      <w:bodyDiv w:val="1"/>
      <w:marLeft w:val="0"/>
      <w:marRight w:val="0"/>
      <w:marTop w:val="0"/>
      <w:marBottom w:val="0"/>
      <w:divBdr>
        <w:top w:val="none" w:sz="0" w:space="0" w:color="auto"/>
        <w:left w:val="none" w:sz="0" w:space="0" w:color="auto"/>
        <w:bottom w:val="none" w:sz="0" w:space="0" w:color="auto"/>
        <w:right w:val="none" w:sz="0" w:space="0" w:color="auto"/>
      </w:divBdr>
    </w:div>
    <w:div w:id="825777978">
      <w:bodyDiv w:val="1"/>
      <w:marLeft w:val="0"/>
      <w:marRight w:val="0"/>
      <w:marTop w:val="0"/>
      <w:marBottom w:val="0"/>
      <w:divBdr>
        <w:top w:val="none" w:sz="0" w:space="0" w:color="auto"/>
        <w:left w:val="none" w:sz="0" w:space="0" w:color="auto"/>
        <w:bottom w:val="none" w:sz="0" w:space="0" w:color="auto"/>
        <w:right w:val="none" w:sz="0" w:space="0" w:color="auto"/>
      </w:divBdr>
    </w:div>
    <w:div w:id="856192302">
      <w:bodyDiv w:val="1"/>
      <w:marLeft w:val="0"/>
      <w:marRight w:val="0"/>
      <w:marTop w:val="0"/>
      <w:marBottom w:val="0"/>
      <w:divBdr>
        <w:top w:val="none" w:sz="0" w:space="0" w:color="auto"/>
        <w:left w:val="none" w:sz="0" w:space="0" w:color="auto"/>
        <w:bottom w:val="none" w:sz="0" w:space="0" w:color="auto"/>
        <w:right w:val="none" w:sz="0" w:space="0" w:color="auto"/>
      </w:divBdr>
    </w:div>
    <w:div w:id="870339059">
      <w:bodyDiv w:val="1"/>
      <w:marLeft w:val="0"/>
      <w:marRight w:val="0"/>
      <w:marTop w:val="0"/>
      <w:marBottom w:val="0"/>
      <w:divBdr>
        <w:top w:val="none" w:sz="0" w:space="0" w:color="auto"/>
        <w:left w:val="none" w:sz="0" w:space="0" w:color="auto"/>
        <w:bottom w:val="none" w:sz="0" w:space="0" w:color="auto"/>
        <w:right w:val="none" w:sz="0" w:space="0" w:color="auto"/>
      </w:divBdr>
    </w:div>
    <w:div w:id="895161416">
      <w:bodyDiv w:val="1"/>
      <w:marLeft w:val="0"/>
      <w:marRight w:val="0"/>
      <w:marTop w:val="0"/>
      <w:marBottom w:val="0"/>
      <w:divBdr>
        <w:top w:val="none" w:sz="0" w:space="0" w:color="auto"/>
        <w:left w:val="none" w:sz="0" w:space="0" w:color="auto"/>
        <w:bottom w:val="none" w:sz="0" w:space="0" w:color="auto"/>
        <w:right w:val="none" w:sz="0" w:space="0" w:color="auto"/>
      </w:divBdr>
    </w:div>
    <w:div w:id="903636106">
      <w:bodyDiv w:val="1"/>
      <w:marLeft w:val="0"/>
      <w:marRight w:val="0"/>
      <w:marTop w:val="0"/>
      <w:marBottom w:val="0"/>
      <w:divBdr>
        <w:top w:val="none" w:sz="0" w:space="0" w:color="auto"/>
        <w:left w:val="none" w:sz="0" w:space="0" w:color="auto"/>
        <w:bottom w:val="none" w:sz="0" w:space="0" w:color="auto"/>
        <w:right w:val="none" w:sz="0" w:space="0" w:color="auto"/>
      </w:divBdr>
    </w:div>
    <w:div w:id="951281858">
      <w:bodyDiv w:val="1"/>
      <w:marLeft w:val="0"/>
      <w:marRight w:val="0"/>
      <w:marTop w:val="0"/>
      <w:marBottom w:val="0"/>
      <w:divBdr>
        <w:top w:val="none" w:sz="0" w:space="0" w:color="auto"/>
        <w:left w:val="none" w:sz="0" w:space="0" w:color="auto"/>
        <w:bottom w:val="none" w:sz="0" w:space="0" w:color="auto"/>
        <w:right w:val="none" w:sz="0" w:space="0" w:color="auto"/>
      </w:divBdr>
    </w:div>
    <w:div w:id="987515730">
      <w:bodyDiv w:val="1"/>
      <w:marLeft w:val="0"/>
      <w:marRight w:val="0"/>
      <w:marTop w:val="0"/>
      <w:marBottom w:val="0"/>
      <w:divBdr>
        <w:top w:val="none" w:sz="0" w:space="0" w:color="auto"/>
        <w:left w:val="none" w:sz="0" w:space="0" w:color="auto"/>
        <w:bottom w:val="none" w:sz="0" w:space="0" w:color="auto"/>
        <w:right w:val="none" w:sz="0" w:space="0" w:color="auto"/>
      </w:divBdr>
    </w:div>
    <w:div w:id="1005396704">
      <w:bodyDiv w:val="1"/>
      <w:marLeft w:val="0"/>
      <w:marRight w:val="0"/>
      <w:marTop w:val="0"/>
      <w:marBottom w:val="0"/>
      <w:divBdr>
        <w:top w:val="none" w:sz="0" w:space="0" w:color="auto"/>
        <w:left w:val="none" w:sz="0" w:space="0" w:color="auto"/>
        <w:bottom w:val="none" w:sz="0" w:space="0" w:color="auto"/>
        <w:right w:val="none" w:sz="0" w:space="0" w:color="auto"/>
      </w:divBdr>
    </w:div>
    <w:div w:id="1018968761">
      <w:bodyDiv w:val="1"/>
      <w:marLeft w:val="0"/>
      <w:marRight w:val="0"/>
      <w:marTop w:val="0"/>
      <w:marBottom w:val="0"/>
      <w:divBdr>
        <w:top w:val="none" w:sz="0" w:space="0" w:color="auto"/>
        <w:left w:val="none" w:sz="0" w:space="0" w:color="auto"/>
        <w:bottom w:val="none" w:sz="0" w:space="0" w:color="auto"/>
        <w:right w:val="none" w:sz="0" w:space="0" w:color="auto"/>
      </w:divBdr>
    </w:div>
    <w:div w:id="1063679025">
      <w:bodyDiv w:val="1"/>
      <w:marLeft w:val="0"/>
      <w:marRight w:val="0"/>
      <w:marTop w:val="0"/>
      <w:marBottom w:val="0"/>
      <w:divBdr>
        <w:top w:val="none" w:sz="0" w:space="0" w:color="auto"/>
        <w:left w:val="none" w:sz="0" w:space="0" w:color="auto"/>
        <w:bottom w:val="none" w:sz="0" w:space="0" w:color="auto"/>
        <w:right w:val="none" w:sz="0" w:space="0" w:color="auto"/>
      </w:divBdr>
    </w:div>
    <w:div w:id="1080322921">
      <w:bodyDiv w:val="1"/>
      <w:marLeft w:val="0"/>
      <w:marRight w:val="0"/>
      <w:marTop w:val="0"/>
      <w:marBottom w:val="0"/>
      <w:divBdr>
        <w:top w:val="none" w:sz="0" w:space="0" w:color="auto"/>
        <w:left w:val="none" w:sz="0" w:space="0" w:color="auto"/>
        <w:bottom w:val="none" w:sz="0" w:space="0" w:color="auto"/>
        <w:right w:val="none" w:sz="0" w:space="0" w:color="auto"/>
      </w:divBdr>
    </w:div>
    <w:div w:id="1148782232">
      <w:bodyDiv w:val="1"/>
      <w:marLeft w:val="0"/>
      <w:marRight w:val="0"/>
      <w:marTop w:val="0"/>
      <w:marBottom w:val="0"/>
      <w:divBdr>
        <w:top w:val="none" w:sz="0" w:space="0" w:color="auto"/>
        <w:left w:val="none" w:sz="0" w:space="0" w:color="auto"/>
        <w:bottom w:val="none" w:sz="0" w:space="0" w:color="auto"/>
        <w:right w:val="none" w:sz="0" w:space="0" w:color="auto"/>
      </w:divBdr>
    </w:div>
    <w:div w:id="1149783781">
      <w:bodyDiv w:val="1"/>
      <w:marLeft w:val="0"/>
      <w:marRight w:val="0"/>
      <w:marTop w:val="0"/>
      <w:marBottom w:val="0"/>
      <w:divBdr>
        <w:top w:val="none" w:sz="0" w:space="0" w:color="auto"/>
        <w:left w:val="none" w:sz="0" w:space="0" w:color="auto"/>
        <w:bottom w:val="none" w:sz="0" w:space="0" w:color="auto"/>
        <w:right w:val="none" w:sz="0" w:space="0" w:color="auto"/>
      </w:divBdr>
    </w:div>
    <w:div w:id="1153596870">
      <w:bodyDiv w:val="1"/>
      <w:marLeft w:val="0"/>
      <w:marRight w:val="0"/>
      <w:marTop w:val="0"/>
      <w:marBottom w:val="0"/>
      <w:divBdr>
        <w:top w:val="none" w:sz="0" w:space="0" w:color="auto"/>
        <w:left w:val="none" w:sz="0" w:space="0" w:color="auto"/>
        <w:bottom w:val="none" w:sz="0" w:space="0" w:color="auto"/>
        <w:right w:val="none" w:sz="0" w:space="0" w:color="auto"/>
      </w:divBdr>
    </w:div>
    <w:div w:id="1206984556">
      <w:bodyDiv w:val="1"/>
      <w:marLeft w:val="0"/>
      <w:marRight w:val="0"/>
      <w:marTop w:val="0"/>
      <w:marBottom w:val="0"/>
      <w:divBdr>
        <w:top w:val="none" w:sz="0" w:space="0" w:color="auto"/>
        <w:left w:val="none" w:sz="0" w:space="0" w:color="auto"/>
        <w:bottom w:val="none" w:sz="0" w:space="0" w:color="auto"/>
        <w:right w:val="none" w:sz="0" w:space="0" w:color="auto"/>
      </w:divBdr>
    </w:div>
    <w:div w:id="1209142816">
      <w:bodyDiv w:val="1"/>
      <w:marLeft w:val="0"/>
      <w:marRight w:val="0"/>
      <w:marTop w:val="0"/>
      <w:marBottom w:val="0"/>
      <w:divBdr>
        <w:top w:val="none" w:sz="0" w:space="0" w:color="auto"/>
        <w:left w:val="none" w:sz="0" w:space="0" w:color="auto"/>
        <w:bottom w:val="none" w:sz="0" w:space="0" w:color="auto"/>
        <w:right w:val="none" w:sz="0" w:space="0" w:color="auto"/>
      </w:divBdr>
    </w:div>
    <w:div w:id="1245801595">
      <w:bodyDiv w:val="1"/>
      <w:marLeft w:val="0"/>
      <w:marRight w:val="0"/>
      <w:marTop w:val="0"/>
      <w:marBottom w:val="0"/>
      <w:divBdr>
        <w:top w:val="none" w:sz="0" w:space="0" w:color="auto"/>
        <w:left w:val="none" w:sz="0" w:space="0" w:color="auto"/>
        <w:bottom w:val="none" w:sz="0" w:space="0" w:color="auto"/>
        <w:right w:val="none" w:sz="0" w:space="0" w:color="auto"/>
      </w:divBdr>
    </w:div>
    <w:div w:id="1281257927">
      <w:bodyDiv w:val="1"/>
      <w:marLeft w:val="0"/>
      <w:marRight w:val="0"/>
      <w:marTop w:val="0"/>
      <w:marBottom w:val="0"/>
      <w:divBdr>
        <w:top w:val="none" w:sz="0" w:space="0" w:color="auto"/>
        <w:left w:val="none" w:sz="0" w:space="0" w:color="auto"/>
        <w:bottom w:val="none" w:sz="0" w:space="0" w:color="auto"/>
        <w:right w:val="none" w:sz="0" w:space="0" w:color="auto"/>
      </w:divBdr>
    </w:div>
    <w:div w:id="1292590691">
      <w:bodyDiv w:val="1"/>
      <w:marLeft w:val="0"/>
      <w:marRight w:val="0"/>
      <w:marTop w:val="0"/>
      <w:marBottom w:val="0"/>
      <w:divBdr>
        <w:top w:val="none" w:sz="0" w:space="0" w:color="auto"/>
        <w:left w:val="none" w:sz="0" w:space="0" w:color="auto"/>
        <w:bottom w:val="none" w:sz="0" w:space="0" w:color="auto"/>
        <w:right w:val="none" w:sz="0" w:space="0" w:color="auto"/>
      </w:divBdr>
    </w:div>
    <w:div w:id="1298606490">
      <w:bodyDiv w:val="1"/>
      <w:marLeft w:val="0"/>
      <w:marRight w:val="0"/>
      <w:marTop w:val="0"/>
      <w:marBottom w:val="0"/>
      <w:divBdr>
        <w:top w:val="none" w:sz="0" w:space="0" w:color="auto"/>
        <w:left w:val="none" w:sz="0" w:space="0" w:color="auto"/>
        <w:bottom w:val="none" w:sz="0" w:space="0" w:color="auto"/>
        <w:right w:val="none" w:sz="0" w:space="0" w:color="auto"/>
      </w:divBdr>
    </w:div>
    <w:div w:id="1381368906">
      <w:bodyDiv w:val="1"/>
      <w:marLeft w:val="0"/>
      <w:marRight w:val="0"/>
      <w:marTop w:val="0"/>
      <w:marBottom w:val="0"/>
      <w:divBdr>
        <w:top w:val="none" w:sz="0" w:space="0" w:color="auto"/>
        <w:left w:val="none" w:sz="0" w:space="0" w:color="auto"/>
        <w:bottom w:val="none" w:sz="0" w:space="0" w:color="auto"/>
        <w:right w:val="none" w:sz="0" w:space="0" w:color="auto"/>
      </w:divBdr>
    </w:div>
    <w:div w:id="1469200230">
      <w:bodyDiv w:val="1"/>
      <w:marLeft w:val="0"/>
      <w:marRight w:val="0"/>
      <w:marTop w:val="0"/>
      <w:marBottom w:val="0"/>
      <w:divBdr>
        <w:top w:val="none" w:sz="0" w:space="0" w:color="auto"/>
        <w:left w:val="none" w:sz="0" w:space="0" w:color="auto"/>
        <w:bottom w:val="none" w:sz="0" w:space="0" w:color="auto"/>
        <w:right w:val="none" w:sz="0" w:space="0" w:color="auto"/>
      </w:divBdr>
    </w:div>
    <w:div w:id="1514494997">
      <w:bodyDiv w:val="1"/>
      <w:marLeft w:val="0"/>
      <w:marRight w:val="0"/>
      <w:marTop w:val="0"/>
      <w:marBottom w:val="0"/>
      <w:divBdr>
        <w:top w:val="none" w:sz="0" w:space="0" w:color="auto"/>
        <w:left w:val="none" w:sz="0" w:space="0" w:color="auto"/>
        <w:bottom w:val="none" w:sz="0" w:space="0" w:color="auto"/>
        <w:right w:val="none" w:sz="0" w:space="0" w:color="auto"/>
      </w:divBdr>
    </w:div>
    <w:div w:id="1558856267">
      <w:bodyDiv w:val="1"/>
      <w:marLeft w:val="0"/>
      <w:marRight w:val="0"/>
      <w:marTop w:val="0"/>
      <w:marBottom w:val="0"/>
      <w:divBdr>
        <w:top w:val="none" w:sz="0" w:space="0" w:color="auto"/>
        <w:left w:val="none" w:sz="0" w:space="0" w:color="auto"/>
        <w:bottom w:val="none" w:sz="0" w:space="0" w:color="auto"/>
        <w:right w:val="none" w:sz="0" w:space="0" w:color="auto"/>
      </w:divBdr>
    </w:div>
    <w:div w:id="1595552782">
      <w:bodyDiv w:val="1"/>
      <w:marLeft w:val="0"/>
      <w:marRight w:val="0"/>
      <w:marTop w:val="0"/>
      <w:marBottom w:val="0"/>
      <w:divBdr>
        <w:top w:val="none" w:sz="0" w:space="0" w:color="auto"/>
        <w:left w:val="none" w:sz="0" w:space="0" w:color="auto"/>
        <w:bottom w:val="none" w:sz="0" w:space="0" w:color="auto"/>
        <w:right w:val="none" w:sz="0" w:space="0" w:color="auto"/>
      </w:divBdr>
    </w:div>
    <w:div w:id="1600142282">
      <w:bodyDiv w:val="1"/>
      <w:marLeft w:val="0"/>
      <w:marRight w:val="0"/>
      <w:marTop w:val="0"/>
      <w:marBottom w:val="0"/>
      <w:divBdr>
        <w:top w:val="none" w:sz="0" w:space="0" w:color="auto"/>
        <w:left w:val="none" w:sz="0" w:space="0" w:color="auto"/>
        <w:bottom w:val="none" w:sz="0" w:space="0" w:color="auto"/>
        <w:right w:val="none" w:sz="0" w:space="0" w:color="auto"/>
      </w:divBdr>
    </w:div>
    <w:div w:id="1614283189">
      <w:bodyDiv w:val="1"/>
      <w:marLeft w:val="0"/>
      <w:marRight w:val="0"/>
      <w:marTop w:val="0"/>
      <w:marBottom w:val="0"/>
      <w:divBdr>
        <w:top w:val="none" w:sz="0" w:space="0" w:color="auto"/>
        <w:left w:val="none" w:sz="0" w:space="0" w:color="auto"/>
        <w:bottom w:val="none" w:sz="0" w:space="0" w:color="auto"/>
        <w:right w:val="none" w:sz="0" w:space="0" w:color="auto"/>
      </w:divBdr>
    </w:div>
    <w:div w:id="1631323190">
      <w:bodyDiv w:val="1"/>
      <w:marLeft w:val="0"/>
      <w:marRight w:val="0"/>
      <w:marTop w:val="0"/>
      <w:marBottom w:val="0"/>
      <w:divBdr>
        <w:top w:val="none" w:sz="0" w:space="0" w:color="auto"/>
        <w:left w:val="none" w:sz="0" w:space="0" w:color="auto"/>
        <w:bottom w:val="none" w:sz="0" w:space="0" w:color="auto"/>
        <w:right w:val="none" w:sz="0" w:space="0" w:color="auto"/>
      </w:divBdr>
    </w:div>
    <w:div w:id="1665232901">
      <w:bodyDiv w:val="1"/>
      <w:marLeft w:val="0"/>
      <w:marRight w:val="0"/>
      <w:marTop w:val="0"/>
      <w:marBottom w:val="0"/>
      <w:divBdr>
        <w:top w:val="none" w:sz="0" w:space="0" w:color="auto"/>
        <w:left w:val="none" w:sz="0" w:space="0" w:color="auto"/>
        <w:bottom w:val="none" w:sz="0" w:space="0" w:color="auto"/>
        <w:right w:val="none" w:sz="0" w:space="0" w:color="auto"/>
      </w:divBdr>
    </w:div>
    <w:div w:id="1686518795">
      <w:bodyDiv w:val="1"/>
      <w:marLeft w:val="0"/>
      <w:marRight w:val="0"/>
      <w:marTop w:val="0"/>
      <w:marBottom w:val="0"/>
      <w:divBdr>
        <w:top w:val="none" w:sz="0" w:space="0" w:color="auto"/>
        <w:left w:val="none" w:sz="0" w:space="0" w:color="auto"/>
        <w:bottom w:val="none" w:sz="0" w:space="0" w:color="auto"/>
        <w:right w:val="none" w:sz="0" w:space="0" w:color="auto"/>
      </w:divBdr>
    </w:div>
    <w:div w:id="1715042051">
      <w:bodyDiv w:val="1"/>
      <w:marLeft w:val="0"/>
      <w:marRight w:val="0"/>
      <w:marTop w:val="0"/>
      <w:marBottom w:val="0"/>
      <w:divBdr>
        <w:top w:val="none" w:sz="0" w:space="0" w:color="auto"/>
        <w:left w:val="none" w:sz="0" w:space="0" w:color="auto"/>
        <w:bottom w:val="none" w:sz="0" w:space="0" w:color="auto"/>
        <w:right w:val="none" w:sz="0" w:space="0" w:color="auto"/>
      </w:divBdr>
    </w:div>
    <w:div w:id="1715542772">
      <w:bodyDiv w:val="1"/>
      <w:marLeft w:val="0"/>
      <w:marRight w:val="0"/>
      <w:marTop w:val="0"/>
      <w:marBottom w:val="0"/>
      <w:divBdr>
        <w:top w:val="none" w:sz="0" w:space="0" w:color="auto"/>
        <w:left w:val="none" w:sz="0" w:space="0" w:color="auto"/>
        <w:bottom w:val="none" w:sz="0" w:space="0" w:color="auto"/>
        <w:right w:val="none" w:sz="0" w:space="0" w:color="auto"/>
      </w:divBdr>
    </w:div>
    <w:div w:id="1740128205">
      <w:bodyDiv w:val="1"/>
      <w:marLeft w:val="0"/>
      <w:marRight w:val="0"/>
      <w:marTop w:val="0"/>
      <w:marBottom w:val="0"/>
      <w:divBdr>
        <w:top w:val="none" w:sz="0" w:space="0" w:color="auto"/>
        <w:left w:val="none" w:sz="0" w:space="0" w:color="auto"/>
        <w:bottom w:val="none" w:sz="0" w:space="0" w:color="auto"/>
        <w:right w:val="none" w:sz="0" w:space="0" w:color="auto"/>
      </w:divBdr>
    </w:div>
    <w:div w:id="1761099940">
      <w:bodyDiv w:val="1"/>
      <w:marLeft w:val="0"/>
      <w:marRight w:val="0"/>
      <w:marTop w:val="0"/>
      <w:marBottom w:val="0"/>
      <w:divBdr>
        <w:top w:val="none" w:sz="0" w:space="0" w:color="auto"/>
        <w:left w:val="none" w:sz="0" w:space="0" w:color="auto"/>
        <w:bottom w:val="none" w:sz="0" w:space="0" w:color="auto"/>
        <w:right w:val="none" w:sz="0" w:space="0" w:color="auto"/>
      </w:divBdr>
    </w:div>
    <w:div w:id="1763994295">
      <w:bodyDiv w:val="1"/>
      <w:marLeft w:val="0"/>
      <w:marRight w:val="0"/>
      <w:marTop w:val="0"/>
      <w:marBottom w:val="0"/>
      <w:divBdr>
        <w:top w:val="none" w:sz="0" w:space="0" w:color="auto"/>
        <w:left w:val="none" w:sz="0" w:space="0" w:color="auto"/>
        <w:bottom w:val="none" w:sz="0" w:space="0" w:color="auto"/>
        <w:right w:val="none" w:sz="0" w:space="0" w:color="auto"/>
      </w:divBdr>
    </w:div>
    <w:div w:id="1816684067">
      <w:bodyDiv w:val="1"/>
      <w:marLeft w:val="0"/>
      <w:marRight w:val="0"/>
      <w:marTop w:val="0"/>
      <w:marBottom w:val="0"/>
      <w:divBdr>
        <w:top w:val="none" w:sz="0" w:space="0" w:color="auto"/>
        <w:left w:val="none" w:sz="0" w:space="0" w:color="auto"/>
        <w:bottom w:val="none" w:sz="0" w:space="0" w:color="auto"/>
        <w:right w:val="none" w:sz="0" w:space="0" w:color="auto"/>
      </w:divBdr>
    </w:div>
    <w:div w:id="1829861500">
      <w:bodyDiv w:val="1"/>
      <w:marLeft w:val="0"/>
      <w:marRight w:val="0"/>
      <w:marTop w:val="0"/>
      <w:marBottom w:val="0"/>
      <w:divBdr>
        <w:top w:val="none" w:sz="0" w:space="0" w:color="auto"/>
        <w:left w:val="none" w:sz="0" w:space="0" w:color="auto"/>
        <w:bottom w:val="none" w:sz="0" w:space="0" w:color="auto"/>
        <w:right w:val="none" w:sz="0" w:space="0" w:color="auto"/>
      </w:divBdr>
    </w:div>
    <w:div w:id="1843742879">
      <w:bodyDiv w:val="1"/>
      <w:marLeft w:val="0"/>
      <w:marRight w:val="0"/>
      <w:marTop w:val="0"/>
      <w:marBottom w:val="0"/>
      <w:divBdr>
        <w:top w:val="none" w:sz="0" w:space="0" w:color="auto"/>
        <w:left w:val="none" w:sz="0" w:space="0" w:color="auto"/>
        <w:bottom w:val="none" w:sz="0" w:space="0" w:color="auto"/>
        <w:right w:val="none" w:sz="0" w:space="0" w:color="auto"/>
      </w:divBdr>
    </w:div>
    <w:div w:id="1849246682">
      <w:bodyDiv w:val="1"/>
      <w:marLeft w:val="0"/>
      <w:marRight w:val="0"/>
      <w:marTop w:val="0"/>
      <w:marBottom w:val="0"/>
      <w:divBdr>
        <w:top w:val="none" w:sz="0" w:space="0" w:color="auto"/>
        <w:left w:val="none" w:sz="0" w:space="0" w:color="auto"/>
        <w:bottom w:val="none" w:sz="0" w:space="0" w:color="auto"/>
        <w:right w:val="none" w:sz="0" w:space="0" w:color="auto"/>
      </w:divBdr>
    </w:div>
    <w:div w:id="1869023976">
      <w:bodyDiv w:val="1"/>
      <w:marLeft w:val="0"/>
      <w:marRight w:val="0"/>
      <w:marTop w:val="0"/>
      <w:marBottom w:val="0"/>
      <w:divBdr>
        <w:top w:val="none" w:sz="0" w:space="0" w:color="auto"/>
        <w:left w:val="none" w:sz="0" w:space="0" w:color="auto"/>
        <w:bottom w:val="none" w:sz="0" w:space="0" w:color="auto"/>
        <w:right w:val="none" w:sz="0" w:space="0" w:color="auto"/>
      </w:divBdr>
    </w:div>
    <w:div w:id="1883899942">
      <w:bodyDiv w:val="1"/>
      <w:marLeft w:val="0"/>
      <w:marRight w:val="0"/>
      <w:marTop w:val="0"/>
      <w:marBottom w:val="0"/>
      <w:divBdr>
        <w:top w:val="none" w:sz="0" w:space="0" w:color="auto"/>
        <w:left w:val="none" w:sz="0" w:space="0" w:color="auto"/>
        <w:bottom w:val="none" w:sz="0" w:space="0" w:color="auto"/>
        <w:right w:val="none" w:sz="0" w:space="0" w:color="auto"/>
      </w:divBdr>
    </w:div>
    <w:div w:id="1925264211">
      <w:bodyDiv w:val="1"/>
      <w:marLeft w:val="0"/>
      <w:marRight w:val="0"/>
      <w:marTop w:val="0"/>
      <w:marBottom w:val="0"/>
      <w:divBdr>
        <w:top w:val="none" w:sz="0" w:space="0" w:color="auto"/>
        <w:left w:val="none" w:sz="0" w:space="0" w:color="auto"/>
        <w:bottom w:val="none" w:sz="0" w:space="0" w:color="auto"/>
        <w:right w:val="none" w:sz="0" w:space="0" w:color="auto"/>
      </w:divBdr>
    </w:div>
    <w:div w:id="1955400061">
      <w:bodyDiv w:val="1"/>
      <w:marLeft w:val="0"/>
      <w:marRight w:val="0"/>
      <w:marTop w:val="0"/>
      <w:marBottom w:val="0"/>
      <w:divBdr>
        <w:top w:val="none" w:sz="0" w:space="0" w:color="auto"/>
        <w:left w:val="none" w:sz="0" w:space="0" w:color="auto"/>
        <w:bottom w:val="none" w:sz="0" w:space="0" w:color="auto"/>
        <w:right w:val="none" w:sz="0" w:space="0" w:color="auto"/>
      </w:divBdr>
    </w:div>
    <w:div w:id="1975599113">
      <w:bodyDiv w:val="1"/>
      <w:marLeft w:val="0"/>
      <w:marRight w:val="0"/>
      <w:marTop w:val="0"/>
      <w:marBottom w:val="0"/>
      <w:divBdr>
        <w:top w:val="none" w:sz="0" w:space="0" w:color="auto"/>
        <w:left w:val="none" w:sz="0" w:space="0" w:color="auto"/>
        <w:bottom w:val="none" w:sz="0" w:space="0" w:color="auto"/>
        <w:right w:val="none" w:sz="0" w:space="0" w:color="auto"/>
      </w:divBdr>
    </w:div>
    <w:div w:id="21198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yperlink" Target="mailto:pulei13@gmail.com" TargetMode="External"/><Relationship Id="rId21" Type="http://schemas.openxmlformats.org/officeDocument/2006/relationships/footer" Target="footer3.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mailto:jturere@yahoo.com" TargetMode="External"/><Relationship Id="rId33" Type="http://schemas.openxmlformats.org/officeDocument/2006/relationships/hyperlink" Target="mailto:juliussekoyo@yahoo.com" TargetMode="Externa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29" Type="http://schemas.openxmlformats.org/officeDocument/2006/relationships/hyperlink" Target="mailto:douglasketon@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nsadira@gmail.com" TargetMode="External"/><Relationship Id="rId32" Type="http://schemas.openxmlformats.org/officeDocument/2006/relationships/hyperlink" Target="mailto:Jacksonritei1@gmail.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wprisc3@gmail.com" TargetMode="External"/><Relationship Id="rId28" Type="http://schemas.openxmlformats.org/officeDocument/2006/relationships/hyperlink" Target="mailto:opiyoleon@gmail.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lukenajulo@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yperlink" Target="mailto:samsonsirere@gmail.com" TargetMode="External"/><Relationship Id="rId30" Type="http://schemas.openxmlformats.org/officeDocument/2006/relationships/hyperlink" Target="mailto:andrewmwange@yahoo.com"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EBF6BFE4EBA3C4483A6DA13E46ACFDE" ma:contentTypeVersion="3" ma:contentTypeDescription="" ma:contentTypeScope="" ma:versionID="c92616878fd32d454f3f7d1326a56530">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000450030:Christine Anyango Owuor:cowuor@worldbank.org;</DocAuthors>
    <Authors xmlns="b99a068c-3844-4a16-badd-77233eea0529">
      <UserInfo>
        <DisplayName>i:0#.w|wb\wb450030</DisplayName>
        <AccountId>12680</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2019-03-12T04:00:00+00:00</DocumentDate>
    <WBDocType xmlns="b99a068c-3844-4a16-badd-77233eea0529">Report</WBDocType>
    <SecurityClassification xmlns="b99a068c-3844-4a16-badd-77233eea0529">Public</SecurityClassification>
    <DeliverableID xmlns="b99a068c-3844-4a16-badd-77233eea0529">DLV0240221</DeliverableID>
    <ProjectID xmlns="b99a068c-3844-4a16-badd-77233eea0529">P157209</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F7BD7A56-1289-4D24-9DF7-05299B18908D}">
  <ds:schemaRefs>
    <ds:schemaRef ds:uri="http://schemas.microsoft.com/sharepoint/v3/contenttype/forms"/>
  </ds:schemaRefs>
</ds:datastoreItem>
</file>

<file path=customXml/itemProps2.xml><?xml version="1.0" encoding="utf-8"?>
<ds:datastoreItem xmlns:ds="http://schemas.openxmlformats.org/officeDocument/2006/customXml" ds:itemID="{FB096107-ECDA-4EA0-8AC8-472D4A9A8CC7}"/>
</file>

<file path=customXml/itemProps3.xml><?xml version="1.0" encoding="utf-8"?>
<ds:datastoreItem xmlns:ds="http://schemas.openxmlformats.org/officeDocument/2006/customXml" ds:itemID="{44837252-1E19-487C-AF0C-574F5617424B}">
  <ds:schemaRefs>
    <ds:schemaRef ds:uri="http://schemas.microsoft.com/office/2006/metadata/properties"/>
    <ds:schemaRef ds:uri="http://schemas.microsoft.com/office/infopath/2007/PartnerControls"/>
    <ds:schemaRef ds:uri="bf45fa88-98c7-47bb-888f-84717ead0ae6"/>
  </ds:schemaRefs>
</ds:datastoreItem>
</file>

<file path=customXml/itemProps4.xml><?xml version="1.0" encoding="utf-8"?>
<ds:datastoreItem xmlns:ds="http://schemas.openxmlformats.org/officeDocument/2006/customXml" ds:itemID="{A667EA1E-6E85-487E-8FD0-9428A120C414}">
  <ds:schemaRefs>
    <ds:schemaRef ds:uri="http://schemas.openxmlformats.org/officeDocument/2006/bibliography"/>
  </ds:schemaRefs>
</ds:datastoreItem>
</file>

<file path=customXml/itemProps5.xml><?xml version="1.0" encoding="utf-8"?>
<ds:datastoreItem xmlns:ds="http://schemas.openxmlformats.org/officeDocument/2006/customXml" ds:itemID="{9785199E-A01D-4EAF-AC57-60C70C6CF268}"/>
</file>

<file path=docProps/app.xml><?xml version="1.0" encoding="utf-8"?>
<Properties xmlns="http://schemas.openxmlformats.org/officeDocument/2006/extended-properties" xmlns:vt="http://schemas.openxmlformats.org/officeDocument/2006/docPropsVTypes">
  <Template>Normal.dotm</Template>
  <TotalTime>0</TotalTime>
  <Pages>3</Pages>
  <Words>38802</Words>
  <Characters>221177</Characters>
  <Application>Microsoft Office Word</Application>
  <DocSecurity>0</DocSecurity>
  <Lines>1843</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259461</CharactersWithSpaces>
  <SharedDoc>false</SharedDoc>
  <HLinks>
    <vt:vector size="396" baseType="variant">
      <vt:variant>
        <vt:i4>8323165</vt:i4>
      </vt:variant>
      <vt:variant>
        <vt:i4>423</vt:i4>
      </vt:variant>
      <vt:variant>
        <vt:i4>0</vt:i4>
      </vt:variant>
      <vt:variant>
        <vt:i4>5</vt:i4>
      </vt:variant>
      <vt:variant>
        <vt:lpwstr>mailto:juliussekoyo@yahoo.com</vt:lpwstr>
      </vt:variant>
      <vt:variant>
        <vt:lpwstr/>
      </vt:variant>
      <vt:variant>
        <vt:i4>3080261</vt:i4>
      </vt:variant>
      <vt:variant>
        <vt:i4>420</vt:i4>
      </vt:variant>
      <vt:variant>
        <vt:i4>0</vt:i4>
      </vt:variant>
      <vt:variant>
        <vt:i4>5</vt:i4>
      </vt:variant>
      <vt:variant>
        <vt:lpwstr>mailto:Jacksonritei1@gmail.com</vt:lpwstr>
      </vt:variant>
      <vt:variant>
        <vt:lpwstr/>
      </vt:variant>
      <vt:variant>
        <vt:i4>131132</vt:i4>
      </vt:variant>
      <vt:variant>
        <vt:i4>417</vt:i4>
      </vt:variant>
      <vt:variant>
        <vt:i4>0</vt:i4>
      </vt:variant>
      <vt:variant>
        <vt:i4>5</vt:i4>
      </vt:variant>
      <vt:variant>
        <vt:lpwstr>mailto:lukenajulo@yahoo.com</vt:lpwstr>
      </vt:variant>
      <vt:variant>
        <vt:lpwstr/>
      </vt:variant>
      <vt:variant>
        <vt:i4>6684736</vt:i4>
      </vt:variant>
      <vt:variant>
        <vt:i4>414</vt:i4>
      </vt:variant>
      <vt:variant>
        <vt:i4>0</vt:i4>
      </vt:variant>
      <vt:variant>
        <vt:i4>5</vt:i4>
      </vt:variant>
      <vt:variant>
        <vt:lpwstr>mailto:andrewmwange@yahoo.com</vt:lpwstr>
      </vt:variant>
      <vt:variant>
        <vt:lpwstr/>
      </vt:variant>
      <vt:variant>
        <vt:i4>6488155</vt:i4>
      </vt:variant>
      <vt:variant>
        <vt:i4>411</vt:i4>
      </vt:variant>
      <vt:variant>
        <vt:i4>0</vt:i4>
      </vt:variant>
      <vt:variant>
        <vt:i4>5</vt:i4>
      </vt:variant>
      <vt:variant>
        <vt:lpwstr>mailto:douglasketon@gmail.com</vt:lpwstr>
      </vt:variant>
      <vt:variant>
        <vt:lpwstr/>
      </vt:variant>
      <vt:variant>
        <vt:i4>6553669</vt:i4>
      </vt:variant>
      <vt:variant>
        <vt:i4>408</vt:i4>
      </vt:variant>
      <vt:variant>
        <vt:i4>0</vt:i4>
      </vt:variant>
      <vt:variant>
        <vt:i4>5</vt:i4>
      </vt:variant>
      <vt:variant>
        <vt:lpwstr>mailto:opiyoleon@gmail.com</vt:lpwstr>
      </vt:variant>
      <vt:variant>
        <vt:lpwstr/>
      </vt:variant>
      <vt:variant>
        <vt:i4>6619222</vt:i4>
      </vt:variant>
      <vt:variant>
        <vt:i4>405</vt:i4>
      </vt:variant>
      <vt:variant>
        <vt:i4>0</vt:i4>
      </vt:variant>
      <vt:variant>
        <vt:i4>5</vt:i4>
      </vt:variant>
      <vt:variant>
        <vt:lpwstr>mailto:samsonsirere@gmail.com</vt:lpwstr>
      </vt:variant>
      <vt:variant>
        <vt:lpwstr/>
      </vt:variant>
      <vt:variant>
        <vt:i4>4194414</vt:i4>
      </vt:variant>
      <vt:variant>
        <vt:i4>402</vt:i4>
      </vt:variant>
      <vt:variant>
        <vt:i4>0</vt:i4>
      </vt:variant>
      <vt:variant>
        <vt:i4>5</vt:i4>
      </vt:variant>
      <vt:variant>
        <vt:lpwstr>mailto:pulei13@gmail.com</vt:lpwstr>
      </vt:variant>
      <vt:variant>
        <vt:lpwstr/>
      </vt:variant>
      <vt:variant>
        <vt:i4>852017</vt:i4>
      </vt:variant>
      <vt:variant>
        <vt:i4>399</vt:i4>
      </vt:variant>
      <vt:variant>
        <vt:i4>0</vt:i4>
      </vt:variant>
      <vt:variant>
        <vt:i4>5</vt:i4>
      </vt:variant>
      <vt:variant>
        <vt:lpwstr>mailto:jturere@yahoo.com</vt:lpwstr>
      </vt:variant>
      <vt:variant>
        <vt:lpwstr/>
      </vt:variant>
      <vt:variant>
        <vt:i4>6291524</vt:i4>
      </vt:variant>
      <vt:variant>
        <vt:i4>396</vt:i4>
      </vt:variant>
      <vt:variant>
        <vt:i4>0</vt:i4>
      </vt:variant>
      <vt:variant>
        <vt:i4>5</vt:i4>
      </vt:variant>
      <vt:variant>
        <vt:lpwstr>mailto:annsadira@gmail.com</vt:lpwstr>
      </vt:variant>
      <vt:variant>
        <vt:lpwstr/>
      </vt:variant>
      <vt:variant>
        <vt:i4>4390965</vt:i4>
      </vt:variant>
      <vt:variant>
        <vt:i4>393</vt:i4>
      </vt:variant>
      <vt:variant>
        <vt:i4>0</vt:i4>
      </vt:variant>
      <vt:variant>
        <vt:i4>5</vt:i4>
      </vt:variant>
      <vt:variant>
        <vt:lpwstr>mailto:wprisc3@gmail.com</vt:lpwstr>
      </vt:variant>
      <vt:variant>
        <vt:lpwstr/>
      </vt:variant>
      <vt:variant>
        <vt:i4>1114175</vt:i4>
      </vt:variant>
      <vt:variant>
        <vt:i4>332</vt:i4>
      </vt:variant>
      <vt:variant>
        <vt:i4>0</vt:i4>
      </vt:variant>
      <vt:variant>
        <vt:i4>5</vt:i4>
      </vt:variant>
      <vt:variant>
        <vt:lpwstr/>
      </vt:variant>
      <vt:variant>
        <vt:lpwstr>_Toc497385491</vt:lpwstr>
      </vt:variant>
      <vt:variant>
        <vt:i4>1114175</vt:i4>
      </vt:variant>
      <vt:variant>
        <vt:i4>326</vt:i4>
      </vt:variant>
      <vt:variant>
        <vt:i4>0</vt:i4>
      </vt:variant>
      <vt:variant>
        <vt:i4>5</vt:i4>
      </vt:variant>
      <vt:variant>
        <vt:lpwstr/>
      </vt:variant>
      <vt:variant>
        <vt:lpwstr>_Toc497385490</vt:lpwstr>
      </vt:variant>
      <vt:variant>
        <vt:i4>1048639</vt:i4>
      </vt:variant>
      <vt:variant>
        <vt:i4>320</vt:i4>
      </vt:variant>
      <vt:variant>
        <vt:i4>0</vt:i4>
      </vt:variant>
      <vt:variant>
        <vt:i4>5</vt:i4>
      </vt:variant>
      <vt:variant>
        <vt:lpwstr/>
      </vt:variant>
      <vt:variant>
        <vt:lpwstr>_Toc497385489</vt:lpwstr>
      </vt:variant>
      <vt:variant>
        <vt:i4>1048639</vt:i4>
      </vt:variant>
      <vt:variant>
        <vt:i4>314</vt:i4>
      </vt:variant>
      <vt:variant>
        <vt:i4>0</vt:i4>
      </vt:variant>
      <vt:variant>
        <vt:i4>5</vt:i4>
      </vt:variant>
      <vt:variant>
        <vt:lpwstr/>
      </vt:variant>
      <vt:variant>
        <vt:lpwstr>_Toc497385488</vt:lpwstr>
      </vt:variant>
      <vt:variant>
        <vt:i4>1048639</vt:i4>
      </vt:variant>
      <vt:variant>
        <vt:i4>308</vt:i4>
      </vt:variant>
      <vt:variant>
        <vt:i4>0</vt:i4>
      </vt:variant>
      <vt:variant>
        <vt:i4>5</vt:i4>
      </vt:variant>
      <vt:variant>
        <vt:lpwstr/>
      </vt:variant>
      <vt:variant>
        <vt:lpwstr>_Toc497385487</vt:lpwstr>
      </vt:variant>
      <vt:variant>
        <vt:i4>1048639</vt:i4>
      </vt:variant>
      <vt:variant>
        <vt:i4>302</vt:i4>
      </vt:variant>
      <vt:variant>
        <vt:i4>0</vt:i4>
      </vt:variant>
      <vt:variant>
        <vt:i4>5</vt:i4>
      </vt:variant>
      <vt:variant>
        <vt:lpwstr/>
      </vt:variant>
      <vt:variant>
        <vt:lpwstr>_Toc497385486</vt:lpwstr>
      </vt:variant>
      <vt:variant>
        <vt:i4>1048639</vt:i4>
      </vt:variant>
      <vt:variant>
        <vt:i4>296</vt:i4>
      </vt:variant>
      <vt:variant>
        <vt:i4>0</vt:i4>
      </vt:variant>
      <vt:variant>
        <vt:i4>5</vt:i4>
      </vt:variant>
      <vt:variant>
        <vt:lpwstr/>
      </vt:variant>
      <vt:variant>
        <vt:lpwstr>_Toc497385485</vt:lpwstr>
      </vt:variant>
      <vt:variant>
        <vt:i4>1048639</vt:i4>
      </vt:variant>
      <vt:variant>
        <vt:i4>290</vt:i4>
      </vt:variant>
      <vt:variant>
        <vt:i4>0</vt:i4>
      </vt:variant>
      <vt:variant>
        <vt:i4>5</vt:i4>
      </vt:variant>
      <vt:variant>
        <vt:lpwstr/>
      </vt:variant>
      <vt:variant>
        <vt:lpwstr>_Toc497385484</vt:lpwstr>
      </vt:variant>
      <vt:variant>
        <vt:i4>1048639</vt:i4>
      </vt:variant>
      <vt:variant>
        <vt:i4>284</vt:i4>
      </vt:variant>
      <vt:variant>
        <vt:i4>0</vt:i4>
      </vt:variant>
      <vt:variant>
        <vt:i4>5</vt:i4>
      </vt:variant>
      <vt:variant>
        <vt:lpwstr/>
      </vt:variant>
      <vt:variant>
        <vt:lpwstr>_Toc497385483</vt:lpwstr>
      </vt:variant>
      <vt:variant>
        <vt:i4>1048639</vt:i4>
      </vt:variant>
      <vt:variant>
        <vt:i4>278</vt:i4>
      </vt:variant>
      <vt:variant>
        <vt:i4>0</vt:i4>
      </vt:variant>
      <vt:variant>
        <vt:i4>5</vt:i4>
      </vt:variant>
      <vt:variant>
        <vt:lpwstr/>
      </vt:variant>
      <vt:variant>
        <vt:lpwstr>_Toc497385482</vt:lpwstr>
      </vt:variant>
      <vt:variant>
        <vt:i4>1048639</vt:i4>
      </vt:variant>
      <vt:variant>
        <vt:i4>272</vt:i4>
      </vt:variant>
      <vt:variant>
        <vt:i4>0</vt:i4>
      </vt:variant>
      <vt:variant>
        <vt:i4>5</vt:i4>
      </vt:variant>
      <vt:variant>
        <vt:lpwstr/>
      </vt:variant>
      <vt:variant>
        <vt:lpwstr>_Toc497385481</vt:lpwstr>
      </vt:variant>
      <vt:variant>
        <vt:i4>1048639</vt:i4>
      </vt:variant>
      <vt:variant>
        <vt:i4>266</vt:i4>
      </vt:variant>
      <vt:variant>
        <vt:i4>0</vt:i4>
      </vt:variant>
      <vt:variant>
        <vt:i4>5</vt:i4>
      </vt:variant>
      <vt:variant>
        <vt:lpwstr/>
      </vt:variant>
      <vt:variant>
        <vt:lpwstr>_Toc497385480</vt:lpwstr>
      </vt:variant>
      <vt:variant>
        <vt:i4>1114175</vt:i4>
      </vt:variant>
      <vt:variant>
        <vt:i4>257</vt:i4>
      </vt:variant>
      <vt:variant>
        <vt:i4>0</vt:i4>
      </vt:variant>
      <vt:variant>
        <vt:i4>5</vt:i4>
      </vt:variant>
      <vt:variant>
        <vt:lpwstr/>
      </vt:variant>
      <vt:variant>
        <vt:lpwstr>_Toc497385497</vt:lpwstr>
      </vt:variant>
      <vt:variant>
        <vt:i4>1114175</vt:i4>
      </vt:variant>
      <vt:variant>
        <vt:i4>251</vt:i4>
      </vt:variant>
      <vt:variant>
        <vt:i4>0</vt:i4>
      </vt:variant>
      <vt:variant>
        <vt:i4>5</vt:i4>
      </vt:variant>
      <vt:variant>
        <vt:lpwstr/>
      </vt:variant>
      <vt:variant>
        <vt:lpwstr>_Toc497385496</vt:lpwstr>
      </vt:variant>
      <vt:variant>
        <vt:i4>1114175</vt:i4>
      </vt:variant>
      <vt:variant>
        <vt:i4>245</vt:i4>
      </vt:variant>
      <vt:variant>
        <vt:i4>0</vt:i4>
      </vt:variant>
      <vt:variant>
        <vt:i4>5</vt:i4>
      </vt:variant>
      <vt:variant>
        <vt:lpwstr/>
      </vt:variant>
      <vt:variant>
        <vt:lpwstr>_Toc497385495</vt:lpwstr>
      </vt:variant>
      <vt:variant>
        <vt:i4>1114175</vt:i4>
      </vt:variant>
      <vt:variant>
        <vt:i4>239</vt:i4>
      </vt:variant>
      <vt:variant>
        <vt:i4>0</vt:i4>
      </vt:variant>
      <vt:variant>
        <vt:i4>5</vt:i4>
      </vt:variant>
      <vt:variant>
        <vt:lpwstr/>
      </vt:variant>
      <vt:variant>
        <vt:lpwstr>_Toc497385494</vt:lpwstr>
      </vt:variant>
      <vt:variant>
        <vt:i4>1114175</vt:i4>
      </vt:variant>
      <vt:variant>
        <vt:i4>233</vt:i4>
      </vt:variant>
      <vt:variant>
        <vt:i4>0</vt:i4>
      </vt:variant>
      <vt:variant>
        <vt:i4>5</vt:i4>
      </vt:variant>
      <vt:variant>
        <vt:lpwstr/>
      </vt:variant>
      <vt:variant>
        <vt:lpwstr>_Toc497385493</vt:lpwstr>
      </vt:variant>
      <vt:variant>
        <vt:i4>1114175</vt:i4>
      </vt:variant>
      <vt:variant>
        <vt:i4>227</vt:i4>
      </vt:variant>
      <vt:variant>
        <vt:i4>0</vt:i4>
      </vt:variant>
      <vt:variant>
        <vt:i4>5</vt:i4>
      </vt:variant>
      <vt:variant>
        <vt:lpwstr/>
      </vt:variant>
      <vt:variant>
        <vt:lpwstr>_Toc497385492</vt:lpwstr>
      </vt:variant>
      <vt:variant>
        <vt:i4>2031679</vt:i4>
      </vt:variant>
      <vt:variant>
        <vt:i4>218</vt:i4>
      </vt:variant>
      <vt:variant>
        <vt:i4>0</vt:i4>
      </vt:variant>
      <vt:variant>
        <vt:i4>5</vt:i4>
      </vt:variant>
      <vt:variant>
        <vt:lpwstr/>
      </vt:variant>
      <vt:variant>
        <vt:lpwstr>_Toc497385479</vt:lpwstr>
      </vt:variant>
      <vt:variant>
        <vt:i4>2031679</vt:i4>
      </vt:variant>
      <vt:variant>
        <vt:i4>212</vt:i4>
      </vt:variant>
      <vt:variant>
        <vt:i4>0</vt:i4>
      </vt:variant>
      <vt:variant>
        <vt:i4>5</vt:i4>
      </vt:variant>
      <vt:variant>
        <vt:lpwstr/>
      </vt:variant>
      <vt:variant>
        <vt:lpwstr>_Toc497385478</vt:lpwstr>
      </vt:variant>
      <vt:variant>
        <vt:i4>2031679</vt:i4>
      </vt:variant>
      <vt:variant>
        <vt:i4>206</vt:i4>
      </vt:variant>
      <vt:variant>
        <vt:i4>0</vt:i4>
      </vt:variant>
      <vt:variant>
        <vt:i4>5</vt:i4>
      </vt:variant>
      <vt:variant>
        <vt:lpwstr/>
      </vt:variant>
      <vt:variant>
        <vt:lpwstr>_Toc497385477</vt:lpwstr>
      </vt:variant>
      <vt:variant>
        <vt:i4>2031679</vt:i4>
      </vt:variant>
      <vt:variant>
        <vt:i4>200</vt:i4>
      </vt:variant>
      <vt:variant>
        <vt:i4>0</vt:i4>
      </vt:variant>
      <vt:variant>
        <vt:i4>5</vt:i4>
      </vt:variant>
      <vt:variant>
        <vt:lpwstr/>
      </vt:variant>
      <vt:variant>
        <vt:lpwstr>_Toc497385476</vt:lpwstr>
      </vt:variant>
      <vt:variant>
        <vt:i4>2031679</vt:i4>
      </vt:variant>
      <vt:variant>
        <vt:i4>194</vt:i4>
      </vt:variant>
      <vt:variant>
        <vt:i4>0</vt:i4>
      </vt:variant>
      <vt:variant>
        <vt:i4>5</vt:i4>
      </vt:variant>
      <vt:variant>
        <vt:lpwstr/>
      </vt:variant>
      <vt:variant>
        <vt:lpwstr>_Toc497385475</vt:lpwstr>
      </vt:variant>
      <vt:variant>
        <vt:i4>2031679</vt:i4>
      </vt:variant>
      <vt:variant>
        <vt:i4>188</vt:i4>
      </vt:variant>
      <vt:variant>
        <vt:i4>0</vt:i4>
      </vt:variant>
      <vt:variant>
        <vt:i4>5</vt:i4>
      </vt:variant>
      <vt:variant>
        <vt:lpwstr/>
      </vt:variant>
      <vt:variant>
        <vt:lpwstr>_Toc497385474</vt:lpwstr>
      </vt:variant>
      <vt:variant>
        <vt:i4>2031679</vt:i4>
      </vt:variant>
      <vt:variant>
        <vt:i4>182</vt:i4>
      </vt:variant>
      <vt:variant>
        <vt:i4>0</vt:i4>
      </vt:variant>
      <vt:variant>
        <vt:i4>5</vt:i4>
      </vt:variant>
      <vt:variant>
        <vt:lpwstr/>
      </vt:variant>
      <vt:variant>
        <vt:lpwstr>_Toc497385473</vt:lpwstr>
      </vt:variant>
      <vt:variant>
        <vt:i4>2031679</vt:i4>
      </vt:variant>
      <vt:variant>
        <vt:i4>176</vt:i4>
      </vt:variant>
      <vt:variant>
        <vt:i4>0</vt:i4>
      </vt:variant>
      <vt:variant>
        <vt:i4>5</vt:i4>
      </vt:variant>
      <vt:variant>
        <vt:lpwstr/>
      </vt:variant>
      <vt:variant>
        <vt:lpwstr>_Toc497385472</vt:lpwstr>
      </vt:variant>
      <vt:variant>
        <vt:i4>2031679</vt:i4>
      </vt:variant>
      <vt:variant>
        <vt:i4>170</vt:i4>
      </vt:variant>
      <vt:variant>
        <vt:i4>0</vt:i4>
      </vt:variant>
      <vt:variant>
        <vt:i4>5</vt:i4>
      </vt:variant>
      <vt:variant>
        <vt:lpwstr/>
      </vt:variant>
      <vt:variant>
        <vt:lpwstr>_Toc497385471</vt:lpwstr>
      </vt:variant>
      <vt:variant>
        <vt:i4>2031679</vt:i4>
      </vt:variant>
      <vt:variant>
        <vt:i4>164</vt:i4>
      </vt:variant>
      <vt:variant>
        <vt:i4>0</vt:i4>
      </vt:variant>
      <vt:variant>
        <vt:i4>5</vt:i4>
      </vt:variant>
      <vt:variant>
        <vt:lpwstr/>
      </vt:variant>
      <vt:variant>
        <vt:lpwstr>_Toc497385470</vt:lpwstr>
      </vt:variant>
      <vt:variant>
        <vt:i4>1966143</vt:i4>
      </vt:variant>
      <vt:variant>
        <vt:i4>158</vt:i4>
      </vt:variant>
      <vt:variant>
        <vt:i4>0</vt:i4>
      </vt:variant>
      <vt:variant>
        <vt:i4>5</vt:i4>
      </vt:variant>
      <vt:variant>
        <vt:lpwstr/>
      </vt:variant>
      <vt:variant>
        <vt:lpwstr>_Toc497385469</vt:lpwstr>
      </vt:variant>
      <vt:variant>
        <vt:i4>1966143</vt:i4>
      </vt:variant>
      <vt:variant>
        <vt:i4>152</vt:i4>
      </vt:variant>
      <vt:variant>
        <vt:i4>0</vt:i4>
      </vt:variant>
      <vt:variant>
        <vt:i4>5</vt:i4>
      </vt:variant>
      <vt:variant>
        <vt:lpwstr/>
      </vt:variant>
      <vt:variant>
        <vt:lpwstr>_Toc497385468</vt:lpwstr>
      </vt:variant>
      <vt:variant>
        <vt:i4>1966143</vt:i4>
      </vt:variant>
      <vt:variant>
        <vt:i4>146</vt:i4>
      </vt:variant>
      <vt:variant>
        <vt:i4>0</vt:i4>
      </vt:variant>
      <vt:variant>
        <vt:i4>5</vt:i4>
      </vt:variant>
      <vt:variant>
        <vt:lpwstr/>
      </vt:variant>
      <vt:variant>
        <vt:lpwstr>_Toc497385467</vt:lpwstr>
      </vt:variant>
      <vt:variant>
        <vt:i4>1966143</vt:i4>
      </vt:variant>
      <vt:variant>
        <vt:i4>140</vt:i4>
      </vt:variant>
      <vt:variant>
        <vt:i4>0</vt:i4>
      </vt:variant>
      <vt:variant>
        <vt:i4>5</vt:i4>
      </vt:variant>
      <vt:variant>
        <vt:lpwstr/>
      </vt:variant>
      <vt:variant>
        <vt:lpwstr>_Toc497385466</vt:lpwstr>
      </vt:variant>
      <vt:variant>
        <vt:i4>1966143</vt:i4>
      </vt:variant>
      <vt:variant>
        <vt:i4>134</vt:i4>
      </vt:variant>
      <vt:variant>
        <vt:i4>0</vt:i4>
      </vt:variant>
      <vt:variant>
        <vt:i4>5</vt:i4>
      </vt:variant>
      <vt:variant>
        <vt:lpwstr/>
      </vt:variant>
      <vt:variant>
        <vt:lpwstr>_Toc497385465</vt:lpwstr>
      </vt:variant>
      <vt:variant>
        <vt:i4>1966143</vt:i4>
      </vt:variant>
      <vt:variant>
        <vt:i4>128</vt:i4>
      </vt:variant>
      <vt:variant>
        <vt:i4>0</vt:i4>
      </vt:variant>
      <vt:variant>
        <vt:i4>5</vt:i4>
      </vt:variant>
      <vt:variant>
        <vt:lpwstr/>
      </vt:variant>
      <vt:variant>
        <vt:lpwstr>_Toc497385464</vt:lpwstr>
      </vt:variant>
      <vt:variant>
        <vt:i4>1966143</vt:i4>
      </vt:variant>
      <vt:variant>
        <vt:i4>122</vt:i4>
      </vt:variant>
      <vt:variant>
        <vt:i4>0</vt:i4>
      </vt:variant>
      <vt:variant>
        <vt:i4>5</vt:i4>
      </vt:variant>
      <vt:variant>
        <vt:lpwstr/>
      </vt:variant>
      <vt:variant>
        <vt:lpwstr>_Toc497385463</vt:lpwstr>
      </vt:variant>
      <vt:variant>
        <vt:i4>1966143</vt:i4>
      </vt:variant>
      <vt:variant>
        <vt:i4>116</vt:i4>
      </vt:variant>
      <vt:variant>
        <vt:i4>0</vt:i4>
      </vt:variant>
      <vt:variant>
        <vt:i4>5</vt:i4>
      </vt:variant>
      <vt:variant>
        <vt:lpwstr/>
      </vt:variant>
      <vt:variant>
        <vt:lpwstr>_Toc497385462</vt:lpwstr>
      </vt:variant>
      <vt:variant>
        <vt:i4>1966143</vt:i4>
      </vt:variant>
      <vt:variant>
        <vt:i4>110</vt:i4>
      </vt:variant>
      <vt:variant>
        <vt:i4>0</vt:i4>
      </vt:variant>
      <vt:variant>
        <vt:i4>5</vt:i4>
      </vt:variant>
      <vt:variant>
        <vt:lpwstr/>
      </vt:variant>
      <vt:variant>
        <vt:lpwstr>_Toc497385461</vt:lpwstr>
      </vt:variant>
      <vt:variant>
        <vt:i4>1966143</vt:i4>
      </vt:variant>
      <vt:variant>
        <vt:i4>104</vt:i4>
      </vt:variant>
      <vt:variant>
        <vt:i4>0</vt:i4>
      </vt:variant>
      <vt:variant>
        <vt:i4>5</vt:i4>
      </vt:variant>
      <vt:variant>
        <vt:lpwstr/>
      </vt:variant>
      <vt:variant>
        <vt:lpwstr>_Toc497385460</vt:lpwstr>
      </vt:variant>
      <vt:variant>
        <vt:i4>1900607</vt:i4>
      </vt:variant>
      <vt:variant>
        <vt:i4>98</vt:i4>
      </vt:variant>
      <vt:variant>
        <vt:i4>0</vt:i4>
      </vt:variant>
      <vt:variant>
        <vt:i4>5</vt:i4>
      </vt:variant>
      <vt:variant>
        <vt:lpwstr/>
      </vt:variant>
      <vt:variant>
        <vt:lpwstr>_Toc497385459</vt:lpwstr>
      </vt:variant>
      <vt:variant>
        <vt:i4>1900607</vt:i4>
      </vt:variant>
      <vt:variant>
        <vt:i4>92</vt:i4>
      </vt:variant>
      <vt:variant>
        <vt:i4>0</vt:i4>
      </vt:variant>
      <vt:variant>
        <vt:i4>5</vt:i4>
      </vt:variant>
      <vt:variant>
        <vt:lpwstr/>
      </vt:variant>
      <vt:variant>
        <vt:lpwstr>_Toc497385458</vt:lpwstr>
      </vt:variant>
      <vt:variant>
        <vt:i4>1900607</vt:i4>
      </vt:variant>
      <vt:variant>
        <vt:i4>86</vt:i4>
      </vt:variant>
      <vt:variant>
        <vt:i4>0</vt:i4>
      </vt:variant>
      <vt:variant>
        <vt:i4>5</vt:i4>
      </vt:variant>
      <vt:variant>
        <vt:lpwstr/>
      </vt:variant>
      <vt:variant>
        <vt:lpwstr>_Toc497385457</vt:lpwstr>
      </vt:variant>
      <vt:variant>
        <vt:i4>1900607</vt:i4>
      </vt:variant>
      <vt:variant>
        <vt:i4>80</vt:i4>
      </vt:variant>
      <vt:variant>
        <vt:i4>0</vt:i4>
      </vt:variant>
      <vt:variant>
        <vt:i4>5</vt:i4>
      </vt:variant>
      <vt:variant>
        <vt:lpwstr/>
      </vt:variant>
      <vt:variant>
        <vt:lpwstr>_Toc497385456</vt:lpwstr>
      </vt:variant>
      <vt:variant>
        <vt:i4>1900607</vt:i4>
      </vt:variant>
      <vt:variant>
        <vt:i4>74</vt:i4>
      </vt:variant>
      <vt:variant>
        <vt:i4>0</vt:i4>
      </vt:variant>
      <vt:variant>
        <vt:i4>5</vt:i4>
      </vt:variant>
      <vt:variant>
        <vt:lpwstr/>
      </vt:variant>
      <vt:variant>
        <vt:lpwstr>_Toc497385455</vt:lpwstr>
      </vt:variant>
      <vt:variant>
        <vt:i4>1900607</vt:i4>
      </vt:variant>
      <vt:variant>
        <vt:i4>68</vt:i4>
      </vt:variant>
      <vt:variant>
        <vt:i4>0</vt:i4>
      </vt:variant>
      <vt:variant>
        <vt:i4>5</vt:i4>
      </vt:variant>
      <vt:variant>
        <vt:lpwstr/>
      </vt:variant>
      <vt:variant>
        <vt:lpwstr>_Toc497385454</vt:lpwstr>
      </vt:variant>
      <vt:variant>
        <vt:i4>1900607</vt:i4>
      </vt:variant>
      <vt:variant>
        <vt:i4>62</vt:i4>
      </vt:variant>
      <vt:variant>
        <vt:i4>0</vt:i4>
      </vt:variant>
      <vt:variant>
        <vt:i4>5</vt:i4>
      </vt:variant>
      <vt:variant>
        <vt:lpwstr/>
      </vt:variant>
      <vt:variant>
        <vt:lpwstr>_Toc497385453</vt:lpwstr>
      </vt:variant>
      <vt:variant>
        <vt:i4>1900607</vt:i4>
      </vt:variant>
      <vt:variant>
        <vt:i4>56</vt:i4>
      </vt:variant>
      <vt:variant>
        <vt:i4>0</vt:i4>
      </vt:variant>
      <vt:variant>
        <vt:i4>5</vt:i4>
      </vt:variant>
      <vt:variant>
        <vt:lpwstr/>
      </vt:variant>
      <vt:variant>
        <vt:lpwstr>_Toc497385452</vt:lpwstr>
      </vt:variant>
      <vt:variant>
        <vt:i4>1900607</vt:i4>
      </vt:variant>
      <vt:variant>
        <vt:i4>50</vt:i4>
      </vt:variant>
      <vt:variant>
        <vt:i4>0</vt:i4>
      </vt:variant>
      <vt:variant>
        <vt:i4>5</vt:i4>
      </vt:variant>
      <vt:variant>
        <vt:lpwstr/>
      </vt:variant>
      <vt:variant>
        <vt:lpwstr>_Toc497385451</vt:lpwstr>
      </vt:variant>
      <vt:variant>
        <vt:i4>1900607</vt:i4>
      </vt:variant>
      <vt:variant>
        <vt:i4>44</vt:i4>
      </vt:variant>
      <vt:variant>
        <vt:i4>0</vt:i4>
      </vt:variant>
      <vt:variant>
        <vt:i4>5</vt:i4>
      </vt:variant>
      <vt:variant>
        <vt:lpwstr/>
      </vt:variant>
      <vt:variant>
        <vt:lpwstr>_Toc497385450</vt:lpwstr>
      </vt:variant>
      <vt:variant>
        <vt:i4>1835071</vt:i4>
      </vt:variant>
      <vt:variant>
        <vt:i4>38</vt:i4>
      </vt:variant>
      <vt:variant>
        <vt:i4>0</vt:i4>
      </vt:variant>
      <vt:variant>
        <vt:i4>5</vt:i4>
      </vt:variant>
      <vt:variant>
        <vt:lpwstr/>
      </vt:variant>
      <vt:variant>
        <vt:lpwstr>_Toc497385449</vt:lpwstr>
      </vt:variant>
      <vt:variant>
        <vt:i4>1835071</vt:i4>
      </vt:variant>
      <vt:variant>
        <vt:i4>32</vt:i4>
      </vt:variant>
      <vt:variant>
        <vt:i4>0</vt:i4>
      </vt:variant>
      <vt:variant>
        <vt:i4>5</vt:i4>
      </vt:variant>
      <vt:variant>
        <vt:lpwstr/>
      </vt:variant>
      <vt:variant>
        <vt:lpwstr>_Toc497385448</vt:lpwstr>
      </vt:variant>
      <vt:variant>
        <vt:i4>1835071</vt:i4>
      </vt:variant>
      <vt:variant>
        <vt:i4>26</vt:i4>
      </vt:variant>
      <vt:variant>
        <vt:i4>0</vt:i4>
      </vt:variant>
      <vt:variant>
        <vt:i4>5</vt:i4>
      </vt:variant>
      <vt:variant>
        <vt:lpwstr/>
      </vt:variant>
      <vt:variant>
        <vt:lpwstr>_Toc497385447</vt:lpwstr>
      </vt:variant>
      <vt:variant>
        <vt:i4>1835071</vt:i4>
      </vt:variant>
      <vt:variant>
        <vt:i4>20</vt:i4>
      </vt:variant>
      <vt:variant>
        <vt:i4>0</vt:i4>
      </vt:variant>
      <vt:variant>
        <vt:i4>5</vt:i4>
      </vt:variant>
      <vt:variant>
        <vt:lpwstr/>
      </vt:variant>
      <vt:variant>
        <vt:lpwstr>_Toc497385446</vt:lpwstr>
      </vt:variant>
      <vt:variant>
        <vt:i4>1835071</vt:i4>
      </vt:variant>
      <vt:variant>
        <vt:i4>14</vt:i4>
      </vt:variant>
      <vt:variant>
        <vt:i4>0</vt:i4>
      </vt:variant>
      <vt:variant>
        <vt:i4>5</vt:i4>
      </vt:variant>
      <vt:variant>
        <vt:lpwstr/>
      </vt:variant>
      <vt:variant>
        <vt:lpwstr>_Toc497385445</vt:lpwstr>
      </vt:variant>
      <vt:variant>
        <vt:i4>1835071</vt:i4>
      </vt:variant>
      <vt:variant>
        <vt:i4>8</vt:i4>
      </vt:variant>
      <vt:variant>
        <vt:i4>0</vt:i4>
      </vt:variant>
      <vt:variant>
        <vt:i4>5</vt:i4>
      </vt:variant>
      <vt:variant>
        <vt:lpwstr/>
      </vt:variant>
      <vt:variant>
        <vt:lpwstr>_Toc497385444</vt:lpwstr>
      </vt:variant>
      <vt:variant>
        <vt:i4>1835071</vt:i4>
      </vt:variant>
      <vt:variant>
        <vt:i4>2</vt:i4>
      </vt:variant>
      <vt:variant>
        <vt:i4>0</vt:i4>
      </vt:variant>
      <vt:variant>
        <vt:i4>5</vt:i4>
      </vt:variant>
      <vt:variant>
        <vt:lpwstr/>
      </vt:variant>
      <vt:variant>
        <vt:lpwstr>_Toc497385443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Kajiado County PEFA Report</dc:title>
  <dc:subject/>
  <dc:creator>Jean-Marc PHILIP</dc:creator>
  <cp:keywords/>
  <cp:lastModifiedBy>Christine Anyango Owuor</cp:lastModifiedBy>
  <cp:revision>2</cp:revision>
  <cp:lastPrinted>2017-11-01T14:27:00Z</cp:lastPrinted>
  <dcterms:created xsi:type="dcterms:W3CDTF">2019-03-12T07:53:00Z</dcterms:created>
  <dcterms:modified xsi:type="dcterms:W3CDTF">2019-03-12T07:53:00Z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0x01010054E0FEF4951F9D49A6F48A35419983C7007EBF6BFE4EBA3C4483A6DA13E46ACFDE</vt:lpwstr>
  </property>
  <property fmtid="{D5CDD505-2E9C-101B-9397-08002B2CF9AE}" pid="5" name="RatedBy">
    <vt:lpwstr/>
  </property>
  <property fmtid="{D5CDD505-2E9C-101B-9397-08002B2CF9AE}" pid="7" name="LikedBy">
    <vt:lpwstr/>
  </property>
</Properties>
</file>