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9.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BAC" w:rsidRPr="00FF3102" w:rsidRDefault="00810BAC" w:rsidP="00810BAC">
      <w:pPr>
        <w:autoSpaceDE w:val="0"/>
        <w:autoSpaceDN w:val="0"/>
        <w:bidi/>
        <w:adjustRightInd w:val="0"/>
        <w:jc w:val="center"/>
        <w:rPr>
          <w:rFonts w:ascii="Simplified Arabic" w:eastAsiaTheme="minorEastAsia" w:hAnsi="Simplified Arabic" w:cs="Simplified Arabic"/>
          <w:rtl/>
          <w:lang w:bidi="ar-EG"/>
        </w:rPr>
      </w:pPr>
      <w:r w:rsidRPr="00FF3102">
        <w:rPr>
          <w:rFonts w:ascii="Simplified Arabic" w:eastAsiaTheme="minorEastAsia" w:hAnsi="Simplified Arabic" w:cs="Simplified Arabic"/>
          <w:bCs/>
          <w:color w:val="000000"/>
          <w:rtl/>
        </w:rPr>
        <w:t>وثيقة صادرة عن</w:t>
      </w:r>
      <w:r w:rsidRPr="00FF3102">
        <w:rPr>
          <w:rFonts w:ascii="Simplified Arabic" w:eastAsiaTheme="minorEastAsia" w:hAnsi="Simplified Arabic" w:cs="Simplified Arabic"/>
          <w:b/>
          <w:color w:val="000000"/>
        </w:rPr>
        <w:t xml:space="preserve"> </w:t>
      </w:r>
    </w:p>
    <w:p w:rsidR="00810BAC" w:rsidRPr="00FF3102" w:rsidRDefault="00810BAC" w:rsidP="00810BAC">
      <w:pPr>
        <w:autoSpaceDE w:val="0"/>
        <w:autoSpaceDN w:val="0"/>
        <w:bidi/>
        <w:adjustRightInd w:val="0"/>
        <w:spacing w:after="240"/>
        <w:jc w:val="center"/>
        <w:rPr>
          <w:rFonts w:ascii="Simplified Arabic" w:eastAsiaTheme="minorEastAsia" w:hAnsi="Simplified Arabic" w:cs="Simplified Arabic"/>
          <w:rtl/>
          <w:lang w:bidi="ar-EG"/>
        </w:rPr>
      </w:pPr>
      <w:r w:rsidRPr="00FF3102">
        <w:rPr>
          <w:rFonts w:ascii="Simplified Arabic" w:eastAsiaTheme="minorEastAsia" w:hAnsi="Simplified Arabic" w:cs="Simplified Arabic"/>
          <w:bCs/>
          <w:color w:val="000000"/>
          <w:rtl/>
        </w:rPr>
        <w:t>مجموعة البنك الدولي</w:t>
      </w:r>
      <w:r w:rsidRPr="00FF3102">
        <w:rPr>
          <w:rFonts w:ascii="Simplified Arabic" w:eastAsiaTheme="minorEastAsia" w:hAnsi="Simplified Arabic" w:cs="Simplified Arabic"/>
          <w:b/>
          <w:color w:val="000000"/>
        </w:rPr>
        <w:t xml:space="preserve"> </w:t>
      </w:r>
    </w:p>
    <w:p w:rsidR="00810BAC" w:rsidRPr="00FF3102" w:rsidRDefault="00810BAC" w:rsidP="00810BAC">
      <w:pPr>
        <w:autoSpaceDE w:val="0"/>
        <w:autoSpaceDN w:val="0"/>
        <w:bidi/>
        <w:adjustRightInd w:val="0"/>
        <w:spacing w:after="240"/>
        <w:jc w:val="center"/>
        <w:rPr>
          <w:rFonts w:ascii="Simplified Arabic" w:eastAsiaTheme="minorEastAsia" w:hAnsi="Simplified Arabic" w:cs="Simplified Arabic"/>
          <w:rtl/>
          <w:lang w:bidi="ar-EG"/>
        </w:rPr>
      </w:pPr>
      <w:r w:rsidRPr="00FF3102">
        <w:rPr>
          <w:rFonts w:ascii="Simplified Arabic" w:eastAsiaTheme="minorEastAsia" w:hAnsi="Simplified Arabic" w:cs="Simplified Arabic"/>
          <w:bCs/>
          <w:color w:val="000000"/>
          <w:rtl/>
        </w:rPr>
        <w:t>للاستخدام الرسمي فقط</w:t>
      </w:r>
      <w:r w:rsidRPr="00FF3102">
        <w:rPr>
          <w:rFonts w:ascii="Simplified Arabic" w:eastAsiaTheme="minorEastAsia" w:hAnsi="Simplified Arabic" w:cs="Simplified Arabic"/>
          <w:b/>
          <w:color w:val="000000"/>
        </w:rPr>
        <w:t xml:space="preserve"> </w:t>
      </w:r>
    </w:p>
    <w:p w:rsidR="00810BAC" w:rsidRPr="00FF3102" w:rsidRDefault="00810BAC" w:rsidP="00810BAC">
      <w:pPr>
        <w:autoSpaceDE w:val="0"/>
        <w:autoSpaceDN w:val="0"/>
        <w:bidi/>
        <w:adjustRightInd w:val="0"/>
        <w:spacing w:after="240"/>
        <w:jc w:val="center"/>
        <w:rPr>
          <w:rFonts w:ascii="Simplified Arabic" w:eastAsia="SimSun" w:hAnsi="Simplified Arabic" w:cs="Simplified Arabic"/>
          <w:color w:val="000000"/>
        </w:rPr>
      </w:pPr>
    </w:p>
    <w:p w:rsidR="00810BAC" w:rsidRPr="00FF3102" w:rsidRDefault="00810BAC" w:rsidP="00810BAC">
      <w:pPr>
        <w:autoSpaceDE w:val="0"/>
        <w:autoSpaceDN w:val="0"/>
        <w:bidi/>
        <w:adjustRightInd w:val="0"/>
        <w:spacing w:after="240"/>
        <w:rPr>
          <w:rFonts w:ascii="Simplified Arabic" w:eastAsiaTheme="minorEastAsia" w:hAnsi="Simplified Arabic" w:cs="Simplified Arabic"/>
          <w:bCs/>
          <w:color w:val="000000"/>
          <w:rtl/>
          <w:lang w:bidi="ar-EG"/>
        </w:rPr>
      </w:pPr>
      <w:r w:rsidRPr="00FF3102">
        <w:rPr>
          <w:rFonts w:ascii="Simplified Arabic" w:eastAsiaTheme="minorEastAsia" w:hAnsi="Simplified Arabic" w:cs="Simplified Arabic"/>
          <w:bCs/>
          <w:color w:val="000000"/>
          <w:rtl/>
        </w:rPr>
        <w:t xml:space="preserve">تقرير رقم: </w:t>
      </w:r>
      <w:r w:rsidRPr="00FF3102">
        <w:rPr>
          <w:rFonts w:ascii="Simplified Arabic" w:eastAsiaTheme="minorEastAsia" w:hAnsi="Simplified Arabic" w:cs="Simplified Arabic"/>
          <w:bCs/>
          <w:color w:val="000000"/>
        </w:rPr>
        <w:t>94554-EG</w:t>
      </w:r>
    </w:p>
    <w:p w:rsidR="00810BAC" w:rsidRPr="00FF3102" w:rsidRDefault="00810BAC" w:rsidP="00810BAC">
      <w:pPr>
        <w:autoSpaceDE w:val="0"/>
        <w:autoSpaceDN w:val="0"/>
        <w:bidi/>
        <w:adjustRightInd w:val="0"/>
        <w:spacing w:after="240"/>
        <w:jc w:val="right"/>
        <w:rPr>
          <w:rFonts w:ascii="Simplified Arabic" w:eastAsia="SimSun" w:hAnsi="Simplified Arabic" w:cs="Simplified Arabic"/>
          <w:color w:val="000000"/>
        </w:rPr>
      </w:pP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b/>
          <w:rtl/>
          <w:lang w:bidi="ar-EG"/>
        </w:rPr>
      </w:pPr>
      <w:r w:rsidRPr="003A1252">
        <w:rPr>
          <w:rFonts w:ascii="Simplified Arabic" w:eastAsiaTheme="minorEastAsia" w:hAnsi="Simplified Arabic" w:cs="Simplified Arabic"/>
          <w:b/>
          <w:color w:val="000000"/>
          <w:rtl/>
        </w:rPr>
        <w:t>البنك الدولي للإنشاء والتعمير</w:t>
      </w:r>
      <w:r w:rsidRPr="003A1252">
        <w:rPr>
          <w:rFonts w:ascii="Simplified Arabic" w:eastAsiaTheme="minorEastAsia" w:hAnsi="Simplified Arabic" w:cs="Simplified Arabic"/>
          <w:b/>
          <w:color w:val="000000"/>
        </w:rPr>
        <w:t xml:space="preserve"> </w:t>
      </w: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b/>
          <w:rtl/>
          <w:lang w:bidi="ar-EG"/>
        </w:rPr>
      </w:pPr>
      <w:r w:rsidRPr="003A1252">
        <w:rPr>
          <w:rFonts w:ascii="Simplified Arabic" w:eastAsiaTheme="minorEastAsia" w:hAnsi="Simplified Arabic" w:cs="Simplified Arabic"/>
          <w:b/>
          <w:color w:val="000000"/>
          <w:rtl/>
        </w:rPr>
        <w:t>مؤسسة التمويل الدولية</w:t>
      </w:r>
      <w:r w:rsidRPr="003A1252">
        <w:rPr>
          <w:rFonts w:ascii="Simplified Arabic" w:eastAsiaTheme="minorEastAsia" w:hAnsi="Simplified Arabic" w:cs="Simplified Arabic"/>
          <w:b/>
          <w:color w:val="000000"/>
        </w:rPr>
        <w:t xml:space="preserve"> </w:t>
      </w: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b/>
          <w:rtl/>
          <w:lang w:bidi="ar-EG"/>
        </w:rPr>
      </w:pPr>
      <w:r w:rsidRPr="003A1252">
        <w:rPr>
          <w:rFonts w:ascii="Simplified Arabic" w:eastAsiaTheme="minorEastAsia" w:hAnsi="Simplified Arabic" w:cs="Simplified Arabic"/>
          <w:b/>
          <w:color w:val="000000"/>
          <w:rtl/>
        </w:rPr>
        <w:t>الوكالة الدولية لضمان الاستثمار</w:t>
      </w:r>
      <w:r w:rsidRPr="003A1252">
        <w:rPr>
          <w:rFonts w:ascii="Simplified Arabic" w:eastAsiaTheme="minorEastAsia" w:hAnsi="Simplified Arabic" w:cs="Simplified Arabic"/>
          <w:b/>
          <w:color w:val="000000"/>
        </w:rPr>
        <w:t xml:space="preserve"> </w:t>
      </w: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color w:val="000000"/>
          <w:sz w:val="40"/>
          <w:szCs w:val="40"/>
          <w:rtl/>
          <w:lang w:bidi="ar-EG"/>
        </w:rPr>
      </w:pPr>
      <w:r w:rsidRPr="003A1252">
        <w:rPr>
          <w:rFonts w:ascii="Simplified Arabic" w:eastAsiaTheme="minorEastAsia" w:hAnsi="Simplified Arabic" w:cs="Simplified Arabic"/>
          <w:bCs/>
          <w:color w:val="000000"/>
          <w:sz w:val="40"/>
          <w:szCs w:val="40"/>
          <w:rtl/>
        </w:rPr>
        <w:t>إطار الشراكة الإستراتيجية</w:t>
      </w: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bCs/>
          <w:color w:val="000000"/>
          <w:sz w:val="32"/>
          <w:szCs w:val="32"/>
          <w:rtl/>
          <w:lang w:bidi="ar-EG"/>
        </w:rPr>
      </w:pPr>
      <w:r w:rsidRPr="003A1252">
        <w:rPr>
          <w:rFonts w:ascii="Simplified Arabic" w:eastAsiaTheme="minorEastAsia" w:hAnsi="Simplified Arabic" w:cs="Simplified Arabic"/>
          <w:bCs/>
          <w:color w:val="000000"/>
          <w:sz w:val="32"/>
          <w:szCs w:val="32"/>
          <w:rtl/>
        </w:rPr>
        <w:t>الخاص</w:t>
      </w:r>
    </w:p>
    <w:p w:rsidR="00810BAC" w:rsidRPr="003A1252" w:rsidRDefault="00810BAC" w:rsidP="00810BAC">
      <w:pPr>
        <w:autoSpaceDE w:val="0"/>
        <w:autoSpaceDN w:val="0"/>
        <w:bidi/>
        <w:adjustRightInd w:val="0"/>
        <w:spacing w:after="240"/>
        <w:jc w:val="center"/>
        <w:rPr>
          <w:rFonts w:ascii="Simplified Arabic" w:eastAsiaTheme="minorEastAsia" w:hAnsi="Simplified Arabic" w:cs="Simplified Arabic"/>
          <w:bCs/>
          <w:color w:val="000000"/>
          <w:sz w:val="32"/>
          <w:szCs w:val="32"/>
          <w:rtl/>
        </w:rPr>
      </w:pPr>
      <w:r w:rsidRPr="003A1252">
        <w:rPr>
          <w:rFonts w:ascii="Simplified Arabic" w:eastAsiaTheme="minorEastAsia" w:hAnsi="Simplified Arabic" w:cs="Simplified Arabic"/>
          <w:bCs/>
          <w:color w:val="000000"/>
          <w:sz w:val="32"/>
          <w:szCs w:val="32"/>
          <w:rtl/>
        </w:rPr>
        <w:t>بجمهـورية مصـــر العربيـــة</w:t>
      </w:r>
    </w:p>
    <w:p w:rsidR="00810BAC" w:rsidRPr="00FF3102" w:rsidRDefault="00810BAC" w:rsidP="00810BAC">
      <w:pPr>
        <w:autoSpaceDE w:val="0"/>
        <w:autoSpaceDN w:val="0"/>
        <w:bidi/>
        <w:adjustRightInd w:val="0"/>
        <w:spacing w:after="240"/>
        <w:jc w:val="center"/>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bCs/>
          <w:color w:val="000000"/>
          <w:rtl/>
        </w:rPr>
        <w:t>لفترة السنوات المالية (2015-2019)</w:t>
      </w:r>
    </w:p>
    <w:p w:rsidR="00810BAC" w:rsidRPr="00FF3102" w:rsidRDefault="00810BAC" w:rsidP="00810BAC">
      <w:pPr>
        <w:autoSpaceDE w:val="0"/>
        <w:autoSpaceDN w:val="0"/>
        <w:bidi/>
        <w:adjustRightInd w:val="0"/>
        <w:spacing w:after="240"/>
        <w:jc w:val="center"/>
        <w:rPr>
          <w:rFonts w:ascii="Simplified Arabic" w:eastAsiaTheme="minorEastAsia" w:hAnsi="Simplified Arabic" w:cs="Simplified Arabic"/>
          <w:bCs/>
          <w:caps/>
          <w:color w:val="000000"/>
          <w:rtl/>
          <w:lang w:bidi="ar-EG"/>
        </w:rPr>
      </w:pPr>
      <w:r w:rsidRPr="00FF3102">
        <w:rPr>
          <w:rFonts w:ascii="Simplified Arabic" w:eastAsiaTheme="minorEastAsia" w:hAnsi="Simplified Arabic" w:cs="Simplified Arabic"/>
          <w:bCs/>
          <w:caps/>
          <w:color w:val="000000"/>
          <w:rtl/>
        </w:rPr>
        <w:t>20 نوفمبر</w:t>
      </w:r>
      <w:r w:rsidRPr="00FF3102">
        <w:rPr>
          <w:rFonts w:ascii="Simplified Arabic" w:eastAsiaTheme="minorEastAsia" w:hAnsi="Simplified Arabic" w:cs="Simplified Arabic"/>
          <w:bCs/>
          <w:caps/>
          <w:color w:val="000000"/>
        </w:rPr>
        <w:t xml:space="preserve"> </w:t>
      </w:r>
      <w:r w:rsidRPr="00FF3102">
        <w:rPr>
          <w:rFonts w:ascii="Simplified Arabic" w:eastAsiaTheme="minorEastAsia" w:hAnsi="Simplified Arabic" w:cs="Simplified Arabic"/>
          <w:bCs/>
          <w:caps/>
          <w:color w:val="000000"/>
          <w:rtl/>
        </w:rPr>
        <w:t>2015</w:t>
      </w:r>
    </w:p>
    <w:p w:rsidR="00810BAC" w:rsidRPr="00FF3102" w:rsidRDefault="00810BAC" w:rsidP="00810BAC">
      <w:pPr>
        <w:autoSpaceDE w:val="0"/>
        <w:autoSpaceDN w:val="0"/>
        <w:bidi/>
        <w:adjustRightInd w:val="0"/>
        <w:spacing w:after="240"/>
        <w:jc w:val="center"/>
        <w:rPr>
          <w:rFonts w:ascii="Simplified Arabic" w:hAnsi="Simplified Arabic" w:cs="Simplified Arabic"/>
          <w:bCs/>
          <w:caps/>
          <w:color w:val="000000"/>
          <w:rtl/>
        </w:rPr>
      </w:pPr>
    </w:p>
    <w:p w:rsidR="00810BAC" w:rsidRPr="003A1252" w:rsidRDefault="00810BAC" w:rsidP="00810BAC">
      <w:pPr>
        <w:autoSpaceDE w:val="0"/>
        <w:autoSpaceDN w:val="0"/>
        <w:bidi/>
        <w:adjustRightInd w:val="0"/>
        <w:rPr>
          <w:rFonts w:ascii="Simplified Arabic" w:eastAsiaTheme="minorEastAsia" w:hAnsi="Simplified Arabic" w:cs="Simplified Arabic"/>
          <w:b/>
          <w:sz w:val="22"/>
          <w:szCs w:val="22"/>
          <w:rtl/>
          <w:lang w:bidi="ar-EG"/>
        </w:rPr>
      </w:pPr>
      <w:r w:rsidRPr="003A1252">
        <w:rPr>
          <w:rFonts w:ascii="Simplified Arabic" w:eastAsiaTheme="minorEastAsia" w:hAnsi="Simplified Arabic" w:cs="Simplified Arabic"/>
          <w:b/>
          <w:color w:val="000000"/>
          <w:sz w:val="22"/>
          <w:szCs w:val="22"/>
          <w:rtl/>
        </w:rPr>
        <w:t>وحدة الإدارة المعنية بمصر في البنك الدولي</w:t>
      </w:r>
      <w:r w:rsidRPr="003A1252">
        <w:rPr>
          <w:rFonts w:ascii="Simplified Arabic" w:eastAsiaTheme="minorEastAsia" w:hAnsi="Simplified Arabic" w:cs="Simplified Arabic"/>
          <w:b/>
          <w:color w:val="000000"/>
          <w:sz w:val="22"/>
          <w:szCs w:val="22"/>
        </w:rPr>
        <w:t xml:space="preserve"> </w:t>
      </w:r>
    </w:p>
    <w:p w:rsidR="00810BAC" w:rsidRPr="003A1252" w:rsidRDefault="00810BAC" w:rsidP="00810BAC">
      <w:pPr>
        <w:autoSpaceDE w:val="0"/>
        <w:autoSpaceDN w:val="0"/>
        <w:bidi/>
        <w:adjustRightInd w:val="0"/>
        <w:rPr>
          <w:rFonts w:ascii="Simplified Arabic" w:eastAsiaTheme="minorEastAsia" w:hAnsi="Simplified Arabic" w:cs="Simplified Arabic"/>
          <w:b/>
          <w:color w:val="000000"/>
          <w:sz w:val="22"/>
          <w:szCs w:val="22"/>
          <w:rtl/>
          <w:lang w:bidi="ar-EG"/>
        </w:rPr>
      </w:pPr>
      <w:r w:rsidRPr="003A1252">
        <w:rPr>
          <w:rFonts w:ascii="Simplified Arabic" w:eastAsiaTheme="minorEastAsia" w:hAnsi="Simplified Arabic" w:cs="Simplified Arabic"/>
          <w:b/>
          <w:color w:val="000000"/>
          <w:sz w:val="22"/>
          <w:szCs w:val="22"/>
          <w:rtl/>
        </w:rPr>
        <w:t>منطقة الشرق الأوسط وشمال أفريقيا</w:t>
      </w:r>
    </w:p>
    <w:p w:rsidR="00810BAC" w:rsidRPr="003A1252" w:rsidRDefault="00810BAC" w:rsidP="00810BAC">
      <w:pPr>
        <w:autoSpaceDE w:val="0"/>
        <w:autoSpaceDN w:val="0"/>
        <w:bidi/>
        <w:adjustRightInd w:val="0"/>
        <w:rPr>
          <w:rFonts w:ascii="Simplified Arabic" w:eastAsiaTheme="minorEastAsia" w:hAnsi="Simplified Arabic" w:cs="Simplified Arabic"/>
          <w:b/>
          <w:color w:val="000000"/>
          <w:sz w:val="22"/>
          <w:szCs w:val="22"/>
          <w:rtl/>
          <w:lang w:bidi="ar-EG"/>
        </w:rPr>
      </w:pPr>
      <w:r w:rsidRPr="003A1252">
        <w:rPr>
          <w:rFonts w:ascii="Simplified Arabic" w:eastAsiaTheme="minorEastAsia" w:hAnsi="Simplified Arabic" w:cs="Simplified Arabic"/>
          <w:b/>
          <w:color w:val="000000"/>
          <w:sz w:val="22"/>
          <w:szCs w:val="22"/>
          <w:rtl/>
        </w:rPr>
        <w:t>مؤسسة التمويل الدولية</w:t>
      </w:r>
    </w:p>
    <w:p w:rsidR="00810BAC" w:rsidRPr="003A1252" w:rsidRDefault="00810BAC" w:rsidP="00810BAC">
      <w:pPr>
        <w:autoSpaceDE w:val="0"/>
        <w:autoSpaceDN w:val="0"/>
        <w:bidi/>
        <w:adjustRightInd w:val="0"/>
        <w:rPr>
          <w:rFonts w:ascii="Simplified Arabic" w:eastAsiaTheme="minorEastAsia" w:hAnsi="Simplified Arabic" w:cs="Simplified Arabic"/>
          <w:b/>
          <w:sz w:val="22"/>
          <w:szCs w:val="22"/>
          <w:rtl/>
          <w:lang w:bidi="ar-EG"/>
        </w:rPr>
      </w:pPr>
      <w:r w:rsidRPr="003A1252">
        <w:rPr>
          <w:rFonts w:ascii="Simplified Arabic" w:eastAsiaTheme="minorEastAsia" w:hAnsi="Simplified Arabic" w:cs="Simplified Arabic"/>
          <w:b/>
          <w:color w:val="000000"/>
          <w:sz w:val="22"/>
          <w:szCs w:val="22"/>
          <w:rtl/>
        </w:rPr>
        <w:t>الوكالة الدولية لضمان الاستثمار</w:t>
      </w:r>
      <w:r w:rsidRPr="003A1252">
        <w:rPr>
          <w:rFonts w:ascii="Simplified Arabic" w:eastAsiaTheme="minorEastAsia" w:hAnsi="Simplified Arabic" w:cs="Simplified Arabic"/>
          <w:b/>
          <w:color w:val="000000"/>
          <w:sz w:val="22"/>
          <w:szCs w:val="22"/>
        </w:rPr>
        <w:t xml:space="preserve"> </w:t>
      </w:r>
    </w:p>
    <w:p w:rsidR="00810BAC" w:rsidRPr="00FF3102" w:rsidRDefault="00810BAC" w:rsidP="00810BAC">
      <w:pPr>
        <w:autoSpaceDE w:val="0"/>
        <w:autoSpaceDN w:val="0"/>
        <w:bidi/>
        <w:adjustRightInd w:val="0"/>
        <w:rPr>
          <w:rFonts w:ascii="Simplified Arabic" w:eastAsia="SimSun" w:hAnsi="Simplified Arabic" w:cs="Simplified Arabic"/>
          <w:b/>
          <w:color w:val="000000"/>
        </w:rPr>
      </w:pPr>
    </w:p>
    <w:p w:rsidR="00810BAC" w:rsidRPr="00FF3102" w:rsidRDefault="00810BAC" w:rsidP="00810BAC">
      <w:pPr>
        <w:pBdr>
          <w:top w:val="single" w:sz="4" w:space="1" w:color="auto"/>
          <w:left w:val="single" w:sz="4" w:space="4" w:color="auto"/>
          <w:bottom w:val="single" w:sz="4" w:space="1" w:color="auto"/>
          <w:right w:val="single" w:sz="4" w:space="4" w:color="auto"/>
        </w:pBdr>
        <w:shd w:val="clear" w:color="auto" w:fill="FFFFFF"/>
        <w:autoSpaceDE w:val="0"/>
        <w:autoSpaceDN w:val="0"/>
        <w:bidi/>
        <w:adjustRightInd w:val="0"/>
        <w:spacing w:before="120"/>
        <w:jc w:val="both"/>
        <w:rPr>
          <w:rFonts w:ascii="Simplified Arabic" w:eastAsiaTheme="minorEastAsia" w:hAnsi="Simplified Arabic" w:cs="Simplified Arabic"/>
          <w:rtl/>
          <w:lang w:bidi="ar-EG"/>
        </w:rPr>
      </w:pPr>
      <w:r w:rsidRPr="00FF3102">
        <w:rPr>
          <w:rFonts w:ascii="Simplified Arabic" w:eastAsiaTheme="minorEastAsia" w:hAnsi="Simplified Arabic" w:cs="Simplified Arabic"/>
          <w:color w:val="000000"/>
          <w:rtl/>
        </w:rPr>
        <w:t>يقتصر توزيع هذه الوثيقة على الجهات والأفراد المرسلة إليهم للقيام بواجباتهم الرسمية.</w:t>
      </w:r>
      <w:r w:rsidRPr="00FF3102">
        <w:rPr>
          <w:rFonts w:ascii="Simplified Arabic" w:eastAsiaTheme="minorEastAsia" w:hAnsi="Simplified Arabic" w:cs="Simplified Arabic"/>
          <w:color w:val="000000"/>
        </w:rPr>
        <w:t xml:space="preserve"> </w:t>
      </w:r>
      <w:r w:rsidRPr="00FF3102">
        <w:rPr>
          <w:rFonts w:ascii="Simplified Arabic" w:eastAsiaTheme="minorEastAsia" w:hAnsi="Simplified Arabic" w:cs="Simplified Arabic"/>
          <w:color w:val="000000"/>
          <w:rtl/>
        </w:rPr>
        <w:t>ولا يجوز بخلاف ذلك الكشف عن مضمونها بدون تخويلٍ من مجموعة البنك الدولي.</w:t>
      </w:r>
      <w:r w:rsidRPr="00FF3102">
        <w:rPr>
          <w:rFonts w:ascii="Simplified Arabic" w:eastAsiaTheme="minorEastAsia" w:hAnsi="Simplified Arabic" w:cs="Simplified Arabic"/>
          <w:color w:val="000000"/>
        </w:rPr>
        <w:t xml:space="preserve"> </w:t>
      </w:r>
    </w:p>
    <w:p w:rsidR="00810BAC" w:rsidRPr="00FF3102" w:rsidRDefault="00810BAC" w:rsidP="00810BAC">
      <w:pPr>
        <w:autoSpaceDE w:val="0"/>
        <w:autoSpaceDN w:val="0"/>
        <w:bidi/>
        <w:adjustRightInd w:val="0"/>
        <w:rPr>
          <w:rFonts w:ascii="Simplified Arabic" w:eastAsia="SimSun" w:hAnsi="Simplified Arabic" w:cs="Simplified Arabic"/>
          <w:b/>
          <w:color w:val="000000"/>
        </w:rPr>
        <w:sectPr w:rsidR="00810BAC" w:rsidRPr="00FF3102">
          <w:footerReference w:type="even" r:id="rId8"/>
          <w:footerReference w:type="default" r:id="rId9"/>
          <w:footerReference w:type="first" r:id="rId10"/>
          <w:pgSz w:w="12240" w:h="15840" w:code="1"/>
          <w:pgMar w:top="1440" w:right="1440" w:bottom="1440" w:left="1440" w:header="720" w:footer="720" w:gutter="0"/>
          <w:cols w:space="720"/>
          <w:titlePg/>
          <w:docGrid w:linePitch="360"/>
        </w:sectPr>
      </w:pPr>
    </w:p>
    <w:p w:rsidR="00810BAC" w:rsidRPr="00FF3102" w:rsidRDefault="00810BAC" w:rsidP="00810BAC">
      <w:pPr>
        <w:autoSpaceDE w:val="0"/>
        <w:autoSpaceDN w:val="0"/>
        <w:bidi/>
        <w:adjustRightInd w:val="0"/>
        <w:jc w:val="center"/>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bCs/>
          <w:color w:val="000000"/>
          <w:rtl/>
        </w:rPr>
        <w:lastRenderedPageBreak/>
        <w:t>صدرت مذكرة الإستراتيجية المؤقتة الأخيرة بتاريخ 30 يونيو 2012</w:t>
      </w:r>
    </w:p>
    <w:p w:rsidR="00810BAC" w:rsidRDefault="00810BAC" w:rsidP="00810BAC">
      <w:pPr>
        <w:autoSpaceDE w:val="0"/>
        <w:autoSpaceDN w:val="0"/>
        <w:bidi/>
        <w:adjustRightInd w:val="0"/>
        <w:jc w:val="center"/>
        <w:rPr>
          <w:rFonts w:ascii="Simplified Arabic" w:eastAsiaTheme="minorEastAsia" w:hAnsi="Simplified Arabic" w:cs="Simplified Arabic"/>
          <w:b/>
          <w:color w:val="000000"/>
        </w:rPr>
      </w:pPr>
      <w:r w:rsidRPr="00FF3102">
        <w:rPr>
          <w:rFonts w:ascii="Simplified Arabic" w:eastAsiaTheme="minorEastAsia" w:hAnsi="Simplified Arabic" w:cs="Simplified Arabic"/>
          <w:bCs/>
          <w:color w:val="000000"/>
          <w:rtl/>
        </w:rPr>
        <w:t>أسعار العملة المقابلة</w:t>
      </w:r>
      <w:r w:rsidRPr="00FF3102">
        <w:rPr>
          <w:rFonts w:ascii="Simplified Arabic" w:eastAsiaTheme="minorEastAsia" w:hAnsi="Simplified Arabic" w:cs="Simplified Arabic"/>
          <w:b/>
          <w:color w:val="000000"/>
        </w:rPr>
        <w:t xml:space="preserve"> </w:t>
      </w:r>
    </w:p>
    <w:p w:rsidR="00E67195" w:rsidRPr="00FF3102" w:rsidRDefault="00E67195" w:rsidP="00E67195">
      <w:pPr>
        <w:autoSpaceDE w:val="0"/>
        <w:autoSpaceDN w:val="0"/>
        <w:bidi/>
        <w:adjustRightInd w:val="0"/>
        <w:jc w:val="center"/>
        <w:rPr>
          <w:rFonts w:ascii="Simplified Arabic" w:eastAsiaTheme="minorEastAsia" w:hAnsi="Simplified Arabic" w:cs="Simplified Arabic"/>
          <w:rtl/>
          <w:lang w:bidi="ar-EG"/>
        </w:rPr>
      </w:pPr>
    </w:p>
    <w:p w:rsidR="00810BAC" w:rsidRPr="00FF3102" w:rsidRDefault="00810BAC" w:rsidP="00810BAC">
      <w:pPr>
        <w:autoSpaceDE w:val="0"/>
        <w:autoSpaceDN w:val="0"/>
        <w:bidi/>
        <w:adjustRightInd w:val="0"/>
        <w:jc w:val="center"/>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color w:val="000000"/>
          <w:rtl/>
        </w:rPr>
        <w:t>(سعر الصرف في 4 نوفمبر 2015)</w:t>
      </w:r>
    </w:p>
    <w:p w:rsidR="00810BAC" w:rsidRPr="00FF3102" w:rsidRDefault="00810BAC" w:rsidP="00810BAC">
      <w:pPr>
        <w:autoSpaceDE w:val="0"/>
        <w:autoSpaceDN w:val="0"/>
        <w:bidi/>
        <w:adjustRightInd w:val="0"/>
        <w:jc w:val="center"/>
        <w:rPr>
          <w:rFonts w:ascii="Simplified Arabic" w:eastAsiaTheme="minorEastAsia" w:hAnsi="Simplified Arabic" w:cs="Simplified Arabic"/>
          <w:color w:val="000000"/>
          <w:rtl/>
        </w:rPr>
      </w:pPr>
      <w:r w:rsidRPr="00FF3102">
        <w:rPr>
          <w:rFonts w:ascii="Simplified Arabic" w:eastAsiaTheme="minorEastAsia" w:hAnsi="Simplified Arabic" w:cs="Simplified Arabic"/>
          <w:color w:val="000000"/>
          <w:rtl/>
        </w:rPr>
        <w:t>وحدة العملة = الجنيه المصري</w:t>
      </w:r>
    </w:p>
    <w:p w:rsidR="00810BAC" w:rsidRPr="00FF3102" w:rsidRDefault="00810BAC" w:rsidP="00810BAC">
      <w:pPr>
        <w:autoSpaceDE w:val="0"/>
        <w:autoSpaceDN w:val="0"/>
        <w:bidi/>
        <w:adjustRightInd w:val="0"/>
        <w:jc w:val="center"/>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color w:val="000000"/>
          <w:rtl/>
        </w:rPr>
        <w:t>1 دولار أمريكي = 8.0 جنيهات مصرية</w:t>
      </w:r>
    </w:p>
    <w:p w:rsidR="00810BAC" w:rsidRPr="00FF3102" w:rsidRDefault="00810BAC" w:rsidP="00810BAC">
      <w:pPr>
        <w:autoSpaceDE w:val="0"/>
        <w:autoSpaceDN w:val="0"/>
        <w:bidi/>
        <w:adjustRightInd w:val="0"/>
        <w:jc w:val="center"/>
        <w:rPr>
          <w:rFonts w:ascii="Simplified Arabic" w:eastAsia="SimSun" w:hAnsi="Simplified Arabic" w:cs="Simplified Arabic"/>
          <w:caps/>
          <w:color w:val="000000"/>
        </w:rPr>
      </w:pPr>
    </w:p>
    <w:p w:rsidR="00810BAC" w:rsidRPr="00FF3102" w:rsidRDefault="00810BAC" w:rsidP="00810BAC">
      <w:pPr>
        <w:autoSpaceDE w:val="0"/>
        <w:autoSpaceDN w:val="0"/>
        <w:bidi/>
        <w:adjustRightInd w:val="0"/>
        <w:jc w:val="center"/>
        <w:rPr>
          <w:rFonts w:ascii="Simplified Arabic" w:eastAsiaTheme="minorEastAsia" w:hAnsi="Simplified Arabic" w:cs="Simplified Arabic"/>
          <w:caps/>
          <w:color w:val="000000"/>
          <w:rtl/>
          <w:lang w:bidi="ar-EG"/>
        </w:rPr>
      </w:pPr>
      <w:r w:rsidRPr="00FF3102">
        <w:rPr>
          <w:rFonts w:ascii="Simplified Arabic" w:eastAsiaTheme="minorEastAsia" w:hAnsi="Simplified Arabic" w:cs="Simplified Arabic"/>
          <w:caps/>
          <w:color w:val="000000"/>
          <w:rtl/>
        </w:rPr>
        <w:t>السنة المالية</w:t>
      </w:r>
    </w:p>
    <w:p w:rsidR="00810BAC" w:rsidRPr="00FF3102" w:rsidRDefault="00810BAC" w:rsidP="00810BAC">
      <w:pPr>
        <w:autoSpaceDE w:val="0"/>
        <w:autoSpaceDN w:val="0"/>
        <w:bidi/>
        <w:adjustRightInd w:val="0"/>
        <w:jc w:val="center"/>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color w:val="000000"/>
          <w:rtl/>
        </w:rPr>
        <w:t>1 يناير – 31 ديسمبر</w:t>
      </w:r>
    </w:p>
    <w:p w:rsidR="00E67195" w:rsidRDefault="00E67195" w:rsidP="00810BAC">
      <w:pPr>
        <w:autoSpaceDE w:val="0"/>
        <w:autoSpaceDN w:val="0"/>
        <w:bidi/>
        <w:adjustRightInd w:val="0"/>
        <w:jc w:val="center"/>
        <w:rPr>
          <w:rFonts w:ascii="Simplified Arabic" w:eastAsiaTheme="minorEastAsia" w:hAnsi="Simplified Arabic" w:cs="Simplified Arabic"/>
          <w:bCs/>
          <w:color w:val="000000"/>
        </w:rPr>
      </w:pPr>
    </w:p>
    <w:p w:rsidR="00E67195" w:rsidRDefault="00810BAC" w:rsidP="00E67195">
      <w:pPr>
        <w:autoSpaceDE w:val="0"/>
        <w:autoSpaceDN w:val="0"/>
        <w:bidi/>
        <w:adjustRightInd w:val="0"/>
        <w:jc w:val="center"/>
        <w:rPr>
          <w:rFonts w:ascii="Simplified Arabic" w:eastAsiaTheme="minorEastAsia" w:hAnsi="Simplified Arabic" w:cs="Simplified Arabic"/>
          <w:bCs/>
          <w:color w:val="000000"/>
        </w:rPr>
      </w:pPr>
      <w:r w:rsidRPr="00FF3102">
        <w:rPr>
          <w:rFonts w:ascii="Simplified Arabic" w:eastAsiaTheme="minorEastAsia" w:hAnsi="Simplified Arabic" w:cs="Simplified Arabic"/>
          <w:bCs/>
          <w:color w:val="000000"/>
          <w:rtl/>
        </w:rPr>
        <w:t>الاختصارات والأسماء المختصرة</w:t>
      </w:r>
    </w:p>
    <w:p w:rsidR="00810BAC" w:rsidRPr="00FF3102" w:rsidRDefault="00810BAC" w:rsidP="00E67195">
      <w:pPr>
        <w:autoSpaceDE w:val="0"/>
        <w:autoSpaceDN w:val="0"/>
        <w:bidi/>
        <w:adjustRightInd w:val="0"/>
        <w:jc w:val="center"/>
        <w:rPr>
          <w:rFonts w:ascii="Simplified Arabic" w:eastAsiaTheme="minorEastAsia" w:hAnsi="Simplified Arabic" w:cs="Simplified Arabic"/>
          <w:rtl/>
          <w:lang w:bidi="ar-EG"/>
        </w:rPr>
      </w:pPr>
      <w:r w:rsidRPr="00FF3102">
        <w:rPr>
          <w:rFonts w:ascii="Simplified Arabic" w:eastAsiaTheme="minorEastAsia" w:hAnsi="Simplified Arabic" w:cs="Simplified Arabic"/>
          <w:b/>
          <w:color w:val="00000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97"/>
        <w:gridCol w:w="1069"/>
        <w:gridCol w:w="3284"/>
        <w:gridCol w:w="1080"/>
      </w:tblGrid>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البنك الألماني للتنمية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KfW</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الوكالة الفرنسية للتنمية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lang w:val="fr-FR"/>
              </w:rPr>
            </w:pPr>
            <w:r w:rsidRPr="00E67195">
              <w:rPr>
                <w:rFonts w:ascii="Simplified Arabic" w:hAnsi="Simplified Arabic" w:cs="Simplified Arabic"/>
                <w:noProof/>
                <w:sz w:val="24"/>
                <w:lang w:val="fr-FR"/>
              </w:rPr>
              <w:t>AFD</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جنيه مصري</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LE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البنك الأفريقي للتنمية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lang w:val="fr-FR"/>
              </w:rPr>
            </w:pPr>
            <w:r w:rsidRPr="00E67195">
              <w:rPr>
                <w:rFonts w:ascii="Simplified Arabic" w:hAnsi="Simplified Arabic" w:cs="Simplified Arabic"/>
                <w:noProof/>
                <w:sz w:val="24"/>
                <w:lang w:val="fr-FR"/>
              </w:rPr>
              <w:t>AfDB</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غاز البترول المسال</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LPG</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الخدمات التحليلية والاستشارية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ASA</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منطقة الشرق الأوسط وشمال أفريقيا</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MENA</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الجهاز المركزي للتعبئة العامة والإحصاء</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CAPMAS</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مؤسسات التمويل متناهي الصغر</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MFI</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إستراتيجية المساعدة الخاصة بمصر</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CAS</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الوكالة الدولية لضمان الاستثمار</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MIGA</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البنك المركزي المصري</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CBE</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وزارة المالية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MOF</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استعراض الإنجاز والتعلُّم</w:t>
            </w:r>
          </w:p>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إطار الشراكة الإستراتيجية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CLR</w:t>
            </w:r>
          </w:p>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CPF</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المشروعات المتوسطة والصغيرة ومتناهية الصغر</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MSME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تقرير إنجاز إطار الشراكة الإستراتيجية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CPFCR</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ميجاوات كهرباء</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MWe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تمويل سياسات التنمية</w:t>
            </w:r>
          </w:p>
          <w:p w:rsidR="00E67195" w:rsidRPr="00E67195" w:rsidRDefault="00E67195" w:rsidP="00E67195">
            <w:pPr>
              <w:pStyle w:val="Abbreviations"/>
              <w:bidi/>
              <w:spacing w:before="0" w:after="0"/>
              <w:rPr>
                <w:rFonts w:ascii="Simplified Arabic" w:hAnsi="Simplified Arabic" w:cs="Simplified Arabic"/>
                <w:sz w:val="24"/>
              </w:rPr>
            </w:pP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DPF</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منظمة التعاون والتنمية في الميدان الاقتصادي</w:t>
            </w:r>
            <w:r w:rsidRPr="00E67195">
              <w:rPr>
                <w:rFonts w:ascii="Simplified Arabic" w:eastAsiaTheme="minorEastAsia" w:hAnsi="Simplified Arabic" w:cs="Simplified Arabic"/>
                <w:sz w:val="24"/>
              </w:rPr>
              <w:t xml:space="preserve"> </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OECD</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مجموعة سياسات التنمية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DPG</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إدارة المالية العامة/الاستثمار</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PFM/PIM</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rPr>
            </w:pPr>
            <w:r w:rsidRPr="00E67195">
              <w:rPr>
                <w:rFonts w:ascii="Simplified Arabic" w:eastAsiaTheme="minorEastAsia" w:hAnsi="Simplified Arabic" w:cs="Simplified Arabic"/>
                <w:sz w:val="24"/>
                <w:rtl/>
              </w:rPr>
              <w:t>الشركة القابضة لكهرباء مصر</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EEHC</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تمويل البرامج وفقاً للنتائج</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PforR</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الهيئة المصرية العامة للبترول</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EGPC</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المرفق</w:t>
            </w:r>
            <w:r w:rsidRPr="00E67195">
              <w:rPr>
                <w:rFonts w:ascii="Simplified Arabic" w:eastAsiaTheme="minorEastAsia" w:hAnsi="Simplified Arabic" w:cs="Simplified Arabic"/>
                <w:sz w:val="24"/>
              </w:rPr>
              <w:t xml:space="preserve"> </w:t>
            </w:r>
            <w:r w:rsidRPr="00E67195">
              <w:rPr>
                <w:rFonts w:ascii="Simplified Arabic" w:eastAsiaTheme="minorEastAsia" w:hAnsi="Simplified Arabic" w:cs="Simplified Arabic"/>
                <w:sz w:val="24"/>
                <w:rtl/>
              </w:rPr>
              <w:t>الاستشاري</w:t>
            </w:r>
            <w:r w:rsidRPr="00E67195">
              <w:rPr>
                <w:rFonts w:ascii="Simplified Arabic" w:eastAsiaTheme="minorEastAsia" w:hAnsi="Simplified Arabic" w:cs="Simplified Arabic"/>
                <w:sz w:val="24"/>
              </w:rPr>
              <w:t xml:space="preserve"> </w:t>
            </w:r>
            <w:r w:rsidRPr="00E67195">
              <w:rPr>
                <w:rFonts w:ascii="Simplified Arabic" w:eastAsiaTheme="minorEastAsia" w:hAnsi="Simplified Arabic" w:cs="Simplified Arabic"/>
                <w:spacing w:val="-4"/>
                <w:sz w:val="24"/>
                <w:rtl/>
              </w:rPr>
              <w:t xml:space="preserve">للهياكل الأساسية المشتركة بين القطاعين العام والخاص </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PPIAF</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البنك الأوروبي للاستثمار</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EIB</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الشراكات بين القطاعين العام والخاص</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PPP</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الاتحاد الأوروبي</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EU</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تنمية القطاع الخاص</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PSD</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الاستثمار الأجنبي المباشر</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FDI</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الدراسة التشخيصية المنهجية الخاصة بمصر</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SCD</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مجلس التعاون الخليجي</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GCC</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صندوق الإسكان الاجتماعي</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SHF</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إجمالي الناتج المحلي</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GDP</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المشروعات الصغيرة والمتوسطة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SME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الحكومة المصرية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GOE</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مؤسسة أعمال مملوكة للدولة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SOE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مسوح الدخل والإنفاق والاستهلاك للأسر المعيشية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HIECS</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شبكة الأمان الاجتماعي</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SSN</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البنك الدولي للإنشاء والتعمير</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IBRD</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المساعدة الفنية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TA</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المؤسسة الدولية للتنمية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IDA</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الإمارات العربية المتحدة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UAE</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مجموعة التقييم المستقلة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IEG</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برنامج الأمم المتحدة الإنمائي</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UNDP</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الصندوق الدولي للتنمية الزراعية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IFAD</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الوكالة الأمريكية للتنمية الدولية</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USAID</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مؤسسة التمويل الدولية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IFC</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مجموعة البنك الدولي</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WBG</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صندوق النقد الدولي</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IMF</w:t>
            </w:r>
          </w:p>
        </w:tc>
      </w:tr>
      <w:tr w:rsidR="00E67195" w:rsidRPr="00E67195">
        <w:tc>
          <w:tcPr>
            <w:tcW w:w="3197"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جمعية مستخدمي المياه</w:t>
            </w:r>
          </w:p>
        </w:tc>
        <w:tc>
          <w:tcPr>
            <w:tcW w:w="1069"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WUA</w:t>
            </w:r>
          </w:p>
        </w:tc>
        <w:tc>
          <w:tcPr>
            <w:tcW w:w="3284" w:type="dxa"/>
          </w:tcPr>
          <w:p w:rsidR="00E67195" w:rsidRPr="00E67195" w:rsidRDefault="00E67195" w:rsidP="00E67195">
            <w:pPr>
              <w:pStyle w:val="Abbreviations"/>
              <w:bidi/>
              <w:spacing w:before="0" w:after="0"/>
              <w:rPr>
                <w:rFonts w:ascii="Simplified Arabic" w:eastAsiaTheme="minorEastAsia" w:hAnsi="Simplified Arabic" w:cs="Simplified Arabic"/>
                <w:sz w:val="24"/>
                <w:rtl/>
                <w:lang w:bidi="ar-EG"/>
              </w:rPr>
            </w:pPr>
            <w:r w:rsidRPr="00E67195">
              <w:rPr>
                <w:rFonts w:ascii="Simplified Arabic" w:eastAsiaTheme="minorEastAsia" w:hAnsi="Simplified Arabic" w:cs="Simplified Arabic"/>
                <w:sz w:val="24"/>
                <w:rtl/>
              </w:rPr>
              <w:t>مذكرة الإستراتيجية المؤقتة</w:t>
            </w:r>
          </w:p>
        </w:tc>
        <w:tc>
          <w:tcPr>
            <w:tcW w:w="1080" w:type="dxa"/>
          </w:tcPr>
          <w:p w:rsidR="00E67195" w:rsidRPr="00E67195" w:rsidRDefault="00E67195" w:rsidP="00E67195">
            <w:pPr>
              <w:pStyle w:val="Abbreviations"/>
              <w:bidi/>
              <w:spacing w:before="0" w:after="0"/>
              <w:rPr>
                <w:rFonts w:ascii="Simplified Arabic" w:hAnsi="Simplified Arabic" w:cs="Simplified Arabic"/>
                <w:sz w:val="24"/>
              </w:rPr>
            </w:pPr>
            <w:r w:rsidRPr="00E67195">
              <w:rPr>
                <w:rFonts w:ascii="Simplified Arabic" w:hAnsi="Simplified Arabic" w:cs="Simplified Arabic"/>
                <w:noProof/>
                <w:sz w:val="24"/>
              </w:rPr>
              <w:t>ISN</w:t>
            </w:r>
          </w:p>
        </w:tc>
      </w:tr>
    </w:tbl>
    <w:p w:rsidR="00810BAC" w:rsidRDefault="00810BAC" w:rsidP="00810BAC">
      <w:pPr>
        <w:autoSpaceDE w:val="0"/>
        <w:autoSpaceDN w:val="0"/>
        <w:bidi/>
        <w:adjustRightInd w:val="0"/>
        <w:rPr>
          <w:rFonts w:ascii="Simplified Arabic" w:eastAsia="SimSun" w:hAnsi="Simplified Arabic" w:cs="Simplified Arabic"/>
          <w:b/>
          <w:color w:val="000000"/>
        </w:rPr>
      </w:pPr>
    </w:p>
    <w:p w:rsidR="00E67195" w:rsidRDefault="00E67195" w:rsidP="00E67195">
      <w:pPr>
        <w:autoSpaceDE w:val="0"/>
        <w:autoSpaceDN w:val="0"/>
        <w:bidi/>
        <w:adjustRightInd w:val="0"/>
        <w:rPr>
          <w:rFonts w:ascii="Simplified Arabic" w:eastAsia="SimSun" w:hAnsi="Simplified Arabic" w:cs="Simplified Arabic"/>
          <w:b/>
          <w:color w:val="000000"/>
        </w:rPr>
      </w:pPr>
    </w:p>
    <w:tbl>
      <w:tblPr>
        <w:bidiVisual/>
        <w:tblW w:w="963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430"/>
        <w:gridCol w:w="2520"/>
        <w:gridCol w:w="2340"/>
      </w:tblGrid>
      <w:tr w:rsidR="00E67195" w:rsidRPr="00E67195" w:rsidTr="009D0685">
        <w:trPr>
          <w:cantSplit/>
          <w:trHeight w:val="20"/>
        </w:trPr>
        <w:tc>
          <w:tcPr>
            <w:tcW w:w="2340" w:type="dxa"/>
            <w:tcBorders>
              <w:top w:val="single" w:sz="4" w:space="0" w:color="auto"/>
              <w:bottom w:val="nil"/>
            </w:tcBorders>
          </w:tcPr>
          <w:p w:rsidR="00E67195" w:rsidRPr="00E67195" w:rsidRDefault="00E67195" w:rsidP="009D0685">
            <w:pPr>
              <w:autoSpaceDE w:val="0"/>
              <w:autoSpaceDN w:val="0"/>
              <w:bidi/>
              <w:adjustRightInd w:val="0"/>
              <w:rPr>
                <w:rFonts w:ascii="Simplified Arabic" w:eastAsia="SimSun" w:hAnsi="Simplified Arabic" w:cs="Simplified Arabic"/>
                <w:color w:val="000000"/>
              </w:rPr>
            </w:pPr>
            <w:r w:rsidRPr="00E67195">
              <w:rPr>
                <w:rFonts w:ascii="Simplified Arabic" w:hAnsi="Simplified Arabic" w:cs="Simplified Arabic"/>
              </w:rPr>
              <w:br w:type="page"/>
            </w:r>
          </w:p>
        </w:tc>
        <w:tc>
          <w:tcPr>
            <w:tcW w:w="2430" w:type="dxa"/>
            <w:tcBorders>
              <w:top w:val="single" w:sz="4" w:space="0" w:color="auto"/>
              <w:bottom w:val="nil"/>
            </w:tcBorders>
          </w:tcPr>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bCs/>
                <w:color w:val="000000"/>
                <w:rtl/>
              </w:rPr>
              <w:t>البنك الدولي للإنشاء والتعمير</w:t>
            </w:r>
          </w:p>
        </w:tc>
        <w:tc>
          <w:tcPr>
            <w:tcW w:w="2520" w:type="dxa"/>
            <w:tcBorders>
              <w:top w:val="single" w:sz="4" w:space="0" w:color="auto"/>
              <w:bottom w:val="nil"/>
            </w:tcBorders>
          </w:tcPr>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bCs/>
                <w:color w:val="000000"/>
                <w:rtl/>
              </w:rPr>
              <w:t>مؤسسة التمويل الدولية</w:t>
            </w:r>
            <w:r w:rsidRPr="00E67195">
              <w:rPr>
                <w:rFonts w:ascii="Simplified Arabic" w:eastAsiaTheme="minorEastAsia" w:hAnsi="Simplified Arabic" w:cs="Simplified Arabic"/>
                <w:b/>
                <w:color w:val="000000"/>
              </w:rPr>
              <w:t xml:space="preserve"> </w:t>
            </w:r>
          </w:p>
        </w:tc>
        <w:tc>
          <w:tcPr>
            <w:tcW w:w="2340" w:type="dxa"/>
            <w:tcBorders>
              <w:top w:val="single" w:sz="4" w:space="0" w:color="auto"/>
              <w:bottom w:val="nil"/>
            </w:tcBorders>
          </w:tcPr>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bCs/>
                <w:color w:val="000000"/>
                <w:rtl/>
              </w:rPr>
              <w:t>الوكالة الدولية لضمان الاستثمار</w:t>
            </w:r>
            <w:r w:rsidRPr="00E67195">
              <w:rPr>
                <w:rFonts w:ascii="Simplified Arabic" w:eastAsiaTheme="minorEastAsia" w:hAnsi="Simplified Arabic" w:cs="Simplified Arabic"/>
                <w:b/>
                <w:color w:val="000000"/>
              </w:rPr>
              <w:t xml:space="preserve"> </w:t>
            </w:r>
          </w:p>
        </w:tc>
      </w:tr>
      <w:tr w:rsidR="00E67195" w:rsidRPr="00E67195" w:rsidTr="009D0685">
        <w:trPr>
          <w:cantSplit/>
          <w:trHeight w:val="20"/>
        </w:trPr>
        <w:tc>
          <w:tcPr>
            <w:tcW w:w="2340" w:type="dxa"/>
            <w:tcBorders>
              <w:top w:val="nil"/>
              <w:bottom w:val="single" w:sz="4" w:space="0" w:color="auto"/>
            </w:tcBorders>
          </w:tcPr>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bCs/>
                <w:color w:val="000000"/>
                <w:rtl/>
              </w:rPr>
              <w:t>نائب الرئيس لشؤون منطقة الشرق الأوسط وشمال أفريقيا:</w:t>
            </w:r>
            <w:r w:rsidRPr="00E67195">
              <w:rPr>
                <w:rFonts w:ascii="Simplified Arabic" w:eastAsiaTheme="minorEastAsia" w:hAnsi="Simplified Arabic" w:cs="Simplified Arabic"/>
                <w:b/>
                <w:color w:val="000000"/>
              </w:rPr>
              <w:t xml:space="preserve"> </w:t>
            </w:r>
          </w:p>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bCs/>
                <w:color w:val="000000"/>
                <w:rtl/>
              </w:rPr>
              <w:t>المدير:</w:t>
            </w:r>
            <w:r w:rsidRPr="00E67195">
              <w:rPr>
                <w:rFonts w:ascii="Simplified Arabic" w:eastAsiaTheme="minorEastAsia" w:hAnsi="Simplified Arabic" w:cs="Simplified Arabic"/>
                <w:b/>
                <w:color w:val="000000"/>
              </w:rPr>
              <w:t xml:space="preserve"> </w:t>
            </w:r>
          </w:p>
          <w:p w:rsidR="00E67195" w:rsidRPr="00E67195" w:rsidRDefault="00E67195" w:rsidP="009D0685">
            <w:pPr>
              <w:autoSpaceDE w:val="0"/>
              <w:autoSpaceDN w:val="0"/>
              <w:bidi/>
              <w:adjustRightInd w:val="0"/>
              <w:rPr>
                <w:rFonts w:ascii="Simplified Arabic" w:eastAsiaTheme="minorEastAsia" w:hAnsi="Simplified Arabic" w:cs="Simplified Arabic"/>
                <w:rtl/>
              </w:rPr>
            </w:pPr>
            <w:r w:rsidRPr="00E67195">
              <w:rPr>
                <w:rFonts w:ascii="Simplified Arabic" w:eastAsiaTheme="minorEastAsia" w:hAnsi="Simplified Arabic" w:cs="Simplified Arabic"/>
                <w:bCs/>
                <w:color w:val="000000"/>
                <w:rtl/>
              </w:rPr>
              <w:t>رئيسة فريق العمل:</w:t>
            </w:r>
          </w:p>
        </w:tc>
        <w:tc>
          <w:tcPr>
            <w:tcW w:w="2430" w:type="dxa"/>
            <w:tcBorders>
              <w:top w:val="nil"/>
              <w:bottom w:val="single" w:sz="4" w:space="0" w:color="auto"/>
            </w:tcBorders>
          </w:tcPr>
          <w:p w:rsidR="00E67195" w:rsidRPr="00E67195" w:rsidRDefault="00E67195" w:rsidP="009D0685">
            <w:pPr>
              <w:autoSpaceDE w:val="0"/>
              <w:autoSpaceDN w:val="0"/>
              <w:bidi/>
              <w:adjustRightInd w:val="0"/>
              <w:rPr>
                <w:rFonts w:ascii="Simplified Arabic" w:eastAsiaTheme="minorEastAsia" w:hAnsi="Simplified Arabic" w:cs="Simplified Arabic"/>
                <w:color w:val="000000"/>
                <w:rtl/>
                <w:lang w:bidi="ar-EG"/>
              </w:rPr>
            </w:pPr>
            <w:r w:rsidRPr="00E67195">
              <w:rPr>
                <w:rFonts w:ascii="Simplified Arabic" w:eastAsiaTheme="minorEastAsia" w:hAnsi="Simplified Arabic" w:cs="Simplified Arabic"/>
                <w:color w:val="000000"/>
                <w:rtl/>
              </w:rPr>
              <w:t>حافظ غانم</w:t>
            </w:r>
          </w:p>
          <w:p w:rsidR="00E67195" w:rsidRPr="00E67195" w:rsidRDefault="00E67195" w:rsidP="009D0685">
            <w:pPr>
              <w:autoSpaceDE w:val="0"/>
              <w:autoSpaceDN w:val="0"/>
              <w:bidi/>
              <w:adjustRightInd w:val="0"/>
              <w:rPr>
                <w:rFonts w:ascii="Simplified Arabic" w:eastAsiaTheme="minorEastAsia" w:hAnsi="Simplified Arabic" w:cs="Simplified Arabic"/>
                <w:color w:val="000000"/>
                <w:rtl/>
                <w:lang w:bidi="ar-EG"/>
              </w:rPr>
            </w:pPr>
            <w:r w:rsidRPr="00E67195">
              <w:rPr>
                <w:rFonts w:ascii="Simplified Arabic" w:eastAsiaTheme="minorEastAsia" w:hAnsi="Simplified Arabic" w:cs="Simplified Arabic"/>
                <w:color w:val="000000"/>
                <w:rtl/>
              </w:rPr>
              <w:t>أسعد علم</w:t>
            </w:r>
          </w:p>
          <w:p w:rsidR="00E67195" w:rsidRPr="00E67195" w:rsidRDefault="00E67195" w:rsidP="009D0685">
            <w:pPr>
              <w:autoSpaceDE w:val="0"/>
              <w:autoSpaceDN w:val="0"/>
              <w:bidi/>
              <w:adjustRightInd w:val="0"/>
              <w:rPr>
                <w:rFonts w:ascii="Simplified Arabic" w:eastAsiaTheme="minorEastAsia" w:hAnsi="Simplified Arabic" w:cs="Simplified Arabic"/>
                <w:rtl/>
              </w:rPr>
            </w:pPr>
            <w:r w:rsidRPr="00E67195">
              <w:rPr>
                <w:rFonts w:ascii="Simplified Arabic" w:eastAsiaTheme="minorEastAsia" w:hAnsi="Simplified Arabic" w:cs="Simplified Arabic"/>
                <w:rtl/>
              </w:rPr>
              <w:t>بونام</w:t>
            </w:r>
            <w:r w:rsidRPr="00E67195">
              <w:rPr>
                <w:rFonts w:ascii="Simplified Arabic" w:eastAsiaTheme="minorEastAsia" w:hAnsi="Simplified Arabic" w:cs="Simplified Arabic"/>
              </w:rPr>
              <w:t xml:space="preserve"> </w:t>
            </w:r>
            <w:r w:rsidRPr="00E67195">
              <w:rPr>
                <w:rFonts w:ascii="Simplified Arabic" w:eastAsiaTheme="minorEastAsia" w:hAnsi="Simplified Arabic" w:cs="Simplified Arabic"/>
                <w:rtl/>
              </w:rPr>
              <w:t>غوبتا</w:t>
            </w:r>
          </w:p>
        </w:tc>
        <w:tc>
          <w:tcPr>
            <w:tcW w:w="2520" w:type="dxa"/>
            <w:tcBorders>
              <w:top w:val="nil"/>
              <w:bottom w:val="single" w:sz="4" w:space="0" w:color="auto"/>
            </w:tcBorders>
          </w:tcPr>
          <w:p w:rsidR="00E67195" w:rsidRPr="00E67195" w:rsidRDefault="00E67195" w:rsidP="009D0685">
            <w:pPr>
              <w:autoSpaceDE w:val="0"/>
              <w:autoSpaceDN w:val="0"/>
              <w:bidi/>
              <w:adjustRightInd w:val="0"/>
              <w:rPr>
                <w:rFonts w:ascii="Simplified Arabic" w:eastAsiaTheme="minorEastAsia" w:hAnsi="Simplified Arabic" w:cs="Simplified Arabic"/>
                <w:color w:val="000000"/>
                <w:rtl/>
                <w:lang w:bidi="ar-EG"/>
              </w:rPr>
            </w:pPr>
            <w:r w:rsidRPr="00E67195">
              <w:rPr>
                <w:rFonts w:ascii="Simplified Arabic" w:eastAsiaTheme="minorEastAsia" w:hAnsi="Simplified Arabic" w:cs="Simplified Arabic"/>
                <w:rtl/>
              </w:rPr>
              <w:t>ديميتريس</w:t>
            </w:r>
            <w:r w:rsidRPr="00E67195">
              <w:rPr>
                <w:rFonts w:ascii="Simplified Arabic" w:eastAsiaTheme="minorEastAsia" w:hAnsi="Simplified Arabic" w:cs="Simplified Arabic"/>
              </w:rPr>
              <w:t xml:space="preserve"> </w:t>
            </w:r>
            <w:r w:rsidRPr="00E67195">
              <w:rPr>
                <w:rFonts w:ascii="Simplified Arabic" w:eastAsiaTheme="minorEastAsia" w:hAnsi="Simplified Arabic" w:cs="Simplified Arabic"/>
                <w:rtl/>
              </w:rPr>
              <w:t>تسيتسيراغوس</w:t>
            </w:r>
          </w:p>
          <w:p w:rsidR="00E67195" w:rsidRPr="00E67195" w:rsidRDefault="00E67195" w:rsidP="009D0685">
            <w:pPr>
              <w:autoSpaceDE w:val="0"/>
              <w:autoSpaceDN w:val="0"/>
              <w:bidi/>
              <w:adjustRightInd w:val="0"/>
              <w:rPr>
                <w:rFonts w:ascii="Simplified Arabic" w:eastAsiaTheme="minorEastAsia" w:hAnsi="Simplified Arabic" w:cs="Simplified Arabic"/>
                <w:color w:val="000000"/>
                <w:rtl/>
                <w:lang w:bidi="ar-EG"/>
              </w:rPr>
            </w:pPr>
            <w:r w:rsidRPr="00E67195">
              <w:rPr>
                <w:rFonts w:ascii="Simplified Arabic" w:eastAsiaTheme="minorEastAsia" w:hAnsi="Simplified Arabic" w:cs="Simplified Arabic"/>
                <w:color w:val="000000"/>
                <w:rtl/>
              </w:rPr>
              <w:t>مؤيد مخلوف</w:t>
            </w:r>
          </w:p>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color w:val="000000"/>
                <w:rtl/>
              </w:rPr>
              <w:t>ندا شوشة</w:t>
            </w:r>
          </w:p>
        </w:tc>
        <w:tc>
          <w:tcPr>
            <w:tcW w:w="2340" w:type="dxa"/>
            <w:tcBorders>
              <w:top w:val="nil"/>
              <w:bottom w:val="single" w:sz="4" w:space="0" w:color="auto"/>
            </w:tcBorders>
          </w:tcPr>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rtl/>
              </w:rPr>
              <w:t>كارين فينكيلستون</w:t>
            </w:r>
            <w:r w:rsidRPr="00E67195">
              <w:rPr>
                <w:rFonts w:ascii="Simplified Arabic" w:eastAsiaTheme="minorEastAsia" w:hAnsi="Simplified Arabic" w:cs="Simplified Arabic"/>
                <w:color w:val="000000"/>
              </w:rPr>
              <w:t xml:space="preserve"> </w:t>
            </w:r>
          </w:p>
          <w:p w:rsidR="00E67195" w:rsidRPr="00E67195" w:rsidRDefault="00E67195" w:rsidP="009D0685">
            <w:pPr>
              <w:autoSpaceDE w:val="0"/>
              <w:autoSpaceDN w:val="0"/>
              <w:bidi/>
              <w:adjustRightInd w:val="0"/>
              <w:rPr>
                <w:rFonts w:ascii="Simplified Arabic" w:eastAsiaTheme="minorEastAsia" w:hAnsi="Simplified Arabic" w:cs="Simplified Arabic"/>
                <w:color w:val="000000"/>
                <w:rtl/>
                <w:lang w:bidi="ar-EG"/>
              </w:rPr>
            </w:pPr>
            <w:r w:rsidRPr="00E67195">
              <w:rPr>
                <w:rFonts w:ascii="Simplified Arabic" w:eastAsiaTheme="minorEastAsia" w:hAnsi="Simplified Arabic" w:cs="Simplified Arabic"/>
                <w:color w:val="000000"/>
                <w:rtl/>
              </w:rPr>
              <w:t>رافي فيش</w:t>
            </w:r>
          </w:p>
          <w:p w:rsidR="00E67195" w:rsidRPr="00E67195" w:rsidRDefault="00E67195" w:rsidP="009D0685">
            <w:pPr>
              <w:autoSpaceDE w:val="0"/>
              <w:autoSpaceDN w:val="0"/>
              <w:bidi/>
              <w:adjustRightInd w:val="0"/>
              <w:rPr>
                <w:rFonts w:ascii="Simplified Arabic" w:eastAsiaTheme="minorEastAsia" w:hAnsi="Simplified Arabic" w:cs="Simplified Arabic"/>
                <w:rtl/>
                <w:lang w:bidi="ar-EG"/>
              </w:rPr>
            </w:pPr>
            <w:r w:rsidRPr="00E67195">
              <w:rPr>
                <w:rFonts w:ascii="Simplified Arabic" w:eastAsiaTheme="minorEastAsia" w:hAnsi="Simplified Arabic" w:cs="Simplified Arabic"/>
                <w:color w:val="000000"/>
                <w:rtl/>
              </w:rPr>
              <w:t>بول باربور</w:t>
            </w:r>
          </w:p>
        </w:tc>
      </w:tr>
    </w:tbl>
    <w:p w:rsidR="00E67195" w:rsidRPr="00E67195" w:rsidRDefault="00E67195" w:rsidP="00E67195">
      <w:pPr>
        <w:autoSpaceDE w:val="0"/>
        <w:autoSpaceDN w:val="0"/>
        <w:bidi/>
        <w:adjustRightInd w:val="0"/>
        <w:rPr>
          <w:rFonts w:ascii="Simplified Arabic" w:eastAsia="SimSun" w:hAnsi="Simplified Arabic" w:cs="Simplified Arabic"/>
          <w:b/>
          <w:color w:val="000000"/>
        </w:rPr>
        <w:sectPr w:rsidR="00E67195" w:rsidRPr="00E67195">
          <w:type w:val="continuous"/>
          <w:pgSz w:w="12240" w:h="15840"/>
          <w:pgMar w:top="1440" w:right="1440" w:bottom="1440" w:left="1440" w:header="720" w:footer="720" w:gutter="0"/>
          <w:cols w:space="720"/>
          <w:titlePg/>
          <w:docGrid w:linePitch="360"/>
        </w:sectPr>
      </w:pPr>
    </w:p>
    <w:p w:rsidR="00810BAC" w:rsidRPr="00124BD4" w:rsidRDefault="00810BAC" w:rsidP="00810BAC">
      <w:pPr>
        <w:autoSpaceDE w:val="0"/>
        <w:autoSpaceDN w:val="0"/>
        <w:bidi/>
        <w:adjustRightInd w:val="0"/>
        <w:rPr>
          <w:rFonts w:ascii="Simplified Arabic" w:eastAsiaTheme="minorEastAsia" w:hAnsi="Simplified Arabic" w:cs="Simplified Arabic"/>
          <w:bCs/>
          <w:color w:val="000000"/>
          <w:sz w:val="36"/>
          <w:szCs w:val="36"/>
          <w:rtl/>
          <w:lang w:bidi="ar-EG"/>
        </w:rPr>
      </w:pPr>
      <w:r w:rsidRPr="00124BD4">
        <w:rPr>
          <w:rFonts w:ascii="Simplified Arabic" w:eastAsiaTheme="minorEastAsia" w:hAnsi="Simplified Arabic" w:cs="Simplified Arabic"/>
          <w:bCs/>
          <w:color w:val="000000"/>
          <w:sz w:val="36"/>
          <w:szCs w:val="36"/>
          <w:rtl/>
        </w:rPr>
        <w:t>شكر وتقدير</w:t>
      </w:r>
    </w:p>
    <w:p w:rsidR="00810BAC" w:rsidRPr="00FF3102" w:rsidRDefault="00810BAC" w:rsidP="00810BAC">
      <w:pPr>
        <w:autoSpaceDE w:val="0"/>
        <w:autoSpaceDN w:val="0"/>
        <w:bidi/>
        <w:jc w:val="both"/>
        <w:rPr>
          <w:rFonts w:ascii="Simplified Arabic" w:eastAsia="SimSun" w:hAnsi="Simplified Arabic" w:cs="Simplified Arabic"/>
          <w:b/>
          <w:color w:val="000000"/>
        </w:rPr>
      </w:pPr>
    </w:p>
    <w:p w:rsidR="00810BAC" w:rsidRPr="00FF3102" w:rsidRDefault="00810BAC" w:rsidP="00123A2B">
      <w:pPr>
        <w:autoSpaceDE w:val="0"/>
        <w:autoSpaceDN w:val="0"/>
        <w:bidi/>
        <w:spacing w:after="240"/>
        <w:jc w:val="both"/>
        <w:rPr>
          <w:rFonts w:ascii="Simplified Arabic" w:hAnsi="Simplified Arabic" w:cs="Simplified Arabic"/>
          <w:rtl/>
        </w:rPr>
      </w:pPr>
      <w:r w:rsidRPr="00FF3102">
        <w:rPr>
          <w:rFonts w:ascii="Simplified Arabic" w:eastAsiaTheme="minorEastAsia" w:hAnsi="Simplified Arabic" w:cs="Simplified Arabic"/>
          <w:rtl/>
        </w:rPr>
        <w:t>تعرب مجموعة البنك الدولي عن عظيم تقديرها للتعاون الوثيق من جانب كلٍ من السلطات المصرية، وشركاء التنمية، ومجموعات مؤسسات الأعمال، والأوساط الأكاديمية، والمجتمع المدني، و</w:t>
      </w:r>
      <w:r w:rsidR="00123A2B">
        <w:rPr>
          <w:rFonts w:ascii="Simplified Arabic" w:eastAsiaTheme="minorEastAsia" w:hAnsi="Simplified Arabic" w:cs="Simplified Arabic" w:hint="cs"/>
          <w:rtl/>
        </w:rPr>
        <w:t>الفئات المعنية</w:t>
      </w:r>
      <w:r w:rsidR="00123A2B">
        <w:rPr>
          <w:rFonts w:ascii="Simplified Arabic" w:eastAsiaTheme="minorEastAsia" w:hAnsi="Simplified Arabic" w:cs="Simplified Arabic"/>
          <w:rtl/>
        </w:rPr>
        <w:t xml:space="preserve"> ال</w:t>
      </w:r>
      <w:r w:rsidR="00123A2B">
        <w:rPr>
          <w:rFonts w:ascii="Simplified Arabic" w:eastAsiaTheme="minorEastAsia" w:hAnsi="Simplified Arabic" w:cs="Simplified Arabic" w:hint="cs"/>
          <w:rtl/>
        </w:rPr>
        <w:t>أ</w:t>
      </w:r>
      <w:r w:rsidR="00123A2B">
        <w:rPr>
          <w:rFonts w:ascii="Simplified Arabic" w:eastAsiaTheme="minorEastAsia" w:hAnsi="Simplified Arabic" w:cs="Simplified Arabic"/>
          <w:rtl/>
        </w:rPr>
        <w:t>خري</w:t>
      </w:r>
      <w:r w:rsidRPr="00FF3102">
        <w:rPr>
          <w:rFonts w:ascii="Simplified Arabic" w:eastAsiaTheme="minorEastAsia" w:hAnsi="Simplified Arabic" w:cs="Simplified Arabic"/>
          <w:rtl/>
        </w:rPr>
        <w:t xml:space="preserve"> في إعداد إطار الشراكة الإستراتيجية هذا. </w:t>
      </w:r>
    </w:p>
    <w:p w:rsidR="00810BAC" w:rsidRPr="00FF3102" w:rsidRDefault="00810BAC" w:rsidP="00810BAC">
      <w:pPr>
        <w:autoSpaceDE w:val="0"/>
        <w:autoSpaceDN w:val="0"/>
        <w:bidi/>
        <w:spacing w:after="240"/>
        <w:jc w:val="both"/>
        <w:rPr>
          <w:rStyle w:val="tw4winMark"/>
          <w:rFonts w:ascii="Simplified Arabic" w:eastAsiaTheme="minorEastAsia" w:hAnsi="Simplified Arabic" w:cs="Simplified Arabic"/>
          <w:rtl/>
        </w:rPr>
      </w:pPr>
      <w:r w:rsidRPr="00FF3102">
        <w:rPr>
          <w:rFonts w:ascii="Simplified Arabic" w:eastAsiaTheme="minorEastAsia" w:hAnsi="Simplified Arabic" w:cs="Simplified Arabic"/>
          <w:rtl/>
        </w:rPr>
        <w:t>إن هذا الإطار هو ثمرة جهود فريق العمل التي اعتمدت على معارف وخبرات وإرشادات الشركاء غير الحكوميين في مختلف القطاعات المصرية والأفراد من مختلف مؤسسات مجموعة البنك الدولي. وتولى قيادة إعداد هذا الإطار كلٌ من بونام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غوبتا (إدارة منطقة الشرق الأوسط وشمال أفريقيا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xml:space="preserve">) وندا شوشة (مؤسسة التمويل الدولية </w:t>
      </w:r>
      <w:r w:rsidRPr="00FF3102">
        <w:rPr>
          <w:rFonts w:ascii="Simplified Arabic" w:eastAsiaTheme="minorEastAsia" w:hAnsi="Simplified Arabic" w:cs="Simplified Arabic"/>
        </w:rPr>
        <w:t>CMEEC</w:t>
      </w:r>
      <w:r w:rsidRPr="00FF3102">
        <w:rPr>
          <w:rFonts w:ascii="Simplified Arabic" w:eastAsiaTheme="minorEastAsia" w:hAnsi="Simplified Arabic" w:cs="Simplified Arabic"/>
          <w:rtl/>
        </w:rPr>
        <w:t>) وبيرسيفوني إكونومو وبول باربور (الوكالة الدولية لضمان الاستثمار). وأسهمت علية حسين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بإعداد تقرير الإنجاز لمساعدات مجموعة البنك خلال فترة السنوات المالية (2006-2014). وتولى حسام أبو دقة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وإيمان وهبي (وحدة الاتصالات الخارجية) مسؤولية تنظيم مشاورات مجموعة البنك الدولي بشأن إطار الشراكة الإستراتيجية. وقد عمل على إعداد هذا الإطار فريق أساسي تألف من علية حسين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وحسام أبو دقة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ووائل عفيفي (مكتب رئيس الخبراء الاقتصاديين)، وغويدو</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رورانغوا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وأسماء الحنشلي (مكتب البنك الدولي في صنعاء)، وغستافو</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ديماركو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وفيكتوريا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غيليروب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للمياه)، ورابتي إيه.</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غونيسنكيرى (</w:t>
      </w:r>
      <w:r w:rsidRPr="00FF3102">
        <w:rPr>
          <w:rFonts w:ascii="Simplified Arabic" w:eastAsiaTheme="minorEastAsia" w:hAnsi="Simplified Arabic" w:cs="Simplified Arabic"/>
        </w:rPr>
        <w:t>CBCCF</w:t>
      </w:r>
      <w:r w:rsidRPr="00FF3102">
        <w:rPr>
          <w:rFonts w:ascii="Simplified Arabic" w:eastAsiaTheme="minorEastAsia" w:hAnsi="Simplified Arabic" w:cs="Simplified Arabic"/>
          <w:rtl/>
        </w:rPr>
        <w:t>)، ولوكا هاغارتي (</w:t>
      </w:r>
      <w:r w:rsidRPr="00FF3102">
        <w:rPr>
          <w:rFonts w:ascii="Simplified Arabic" w:eastAsiaTheme="minorEastAsia" w:hAnsi="Simplified Arabic" w:cs="Simplified Arabic"/>
        </w:rPr>
        <w:t>CBCRM</w:t>
      </w:r>
      <w:r w:rsidRPr="00FF3102">
        <w:rPr>
          <w:rFonts w:ascii="Simplified Arabic" w:eastAsiaTheme="minorEastAsia" w:hAnsi="Simplified Arabic" w:cs="Simplified Arabic"/>
          <w:rtl/>
        </w:rPr>
        <w:t>)، ولورين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جيمس (</w:t>
      </w:r>
      <w:r w:rsidRPr="00FF3102">
        <w:rPr>
          <w:rFonts w:ascii="Simplified Arabic" w:eastAsiaTheme="minorEastAsia" w:hAnsi="Simplified Arabic" w:cs="Simplified Arabic"/>
        </w:rPr>
        <w:t>EACNQ</w:t>
      </w:r>
      <w:r w:rsidRPr="00FF3102">
        <w:rPr>
          <w:rFonts w:ascii="Simplified Arabic" w:eastAsiaTheme="minorEastAsia" w:hAnsi="Simplified Arabic" w:cs="Simplified Arabic"/>
          <w:rtl/>
        </w:rPr>
        <w:t>)، وداليا خليفة (مجموعة الممارسات العالمية للتجارة والقدرة التنافسية)، وأحمد كوشوك (مجموعة الممارسات العالمية المعنية بإدارة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الاقتصاد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الكلي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والمالية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العامة)، ونهال القويسني (وحدة الاتصالات الخارجية)، وبالا مينون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وبشرى غلام محمد (مكتب رئيس الخبراء الاقتصاديين)، وجوشوا ماكليلان نيول (وحدة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فاعلية التنمية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بمكتب</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منطقة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الشرق</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الأوسط</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وشمال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أفريقيا)، ورامي عكاشة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وبريان تيت (وحدة الطاقة النظيفة وكفاءة استخدام الموارد)، وداليا وهبة (</w:t>
      </w:r>
      <w:r w:rsidRPr="00FF3102">
        <w:rPr>
          <w:rFonts w:ascii="Simplified Arabic" w:eastAsiaTheme="minorEastAsia" w:hAnsi="Simplified Arabic" w:cs="Simplified Arabic"/>
        </w:rPr>
        <w:t>CNGS9</w:t>
      </w:r>
      <w:r w:rsidRPr="00FF3102">
        <w:rPr>
          <w:rFonts w:ascii="Simplified Arabic" w:eastAsiaTheme="minorEastAsia" w:hAnsi="Simplified Arabic" w:cs="Simplified Arabic"/>
          <w:rtl/>
        </w:rPr>
        <w:t>).</w:t>
      </w:r>
    </w:p>
    <w:p w:rsidR="00810BAC" w:rsidRPr="00FF3102" w:rsidRDefault="00810BAC" w:rsidP="00810BAC">
      <w:pPr>
        <w:bidi/>
        <w:rPr>
          <w:rFonts w:ascii="Simplified Arabic" w:hAnsi="Simplified Arabic" w:cs="Simplified Arabic"/>
          <w:rtl/>
        </w:rPr>
      </w:pPr>
    </w:p>
    <w:p w:rsidR="00810BAC" w:rsidRPr="00FF3102" w:rsidRDefault="00810BAC" w:rsidP="00810BAC">
      <w:pPr>
        <w:autoSpaceDE w:val="0"/>
        <w:autoSpaceDN w:val="0"/>
        <w:bidi/>
        <w:spacing w:after="240"/>
        <w:jc w:val="both"/>
        <w:rPr>
          <w:rFonts w:ascii="Simplified Arabic" w:eastAsiaTheme="minorEastAsia" w:hAnsi="Simplified Arabic" w:cs="Simplified Arabic"/>
          <w:rtl/>
          <w:lang w:bidi="ar-EG"/>
        </w:rPr>
      </w:pPr>
      <w:r w:rsidRPr="00FF3102">
        <w:rPr>
          <w:rFonts w:ascii="Simplified Arabic" w:eastAsiaTheme="minorEastAsia" w:hAnsi="Simplified Arabic" w:cs="Simplified Arabic"/>
          <w:rtl/>
        </w:rPr>
        <w:t>ونود أيضا التوجه بالشكر إلى الأشخاص التالية أسماؤهم لما قدموه من إسهامات: ميساء عبد الله (وحدة الاتصالات الخارجية)، وعلاء عبد الحميد (مجموعة الممارسات العالمية للصحة والتغذية والسكان)، وليلى عبد القادر (مجموعة الممارسات العالمية للتمويل والأسواق)، ودينا أبو غيدة (مجموعة الممارسات العالمية للتعليم)، وأويبيمبي أديبوجو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للبيئة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الطبيعية)، وإدوارد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الدحداح (مجموعة الممارسات العالمية للحوكمة)، وإيبيك ألكان (</w:t>
      </w:r>
      <w:r w:rsidRPr="00FF3102">
        <w:rPr>
          <w:rFonts w:ascii="Simplified Arabic" w:eastAsiaTheme="minorEastAsia" w:hAnsi="Simplified Arabic" w:cs="Simplified Arabic"/>
        </w:rPr>
        <w:t>EACIQ</w:t>
      </w:r>
      <w:r w:rsidRPr="00FF3102">
        <w:rPr>
          <w:rFonts w:ascii="Simplified Arabic" w:eastAsiaTheme="minorEastAsia" w:hAnsi="Simplified Arabic" w:cs="Simplified Arabic"/>
          <w:rtl/>
        </w:rPr>
        <w:t>)، ووليد السريح (مجموعة الممارسات العالمية للطاقة والصناعات الاستخراجية)، وأميرة حسين علي أبو الخير (مجموعة الممارسات العالمية للتجارة والقدرة التنافسية)، وجورج</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أنايوتوس وسارة النشار (مجموعة الممارسات العالمية المعنية بإدارة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الاقتصاد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الكلي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والمالية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العامة)، ونبيلة عساف (مجموعة الممارسات العالمية للتجارة والقدرة التنافسية)، وكريم بدر (مجموعة الممارسات العالمية للتمويل والأسواق)، وأوليفييه</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لو بير (مجموعة الممارسات العالمية للنقل وتكنولوجيا المعلومات والاتصالات)، وبينوا بلاريل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للبيئة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الطبيعية)، وتشارلز</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كروميير (مجموعة الممارسات العالمية للطاقة والصناعات الاستخراجية)، وملاك دراز (</w:t>
      </w:r>
      <w:r w:rsidRPr="00FF3102">
        <w:rPr>
          <w:rFonts w:ascii="Simplified Arabic" w:eastAsiaTheme="minorEastAsia" w:hAnsi="Simplified Arabic" w:cs="Simplified Arabic"/>
        </w:rPr>
        <w:t>CASMP</w:t>
      </w:r>
      <w:r w:rsidRPr="00FF3102">
        <w:rPr>
          <w:rFonts w:ascii="Simplified Arabic" w:eastAsiaTheme="minorEastAsia" w:hAnsi="Simplified Arabic" w:cs="Simplified Arabic"/>
          <w:rtl/>
        </w:rPr>
        <w:t>)، وياسر الجمال (مجموعة الممارسات العالمية للحماية الاجتماعية والعمل)، وحازم الوسيمي (مجموعة الممارسات العالمية للتجارة والقدرة التنافسية)، ومنير فيروزي (</w:t>
      </w:r>
      <w:r w:rsidRPr="00FF3102">
        <w:rPr>
          <w:rFonts w:ascii="Simplified Arabic" w:eastAsiaTheme="minorEastAsia" w:hAnsi="Simplified Arabic" w:cs="Simplified Arabic"/>
        </w:rPr>
        <w:t>CASMP</w:t>
      </w:r>
      <w:r w:rsidRPr="00FF3102">
        <w:rPr>
          <w:rFonts w:ascii="Simplified Arabic" w:eastAsiaTheme="minorEastAsia" w:hAnsi="Simplified Arabic" w:cs="Simplified Arabic"/>
          <w:rtl/>
        </w:rPr>
        <w:t>)، وتوماس غراتوسكي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وشريف حمدي (مجموعة الممارسات العالمية للتجارة والقدرة التنافسية)، وليونارد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هيسلنغ (</w:t>
      </w:r>
      <w:r w:rsidRPr="00FF3102">
        <w:rPr>
          <w:rFonts w:ascii="Simplified Arabic" w:eastAsiaTheme="minorEastAsia" w:hAnsi="Simplified Arabic" w:cs="Simplified Arabic"/>
        </w:rPr>
        <w:t>GGO17</w:t>
      </w:r>
      <w:r w:rsidRPr="00FF3102">
        <w:rPr>
          <w:rFonts w:ascii="Simplified Arabic" w:eastAsiaTheme="minorEastAsia" w:hAnsi="Simplified Arabic" w:cs="Simplified Arabic"/>
          <w:rtl/>
        </w:rPr>
        <w:t>)، وآن صوفي جيسبيرسن (وحدة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النتائج</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والانفتاح</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والفاعلية)، وأميرة كاظم (مجموعة الممارسات العالمية للتعليم)، وبيرس ميريك (وحدة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فاعلية التنمية بمكتب</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منطقة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الشرق</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الأوسط</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وشمال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أفريقيا)، وسارة أندريه</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ميخنيف (مجموعة الممارسات العالمية للتجارة والقدرة التنافسية)، وفيليكس نيوغيباور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وأفريقيا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أولوجوبا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للبيئة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الطبيعية)، وهاري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باترينوس (مجموعة الممارسات العالمية للتعليم)، ولويس</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برادا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للحوكمة)، وزافيير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رايلي (</w:t>
      </w:r>
      <w:r w:rsidRPr="00FF3102">
        <w:rPr>
          <w:rFonts w:ascii="Simplified Arabic" w:eastAsiaTheme="minorEastAsia" w:hAnsi="Simplified Arabic" w:cs="Simplified Arabic"/>
        </w:rPr>
        <w:t>CFGA3</w:t>
      </w:r>
      <w:r w:rsidRPr="00FF3102">
        <w:rPr>
          <w:rFonts w:ascii="Simplified Arabic" w:eastAsiaTheme="minorEastAsia" w:hAnsi="Simplified Arabic" w:cs="Simplified Arabic"/>
          <w:rtl/>
        </w:rPr>
        <w:t>)، وعلاء سرحان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للبيئة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الطبيعية)، وماريا صراف (مجموعة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العالمية للبيئة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والموارد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الطبيعية)، وأندرياس شليسلر (مجموعة الممارسات العالمية للنقل وتكنولوجيا المعلومات والاتصالات)، وستيفين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شونبرغر (مجموعة الممارسات العالمية للمياه)، وماريا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فاغلياسيندي (</w:t>
      </w:r>
      <w:r w:rsidRPr="00FF3102">
        <w:rPr>
          <w:rFonts w:ascii="Simplified Arabic" w:eastAsiaTheme="minorEastAsia" w:hAnsi="Simplified Arabic" w:cs="Simplified Arabic"/>
        </w:rPr>
        <w:t>MNCA5</w:t>
      </w:r>
      <w:r w:rsidRPr="00FF3102">
        <w:rPr>
          <w:rFonts w:ascii="Simplified Arabic" w:eastAsiaTheme="minorEastAsia" w:hAnsi="Simplified Arabic" w:cs="Simplified Arabic"/>
          <w:rtl/>
        </w:rPr>
        <w:t>)، وكارولين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دن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بيرغ (مجموعة الممارسات العالمية للمياه)، ومانويل فارغاس (مجموعة الممارسات العالمية للحوكمة)، وهشام والي (مجموعة الممارسات العالمية للحوكمة)، وتاتيانا ويبر (</w:t>
      </w:r>
      <w:r w:rsidRPr="00FF3102">
        <w:rPr>
          <w:rFonts w:ascii="Simplified Arabic" w:eastAsiaTheme="minorEastAsia" w:hAnsi="Simplified Arabic" w:cs="Simplified Arabic"/>
        </w:rPr>
        <w:t>MNCA3</w:t>
      </w:r>
      <w:r w:rsidRPr="00FF3102">
        <w:rPr>
          <w:rFonts w:ascii="Simplified Arabic" w:eastAsiaTheme="minorEastAsia" w:hAnsi="Simplified Arabic" w:cs="Simplified Arabic"/>
          <w:rtl/>
        </w:rPr>
        <w:t>)، وكايتلين ويتمور (وحدة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فاعلية التنمية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بمكتب</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منطقة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الشرق</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الأوسط</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وشمال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أفريقيا)، وسيلفيا زولو (إدارة الحلول الاستشارية المشتركة).</w:t>
      </w:r>
      <w:r w:rsidRPr="00FF3102">
        <w:rPr>
          <w:rFonts w:ascii="Simplified Arabic" w:eastAsiaTheme="minorEastAsia" w:hAnsi="Simplified Arabic" w:cs="Simplified Arabic"/>
        </w:rPr>
        <w:t xml:space="preserve"> </w:t>
      </w:r>
    </w:p>
    <w:p w:rsidR="00810BAC" w:rsidRPr="00FF3102" w:rsidRDefault="00810BAC" w:rsidP="00810BAC">
      <w:pPr>
        <w:autoSpaceDE w:val="0"/>
        <w:autoSpaceDN w:val="0"/>
        <w:bidi/>
        <w:spacing w:after="240"/>
        <w:jc w:val="both"/>
        <w:rPr>
          <w:rFonts w:ascii="Simplified Arabic" w:eastAsiaTheme="minorEastAsia" w:hAnsi="Simplified Arabic" w:cs="Simplified Arabic"/>
          <w:rtl/>
          <w:lang w:bidi="ar-EG"/>
        </w:rPr>
      </w:pPr>
      <w:r w:rsidRPr="00FF3102">
        <w:rPr>
          <w:rFonts w:ascii="Simplified Arabic" w:eastAsiaTheme="minorEastAsia" w:hAnsi="Simplified Arabic" w:cs="Simplified Arabic"/>
          <w:rtl/>
        </w:rPr>
        <w:t>كما نعرب عن بالغ امتناننا للنظراء الذين شاركوا في استعراض وثيقة إطار الشراكة الإستراتيجية، وهما الدكتور زياد بهاء الدين، مؤسس وعضو مجلس إدارة مؤسسة أحمد بهاء الدين الثقافية وكبير المستشارين القانونيين بمكتب هاشم وشركاه للمحاماة والاستشارات، وكذلك للسيدة/ لوري إيفرون، الاستشارية لدى فريق إعداد إطار الشراكة الإستراتيجية.</w:t>
      </w:r>
      <w:r w:rsidRPr="00FF3102">
        <w:rPr>
          <w:rFonts w:ascii="Simplified Arabic" w:eastAsiaTheme="minorEastAsia" w:hAnsi="Simplified Arabic" w:cs="Simplified Arabic"/>
        </w:rPr>
        <w:t xml:space="preserve"> </w:t>
      </w:r>
    </w:p>
    <w:p w:rsidR="00810BAC" w:rsidRPr="00FF3102" w:rsidRDefault="00810BAC" w:rsidP="00810BAC">
      <w:pPr>
        <w:bidi/>
        <w:rPr>
          <w:rFonts w:ascii="Simplified Arabic" w:hAnsi="Simplified Arabic" w:cs="Simplified Arabic"/>
        </w:rPr>
      </w:pPr>
    </w:p>
    <w:p w:rsidR="00810BAC" w:rsidRPr="00FF3102" w:rsidRDefault="00810BAC" w:rsidP="00810BAC">
      <w:pPr>
        <w:autoSpaceDE w:val="0"/>
        <w:autoSpaceDN w:val="0"/>
        <w:bidi/>
        <w:adjustRightInd w:val="0"/>
        <w:ind w:left="-270"/>
        <w:jc w:val="both"/>
        <w:rPr>
          <w:rFonts w:ascii="Simplified Arabic" w:eastAsia="SimSun" w:hAnsi="Simplified Arabic" w:cs="Simplified Arabic"/>
          <w:b/>
          <w:color w:val="000000"/>
        </w:rPr>
        <w:sectPr w:rsidR="00810BAC" w:rsidRPr="00FF3102">
          <w:pgSz w:w="12240" w:h="15840"/>
          <w:pgMar w:top="1440" w:right="1440" w:bottom="1440" w:left="1440" w:header="720" w:footer="720" w:gutter="0"/>
          <w:cols w:space="720"/>
          <w:titlePg/>
          <w:docGrid w:linePitch="360"/>
        </w:sectPr>
      </w:pPr>
    </w:p>
    <w:p w:rsidR="00810BAC" w:rsidRPr="00FF3102" w:rsidRDefault="00810BAC" w:rsidP="00810BAC">
      <w:pPr>
        <w:shd w:val="clear" w:color="auto" w:fill="FFFFFF"/>
        <w:autoSpaceDE w:val="0"/>
        <w:autoSpaceDN w:val="0"/>
        <w:bidi/>
        <w:adjustRightInd w:val="0"/>
        <w:jc w:val="center"/>
        <w:outlineLvl w:val="1"/>
        <w:rPr>
          <w:rFonts w:ascii="Simplified Arabic" w:eastAsiaTheme="minorEastAsia" w:hAnsi="Simplified Arabic" w:cs="Simplified Arabic"/>
          <w:bCs/>
          <w:color w:val="000000"/>
          <w:spacing w:val="-2"/>
          <w:rtl/>
        </w:rPr>
      </w:pPr>
      <w:r w:rsidRPr="00FF3102">
        <w:rPr>
          <w:rFonts w:ascii="Simplified Arabic" w:eastAsiaTheme="minorEastAsia" w:hAnsi="Simplified Arabic" w:cs="Simplified Arabic"/>
          <w:bCs/>
          <w:color w:val="000000"/>
          <w:spacing w:val="-2"/>
          <w:rtl/>
        </w:rPr>
        <w:t>جمهـورية مصـــر العربيـــة</w:t>
      </w:r>
    </w:p>
    <w:p w:rsidR="00810BAC" w:rsidRPr="00FF3102" w:rsidRDefault="00810BAC" w:rsidP="00810BAC">
      <w:pPr>
        <w:shd w:val="clear" w:color="auto" w:fill="FFFFFF"/>
        <w:autoSpaceDE w:val="0"/>
        <w:autoSpaceDN w:val="0"/>
        <w:bidi/>
        <w:adjustRightInd w:val="0"/>
        <w:jc w:val="center"/>
        <w:outlineLvl w:val="1"/>
        <w:rPr>
          <w:rFonts w:ascii="Simplified Arabic" w:eastAsiaTheme="minorEastAsia" w:hAnsi="Simplified Arabic" w:cs="Simplified Arabic"/>
          <w:rtl/>
          <w:lang w:bidi="ar-EG"/>
        </w:rPr>
      </w:pPr>
      <w:r w:rsidRPr="00FF3102">
        <w:rPr>
          <w:rFonts w:ascii="Simplified Arabic" w:eastAsiaTheme="minorEastAsia" w:hAnsi="Simplified Arabic" w:cs="Simplified Arabic"/>
          <w:bCs/>
          <w:color w:val="000000"/>
          <w:spacing w:val="-2"/>
          <w:rtl/>
        </w:rPr>
        <w:t>إطار الشراكة الإستراتيجية للسنوات المالية 2015-2019</w:t>
      </w:r>
      <w:r w:rsidRPr="00FF3102">
        <w:rPr>
          <w:rFonts w:ascii="Simplified Arabic" w:eastAsiaTheme="minorEastAsia" w:hAnsi="Simplified Arabic" w:cs="Simplified Arabic"/>
          <w:b/>
          <w:color w:val="000000"/>
          <w:spacing w:val="-2"/>
        </w:rPr>
        <w:t xml:space="preserve"> </w:t>
      </w:r>
    </w:p>
    <w:p w:rsidR="00810BAC" w:rsidRPr="00FF3102" w:rsidRDefault="00810BAC" w:rsidP="00810BAC">
      <w:pPr>
        <w:autoSpaceDE w:val="0"/>
        <w:autoSpaceDN w:val="0"/>
        <w:bidi/>
        <w:adjustRightInd w:val="0"/>
        <w:spacing w:before="120" w:after="240"/>
        <w:jc w:val="center"/>
        <w:outlineLvl w:val="1"/>
        <w:rPr>
          <w:rFonts w:ascii="Simplified Arabic" w:eastAsia="SimSun" w:hAnsi="Simplified Arabic" w:cs="Simplified Arabic"/>
          <w:b/>
        </w:rPr>
      </w:pPr>
    </w:p>
    <w:p w:rsidR="00810BAC" w:rsidRPr="00FF3102" w:rsidRDefault="00810BAC" w:rsidP="00810BAC">
      <w:pPr>
        <w:autoSpaceDE w:val="0"/>
        <w:autoSpaceDN w:val="0"/>
        <w:bidi/>
        <w:adjustRightInd w:val="0"/>
        <w:spacing w:before="120" w:after="240"/>
        <w:jc w:val="center"/>
        <w:outlineLvl w:val="1"/>
        <w:rPr>
          <w:rFonts w:ascii="Simplified Arabic" w:eastAsiaTheme="minorEastAsia" w:hAnsi="Simplified Arabic" w:cs="Simplified Arabic"/>
          <w:bCs/>
          <w:rtl/>
          <w:lang w:bidi="ar-EG"/>
        </w:rPr>
      </w:pPr>
      <w:r w:rsidRPr="00FF3102">
        <w:rPr>
          <w:rFonts w:ascii="Simplified Arabic" w:eastAsiaTheme="minorEastAsia" w:hAnsi="Simplified Arabic" w:cs="Simplified Arabic"/>
          <w:bCs/>
          <w:rtl/>
        </w:rPr>
        <w:t>جدول المحتويات</w:t>
      </w:r>
    </w:p>
    <w:p w:rsidR="00810BAC" w:rsidRPr="00FF3102" w:rsidRDefault="00810BAC" w:rsidP="007B7880">
      <w:pPr>
        <w:autoSpaceDE w:val="0"/>
        <w:autoSpaceDN w:val="0"/>
        <w:bidi/>
        <w:adjustRightInd w:val="0"/>
        <w:spacing w:before="120" w:after="240"/>
        <w:outlineLvl w:val="1"/>
        <w:rPr>
          <w:rFonts w:ascii="Simplified Arabic" w:eastAsia="SimSun" w:hAnsi="Simplified Arabic" w:cs="Simplified Arabic"/>
          <w:b/>
        </w:rPr>
      </w:pPr>
    </w:p>
    <w:p w:rsidR="00A3197D" w:rsidRDefault="00111356" w:rsidP="00A3197D">
      <w:pPr>
        <w:pStyle w:val="TOC1"/>
        <w:bidi/>
        <w:rPr>
          <w:rFonts w:asciiTheme="minorHAnsi" w:hAnsiTheme="minorHAnsi" w:cstheme="minorBidi"/>
          <w:b w:val="0"/>
          <w:noProof/>
          <w:snapToGrid/>
          <w:sz w:val="22"/>
          <w:szCs w:val="22"/>
        </w:rPr>
      </w:pPr>
      <w:r w:rsidRPr="00111356">
        <w:rPr>
          <w:rFonts w:ascii="Simplified Arabic" w:hAnsi="Simplified Arabic" w:cs="Simplified Arabic"/>
          <w:sz w:val="28"/>
          <w:szCs w:val="28"/>
          <w:rtl/>
        </w:rPr>
        <w:fldChar w:fldCharType="begin"/>
      </w:r>
      <w:r w:rsidRPr="00111356">
        <w:rPr>
          <w:rFonts w:ascii="Simplified Arabic" w:hAnsi="Simplified Arabic" w:cs="Simplified Arabic"/>
          <w:sz w:val="28"/>
          <w:szCs w:val="28"/>
          <w:rtl/>
        </w:rPr>
        <w:instrText xml:space="preserve"> </w:instrText>
      </w:r>
      <w:r w:rsidRPr="00111356">
        <w:rPr>
          <w:rFonts w:ascii="Simplified Arabic" w:hAnsi="Simplified Arabic" w:cs="Simplified Arabic"/>
          <w:sz w:val="28"/>
          <w:szCs w:val="28"/>
        </w:rPr>
        <w:instrText>TOC</w:instrText>
      </w:r>
      <w:r w:rsidRPr="00111356">
        <w:rPr>
          <w:rFonts w:ascii="Simplified Arabic" w:hAnsi="Simplified Arabic" w:cs="Simplified Arabic"/>
          <w:sz w:val="28"/>
          <w:szCs w:val="28"/>
          <w:rtl/>
        </w:rPr>
        <w:instrText xml:space="preserve"> \</w:instrText>
      </w:r>
      <w:r w:rsidRPr="00111356">
        <w:rPr>
          <w:rFonts w:ascii="Simplified Arabic" w:hAnsi="Simplified Arabic" w:cs="Simplified Arabic"/>
          <w:sz w:val="28"/>
          <w:szCs w:val="28"/>
        </w:rPr>
        <w:instrText>h \z \t "Main Para with Chapter#,2,Head 1,1,Head 2,2</w:instrText>
      </w:r>
      <w:r w:rsidRPr="00111356">
        <w:rPr>
          <w:rFonts w:ascii="Simplified Arabic" w:hAnsi="Simplified Arabic" w:cs="Simplified Arabic"/>
          <w:sz w:val="28"/>
          <w:szCs w:val="28"/>
          <w:rtl/>
        </w:rPr>
        <w:instrText xml:space="preserve">" </w:instrText>
      </w:r>
      <w:r w:rsidRPr="00111356">
        <w:rPr>
          <w:rFonts w:ascii="Simplified Arabic" w:hAnsi="Simplified Arabic" w:cs="Simplified Arabic"/>
          <w:sz w:val="28"/>
          <w:szCs w:val="28"/>
          <w:rtl/>
        </w:rPr>
        <w:fldChar w:fldCharType="separate"/>
      </w:r>
      <w:hyperlink w:anchor="_Toc439184534" w:history="1">
        <w:r w:rsidR="00A3197D" w:rsidRPr="007B73F9">
          <w:rPr>
            <w:rStyle w:val="Hyperlink"/>
            <w:rFonts w:hint="eastAsia"/>
            <w:noProof/>
            <w:rtl/>
          </w:rPr>
          <w:t>ملخص</w:t>
        </w:r>
        <w:r w:rsidR="00A3197D" w:rsidRPr="007B73F9">
          <w:rPr>
            <w:rStyle w:val="Hyperlink"/>
            <w:noProof/>
            <w:rtl/>
          </w:rPr>
          <w:t xml:space="preserve"> </w:t>
        </w:r>
        <w:r w:rsidR="00A3197D" w:rsidRPr="007B73F9">
          <w:rPr>
            <w:rStyle w:val="Hyperlink"/>
            <w:rFonts w:hint="eastAsia"/>
            <w:noProof/>
            <w:rtl/>
          </w:rPr>
          <w:t>وافٍ</w:t>
        </w:r>
        <w:r w:rsidR="00A3197D">
          <w:rPr>
            <w:noProof/>
            <w:webHidden/>
          </w:rPr>
          <w:tab/>
        </w:r>
        <w:r w:rsidR="00A3197D">
          <w:rPr>
            <w:noProof/>
            <w:webHidden/>
          </w:rPr>
          <w:fldChar w:fldCharType="begin"/>
        </w:r>
        <w:r w:rsidR="00A3197D">
          <w:rPr>
            <w:noProof/>
            <w:webHidden/>
          </w:rPr>
          <w:instrText xml:space="preserve"> PAGEREF _Toc439184534 \h </w:instrText>
        </w:r>
        <w:r w:rsidR="00A3197D">
          <w:rPr>
            <w:noProof/>
            <w:webHidden/>
          </w:rPr>
        </w:r>
        <w:r w:rsidR="00A3197D">
          <w:rPr>
            <w:noProof/>
            <w:webHidden/>
          </w:rPr>
          <w:fldChar w:fldCharType="separate"/>
        </w:r>
        <w:r w:rsidR="001C2DFE">
          <w:rPr>
            <w:noProof/>
            <w:webHidden/>
          </w:rPr>
          <w:t>i</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35" w:history="1">
        <w:r w:rsidR="00A3197D" w:rsidRPr="007B73F9">
          <w:rPr>
            <w:rStyle w:val="Hyperlink"/>
            <w:rFonts w:hint="eastAsia"/>
            <w:noProof/>
            <w:rtl/>
          </w:rPr>
          <w:t>أولا</w:t>
        </w:r>
        <w:r w:rsidR="00A3197D" w:rsidRPr="007B73F9">
          <w:rPr>
            <w:rStyle w:val="Hyperlink"/>
            <w:noProof/>
            <w:rtl/>
          </w:rPr>
          <w:t xml:space="preserve">. </w:t>
        </w:r>
        <w:r w:rsidR="00A3197D" w:rsidRPr="007B73F9">
          <w:rPr>
            <w:rStyle w:val="Hyperlink"/>
            <w:rFonts w:hint="eastAsia"/>
            <w:noProof/>
            <w:rtl/>
          </w:rPr>
          <w:t>مقدمة</w:t>
        </w:r>
        <w:r w:rsidR="00A3197D">
          <w:rPr>
            <w:noProof/>
            <w:webHidden/>
          </w:rPr>
          <w:tab/>
        </w:r>
        <w:r w:rsidR="00A3197D">
          <w:rPr>
            <w:noProof/>
            <w:webHidden/>
          </w:rPr>
          <w:fldChar w:fldCharType="begin"/>
        </w:r>
        <w:r w:rsidR="00A3197D">
          <w:rPr>
            <w:noProof/>
            <w:webHidden/>
          </w:rPr>
          <w:instrText xml:space="preserve"> PAGEREF _Toc439184535 \h </w:instrText>
        </w:r>
        <w:r w:rsidR="00A3197D">
          <w:rPr>
            <w:noProof/>
            <w:webHidden/>
          </w:rPr>
        </w:r>
        <w:r w:rsidR="00A3197D">
          <w:rPr>
            <w:noProof/>
            <w:webHidden/>
          </w:rPr>
          <w:fldChar w:fldCharType="separate"/>
        </w:r>
        <w:r w:rsidR="001C2DFE">
          <w:rPr>
            <w:noProof/>
            <w:webHidden/>
            <w:rtl/>
          </w:rPr>
          <w:t>1</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36" w:history="1">
        <w:r w:rsidR="00A3197D" w:rsidRPr="007B73F9">
          <w:rPr>
            <w:rStyle w:val="Hyperlink"/>
            <w:rFonts w:hint="eastAsia"/>
            <w:noProof/>
            <w:rtl/>
          </w:rPr>
          <w:t>ثانيا</w:t>
        </w:r>
        <w:r w:rsidR="00A3197D" w:rsidRPr="007B73F9">
          <w:rPr>
            <w:rStyle w:val="Hyperlink"/>
            <w:noProof/>
            <w:rtl/>
          </w:rPr>
          <w:t xml:space="preserve">. </w:t>
        </w:r>
        <w:r w:rsidR="00A3197D" w:rsidRPr="007B73F9">
          <w:rPr>
            <w:rStyle w:val="Hyperlink"/>
            <w:rFonts w:hint="eastAsia"/>
            <w:noProof/>
            <w:rtl/>
          </w:rPr>
          <w:t>السياق</w:t>
        </w:r>
        <w:r w:rsidR="00A3197D" w:rsidRPr="007B73F9">
          <w:rPr>
            <w:rStyle w:val="Hyperlink"/>
            <w:noProof/>
            <w:rtl/>
          </w:rPr>
          <w:t xml:space="preserve"> </w:t>
        </w:r>
        <w:r w:rsidR="00A3197D" w:rsidRPr="007B73F9">
          <w:rPr>
            <w:rStyle w:val="Hyperlink"/>
            <w:rFonts w:hint="eastAsia"/>
            <w:noProof/>
            <w:rtl/>
          </w:rPr>
          <w:t>الإقليمي</w:t>
        </w:r>
        <w:r w:rsidR="00A3197D" w:rsidRPr="007B73F9">
          <w:rPr>
            <w:rStyle w:val="Hyperlink"/>
            <w:noProof/>
            <w:rtl/>
          </w:rPr>
          <w:t xml:space="preserve"> </w:t>
        </w:r>
        <w:r w:rsidR="00A3197D" w:rsidRPr="007B73F9">
          <w:rPr>
            <w:rStyle w:val="Hyperlink"/>
            <w:rFonts w:hint="eastAsia"/>
            <w:noProof/>
            <w:rtl/>
          </w:rPr>
          <w:t>ودور</w:t>
        </w:r>
        <w:r w:rsidR="00A3197D" w:rsidRPr="007B73F9">
          <w:rPr>
            <w:rStyle w:val="Hyperlink"/>
            <w:noProof/>
            <w:rtl/>
          </w:rPr>
          <w:t xml:space="preserve"> </w:t>
        </w:r>
        <w:r w:rsidR="00A3197D" w:rsidRPr="007B73F9">
          <w:rPr>
            <w:rStyle w:val="Hyperlink"/>
            <w:rFonts w:hint="eastAsia"/>
            <w:noProof/>
            <w:rtl/>
          </w:rPr>
          <w:t>مجموعة</w:t>
        </w:r>
        <w:r w:rsidR="00A3197D" w:rsidRPr="007B73F9">
          <w:rPr>
            <w:rStyle w:val="Hyperlink"/>
            <w:noProof/>
            <w:rtl/>
          </w:rPr>
          <w:t xml:space="preserve"> </w:t>
        </w:r>
        <w:r w:rsidR="00A3197D" w:rsidRPr="007B73F9">
          <w:rPr>
            <w:rStyle w:val="Hyperlink"/>
            <w:rFonts w:hint="eastAsia"/>
            <w:noProof/>
            <w:rtl/>
          </w:rPr>
          <w:t>البنك</w:t>
        </w:r>
        <w:r w:rsidR="00A3197D" w:rsidRPr="007B73F9">
          <w:rPr>
            <w:rStyle w:val="Hyperlink"/>
            <w:noProof/>
            <w:rtl/>
          </w:rPr>
          <w:t xml:space="preserve"> </w:t>
        </w:r>
        <w:r w:rsidR="00A3197D" w:rsidRPr="007B73F9">
          <w:rPr>
            <w:rStyle w:val="Hyperlink"/>
            <w:rFonts w:hint="eastAsia"/>
            <w:noProof/>
            <w:rtl/>
          </w:rPr>
          <w:t>الدولي</w:t>
        </w:r>
        <w:r w:rsidR="00A3197D">
          <w:rPr>
            <w:noProof/>
            <w:webHidden/>
          </w:rPr>
          <w:tab/>
        </w:r>
        <w:r w:rsidR="00A3197D">
          <w:rPr>
            <w:noProof/>
            <w:webHidden/>
          </w:rPr>
          <w:fldChar w:fldCharType="begin"/>
        </w:r>
        <w:r w:rsidR="00A3197D">
          <w:rPr>
            <w:noProof/>
            <w:webHidden/>
          </w:rPr>
          <w:instrText xml:space="preserve"> PAGEREF _Toc439184536 \h </w:instrText>
        </w:r>
        <w:r w:rsidR="00A3197D">
          <w:rPr>
            <w:noProof/>
            <w:webHidden/>
          </w:rPr>
        </w:r>
        <w:r w:rsidR="00A3197D">
          <w:rPr>
            <w:noProof/>
            <w:webHidden/>
          </w:rPr>
          <w:fldChar w:fldCharType="separate"/>
        </w:r>
        <w:r w:rsidR="001C2DFE">
          <w:rPr>
            <w:noProof/>
            <w:webHidden/>
            <w:rtl/>
          </w:rPr>
          <w:t>1</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37" w:history="1">
        <w:r w:rsidR="00A3197D" w:rsidRPr="007B73F9">
          <w:rPr>
            <w:rStyle w:val="Hyperlink"/>
            <w:rFonts w:hint="eastAsia"/>
            <w:noProof/>
            <w:rtl/>
          </w:rPr>
          <w:t>ثالثا</w:t>
        </w:r>
        <w:r w:rsidR="00A3197D" w:rsidRPr="007B73F9">
          <w:rPr>
            <w:rStyle w:val="Hyperlink"/>
            <w:noProof/>
            <w:rtl/>
          </w:rPr>
          <w:t xml:space="preserve">. </w:t>
        </w:r>
        <w:r w:rsidR="00A3197D" w:rsidRPr="007B73F9">
          <w:rPr>
            <w:rStyle w:val="Hyperlink"/>
            <w:rFonts w:hint="eastAsia"/>
            <w:noProof/>
            <w:rtl/>
          </w:rPr>
          <w:t>السياق</w:t>
        </w:r>
        <w:r w:rsidR="00A3197D" w:rsidRPr="007B73F9">
          <w:rPr>
            <w:rStyle w:val="Hyperlink"/>
            <w:noProof/>
            <w:rtl/>
          </w:rPr>
          <w:t xml:space="preserve"> </w:t>
        </w:r>
        <w:r w:rsidR="00A3197D" w:rsidRPr="007B73F9">
          <w:rPr>
            <w:rStyle w:val="Hyperlink"/>
            <w:rFonts w:hint="eastAsia"/>
            <w:noProof/>
            <w:rtl/>
          </w:rPr>
          <w:t>المصري</w:t>
        </w:r>
        <w:r w:rsidR="00A3197D" w:rsidRPr="007B73F9">
          <w:rPr>
            <w:rStyle w:val="Hyperlink"/>
            <w:noProof/>
            <w:rtl/>
          </w:rPr>
          <w:t xml:space="preserve"> </w:t>
        </w:r>
        <w:r w:rsidR="00A3197D" w:rsidRPr="007B73F9">
          <w:rPr>
            <w:rStyle w:val="Hyperlink"/>
            <w:rFonts w:hint="eastAsia"/>
            <w:noProof/>
            <w:rtl/>
          </w:rPr>
          <w:t>وأجندة</w:t>
        </w:r>
        <w:r w:rsidR="00A3197D" w:rsidRPr="007B73F9">
          <w:rPr>
            <w:rStyle w:val="Hyperlink"/>
            <w:noProof/>
            <w:rtl/>
          </w:rPr>
          <w:t xml:space="preserve"> </w:t>
        </w:r>
        <w:r w:rsidR="00A3197D" w:rsidRPr="007B73F9">
          <w:rPr>
            <w:rStyle w:val="Hyperlink"/>
            <w:rFonts w:hint="eastAsia"/>
            <w:noProof/>
            <w:rtl/>
          </w:rPr>
          <w:t>التنمية</w:t>
        </w:r>
        <w:r w:rsidR="00A3197D">
          <w:rPr>
            <w:noProof/>
            <w:webHidden/>
          </w:rPr>
          <w:tab/>
        </w:r>
        <w:r w:rsidR="00A3197D">
          <w:rPr>
            <w:noProof/>
            <w:webHidden/>
          </w:rPr>
          <w:fldChar w:fldCharType="begin"/>
        </w:r>
        <w:r w:rsidR="00A3197D">
          <w:rPr>
            <w:noProof/>
            <w:webHidden/>
          </w:rPr>
          <w:instrText xml:space="preserve"> PAGEREF _Toc439184537 \h </w:instrText>
        </w:r>
        <w:r w:rsidR="00A3197D">
          <w:rPr>
            <w:noProof/>
            <w:webHidden/>
          </w:rPr>
        </w:r>
        <w:r w:rsidR="00A3197D">
          <w:rPr>
            <w:noProof/>
            <w:webHidden/>
          </w:rPr>
          <w:fldChar w:fldCharType="separate"/>
        </w:r>
        <w:r w:rsidR="001C2DFE">
          <w:rPr>
            <w:noProof/>
            <w:webHidden/>
            <w:rtl/>
          </w:rPr>
          <w:t>3</w:t>
        </w:r>
        <w:r w:rsidR="00A3197D">
          <w:rPr>
            <w:noProof/>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38" w:history="1">
        <w:r w:rsidR="00A3197D" w:rsidRPr="007B73F9">
          <w:rPr>
            <w:rStyle w:val="Hyperlink"/>
            <w:rFonts w:eastAsiaTheme="minorEastAsia" w:hint="eastAsia"/>
            <w:rtl/>
          </w:rPr>
          <w:t>أ</w:t>
        </w:r>
        <w:r w:rsidR="00A3197D" w:rsidRPr="007B73F9">
          <w:rPr>
            <w:rStyle w:val="Hyperlink"/>
            <w:rFonts w:eastAsiaTheme="minorEastAsia"/>
            <w:rtl/>
          </w:rPr>
          <w:t xml:space="preserve">. </w:t>
        </w:r>
        <w:r w:rsidR="00A3197D" w:rsidRPr="007B73F9">
          <w:rPr>
            <w:rStyle w:val="Hyperlink"/>
            <w:rFonts w:eastAsiaTheme="minorEastAsia" w:hint="eastAsia"/>
            <w:rtl/>
          </w:rPr>
          <w:t>السياق</w:t>
        </w:r>
        <w:r w:rsidR="00A3197D" w:rsidRPr="007B73F9">
          <w:rPr>
            <w:rStyle w:val="Hyperlink"/>
            <w:rFonts w:eastAsiaTheme="minorEastAsia"/>
            <w:rtl/>
          </w:rPr>
          <w:t xml:space="preserve"> </w:t>
        </w:r>
        <w:r w:rsidR="00A3197D" w:rsidRPr="007B73F9">
          <w:rPr>
            <w:rStyle w:val="Hyperlink"/>
            <w:rFonts w:eastAsiaTheme="minorEastAsia" w:hint="eastAsia"/>
            <w:rtl/>
          </w:rPr>
          <w:t>الاجتماعي</w:t>
        </w:r>
        <w:r w:rsidR="00A3197D" w:rsidRPr="007B73F9">
          <w:rPr>
            <w:rStyle w:val="Hyperlink"/>
            <w:rFonts w:eastAsiaTheme="minorEastAsia"/>
            <w:rtl/>
          </w:rPr>
          <w:t xml:space="preserve"> </w:t>
        </w:r>
        <w:r w:rsidR="00A3197D" w:rsidRPr="007B73F9">
          <w:rPr>
            <w:rStyle w:val="Hyperlink"/>
            <w:rFonts w:eastAsiaTheme="minorEastAsia" w:hint="eastAsia"/>
            <w:rtl/>
          </w:rPr>
          <w:t>والسياسي</w:t>
        </w:r>
        <w:r w:rsidR="00A3197D">
          <w:rPr>
            <w:webHidden/>
          </w:rPr>
          <w:tab/>
        </w:r>
        <w:r w:rsidR="00A3197D">
          <w:rPr>
            <w:webHidden/>
          </w:rPr>
          <w:fldChar w:fldCharType="begin"/>
        </w:r>
        <w:r w:rsidR="00A3197D">
          <w:rPr>
            <w:webHidden/>
          </w:rPr>
          <w:instrText xml:space="preserve"> PAGEREF _Toc439184538 \h </w:instrText>
        </w:r>
        <w:r w:rsidR="00A3197D">
          <w:rPr>
            <w:webHidden/>
          </w:rPr>
        </w:r>
        <w:r w:rsidR="00A3197D">
          <w:rPr>
            <w:webHidden/>
          </w:rPr>
          <w:fldChar w:fldCharType="separate"/>
        </w:r>
        <w:r w:rsidR="001C2DFE">
          <w:rPr>
            <w:webHidden/>
            <w:rtl/>
          </w:rPr>
          <w:t>3</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39" w:history="1">
        <w:r w:rsidR="00A3197D" w:rsidRPr="007B73F9">
          <w:rPr>
            <w:rStyle w:val="Hyperlink"/>
            <w:rFonts w:eastAsiaTheme="minorEastAsia" w:hint="eastAsia"/>
            <w:rtl/>
          </w:rPr>
          <w:t>ب</w:t>
        </w:r>
        <w:r w:rsidR="00A3197D" w:rsidRPr="007B73F9">
          <w:rPr>
            <w:rStyle w:val="Hyperlink"/>
            <w:rFonts w:eastAsiaTheme="minorEastAsia"/>
            <w:rtl/>
          </w:rPr>
          <w:t xml:space="preserve">. </w:t>
        </w:r>
        <w:r w:rsidR="00A3197D" w:rsidRPr="007B73F9">
          <w:rPr>
            <w:rStyle w:val="Hyperlink"/>
            <w:rFonts w:eastAsiaTheme="minorEastAsia" w:hint="eastAsia"/>
            <w:rtl/>
          </w:rPr>
          <w:t>التطورات</w:t>
        </w:r>
        <w:r w:rsidR="00A3197D" w:rsidRPr="007B73F9">
          <w:rPr>
            <w:rStyle w:val="Hyperlink"/>
            <w:rFonts w:eastAsiaTheme="minorEastAsia"/>
            <w:rtl/>
          </w:rPr>
          <w:t xml:space="preserve"> </w:t>
        </w:r>
        <w:r w:rsidR="00A3197D" w:rsidRPr="007B73F9">
          <w:rPr>
            <w:rStyle w:val="Hyperlink"/>
            <w:rFonts w:eastAsiaTheme="minorEastAsia" w:hint="eastAsia"/>
            <w:rtl/>
          </w:rPr>
          <w:t>الاقتصادية</w:t>
        </w:r>
        <w:r w:rsidR="00A3197D">
          <w:rPr>
            <w:webHidden/>
          </w:rPr>
          <w:tab/>
        </w:r>
        <w:r w:rsidR="00A3197D">
          <w:rPr>
            <w:webHidden/>
          </w:rPr>
          <w:fldChar w:fldCharType="begin"/>
        </w:r>
        <w:r w:rsidR="00A3197D">
          <w:rPr>
            <w:webHidden/>
          </w:rPr>
          <w:instrText xml:space="preserve"> PAGEREF _Toc439184539 \h </w:instrText>
        </w:r>
        <w:r w:rsidR="00A3197D">
          <w:rPr>
            <w:webHidden/>
          </w:rPr>
        </w:r>
        <w:r w:rsidR="00A3197D">
          <w:rPr>
            <w:webHidden/>
          </w:rPr>
          <w:fldChar w:fldCharType="separate"/>
        </w:r>
        <w:r w:rsidR="001C2DFE">
          <w:rPr>
            <w:webHidden/>
            <w:rtl/>
          </w:rPr>
          <w:t>3</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0" w:history="1">
        <w:r w:rsidR="00A3197D" w:rsidRPr="007B73F9">
          <w:rPr>
            <w:rStyle w:val="Hyperlink"/>
            <w:rFonts w:eastAsiaTheme="minorEastAsia" w:hint="eastAsia"/>
            <w:rtl/>
          </w:rPr>
          <w:t>ج</w:t>
        </w:r>
        <w:r w:rsidR="00A3197D" w:rsidRPr="007B73F9">
          <w:rPr>
            <w:rStyle w:val="Hyperlink"/>
            <w:rFonts w:eastAsiaTheme="minorEastAsia"/>
            <w:rtl/>
          </w:rPr>
          <w:t xml:space="preserve">. </w:t>
        </w:r>
        <w:r w:rsidR="00A3197D" w:rsidRPr="007B73F9">
          <w:rPr>
            <w:rStyle w:val="Hyperlink"/>
            <w:rFonts w:eastAsiaTheme="minorEastAsia" w:hint="eastAsia"/>
            <w:rtl/>
          </w:rPr>
          <w:t>لمحة</w:t>
        </w:r>
        <w:r w:rsidR="00A3197D" w:rsidRPr="007B73F9">
          <w:rPr>
            <w:rStyle w:val="Hyperlink"/>
            <w:rFonts w:eastAsiaTheme="minorEastAsia"/>
            <w:rtl/>
          </w:rPr>
          <w:t xml:space="preserve"> </w:t>
        </w:r>
        <w:r w:rsidR="00A3197D" w:rsidRPr="007B73F9">
          <w:rPr>
            <w:rStyle w:val="Hyperlink"/>
            <w:rFonts w:eastAsiaTheme="minorEastAsia" w:hint="eastAsia"/>
            <w:rtl/>
          </w:rPr>
          <w:t>عن</w:t>
        </w:r>
        <w:r w:rsidR="00A3197D" w:rsidRPr="007B73F9">
          <w:rPr>
            <w:rStyle w:val="Hyperlink"/>
            <w:rFonts w:eastAsiaTheme="minorEastAsia"/>
            <w:rtl/>
          </w:rPr>
          <w:t xml:space="preserve"> </w:t>
        </w:r>
        <w:r w:rsidR="00A3197D" w:rsidRPr="007B73F9">
          <w:rPr>
            <w:rStyle w:val="Hyperlink"/>
            <w:rFonts w:eastAsiaTheme="minorEastAsia" w:hint="eastAsia"/>
            <w:rtl/>
          </w:rPr>
          <w:t>أوضاع</w:t>
        </w:r>
        <w:r w:rsidR="00A3197D" w:rsidRPr="007B73F9">
          <w:rPr>
            <w:rStyle w:val="Hyperlink"/>
            <w:rFonts w:eastAsiaTheme="minorEastAsia"/>
            <w:rtl/>
          </w:rPr>
          <w:t xml:space="preserve"> </w:t>
        </w:r>
        <w:r w:rsidR="00A3197D" w:rsidRPr="007B73F9">
          <w:rPr>
            <w:rStyle w:val="Hyperlink"/>
            <w:rFonts w:eastAsiaTheme="minorEastAsia" w:hint="eastAsia"/>
            <w:rtl/>
          </w:rPr>
          <w:t>الفقر</w:t>
        </w:r>
        <w:r w:rsidR="00A3197D">
          <w:rPr>
            <w:webHidden/>
          </w:rPr>
          <w:tab/>
        </w:r>
        <w:r w:rsidR="00A3197D">
          <w:rPr>
            <w:webHidden/>
          </w:rPr>
          <w:fldChar w:fldCharType="begin"/>
        </w:r>
        <w:r w:rsidR="00A3197D">
          <w:rPr>
            <w:webHidden/>
          </w:rPr>
          <w:instrText xml:space="preserve"> PAGEREF _Toc439184540 \h </w:instrText>
        </w:r>
        <w:r w:rsidR="00A3197D">
          <w:rPr>
            <w:webHidden/>
          </w:rPr>
        </w:r>
        <w:r w:rsidR="00A3197D">
          <w:rPr>
            <w:webHidden/>
          </w:rPr>
          <w:fldChar w:fldCharType="separate"/>
        </w:r>
        <w:r w:rsidR="001C2DFE">
          <w:rPr>
            <w:webHidden/>
            <w:rtl/>
          </w:rPr>
          <w:t>7</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1" w:history="1">
        <w:r w:rsidR="00A3197D" w:rsidRPr="007B73F9">
          <w:rPr>
            <w:rStyle w:val="Hyperlink"/>
            <w:rFonts w:eastAsiaTheme="minorEastAsia" w:hint="eastAsia"/>
            <w:rtl/>
          </w:rPr>
          <w:t>د</w:t>
        </w:r>
        <w:r w:rsidR="00A3197D" w:rsidRPr="007B73F9">
          <w:rPr>
            <w:rStyle w:val="Hyperlink"/>
            <w:rFonts w:eastAsiaTheme="minorEastAsia"/>
            <w:rtl/>
          </w:rPr>
          <w:t xml:space="preserve">. </w:t>
        </w:r>
        <w:r w:rsidR="00A3197D" w:rsidRPr="007B73F9">
          <w:rPr>
            <w:rStyle w:val="Hyperlink"/>
            <w:rFonts w:eastAsiaTheme="minorEastAsia" w:hint="eastAsia"/>
            <w:rtl/>
          </w:rPr>
          <w:t>التحديات</w:t>
        </w:r>
        <w:r w:rsidR="00A3197D" w:rsidRPr="007B73F9">
          <w:rPr>
            <w:rStyle w:val="Hyperlink"/>
            <w:rFonts w:eastAsiaTheme="minorEastAsia"/>
            <w:rtl/>
          </w:rPr>
          <w:t xml:space="preserve"> </w:t>
        </w:r>
        <w:r w:rsidR="00A3197D" w:rsidRPr="007B73F9">
          <w:rPr>
            <w:rStyle w:val="Hyperlink"/>
            <w:rFonts w:eastAsiaTheme="minorEastAsia" w:hint="eastAsia"/>
            <w:rtl/>
          </w:rPr>
          <w:t>الإنمائية</w:t>
        </w:r>
        <w:r w:rsidR="00A3197D" w:rsidRPr="007B73F9">
          <w:rPr>
            <w:rStyle w:val="Hyperlink"/>
            <w:rFonts w:eastAsiaTheme="minorEastAsia"/>
            <w:rtl/>
          </w:rPr>
          <w:t xml:space="preserve"> </w:t>
        </w:r>
        <w:r w:rsidR="00A3197D" w:rsidRPr="007B73F9">
          <w:rPr>
            <w:rStyle w:val="Hyperlink"/>
            <w:rFonts w:eastAsiaTheme="minorEastAsia" w:hint="eastAsia"/>
            <w:rtl/>
          </w:rPr>
          <w:t>أمام</w:t>
        </w:r>
        <w:r w:rsidR="00A3197D" w:rsidRPr="007B73F9">
          <w:rPr>
            <w:rStyle w:val="Hyperlink"/>
            <w:rFonts w:eastAsiaTheme="minorEastAsia"/>
            <w:rtl/>
          </w:rPr>
          <w:t xml:space="preserve"> </w:t>
        </w:r>
        <w:r w:rsidR="00A3197D" w:rsidRPr="007B73F9">
          <w:rPr>
            <w:rStyle w:val="Hyperlink"/>
            <w:rFonts w:eastAsiaTheme="minorEastAsia" w:hint="eastAsia"/>
            <w:rtl/>
          </w:rPr>
          <w:t>إنهاء</w:t>
        </w:r>
        <w:r w:rsidR="00A3197D" w:rsidRPr="007B73F9">
          <w:rPr>
            <w:rStyle w:val="Hyperlink"/>
            <w:rFonts w:eastAsiaTheme="minorEastAsia"/>
            <w:rtl/>
          </w:rPr>
          <w:t xml:space="preserve"> </w:t>
        </w:r>
        <w:r w:rsidR="00A3197D" w:rsidRPr="007B73F9">
          <w:rPr>
            <w:rStyle w:val="Hyperlink"/>
            <w:rFonts w:eastAsiaTheme="minorEastAsia" w:hint="eastAsia"/>
            <w:rtl/>
          </w:rPr>
          <w:t>الفقر</w:t>
        </w:r>
        <w:r w:rsidR="00A3197D" w:rsidRPr="007B73F9">
          <w:rPr>
            <w:rStyle w:val="Hyperlink"/>
            <w:rFonts w:eastAsiaTheme="minorEastAsia"/>
            <w:rtl/>
          </w:rPr>
          <w:t xml:space="preserve"> </w:t>
        </w:r>
        <w:r w:rsidR="00A3197D" w:rsidRPr="007B73F9">
          <w:rPr>
            <w:rStyle w:val="Hyperlink"/>
            <w:rFonts w:eastAsiaTheme="minorEastAsia" w:hint="eastAsia"/>
            <w:rtl/>
          </w:rPr>
          <w:t>المدقع</w:t>
        </w:r>
        <w:r w:rsidR="00A3197D" w:rsidRPr="007B73F9">
          <w:rPr>
            <w:rStyle w:val="Hyperlink"/>
            <w:rFonts w:eastAsiaTheme="minorEastAsia"/>
            <w:rtl/>
          </w:rPr>
          <w:t xml:space="preserve"> </w:t>
        </w:r>
        <w:r w:rsidR="00A3197D" w:rsidRPr="007B73F9">
          <w:rPr>
            <w:rStyle w:val="Hyperlink"/>
            <w:rFonts w:eastAsiaTheme="minorEastAsia" w:hint="eastAsia"/>
            <w:rtl/>
          </w:rPr>
          <w:t>وتعزيز</w:t>
        </w:r>
        <w:r w:rsidR="00A3197D" w:rsidRPr="007B73F9">
          <w:rPr>
            <w:rStyle w:val="Hyperlink"/>
            <w:rFonts w:eastAsiaTheme="minorEastAsia"/>
            <w:rtl/>
          </w:rPr>
          <w:t xml:space="preserve"> </w:t>
        </w:r>
        <w:r w:rsidR="00A3197D" w:rsidRPr="007B73F9">
          <w:rPr>
            <w:rStyle w:val="Hyperlink"/>
            <w:rFonts w:eastAsiaTheme="minorEastAsia" w:hint="eastAsia"/>
            <w:rtl/>
          </w:rPr>
          <w:t>الرخاء</w:t>
        </w:r>
        <w:r w:rsidR="00A3197D" w:rsidRPr="007B73F9">
          <w:rPr>
            <w:rStyle w:val="Hyperlink"/>
            <w:rFonts w:eastAsiaTheme="minorEastAsia"/>
            <w:rtl/>
          </w:rPr>
          <w:t xml:space="preserve"> </w:t>
        </w:r>
        <w:r w:rsidR="00A3197D" w:rsidRPr="007B73F9">
          <w:rPr>
            <w:rStyle w:val="Hyperlink"/>
            <w:rFonts w:eastAsiaTheme="minorEastAsia" w:hint="eastAsia"/>
            <w:rtl/>
          </w:rPr>
          <w:t>المشترك</w:t>
        </w:r>
        <w:r w:rsidR="00A3197D">
          <w:rPr>
            <w:webHidden/>
          </w:rPr>
          <w:tab/>
        </w:r>
        <w:r w:rsidR="00A3197D">
          <w:rPr>
            <w:webHidden/>
          </w:rPr>
          <w:fldChar w:fldCharType="begin"/>
        </w:r>
        <w:r w:rsidR="00A3197D">
          <w:rPr>
            <w:webHidden/>
          </w:rPr>
          <w:instrText xml:space="preserve"> PAGEREF _Toc439184541 \h </w:instrText>
        </w:r>
        <w:r w:rsidR="00A3197D">
          <w:rPr>
            <w:webHidden/>
          </w:rPr>
        </w:r>
        <w:r w:rsidR="00A3197D">
          <w:rPr>
            <w:webHidden/>
          </w:rPr>
          <w:fldChar w:fldCharType="separate"/>
        </w:r>
        <w:r w:rsidR="001C2DFE">
          <w:rPr>
            <w:webHidden/>
            <w:rtl/>
          </w:rPr>
          <w:t>8</w:t>
        </w:r>
        <w:r w:rsidR="00A3197D">
          <w:rPr>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42" w:history="1">
        <w:r w:rsidR="00A3197D" w:rsidRPr="007B73F9">
          <w:rPr>
            <w:rStyle w:val="Hyperlink"/>
            <w:rFonts w:hint="eastAsia"/>
            <w:noProof/>
            <w:rtl/>
          </w:rPr>
          <w:t>رابعا</w:t>
        </w:r>
        <w:r w:rsidR="00A3197D" w:rsidRPr="007B73F9">
          <w:rPr>
            <w:rStyle w:val="Hyperlink"/>
            <w:noProof/>
            <w:rtl/>
          </w:rPr>
          <w:t xml:space="preserve">. </w:t>
        </w:r>
        <w:r w:rsidR="00A3197D" w:rsidRPr="007B73F9">
          <w:rPr>
            <w:rStyle w:val="Hyperlink"/>
            <w:rFonts w:hint="eastAsia"/>
            <w:noProof/>
            <w:rtl/>
          </w:rPr>
          <w:t>إستراتيجية</w:t>
        </w:r>
        <w:r w:rsidR="00A3197D" w:rsidRPr="007B73F9">
          <w:rPr>
            <w:rStyle w:val="Hyperlink"/>
            <w:noProof/>
            <w:rtl/>
          </w:rPr>
          <w:t xml:space="preserve"> </w:t>
        </w:r>
        <w:r w:rsidR="00A3197D" w:rsidRPr="007B73F9">
          <w:rPr>
            <w:rStyle w:val="Hyperlink"/>
            <w:rFonts w:hint="eastAsia"/>
            <w:noProof/>
            <w:rtl/>
          </w:rPr>
          <w:t>الحكومة</w:t>
        </w:r>
        <w:r w:rsidR="00A3197D">
          <w:rPr>
            <w:noProof/>
            <w:webHidden/>
          </w:rPr>
          <w:tab/>
        </w:r>
        <w:r w:rsidR="00A3197D">
          <w:rPr>
            <w:noProof/>
            <w:webHidden/>
          </w:rPr>
          <w:fldChar w:fldCharType="begin"/>
        </w:r>
        <w:r w:rsidR="00A3197D">
          <w:rPr>
            <w:noProof/>
            <w:webHidden/>
          </w:rPr>
          <w:instrText xml:space="preserve"> PAGEREF _Toc439184542 \h </w:instrText>
        </w:r>
        <w:r w:rsidR="00A3197D">
          <w:rPr>
            <w:noProof/>
            <w:webHidden/>
          </w:rPr>
        </w:r>
        <w:r w:rsidR="00A3197D">
          <w:rPr>
            <w:noProof/>
            <w:webHidden/>
          </w:rPr>
          <w:fldChar w:fldCharType="separate"/>
        </w:r>
        <w:r w:rsidR="001C2DFE">
          <w:rPr>
            <w:noProof/>
            <w:webHidden/>
            <w:rtl/>
          </w:rPr>
          <w:t>18</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43" w:history="1">
        <w:r w:rsidR="00A3197D" w:rsidRPr="007B73F9">
          <w:rPr>
            <w:rStyle w:val="Hyperlink"/>
            <w:rFonts w:hint="eastAsia"/>
            <w:noProof/>
            <w:rtl/>
          </w:rPr>
          <w:t>خامسا</w:t>
        </w:r>
        <w:r w:rsidR="00A3197D" w:rsidRPr="007B73F9">
          <w:rPr>
            <w:rStyle w:val="Hyperlink"/>
            <w:noProof/>
            <w:rtl/>
          </w:rPr>
          <w:t xml:space="preserve">. </w:t>
        </w:r>
        <w:r w:rsidR="00A3197D" w:rsidRPr="007B73F9">
          <w:rPr>
            <w:rStyle w:val="Hyperlink"/>
            <w:rFonts w:hint="eastAsia"/>
            <w:noProof/>
            <w:rtl/>
          </w:rPr>
          <w:t>إستراتيجية</w:t>
        </w:r>
        <w:r w:rsidR="00A3197D" w:rsidRPr="007B73F9">
          <w:rPr>
            <w:rStyle w:val="Hyperlink"/>
            <w:noProof/>
            <w:rtl/>
          </w:rPr>
          <w:t xml:space="preserve"> </w:t>
        </w:r>
        <w:r w:rsidR="00A3197D" w:rsidRPr="007B73F9">
          <w:rPr>
            <w:rStyle w:val="Hyperlink"/>
            <w:rFonts w:hint="eastAsia"/>
            <w:noProof/>
            <w:rtl/>
          </w:rPr>
          <w:t>الشراكة</w:t>
        </w:r>
        <w:r w:rsidR="00A3197D" w:rsidRPr="007B73F9">
          <w:rPr>
            <w:rStyle w:val="Hyperlink"/>
            <w:noProof/>
            <w:rtl/>
          </w:rPr>
          <w:t xml:space="preserve"> </w:t>
        </w:r>
        <w:r w:rsidR="00A3197D" w:rsidRPr="007B73F9">
          <w:rPr>
            <w:rStyle w:val="Hyperlink"/>
            <w:rFonts w:hint="eastAsia"/>
            <w:noProof/>
            <w:rtl/>
          </w:rPr>
          <w:t>المقترحة</w:t>
        </w:r>
        <w:r w:rsidR="00A3197D" w:rsidRPr="007B73F9">
          <w:rPr>
            <w:rStyle w:val="Hyperlink"/>
            <w:noProof/>
            <w:rtl/>
          </w:rPr>
          <w:t xml:space="preserve"> </w:t>
        </w:r>
        <w:r w:rsidR="00A3197D" w:rsidRPr="007B73F9">
          <w:rPr>
            <w:rStyle w:val="Hyperlink"/>
            <w:rFonts w:hint="eastAsia"/>
            <w:noProof/>
            <w:rtl/>
          </w:rPr>
          <w:t>من</w:t>
        </w:r>
        <w:r w:rsidR="00A3197D" w:rsidRPr="007B73F9">
          <w:rPr>
            <w:rStyle w:val="Hyperlink"/>
            <w:noProof/>
            <w:rtl/>
          </w:rPr>
          <w:t xml:space="preserve"> </w:t>
        </w:r>
        <w:r w:rsidR="00A3197D" w:rsidRPr="007B73F9">
          <w:rPr>
            <w:rStyle w:val="Hyperlink"/>
            <w:rFonts w:hint="eastAsia"/>
            <w:noProof/>
            <w:rtl/>
          </w:rPr>
          <w:t>مجموعة</w:t>
        </w:r>
        <w:r w:rsidR="00A3197D" w:rsidRPr="007B73F9">
          <w:rPr>
            <w:rStyle w:val="Hyperlink"/>
            <w:noProof/>
            <w:rtl/>
          </w:rPr>
          <w:t xml:space="preserve"> </w:t>
        </w:r>
        <w:r w:rsidR="00A3197D" w:rsidRPr="007B73F9">
          <w:rPr>
            <w:rStyle w:val="Hyperlink"/>
            <w:rFonts w:hint="eastAsia"/>
            <w:noProof/>
            <w:rtl/>
          </w:rPr>
          <w:t>البنك</w:t>
        </w:r>
        <w:r w:rsidR="00A3197D" w:rsidRPr="007B73F9">
          <w:rPr>
            <w:rStyle w:val="Hyperlink"/>
            <w:noProof/>
            <w:rtl/>
          </w:rPr>
          <w:t xml:space="preserve"> </w:t>
        </w:r>
        <w:r w:rsidR="00A3197D" w:rsidRPr="007B73F9">
          <w:rPr>
            <w:rStyle w:val="Hyperlink"/>
            <w:rFonts w:hint="eastAsia"/>
            <w:noProof/>
            <w:rtl/>
          </w:rPr>
          <w:t>الدولي</w:t>
        </w:r>
        <w:r w:rsidR="00A3197D">
          <w:rPr>
            <w:noProof/>
            <w:webHidden/>
          </w:rPr>
          <w:tab/>
        </w:r>
        <w:r w:rsidR="00A3197D">
          <w:rPr>
            <w:noProof/>
            <w:webHidden/>
          </w:rPr>
          <w:fldChar w:fldCharType="begin"/>
        </w:r>
        <w:r w:rsidR="00A3197D">
          <w:rPr>
            <w:noProof/>
            <w:webHidden/>
          </w:rPr>
          <w:instrText xml:space="preserve"> PAGEREF _Toc439184543 \h </w:instrText>
        </w:r>
        <w:r w:rsidR="00A3197D">
          <w:rPr>
            <w:noProof/>
            <w:webHidden/>
          </w:rPr>
        </w:r>
        <w:r w:rsidR="00A3197D">
          <w:rPr>
            <w:noProof/>
            <w:webHidden/>
          </w:rPr>
          <w:fldChar w:fldCharType="separate"/>
        </w:r>
        <w:r w:rsidR="001C2DFE">
          <w:rPr>
            <w:noProof/>
            <w:webHidden/>
            <w:rtl/>
          </w:rPr>
          <w:t>22</w:t>
        </w:r>
        <w:r w:rsidR="00A3197D">
          <w:rPr>
            <w:noProof/>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4" w:history="1">
        <w:r w:rsidR="00A3197D" w:rsidRPr="007B73F9">
          <w:rPr>
            <w:rStyle w:val="Hyperlink"/>
            <w:rFonts w:eastAsiaTheme="minorEastAsia" w:hint="eastAsia"/>
            <w:rtl/>
          </w:rPr>
          <w:t>أ</w:t>
        </w:r>
        <w:r w:rsidR="00A3197D" w:rsidRPr="007B73F9">
          <w:rPr>
            <w:rStyle w:val="Hyperlink"/>
            <w:rFonts w:eastAsiaTheme="minorEastAsia"/>
            <w:rtl/>
          </w:rPr>
          <w:t xml:space="preserve">. </w:t>
        </w:r>
        <w:r w:rsidR="00A3197D" w:rsidRPr="007B73F9">
          <w:rPr>
            <w:rStyle w:val="Hyperlink"/>
            <w:rFonts w:eastAsiaTheme="minorEastAsia" w:hint="eastAsia"/>
            <w:rtl/>
          </w:rPr>
          <w:t>الدروس</w:t>
        </w:r>
        <w:r w:rsidR="00A3197D" w:rsidRPr="007B73F9">
          <w:rPr>
            <w:rStyle w:val="Hyperlink"/>
            <w:rFonts w:eastAsiaTheme="minorEastAsia"/>
            <w:rtl/>
          </w:rPr>
          <w:t xml:space="preserve"> </w:t>
        </w:r>
        <w:r w:rsidR="00A3197D" w:rsidRPr="007B73F9">
          <w:rPr>
            <w:rStyle w:val="Hyperlink"/>
            <w:rFonts w:eastAsiaTheme="minorEastAsia" w:hint="eastAsia"/>
            <w:rtl/>
          </w:rPr>
          <w:t>المستفادة</w:t>
        </w:r>
        <w:r w:rsidR="00A3197D" w:rsidRPr="007B73F9">
          <w:rPr>
            <w:rStyle w:val="Hyperlink"/>
            <w:rFonts w:eastAsiaTheme="minorEastAsia"/>
            <w:rtl/>
          </w:rPr>
          <w:t xml:space="preserve"> </w:t>
        </w:r>
        <w:r w:rsidR="00A3197D" w:rsidRPr="007B73F9">
          <w:rPr>
            <w:rStyle w:val="Hyperlink"/>
            <w:rFonts w:eastAsiaTheme="minorEastAsia" w:hint="eastAsia"/>
            <w:rtl/>
          </w:rPr>
          <w:t>من</w:t>
        </w:r>
        <w:r w:rsidR="00A3197D" w:rsidRPr="007B73F9">
          <w:rPr>
            <w:rStyle w:val="Hyperlink"/>
            <w:rFonts w:eastAsiaTheme="minorEastAsia"/>
            <w:rtl/>
          </w:rPr>
          <w:t xml:space="preserve"> </w:t>
        </w:r>
        <w:r w:rsidR="00A3197D" w:rsidRPr="007B73F9">
          <w:rPr>
            <w:rStyle w:val="Hyperlink"/>
            <w:rFonts w:eastAsiaTheme="minorEastAsia" w:hint="eastAsia"/>
            <w:rtl/>
          </w:rPr>
          <w:t>استعراض</w:t>
        </w:r>
        <w:r w:rsidR="00A3197D" w:rsidRPr="007B73F9">
          <w:rPr>
            <w:rStyle w:val="Hyperlink"/>
            <w:rFonts w:eastAsiaTheme="minorEastAsia"/>
            <w:rtl/>
          </w:rPr>
          <w:t xml:space="preserve"> </w:t>
        </w:r>
        <w:r w:rsidR="00A3197D" w:rsidRPr="007B73F9">
          <w:rPr>
            <w:rStyle w:val="Hyperlink"/>
            <w:rFonts w:eastAsiaTheme="minorEastAsia" w:hint="eastAsia"/>
            <w:rtl/>
          </w:rPr>
          <w:t>الإنجاز</w:t>
        </w:r>
        <w:r w:rsidR="00A3197D" w:rsidRPr="007B73F9">
          <w:rPr>
            <w:rStyle w:val="Hyperlink"/>
            <w:rFonts w:eastAsiaTheme="minorEastAsia"/>
            <w:rtl/>
          </w:rPr>
          <w:t xml:space="preserve"> </w:t>
        </w:r>
        <w:r w:rsidR="00A3197D" w:rsidRPr="007B73F9">
          <w:rPr>
            <w:rStyle w:val="Hyperlink"/>
            <w:rFonts w:eastAsiaTheme="minorEastAsia" w:hint="eastAsia"/>
            <w:rtl/>
          </w:rPr>
          <w:t>والتعلُّم</w:t>
        </w:r>
        <w:r w:rsidR="00A3197D" w:rsidRPr="007B73F9">
          <w:rPr>
            <w:rStyle w:val="Hyperlink"/>
            <w:rFonts w:eastAsiaTheme="minorEastAsia"/>
            <w:rtl/>
          </w:rPr>
          <w:t xml:space="preserve"> </w:t>
        </w:r>
        <w:r w:rsidR="00A3197D" w:rsidRPr="007B73F9">
          <w:rPr>
            <w:rStyle w:val="Hyperlink"/>
            <w:rFonts w:eastAsiaTheme="minorEastAsia" w:hint="eastAsia"/>
            <w:rtl/>
          </w:rPr>
          <w:t>لإستراتيجية</w:t>
        </w:r>
        <w:r w:rsidR="00A3197D" w:rsidRPr="007B73F9">
          <w:rPr>
            <w:rStyle w:val="Hyperlink"/>
            <w:rFonts w:eastAsiaTheme="minorEastAsia"/>
            <w:rtl/>
          </w:rPr>
          <w:t xml:space="preserve"> </w:t>
        </w:r>
        <w:r w:rsidR="00A3197D" w:rsidRPr="007B73F9">
          <w:rPr>
            <w:rStyle w:val="Hyperlink"/>
            <w:rFonts w:eastAsiaTheme="minorEastAsia" w:hint="eastAsia"/>
            <w:rtl/>
          </w:rPr>
          <w:t>المساعدة</w:t>
        </w:r>
        <w:r w:rsidR="00A3197D" w:rsidRPr="007B73F9">
          <w:rPr>
            <w:rStyle w:val="Hyperlink"/>
            <w:rFonts w:eastAsiaTheme="minorEastAsia"/>
            <w:rtl/>
          </w:rPr>
          <w:t xml:space="preserve"> </w:t>
        </w:r>
        <w:r w:rsidR="00A3197D" w:rsidRPr="007B73F9">
          <w:rPr>
            <w:rStyle w:val="Hyperlink"/>
            <w:rFonts w:eastAsiaTheme="minorEastAsia" w:hint="eastAsia"/>
            <w:rtl/>
          </w:rPr>
          <w:t>الخاصة</w:t>
        </w:r>
        <w:r w:rsidR="00A3197D" w:rsidRPr="007B73F9">
          <w:rPr>
            <w:rStyle w:val="Hyperlink"/>
            <w:rFonts w:eastAsiaTheme="minorEastAsia"/>
            <w:rtl/>
          </w:rPr>
          <w:t xml:space="preserve"> </w:t>
        </w:r>
        <w:r w:rsidR="00A3197D" w:rsidRPr="007B73F9">
          <w:rPr>
            <w:rStyle w:val="Hyperlink"/>
            <w:rFonts w:eastAsiaTheme="minorEastAsia" w:hint="eastAsia"/>
            <w:rtl/>
          </w:rPr>
          <w:t>بمصر،</w:t>
        </w:r>
        <w:r w:rsidR="00A3197D" w:rsidRPr="007B73F9">
          <w:rPr>
            <w:rStyle w:val="Hyperlink"/>
            <w:rFonts w:eastAsiaTheme="minorEastAsia"/>
            <w:rtl/>
          </w:rPr>
          <w:t xml:space="preserve"> </w:t>
        </w:r>
        <w:r w:rsidR="00A3197D" w:rsidRPr="007B73F9">
          <w:rPr>
            <w:rStyle w:val="Hyperlink"/>
            <w:rFonts w:eastAsiaTheme="minorEastAsia" w:hint="eastAsia"/>
            <w:rtl/>
          </w:rPr>
          <w:t>والتقييمات</w:t>
        </w:r>
        <w:r w:rsidR="00A3197D" w:rsidRPr="007B73F9">
          <w:rPr>
            <w:rStyle w:val="Hyperlink"/>
            <w:rFonts w:eastAsiaTheme="minorEastAsia"/>
            <w:rtl/>
          </w:rPr>
          <w:t xml:space="preserve"> </w:t>
        </w:r>
        <w:r w:rsidR="00A3197D" w:rsidRPr="007B73F9">
          <w:rPr>
            <w:rStyle w:val="Hyperlink"/>
            <w:rFonts w:eastAsiaTheme="minorEastAsia" w:hint="eastAsia"/>
            <w:rtl/>
          </w:rPr>
          <w:t>المستقلة،</w:t>
        </w:r>
        <w:r w:rsidR="00A3197D" w:rsidRPr="007B73F9">
          <w:rPr>
            <w:rStyle w:val="Hyperlink"/>
            <w:rFonts w:eastAsiaTheme="minorEastAsia"/>
            <w:rtl/>
          </w:rPr>
          <w:t xml:space="preserve"> </w:t>
        </w:r>
        <w:r w:rsidR="00A3197D" w:rsidRPr="007B73F9">
          <w:rPr>
            <w:rStyle w:val="Hyperlink"/>
            <w:rFonts w:eastAsiaTheme="minorEastAsia" w:hint="eastAsia"/>
            <w:rtl/>
          </w:rPr>
          <w:t>والمشاورات</w:t>
        </w:r>
        <w:r w:rsidR="00A3197D" w:rsidRPr="007B73F9">
          <w:rPr>
            <w:rStyle w:val="Hyperlink"/>
            <w:rFonts w:eastAsiaTheme="minorEastAsia"/>
            <w:rtl/>
          </w:rPr>
          <w:t xml:space="preserve"> </w:t>
        </w:r>
        <w:r w:rsidR="00A3197D" w:rsidRPr="007B73F9">
          <w:rPr>
            <w:rStyle w:val="Hyperlink"/>
            <w:rFonts w:eastAsiaTheme="minorEastAsia" w:hint="eastAsia"/>
            <w:rtl/>
          </w:rPr>
          <w:t>مع</w:t>
        </w:r>
        <w:r w:rsidR="00A3197D" w:rsidRPr="007B73F9">
          <w:rPr>
            <w:rStyle w:val="Hyperlink"/>
            <w:rFonts w:eastAsiaTheme="minorEastAsia"/>
            <w:rtl/>
          </w:rPr>
          <w:t xml:space="preserve"> </w:t>
        </w:r>
        <w:r w:rsidR="00A3197D" w:rsidRPr="007B73F9">
          <w:rPr>
            <w:rStyle w:val="Hyperlink"/>
            <w:rFonts w:eastAsiaTheme="minorEastAsia" w:hint="eastAsia"/>
            <w:rtl/>
          </w:rPr>
          <w:t>أصحاب</w:t>
        </w:r>
        <w:r w:rsidR="00A3197D" w:rsidRPr="007B73F9">
          <w:rPr>
            <w:rStyle w:val="Hyperlink"/>
            <w:rFonts w:eastAsiaTheme="minorEastAsia"/>
            <w:rtl/>
          </w:rPr>
          <w:t xml:space="preserve"> </w:t>
        </w:r>
        <w:r w:rsidR="00A3197D" w:rsidRPr="007B73F9">
          <w:rPr>
            <w:rStyle w:val="Hyperlink"/>
            <w:rFonts w:eastAsiaTheme="minorEastAsia" w:hint="eastAsia"/>
            <w:rtl/>
          </w:rPr>
          <w:t>المصلحة</w:t>
        </w:r>
        <w:r w:rsidR="00A3197D">
          <w:rPr>
            <w:webHidden/>
          </w:rPr>
          <w:tab/>
        </w:r>
        <w:r w:rsidR="00A3197D">
          <w:rPr>
            <w:webHidden/>
          </w:rPr>
          <w:fldChar w:fldCharType="begin"/>
        </w:r>
        <w:r w:rsidR="00A3197D">
          <w:rPr>
            <w:webHidden/>
          </w:rPr>
          <w:instrText xml:space="preserve"> PAGEREF _Toc439184544 \h </w:instrText>
        </w:r>
        <w:r w:rsidR="00A3197D">
          <w:rPr>
            <w:webHidden/>
          </w:rPr>
        </w:r>
        <w:r w:rsidR="00A3197D">
          <w:rPr>
            <w:webHidden/>
          </w:rPr>
          <w:fldChar w:fldCharType="separate"/>
        </w:r>
        <w:r w:rsidR="001C2DFE">
          <w:rPr>
            <w:webHidden/>
            <w:rtl/>
          </w:rPr>
          <w:t>22</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5" w:history="1">
        <w:r w:rsidR="00A3197D" w:rsidRPr="007B73F9">
          <w:rPr>
            <w:rStyle w:val="Hyperlink"/>
            <w:rFonts w:eastAsiaTheme="minorEastAsia" w:hint="eastAsia"/>
            <w:rtl/>
          </w:rPr>
          <w:t>ب</w:t>
        </w:r>
        <w:r w:rsidR="00A3197D" w:rsidRPr="007B73F9">
          <w:rPr>
            <w:rStyle w:val="Hyperlink"/>
            <w:rFonts w:eastAsiaTheme="minorEastAsia"/>
            <w:rtl/>
          </w:rPr>
          <w:t xml:space="preserve">. </w:t>
        </w:r>
        <w:r w:rsidR="00A3197D" w:rsidRPr="007B73F9">
          <w:rPr>
            <w:rStyle w:val="Hyperlink"/>
            <w:rFonts w:eastAsiaTheme="minorEastAsia" w:hint="eastAsia"/>
            <w:rtl/>
          </w:rPr>
          <w:t>المشاورات</w:t>
        </w:r>
        <w:r w:rsidR="00A3197D" w:rsidRPr="007B73F9">
          <w:rPr>
            <w:rStyle w:val="Hyperlink"/>
            <w:rFonts w:eastAsiaTheme="minorEastAsia"/>
            <w:rtl/>
          </w:rPr>
          <w:t xml:space="preserve"> </w:t>
        </w:r>
        <w:r w:rsidR="00A3197D" w:rsidRPr="007B73F9">
          <w:rPr>
            <w:rStyle w:val="Hyperlink"/>
            <w:rFonts w:eastAsiaTheme="minorEastAsia" w:hint="eastAsia"/>
            <w:rtl/>
          </w:rPr>
          <w:t>مع</w:t>
        </w:r>
        <w:r w:rsidR="00A3197D" w:rsidRPr="007B73F9">
          <w:rPr>
            <w:rStyle w:val="Hyperlink"/>
            <w:rFonts w:eastAsiaTheme="minorEastAsia"/>
            <w:rtl/>
          </w:rPr>
          <w:t xml:space="preserve"> </w:t>
        </w:r>
        <w:r w:rsidR="00A3197D" w:rsidRPr="007B73F9">
          <w:rPr>
            <w:rStyle w:val="Hyperlink"/>
            <w:rFonts w:eastAsiaTheme="minorEastAsia" w:hint="eastAsia"/>
            <w:rtl/>
          </w:rPr>
          <w:t>أصحاب</w:t>
        </w:r>
        <w:r w:rsidR="00A3197D" w:rsidRPr="007B73F9">
          <w:rPr>
            <w:rStyle w:val="Hyperlink"/>
            <w:rFonts w:eastAsiaTheme="minorEastAsia"/>
            <w:rtl/>
          </w:rPr>
          <w:t xml:space="preserve"> </w:t>
        </w:r>
        <w:r w:rsidR="00A3197D" w:rsidRPr="007B73F9">
          <w:rPr>
            <w:rStyle w:val="Hyperlink"/>
            <w:rFonts w:eastAsiaTheme="minorEastAsia" w:hint="eastAsia"/>
            <w:rtl/>
          </w:rPr>
          <w:t>المصلحة</w:t>
        </w:r>
        <w:r w:rsidR="00A3197D">
          <w:rPr>
            <w:webHidden/>
          </w:rPr>
          <w:tab/>
        </w:r>
        <w:r w:rsidR="00A3197D">
          <w:rPr>
            <w:webHidden/>
          </w:rPr>
          <w:fldChar w:fldCharType="begin"/>
        </w:r>
        <w:r w:rsidR="00A3197D">
          <w:rPr>
            <w:webHidden/>
          </w:rPr>
          <w:instrText xml:space="preserve"> PAGEREF _Toc439184545 \h </w:instrText>
        </w:r>
        <w:r w:rsidR="00A3197D">
          <w:rPr>
            <w:webHidden/>
          </w:rPr>
        </w:r>
        <w:r w:rsidR="00A3197D">
          <w:rPr>
            <w:webHidden/>
          </w:rPr>
          <w:fldChar w:fldCharType="separate"/>
        </w:r>
        <w:r w:rsidR="001C2DFE">
          <w:rPr>
            <w:webHidden/>
            <w:rtl/>
          </w:rPr>
          <w:t>23</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6" w:history="1">
        <w:r w:rsidR="00A3197D" w:rsidRPr="007B73F9">
          <w:rPr>
            <w:rStyle w:val="Hyperlink"/>
            <w:rFonts w:eastAsiaTheme="minorEastAsia" w:hint="eastAsia"/>
            <w:rtl/>
          </w:rPr>
          <w:t>ج</w:t>
        </w:r>
        <w:r w:rsidR="00A3197D" w:rsidRPr="007B73F9">
          <w:rPr>
            <w:rStyle w:val="Hyperlink"/>
            <w:rFonts w:eastAsiaTheme="minorEastAsia"/>
            <w:rtl/>
          </w:rPr>
          <w:t xml:space="preserve">. </w:t>
        </w:r>
        <w:r w:rsidR="00A3197D" w:rsidRPr="007B73F9">
          <w:rPr>
            <w:rStyle w:val="Hyperlink"/>
            <w:rFonts w:eastAsiaTheme="minorEastAsia" w:hint="eastAsia"/>
            <w:rtl/>
          </w:rPr>
          <w:t>عرض</w:t>
        </w:r>
        <w:r w:rsidR="00A3197D" w:rsidRPr="007B73F9">
          <w:rPr>
            <w:rStyle w:val="Hyperlink"/>
            <w:rFonts w:eastAsiaTheme="minorEastAsia"/>
            <w:rtl/>
          </w:rPr>
          <w:t xml:space="preserve"> </w:t>
        </w:r>
        <w:r w:rsidR="00A3197D" w:rsidRPr="007B73F9">
          <w:rPr>
            <w:rStyle w:val="Hyperlink"/>
            <w:rFonts w:eastAsiaTheme="minorEastAsia" w:hint="eastAsia"/>
            <w:rtl/>
          </w:rPr>
          <w:t>عام</w:t>
        </w:r>
        <w:r w:rsidR="00A3197D" w:rsidRPr="007B73F9">
          <w:rPr>
            <w:rStyle w:val="Hyperlink"/>
            <w:rFonts w:eastAsiaTheme="minorEastAsia"/>
            <w:rtl/>
          </w:rPr>
          <w:t xml:space="preserve"> </w:t>
        </w:r>
        <w:r w:rsidR="00A3197D" w:rsidRPr="007B73F9">
          <w:rPr>
            <w:rStyle w:val="Hyperlink"/>
            <w:rFonts w:eastAsiaTheme="minorEastAsia" w:hint="eastAsia"/>
            <w:rtl/>
          </w:rPr>
          <w:t>لإستراتيجية</w:t>
        </w:r>
        <w:r w:rsidR="00A3197D" w:rsidRPr="007B73F9">
          <w:rPr>
            <w:rStyle w:val="Hyperlink"/>
            <w:rFonts w:eastAsiaTheme="minorEastAsia"/>
            <w:rtl/>
          </w:rPr>
          <w:t xml:space="preserve"> </w:t>
        </w:r>
        <w:r w:rsidR="00A3197D" w:rsidRPr="007B73F9">
          <w:rPr>
            <w:rStyle w:val="Hyperlink"/>
            <w:rFonts w:eastAsiaTheme="minorEastAsia" w:hint="eastAsia"/>
            <w:rtl/>
          </w:rPr>
          <w:t>مجموعة</w:t>
        </w:r>
        <w:r w:rsidR="00A3197D" w:rsidRPr="007B73F9">
          <w:rPr>
            <w:rStyle w:val="Hyperlink"/>
            <w:rFonts w:eastAsiaTheme="minorEastAsia"/>
            <w:rtl/>
          </w:rPr>
          <w:t xml:space="preserve"> </w:t>
        </w:r>
        <w:r w:rsidR="00A3197D" w:rsidRPr="007B73F9">
          <w:rPr>
            <w:rStyle w:val="Hyperlink"/>
            <w:rFonts w:eastAsiaTheme="minorEastAsia" w:hint="eastAsia"/>
            <w:rtl/>
          </w:rPr>
          <w:t>البنك</w:t>
        </w:r>
        <w:r w:rsidR="00A3197D" w:rsidRPr="007B73F9">
          <w:rPr>
            <w:rStyle w:val="Hyperlink"/>
            <w:rFonts w:eastAsiaTheme="minorEastAsia"/>
            <w:rtl/>
          </w:rPr>
          <w:t xml:space="preserve"> </w:t>
        </w:r>
        <w:r w:rsidR="00A3197D" w:rsidRPr="007B73F9">
          <w:rPr>
            <w:rStyle w:val="Hyperlink"/>
            <w:rFonts w:eastAsiaTheme="minorEastAsia" w:hint="eastAsia"/>
            <w:rtl/>
          </w:rPr>
          <w:t>الدولي</w:t>
        </w:r>
        <w:r w:rsidR="00A3197D">
          <w:rPr>
            <w:webHidden/>
          </w:rPr>
          <w:tab/>
        </w:r>
        <w:r w:rsidR="00A3197D">
          <w:rPr>
            <w:webHidden/>
          </w:rPr>
          <w:fldChar w:fldCharType="begin"/>
        </w:r>
        <w:r w:rsidR="00A3197D">
          <w:rPr>
            <w:webHidden/>
          </w:rPr>
          <w:instrText xml:space="preserve"> PAGEREF _Toc439184546 \h </w:instrText>
        </w:r>
        <w:r w:rsidR="00A3197D">
          <w:rPr>
            <w:webHidden/>
          </w:rPr>
        </w:r>
        <w:r w:rsidR="00A3197D">
          <w:rPr>
            <w:webHidden/>
          </w:rPr>
          <w:fldChar w:fldCharType="separate"/>
        </w:r>
        <w:r w:rsidR="001C2DFE">
          <w:rPr>
            <w:webHidden/>
            <w:rtl/>
          </w:rPr>
          <w:t>24</w:t>
        </w:r>
        <w:r w:rsidR="00A3197D">
          <w:rPr>
            <w:webHidden/>
          </w:rPr>
          <w:fldChar w:fldCharType="end"/>
        </w:r>
      </w:hyperlink>
    </w:p>
    <w:p w:rsidR="00A3197D" w:rsidRDefault="00F4694D" w:rsidP="00A3197D">
      <w:pPr>
        <w:pStyle w:val="TOC2"/>
        <w:bidi/>
        <w:rPr>
          <w:rFonts w:asciiTheme="minorHAnsi" w:eastAsiaTheme="minorEastAsia" w:hAnsiTheme="minorHAnsi" w:cstheme="minorBidi"/>
          <w:b w:val="0"/>
          <w:snapToGrid/>
          <w:szCs w:val="22"/>
        </w:rPr>
      </w:pPr>
      <w:hyperlink w:anchor="_Toc439184547" w:history="1">
        <w:r w:rsidR="00A3197D" w:rsidRPr="007B73F9">
          <w:rPr>
            <w:rStyle w:val="Hyperlink"/>
            <w:rFonts w:eastAsiaTheme="minorEastAsia" w:hint="eastAsia"/>
            <w:rtl/>
          </w:rPr>
          <w:t>د</w:t>
        </w:r>
        <w:r w:rsidR="00A3197D" w:rsidRPr="007B73F9">
          <w:rPr>
            <w:rStyle w:val="Hyperlink"/>
            <w:rFonts w:eastAsiaTheme="minorEastAsia"/>
            <w:rtl/>
          </w:rPr>
          <w:t xml:space="preserve">. </w:t>
        </w:r>
        <w:r w:rsidR="00A3197D" w:rsidRPr="007B73F9">
          <w:rPr>
            <w:rStyle w:val="Hyperlink"/>
            <w:rFonts w:eastAsiaTheme="minorEastAsia" w:hint="eastAsia"/>
            <w:rtl/>
          </w:rPr>
          <w:t>تنفيذ</w:t>
        </w:r>
        <w:r w:rsidR="00A3197D" w:rsidRPr="007B73F9">
          <w:rPr>
            <w:rStyle w:val="Hyperlink"/>
            <w:rFonts w:eastAsiaTheme="minorEastAsia"/>
            <w:rtl/>
          </w:rPr>
          <w:t xml:space="preserve"> </w:t>
        </w:r>
        <w:r w:rsidR="00A3197D" w:rsidRPr="007B73F9">
          <w:rPr>
            <w:rStyle w:val="Hyperlink"/>
            <w:rFonts w:eastAsiaTheme="minorEastAsia" w:hint="eastAsia"/>
            <w:rtl/>
          </w:rPr>
          <w:t>إطار</w:t>
        </w:r>
        <w:r w:rsidR="00A3197D" w:rsidRPr="007B73F9">
          <w:rPr>
            <w:rStyle w:val="Hyperlink"/>
            <w:rFonts w:eastAsiaTheme="minorEastAsia"/>
            <w:rtl/>
          </w:rPr>
          <w:t xml:space="preserve"> </w:t>
        </w:r>
        <w:r w:rsidR="00A3197D" w:rsidRPr="007B73F9">
          <w:rPr>
            <w:rStyle w:val="Hyperlink"/>
            <w:rFonts w:eastAsiaTheme="minorEastAsia" w:hint="eastAsia"/>
            <w:rtl/>
          </w:rPr>
          <w:t>الشراكة</w:t>
        </w:r>
        <w:r w:rsidR="00A3197D" w:rsidRPr="007B73F9">
          <w:rPr>
            <w:rStyle w:val="Hyperlink"/>
            <w:rFonts w:eastAsiaTheme="minorEastAsia"/>
            <w:rtl/>
          </w:rPr>
          <w:t xml:space="preserve"> </w:t>
        </w:r>
        <w:r w:rsidR="00A3197D" w:rsidRPr="007B73F9">
          <w:rPr>
            <w:rStyle w:val="Hyperlink"/>
            <w:rFonts w:eastAsiaTheme="minorEastAsia" w:hint="eastAsia"/>
            <w:rtl/>
          </w:rPr>
          <w:t>الإستراتيجية</w:t>
        </w:r>
        <w:r w:rsidR="00A3197D">
          <w:rPr>
            <w:webHidden/>
          </w:rPr>
          <w:tab/>
        </w:r>
        <w:r w:rsidR="00A3197D">
          <w:rPr>
            <w:webHidden/>
          </w:rPr>
          <w:fldChar w:fldCharType="begin"/>
        </w:r>
        <w:r w:rsidR="00A3197D">
          <w:rPr>
            <w:webHidden/>
          </w:rPr>
          <w:instrText xml:space="preserve"> PAGEREF _Toc439184547 \h </w:instrText>
        </w:r>
        <w:r w:rsidR="00A3197D">
          <w:rPr>
            <w:webHidden/>
          </w:rPr>
        </w:r>
        <w:r w:rsidR="00A3197D">
          <w:rPr>
            <w:webHidden/>
          </w:rPr>
          <w:fldChar w:fldCharType="separate"/>
        </w:r>
        <w:r w:rsidR="001C2DFE">
          <w:rPr>
            <w:webHidden/>
            <w:rtl/>
          </w:rPr>
          <w:t>50</w:t>
        </w:r>
        <w:r w:rsidR="00A3197D">
          <w:rPr>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548" w:history="1">
        <w:r w:rsidR="00A3197D" w:rsidRPr="007B73F9">
          <w:rPr>
            <w:rStyle w:val="Hyperlink"/>
            <w:rFonts w:hint="eastAsia"/>
            <w:noProof/>
            <w:rtl/>
          </w:rPr>
          <w:t>سادسا</w:t>
        </w:r>
        <w:r w:rsidR="00A3197D" w:rsidRPr="007B73F9">
          <w:rPr>
            <w:rStyle w:val="Hyperlink"/>
            <w:noProof/>
            <w:rtl/>
          </w:rPr>
          <w:t xml:space="preserve">. </w:t>
        </w:r>
        <w:r w:rsidR="00A3197D" w:rsidRPr="007B73F9">
          <w:rPr>
            <w:rStyle w:val="Hyperlink"/>
            <w:rFonts w:hint="eastAsia"/>
            <w:noProof/>
            <w:rtl/>
          </w:rPr>
          <w:t>إدارة</w:t>
        </w:r>
        <w:r w:rsidR="00A3197D" w:rsidRPr="007B73F9">
          <w:rPr>
            <w:rStyle w:val="Hyperlink"/>
            <w:noProof/>
            <w:rtl/>
          </w:rPr>
          <w:t xml:space="preserve"> </w:t>
        </w:r>
        <w:r w:rsidR="00A3197D" w:rsidRPr="007B73F9">
          <w:rPr>
            <w:rStyle w:val="Hyperlink"/>
            <w:rFonts w:hint="eastAsia"/>
            <w:noProof/>
            <w:rtl/>
          </w:rPr>
          <w:t>المخاطر</w:t>
        </w:r>
        <w:r w:rsidR="00A3197D" w:rsidRPr="007B73F9">
          <w:rPr>
            <w:rStyle w:val="Hyperlink"/>
            <w:noProof/>
            <w:rtl/>
          </w:rPr>
          <w:t xml:space="preserve"> </w:t>
        </w:r>
        <w:r w:rsidR="00A3197D" w:rsidRPr="007B73F9">
          <w:rPr>
            <w:rStyle w:val="Hyperlink"/>
            <w:rFonts w:hint="eastAsia"/>
            <w:noProof/>
            <w:rtl/>
          </w:rPr>
          <w:t>أمام</w:t>
        </w:r>
        <w:r w:rsidR="00A3197D" w:rsidRPr="007B73F9">
          <w:rPr>
            <w:rStyle w:val="Hyperlink"/>
            <w:noProof/>
            <w:rtl/>
          </w:rPr>
          <w:t xml:space="preserve"> </w:t>
        </w:r>
        <w:r w:rsidR="00A3197D" w:rsidRPr="007B73F9">
          <w:rPr>
            <w:rStyle w:val="Hyperlink"/>
            <w:rFonts w:hint="eastAsia"/>
            <w:noProof/>
            <w:rtl/>
          </w:rPr>
          <w:t>برنامج</w:t>
        </w:r>
        <w:r w:rsidR="00A3197D" w:rsidRPr="007B73F9">
          <w:rPr>
            <w:rStyle w:val="Hyperlink"/>
            <w:noProof/>
            <w:rtl/>
          </w:rPr>
          <w:t xml:space="preserve"> </w:t>
        </w:r>
        <w:r w:rsidR="00A3197D" w:rsidRPr="007B73F9">
          <w:rPr>
            <w:rStyle w:val="Hyperlink"/>
            <w:rFonts w:hint="eastAsia"/>
            <w:noProof/>
            <w:rtl/>
          </w:rPr>
          <w:t>إطار</w:t>
        </w:r>
        <w:r w:rsidR="00A3197D" w:rsidRPr="007B73F9">
          <w:rPr>
            <w:rStyle w:val="Hyperlink"/>
            <w:noProof/>
            <w:rtl/>
          </w:rPr>
          <w:t xml:space="preserve"> </w:t>
        </w:r>
        <w:r w:rsidR="00A3197D" w:rsidRPr="007B73F9">
          <w:rPr>
            <w:rStyle w:val="Hyperlink"/>
            <w:rFonts w:hint="eastAsia"/>
            <w:noProof/>
            <w:rtl/>
          </w:rPr>
          <w:t>الشراكة</w:t>
        </w:r>
        <w:r w:rsidR="00A3197D" w:rsidRPr="007B73F9">
          <w:rPr>
            <w:rStyle w:val="Hyperlink"/>
            <w:noProof/>
            <w:rtl/>
          </w:rPr>
          <w:t xml:space="preserve"> </w:t>
        </w:r>
        <w:r w:rsidR="00A3197D" w:rsidRPr="007B73F9">
          <w:rPr>
            <w:rStyle w:val="Hyperlink"/>
            <w:rFonts w:hint="eastAsia"/>
            <w:noProof/>
            <w:rtl/>
          </w:rPr>
          <w:t>الإستراتيجية</w:t>
        </w:r>
        <w:r w:rsidR="00A3197D">
          <w:rPr>
            <w:noProof/>
            <w:webHidden/>
          </w:rPr>
          <w:tab/>
        </w:r>
        <w:r w:rsidR="00A3197D">
          <w:rPr>
            <w:noProof/>
            <w:webHidden/>
          </w:rPr>
          <w:fldChar w:fldCharType="begin"/>
        </w:r>
        <w:r w:rsidR="00A3197D">
          <w:rPr>
            <w:noProof/>
            <w:webHidden/>
          </w:rPr>
          <w:instrText xml:space="preserve"> PAGEREF _Toc439184548 \h </w:instrText>
        </w:r>
        <w:r w:rsidR="00A3197D">
          <w:rPr>
            <w:noProof/>
            <w:webHidden/>
          </w:rPr>
        </w:r>
        <w:r w:rsidR="00A3197D">
          <w:rPr>
            <w:noProof/>
            <w:webHidden/>
          </w:rPr>
          <w:fldChar w:fldCharType="separate"/>
        </w:r>
        <w:r w:rsidR="001C2DFE">
          <w:rPr>
            <w:noProof/>
            <w:webHidden/>
            <w:rtl/>
          </w:rPr>
          <w:t>56</w:t>
        </w:r>
        <w:r w:rsidR="00A3197D">
          <w:rPr>
            <w:noProof/>
            <w:webHidden/>
          </w:rPr>
          <w:fldChar w:fldCharType="end"/>
        </w:r>
      </w:hyperlink>
    </w:p>
    <w:p w:rsidR="00810BAC" w:rsidRPr="00111356" w:rsidRDefault="00111356" w:rsidP="00111356">
      <w:pPr>
        <w:pStyle w:val="TOC4"/>
        <w:bidi/>
        <w:rPr>
          <w:rFonts w:ascii="Simplified Arabic" w:hAnsi="Simplified Arabic" w:cs="Simplified Arabic"/>
          <w:sz w:val="24"/>
        </w:rPr>
      </w:pPr>
      <w:r w:rsidRPr="00111356">
        <w:rPr>
          <w:rFonts w:ascii="Simplified Arabic" w:hAnsi="Simplified Arabic" w:cs="Simplified Arabic"/>
          <w:sz w:val="28"/>
          <w:szCs w:val="28"/>
          <w:rtl/>
        </w:rPr>
        <w:fldChar w:fldCharType="end"/>
      </w:r>
    </w:p>
    <w:p w:rsidR="00F15E0B" w:rsidRPr="00A3197D" w:rsidRDefault="00F15E0B" w:rsidP="00F15E0B">
      <w:pPr>
        <w:bidi/>
        <w:rPr>
          <w:rFonts w:ascii="Simplified Arabic" w:hAnsi="Simplified Arabic" w:cs="Simplified Arabic"/>
          <w:sz w:val="32"/>
          <w:szCs w:val="32"/>
          <w:rtl/>
        </w:rPr>
      </w:pPr>
      <w:r w:rsidRPr="00A3197D">
        <w:rPr>
          <w:rFonts w:ascii="Simplified Arabic" w:hAnsi="Simplified Arabic" w:cs="Simplified Arabic" w:hint="cs"/>
          <w:sz w:val="32"/>
          <w:szCs w:val="32"/>
          <w:rtl/>
        </w:rPr>
        <w:t>الملاحق</w:t>
      </w:r>
    </w:p>
    <w:p w:rsidR="00A3197D" w:rsidRDefault="00A3197D" w:rsidP="00A3197D">
      <w:pPr>
        <w:pStyle w:val="TOC1"/>
        <w:bidi/>
        <w:rPr>
          <w:rFonts w:asciiTheme="minorHAnsi" w:hAnsiTheme="minorHAnsi" w:cstheme="minorBidi"/>
          <w:b w:val="0"/>
          <w:noProof/>
          <w:snapToGrid/>
          <w:sz w:val="22"/>
          <w:szCs w:val="22"/>
        </w:rPr>
      </w:pPr>
      <w:r>
        <w:rPr>
          <w:rFonts w:ascii="Simplified Arabic" w:hAnsi="Simplified Arabic" w:cs="Simplified Arabic"/>
          <w:sz w:val="36"/>
          <w:szCs w:val="36"/>
          <w:rtl/>
        </w:rPr>
        <w:fldChar w:fldCharType="begin"/>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TOC</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h \z \t "Annex,1</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tl/>
        </w:rPr>
        <w:fldChar w:fldCharType="separate"/>
      </w:r>
      <w:hyperlink w:anchor="_Toc439184799" w:history="1">
        <w:r w:rsidRPr="008D776E">
          <w:rPr>
            <w:rStyle w:val="Hyperlink"/>
            <w:rFonts w:hint="eastAsia"/>
            <w:noProof/>
            <w:rtl/>
          </w:rPr>
          <w:t>الملحق</w:t>
        </w:r>
        <w:r w:rsidRPr="008D776E">
          <w:rPr>
            <w:rStyle w:val="Hyperlink"/>
            <w:noProof/>
            <w:rtl/>
          </w:rPr>
          <w:t xml:space="preserve"> 1 - </w:t>
        </w:r>
        <w:r w:rsidRPr="008D776E">
          <w:rPr>
            <w:rStyle w:val="Hyperlink"/>
            <w:rFonts w:hint="eastAsia"/>
            <w:noProof/>
            <w:rtl/>
          </w:rPr>
          <w:t>إطار</w:t>
        </w:r>
        <w:r w:rsidRPr="008D776E">
          <w:rPr>
            <w:rStyle w:val="Hyperlink"/>
            <w:noProof/>
            <w:rtl/>
          </w:rPr>
          <w:t xml:space="preserve"> </w:t>
        </w:r>
        <w:r w:rsidRPr="008D776E">
          <w:rPr>
            <w:rStyle w:val="Hyperlink"/>
            <w:rFonts w:hint="eastAsia"/>
            <w:noProof/>
            <w:rtl/>
          </w:rPr>
          <w:t>النتائج</w:t>
        </w:r>
        <w:r w:rsidRPr="008D776E">
          <w:rPr>
            <w:rStyle w:val="Hyperlink"/>
            <w:noProof/>
            <w:rtl/>
          </w:rPr>
          <w:t xml:space="preserve"> </w:t>
        </w:r>
        <w:r w:rsidRPr="008D776E">
          <w:rPr>
            <w:rStyle w:val="Hyperlink"/>
            <w:rFonts w:hint="eastAsia"/>
            <w:noProof/>
            <w:rtl/>
          </w:rPr>
          <w:t>الخاص</w:t>
        </w:r>
        <w:r w:rsidRPr="008D776E">
          <w:rPr>
            <w:rStyle w:val="Hyperlink"/>
            <w:noProof/>
            <w:rtl/>
          </w:rPr>
          <w:t xml:space="preserve"> </w:t>
        </w:r>
        <w:r w:rsidRPr="008D776E">
          <w:rPr>
            <w:rStyle w:val="Hyperlink"/>
            <w:rFonts w:hint="eastAsia"/>
            <w:noProof/>
            <w:rtl/>
          </w:rPr>
          <w:t>بإطار</w:t>
        </w:r>
        <w:r w:rsidRPr="008D776E">
          <w:rPr>
            <w:rStyle w:val="Hyperlink"/>
            <w:noProof/>
            <w:rtl/>
          </w:rPr>
          <w:t xml:space="preserve"> </w:t>
        </w:r>
        <w:r w:rsidRPr="008D776E">
          <w:rPr>
            <w:rStyle w:val="Hyperlink"/>
            <w:rFonts w:hint="eastAsia"/>
            <w:noProof/>
            <w:rtl/>
          </w:rPr>
          <w:t>الشراكة</w:t>
        </w:r>
        <w:r w:rsidRPr="008D776E">
          <w:rPr>
            <w:rStyle w:val="Hyperlink"/>
            <w:noProof/>
            <w:rtl/>
          </w:rPr>
          <w:t xml:space="preserve"> </w:t>
        </w:r>
        <w:r w:rsidRPr="008D776E">
          <w:rPr>
            <w:rStyle w:val="Hyperlink"/>
            <w:rFonts w:hint="eastAsia"/>
            <w:noProof/>
            <w:rtl/>
          </w:rPr>
          <w:t>الإستراتيجية</w:t>
        </w:r>
        <w:r>
          <w:rPr>
            <w:noProof/>
            <w:webHidden/>
          </w:rPr>
          <w:tab/>
        </w:r>
        <w:r>
          <w:rPr>
            <w:noProof/>
            <w:webHidden/>
          </w:rPr>
          <w:fldChar w:fldCharType="begin"/>
        </w:r>
        <w:r>
          <w:rPr>
            <w:noProof/>
            <w:webHidden/>
          </w:rPr>
          <w:instrText xml:space="preserve"> PAGEREF _Toc439184799 \h </w:instrText>
        </w:r>
        <w:r>
          <w:rPr>
            <w:noProof/>
            <w:webHidden/>
          </w:rPr>
        </w:r>
        <w:r>
          <w:rPr>
            <w:noProof/>
            <w:webHidden/>
          </w:rPr>
          <w:fldChar w:fldCharType="separate"/>
        </w:r>
        <w:r>
          <w:rPr>
            <w:noProof/>
            <w:webHidden/>
          </w:rPr>
          <w:t>59</w:t>
        </w:r>
        <w:r>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0" w:history="1">
        <w:r w:rsidR="00A3197D" w:rsidRPr="008D776E">
          <w:rPr>
            <w:rStyle w:val="Hyperlink"/>
            <w:rFonts w:hint="eastAsia"/>
            <w:noProof/>
            <w:u w:color="000000"/>
            <w:rtl/>
          </w:rPr>
          <w:t>الملحق</w:t>
        </w:r>
        <w:r w:rsidR="00A3197D" w:rsidRPr="008D776E">
          <w:rPr>
            <w:rStyle w:val="Hyperlink"/>
            <w:noProof/>
            <w:u w:color="000000"/>
            <w:rtl/>
          </w:rPr>
          <w:t xml:space="preserve"> 2: </w:t>
        </w:r>
        <w:r w:rsidR="00A3197D" w:rsidRPr="008D776E">
          <w:rPr>
            <w:rStyle w:val="Hyperlink"/>
            <w:rFonts w:hint="eastAsia"/>
            <w:noProof/>
            <w:u w:color="000000"/>
            <w:rtl/>
          </w:rPr>
          <w:t>استعراض</w:t>
        </w:r>
        <w:r w:rsidR="00A3197D" w:rsidRPr="008D776E">
          <w:rPr>
            <w:rStyle w:val="Hyperlink"/>
            <w:noProof/>
            <w:u w:color="000000"/>
            <w:rtl/>
          </w:rPr>
          <w:t xml:space="preserve"> </w:t>
        </w:r>
        <w:r w:rsidR="00A3197D" w:rsidRPr="008D776E">
          <w:rPr>
            <w:rStyle w:val="Hyperlink"/>
            <w:rFonts w:hint="eastAsia"/>
            <w:noProof/>
            <w:u w:color="000000"/>
            <w:rtl/>
          </w:rPr>
          <w:t>الإنجاز</w:t>
        </w:r>
        <w:r w:rsidR="00A3197D" w:rsidRPr="008D776E">
          <w:rPr>
            <w:rStyle w:val="Hyperlink"/>
            <w:noProof/>
            <w:u w:color="000000"/>
            <w:rtl/>
          </w:rPr>
          <w:t xml:space="preserve"> </w:t>
        </w:r>
        <w:r w:rsidR="00A3197D" w:rsidRPr="008D776E">
          <w:rPr>
            <w:rStyle w:val="Hyperlink"/>
            <w:rFonts w:hint="eastAsia"/>
            <w:noProof/>
            <w:u w:color="000000"/>
            <w:rtl/>
          </w:rPr>
          <w:t>والتعلُّم</w:t>
        </w:r>
        <w:r w:rsidR="00A3197D">
          <w:rPr>
            <w:noProof/>
            <w:webHidden/>
          </w:rPr>
          <w:tab/>
        </w:r>
        <w:r w:rsidR="00A3197D">
          <w:rPr>
            <w:noProof/>
            <w:webHidden/>
          </w:rPr>
          <w:fldChar w:fldCharType="begin"/>
        </w:r>
        <w:r w:rsidR="00A3197D">
          <w:rPr>
            <w:noProof/>
            <w:webHidden/>
          </w:rPr>
          <w:instrText xml:space="preserve"> PAGEREF _Toc439184800 \h </w:instrText>
        </w:r>
        <w:r w:rsidR="00A3197D">
          <w:rPr>
            <w:noProof/>
            <w:webHidden/>
          </w:rPr>
        </w:r>
        <w:r w:rsidR="00A3197D">
          <w:rPr>
            <w:noProof/>
            <w:webHidden/>
          </w:rPr>
          <w:fldChar w:fldCharType="separate"/>
        </w:r>
        <w:r w:rsidR="00A3197D">
          <w:rPr>
            <w:noProof/>
            <w:webHidden/>
          </w:rPr>
          <w:t>90</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1" w:history="1">
        <w:r w:rsidR="00A3197D" w:rsidRPr="008D776E">
          <w:rPr>
            <w:rStyle w:val="Hyperlink"/>
            <w:rFonts w:hint="eastAsia"/>
            <w:noProof/>
            <w:rtl/>
          </w:rPr>
          <w:t>الملحق</w:t>
        </w:r>
        <w:r w:rsidR="00A3197D" w:rsidRPr="008D776E">
          <w:rPr>
            <w:rStyle w:val="Hyperlink"/>
            <w:noProof/>
            <w:rtl/>
          </w:rPr>
          <w:t xml:space="preserve"> 3: </w:t>
        </w:r>
        <w:r w:rsidR="00A3197D" w:rsidRPr="008D776E">
          <w:rPr>
            <w:rStyle w:val="Hyperlink"/>
            <w:rFonts w:hint="eastAsia"/>
            <w:noProof/>
            <w:rtl/>
          </w:rPr>
          <w:t>أنشطة</w:t>
        </w:r>
        <w:r w:rsidR="00A3197D" w:rsidRPr="008D776E">
          <w:rPr>
            <w:rStyle w:val="Hyperlink"/>
            <w:noProof/>
            <w:rtl/>
          </w:rPr>
          <w:t xml:space="preserve"> </w:t>
        </w:r>
        <w:r w:rsidR="00A3197D" w:rsidRPr="008D776E">
          <w:rPr>
            <w:rStyle w:val="Hyperlink"/>
            <w:rFonts w:hint="eastAsia"/>
            <w:noProof/>
            <w:rtl/>
          </w:rPr>
          <w:t>المانحين</w:t>
        </w:r>
        <w:r w:rsidR="00A3197D">
          <w:rPr>
            <w:noProof/>
            <w:webHidden/>
          </w:rPr>
          <w:tab/>
        </w:r>
        <w:r w:rsidR="00A3197D">
          <w:rPr>
            <w:noProof/>
            <w:webHidden/>
          </w:rPr>
          <w:fldChar w:fldCharType="begin"/>
        </w:r>
        <w:r w:rsidR="00A3197D">
          <w:rPr>
            <w:noProof/>
            <w:webHidden/>
          </w:rPr>
          <w:instrText xml:space="preserve"> PAGEREF _Toc439184801 \h </w:instrText>
        </w:r>
        <w:r w:rsidR="00A3197D">
          <w:rPr>
            <w:noProof/>
            <w:webHidden/>
          </w:rPr>
        </w:r>
        <w:r w:rsidR="00A3197D">
          <w:rPr>
            <w:noProof/>
            <w:webHidden/>
          </w:rPr>
          <w:fldChar w:fldCharType="separate"/>
        </w:r>
        <w:r w:rsidR="00A3197D">
          <w:rPr>
            <w:noProof/>
            <w:webHidden/>
          </w:rPr>
          <w:t>134</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2" w:history="1">
        <w:r w:rsidR="00A3197D" w:rsidRPr="008D776E">
          <w:rPr>
            <w:rStyle w:val="Hyperlink"/>
            <w:rFonts w:hint="eastAsia"/>
            <w:noProof/>
            <w:rtl/>
          </w:rPr>
          <w:t>الملحق</w:t>
        </w:r>
        <w:r w:rsidR="00A3197D" w:rsidRPr="008D776E">
          <w:rPr>
            <w:rStyle w:val="Hyperlink"/>
            <w:noProof/>
            <w:rtl/>
          </w:rPr>
          <w:t xml:space="preserve"> 4: </w:t>
        </w:r>
        <w:r w:rsidR="00A3197D" w:rsidRPr="008D776E">
          <w:rPr>
            <w:rStyle w:val="Hyperlink"/>
            <w:rFonts w:hint="eastAsia"/>
            <w:noProof/>
            <w:rtl/>
          </w:rPr>
          <w:t>مؤشرات</w:t>
        </w:r>
        <w:r w:rsidR="00A3197D" w:rsidRPr="008D776E">
          <w:rPr>
            <w:rStyle w:val="Hyperlink"/>
            <w:noProof/>
            <w:rtl/>
          </w:rPr>
          <w:t xml:space="preserve"> </w:t>
        </w:r>
        <w:r w:rsidR="00A3197D" w:rsidRPr="008D776E">
          <w:rPr>
            <w:rStyle w:val="Hyperlink"/>
            <w:rFonts w:hint="eastAsia"/>
            <w:noProof/>
            <w:rtl/>
          </w:rPr>
          <w:t>مختارة</w:t>
        </w:r>
        <w:r w:rsidR="00A3197D" w:rsidRPr="008D776E">
          <w:rPr>
            <w:rStyle w:val="Hyperlink"/>
            <w:noProof/>
            <w:rtl/>
          </w:rPr>
          <w:t xml:space="preserve"> </w:t>
        </w:r>
        <w:r w:rsidR="00A3197D" w:rsidRPr="008D776E">
          <w:rPr>
            <w:rStyle w:val="Hyperlink"/>
            <w:rFonts w:hint="eastAsia"/>
            <w:noProof/>
            <w:rtl/>
          </w:rPr>
          <w:t>لأداء</w:t>
        </w:r>
        <w:r w:rsidR="00A3197D" w:rsidRPr="008D776E">
          <w:rPr>
            <w:rStyle w:val="Hyperlink"/>
            <w:noProof/>
            <w:rtl/>
          </w:rPr>
          <w:t xml:space="preserve"> </w:t>
        </w:r>
        <w:r w:rsidR="00A3197D" w:rsidRPr="008D776E">
          <w:rPr>
            <w:rStyle w:val="Hyperlink"/>
            <w:rFonts w:hint="eastAsia"/>
            <w:noProof/>
            <w:rtl/>
          </w:rPr>
          <w:t>وإدارة</w:t>
        </w:r>
        <w:r w:rsidR="00A3197D" w:rsidRPr="008D776E">
          <w:rPr>
            <w:rStyle w:val="Hyperlink"/>
            <w:noProof/>
            <w:rtl/>
          </w:rPr>
          <w:t xml:space="preserve"> </w:t>
        </w:r>
        <w:r w:rsidR="00A3197D" w:rsidRPr="008D776E">
          <w:rPr>
            <w:rStyle w:val="Hyperlink"/>
            <w:rFonts w:hint="eastAsia"/>
            <w:noProof/>
            <w:rtl/>
          </w:rPr>
          <w:t>حافظة</w:t>
        </w:r>
        <w:r w:rsidR="00A3197D" w:rsidRPr="008D776E">
          <w:rPr>
            <w:rStyle w:val="Hyperlink"/>
            <w:noProof/>
            <w:rtl/>
          </w:rPr>
          <w:t xml:space="preserve"> </w:t>
        </w:r>
        <w:r w:rsidR="00A3197D" w:rsidRPr="008D776E">
          <w:rPr>
            <w:rStyle w:val="Hyperlink"/>
            <w:rFonts w:hint="eastAsia"/>
            <w:noProof/>
            <w:rtl/>
          </w:rPr>
          <w:t>مشروعات</w:t>
        </w:r>
        <w:r w:rsidR="00A3197D" w:rsidRPr="008D776E">
          <w:rPr>
            <w:rStyle w:val="Hyperlink"/>
            <w:noProof/>
            <w:rtl/>
          </w:rPr>
          <w:t xml:space="preserve"> </w:t>
        </w:r>
        <w:r w:rsidR="00A3197D" w:rsidRPr="008D776E">
          <w:rPr>
            <w:rStyle w:val="Hyperlink"/>
            <w:rFonts w:hint="eastAsia"/>
            <w:noProof/>
            <w:rtl/>
          </w:rPr>
          <w:t>البنك</w:t>
        </w:r>
        <w:r w:rsidR="00A3197D">
          <w:rPr>
            <w:noProof/>
            <w:webHidden/>
          </w:rPr>
          <w:tab/>
        </w:r>
        <w:r w:rsidR="00A3197D">
          <w:rPr>
            <w:noProof/>
            <w:webHidden/>
          </w:rPr>
          <w:fldChar w:fldCharType="begin"/>
        </w:r>
        <w:r w:rsidR="00A3197D">
          <w:rPr>
            <w:noProof/>
            <w:webHidden/>
          </w:rPr>
          <w:instrText xml:space="preserve"> PAGEREF _Toc439184802 \h </w:instrText>
        </w:r>
        <w:r w:rsidR="00A3197D">
          <w:rPr>
            <w:noProof/>
            <w:webHidden/>
          </w:rPr>
        </w:r>
        <w:r w:rsidR="00A3197D">
          <w:rPr>
            <w:noProof/>
            <w:webHidden/>
          </w:rPr>
          <w:fldChar w:fldCharType="separate"/>
        </w:r>
        <w:r w:rsidR="00A3197D">
          <w:rPr>
            <w:noProof/>
            <w:webHidden/>
          </w:rPr>
          <w:t>137</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3" w:history="1">
        <w:r w:rsidR="00A3197D" w:rsidRPr="008D776E">
          <w:rPr>
            <w:rStyle w:val="Hyperlink"/>
            <w:rFonts w:hint="eastAsia"/>
            <w:noProof/>
            <w:rtl/>
          </w:rPr>
          <w:t>الملحق</w:t>
        </w:r>
        <w:r w:rsidR="00A3197D" w:rsidRPr="008D776E">
          <w:rPr>
            <w:rStyle w:val="Hyperlink"/>
            <w:noProof/>
            <w:rtl/>
          </w:rPr>
          <w:t xml:space="preserve"> 5: </w:t>
        </w:r>
        <w:r w:rsidR="00A3197D" w:rsidRPr="008D776E">
          <w:rPr>
            <w:rStyle w:val="Hyperlink"/>
            <w:rFonts w:hint="eastAsia"/>
            <w:noProof/>
            <w:rtl/>
          </w:rPr>
          <w:t>حافظة</w:t>
        </w:r>
        <w:r w:rsidR="00A3197D" w:rsidRPr="008D776E">
          <w:rPr>
            <w:rStyle w:val="Hyperlink"/>
            <w:noProof/>
            <w:rtl/>
          </w:rPr>
          <w:t xml:space="preserve"> </w:t>
        </w:r>
        <w:r w:rsidR="00A3197D" w:rsidRPr="008D776E">
          <w:rPr>
            <w:rStyle w:val="Hyperlink"/>
            <w:rFonts w:hint="eastAsia"/>
            <w:noProof/>
            <w:rtl/>
          </w:rPr>
          <w:t>العمليات</w:t>
        </w:r>
        <w:r w:rsidR="00A3197D" w:rsidRPr="008D776E">
          <w:rPr>
            <w:rStyle w:val="Hyperlink"/>
            <w:noProof/>
            <w:rtl/>
          </w:rPr>
          <w:t xml:space="preserve"> </w:t>
        </w:r>
        <w:r w:rsidR="00A3197D" w:rsidRPr="008D776E">
          <w:rPr>
            <w:rStyle w:val="Hyperlink"/>
            <w:rFonts w:hint="eastAsia"/>
            <w:noProof/>
            <w:rtl/>
          </w:rPr>
          <w:t>الخاصة</w:t>
        </w:r>
        <w:r w:rsidR="00A3197D" w:rsidRPr="008D776E">
          <w:rPr>
            <w:rStyle w:val="Hyperlink"/>
            <w:noProof/>
            <w:rtl/>
          </w:rPr>
          <w:t xml:space="preserve"> </w:t>
        </w:r>
        <w:r w:rsidR="00A3197D" w:rsidRPr="008D776E">
          <w:rPr>
            <w:rStyle w:val="Hyperlink"/>
            <w:rFonts w:hint="eastAsia"/>
            <w:noProof/>
            <w:rtl/>
          </w:rPr>
          <w:t>بمصر</w:t>
        </w:r>
        <w:r w:rsidR="00A3197D" w:rsidRPr="008D776E">
          <w:rPr>
            <w:rStyle w:val="Hyperlink"/>
            <w:noProof/>
            <w:rtl/>
          </w:rPr>
          <w:t xml:space="preserve"> (</w:t>
        </w:r>
        <w:r w:rsidR="00A3197D" w:rsidRPr="008D776E">
          <w:rPr>
            <w:rStyle w:val="Hyperlink"/>
            <w:rFonts w:hint="eastAsia"/>
            <w:noProof/>
            <w:rtl/>
          </w:rPr>
          <w:t>البنك</w:t>
        </w:r>
        <w:r w:rsidR="00A3197D" w:rsidRPr="008D776E">
          <w:rPr>
            <w:rStyle w:val="Hyperlink"/>
            <w:noProof/>
            <w:rtl/>
          </w:rPr>
          <w:t xml:space="preserve"> </w:t>
        </w:r>
        <w:r w:rsidR="00A3197D" w:rsidRPr="008D776E">
          <w:rPr>
            <w:rStyle w:val="Hyperlink"/>
            <w:rFonts w:hint="eastAsia"/>
            <w:noProof/>
            <w:rtl/>
          </w:rPr>
          <w:t>الدولي</w:t>
        </w:r>
        <w:r w:rsidR="00A3197D" w:rsidRPr="008D776E">
          <w:rPr>
            <w:rStyle w:val="Hyperlink"/>
            <w:noProof/>
            <w:rtl/>
          </w:rPr>
          <w:t xml:space="preserve"> </w:t>
        </w:r>
        <w:r w:rsidR="00A3197D" w:rsidRPr="008D776E">
          <w:rPr>
            <w:rStyle w:val="Hyperlink"/>
            <w:rFonts w:hint="eastAsia"/>
            <w:noProof/>
            <w:rtl/>
          </w:rPr>
          <w:t>للإنشاء</w:t>
        </w:r>
        <w:r w:rsidR="00A3197D" w:rsidRPr="008D776E">
          <w:rPr>
            <w:rStyle w:val="Hyperlink"/>
            <w:noProof/>
            <w:rtl/>
          </w:rPr>
          <w:t xml:space="preserve"> </w:t>
        </w:r>
        <w:r w:rsidR="00A3197D" w:rsidRPr="008D776E">
          <w:rPr>
            <w:rStyle w:val="Hyperlink"/>
            <w:rFonts w:hint="eastAsia"/>
            <w:noProof/>
            <w:rtl/>
          </w:rPr>
          <w:t>والتعمير</w:t>
        </w:r>
        <w:r w:rsidR="00A3197D" w:rsidRPr="008D776E">
          <w:rPr>
            <w:rStyle w:val="Hyperlink"/>
            <w:noProof/>
            <w:rtl/>
          </w:rPr>
          <w:t>/</w:t>
        </w:r>
        <w:r w:rsidR="00A3197D" w:rsidRPr="008D776E">
          <w:rPr>
            <w:rStyle w:val="Hyperlink"/>
            <w:rFonts w:hint="eastAsia"/>
            <w:noProof/>
            <w:rtl/>
          </w:rPr>
          <w:t>المؤسسة</w:t>
        </w:r>
        <w:r w:rsidR="00A3197D" w:rsidRPr="008D776E">
          <w:rPr>
            <w:rStyle w:val="Hyperlink"/>
            <w:noProof/>
            <w:rtl/>
          </w:rPr>
          <w:t xml:space="preserve"> </w:t>
        </w:r>
        <w:r w:rsidR="00A3197D" w:rsidRPr="008D776E">
          <w:rPr>
            <w:rStyle w:val="Hyperlink"/>
            <w:rFonts w:hint="eastAsia"/>
            <w:noProof/>
            <w:rtl/>
          </w:rPr>
          <w:t>الدولية</w:t>
        </w:r>
        <w:r w:rsidR="00A3197D" w:rsidRPr="008D776E">
          <w:rPr>
            <w:rStyle w:val="Hyperlink"/>
            <w:noProof/>
            <w:rtl/>
          </w:rPr>
          <w:t xml:space="preserve"> </w:t>
        </w:r>
        <w:r w:rsidR="00A3197D" w:rsidRPr="008D776E">
          <w:rPr>
            <w:rStyle w:val="Hyperlink"/>
            <w:rFonts w:hint="eastAsia"/>
            <w:noProof/>
            <w:rtl/>
          </w:rPr>
          <w:t>للتنمية</w:t>
        </w:r>
        <w:r w:rsidR="00A3197D" w:rsidRPr="008D776E">
          <w:rPr>
            <w:rStyle w:val="Hyperlink"/>
            <w:noProof/>
            <w:rtl/>
          </w:rPr>
          <w:t xml:space="preserve"> </w:t>
        </w:r>
        <w:r w:rsidR="00A3197D" w:rsidRPr="008D776E">
          <w:rPr>
            <w:rStyle w:val="Hyperlink"/>
            <w:rFonts w:hint="eastAsia"/>
            <w:noProof/>
            <w:rtl/>
          </w:rPr>
          <w:t>والمنح</w:t>
        </w:r>
        <w:r w:rsidR="00A3197D" w:rsidRPr="008D776E">
          <w:rPr>
            <w:rStyle w:val="Hyperlink"/>
            <w:noProof/>
            <w:rtl/>
          </w:rPr>
          <w:t>)</w:t>
        </w:r>
        <w:r w:rsidR="00A3197D">
          <w:rPr>
            <w:noProof/>
            <w:webHidden/>
          </w:rPr>
          <w:tab/>
        </w:r>
        <w:r w:rsidR="00A3197D">
          <w:rPr>
            <w:noProof/>
            <w:webHidden/>
          </w:rPr>
          <w:fldChar w:fldCharType="begin"/>
        </w:r>
        <w:r w:rsidR="00A3197D">
          <w:rPr>
            <w:noProof/>
            <w:webHidden/>
          </w:rPr>
          <w:instrText xml:space="preserve"> PAGEREF _Toc439184803 \h </w:instrText>
        </w:r>
        <w:r w:rsidR="00A3197D">
          <w:rPr>
            <w:noProof/>
            <w:webHidden/>
          </w:rPr>
        </w:r>
        <w:r w:rsidR="00A3197D">
          <w:rPr>
            <w:noProof/>
            <w:webHidden/>
          </w:rPr>
          <w:fldChar w:fldCharType="separate"/>
        </w:r>
        <w:r w:rsidR="00A3197D">
          <w:rPr>
            <w:noProof/>
            <w:webHidden/>
          </w:rPr>
          <w:t>138</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4" w:history="1">
        <w:r w:rsidR="00A3197D" w:rsidRPr="008D776E">
          <w:rPr>
            <w:rStyle w:val="Hyperlink"/>
            <w:rFonts w:hint="eastAsia"/>
            <w:noProof/>
            <w:rtl/>
          </w:rPr>
          <w:t>الملحق</w:t>
        </w:r>
        <w:r w:rsidR="00A3197D" w:rsidRPr="008D776E">
          <w:rPr>
            <w:rStyle w:val="Hyperlink"/>
            <w:noProof/>
            <w:rtl/>
          </w:rPr>
          <w:t xml:space="preserve"> 6: </w:t>
        </w:r>
        <w:r w:rsidR="00A3197D" w:rsidRPr="008D776E">
          <w:rPr>
            <w:rStyle w:val="Hyperlink"/>
            <w:rFonts w:hint="eastAsia"/>
            <w:noProof/>
            <w:rtl/>
          </w:rPr>
          <w:t>بيان</w:t>
        </w:r>
        <w:r w:rsidR="00A3197D" w:rsidRPr="008D776E">
          <w:rPr>
            <w:rStyle w:val="Hyperlink"/>
            <w:noProof/>
            <w:rtl/>
          </w:rPr>
          <w:t xml:space="preserve"> </w:t>
        </w:r>
        <w:r w:rsidR="00A3197D" w:rsidRPr="008D776E">
          <w:rPr>
            <w:rStyle w:val="Hyperlink"/>
            <w:rFonts w:hint="eastAsia"/>
            <w:noProof/>
            <w:rtl/>
          </w:rPr>
          <w:t>حافظة</w:t>
        </w:r>
        <w:r w:rsidR="00A3197D" w:rsidRPr="008D776E">
          <w:rPr>
            <w:rStyle w:val="Hyperlink"/>
            <w:noProof/>
            <w:rtl/>
          </w:rPr>
          <w:t xml:space="preserve"> </w:t>
        </w:r>
        <w:r w:rsidR="00A3197D" w:rsidRPr="008D776E">
          <w:rPr>
            <w:rStyle w:val="Hyperlink"/>
            <w:rFonts w:hint="eastAsia"/>
            <w:noProof/>
            <w:rtl/>
          </w:rPr>
          <w:t>مؤسسة</w:t>
        </w:r>
        <w:r w:rsidR="00A3197D" w:rsidRPr="008D776E">
          <w:rPr>
            <w:rStyle w:val="Hyperlink"/>
            <w:noProof/>
            <w:rtl/>
          </w:rPr>
          <w:t xml:space="preserve"> </w:t>
        </w:r>
        <w:r w:rsidR="00A3197D" w:rsidRPr="008D776E">
          <w:rPr>
            <w:rStyle w:val="Hyperlink"/>
            <w:rFonts w:hint="eastAsia"/>
            <w:noProof/>
            <w:rtl/>
          </w:rPr>
          <w:t>التمويل</w:t>
        </w:r>
        <w:r w:rsidR="00A3197D" w:rsidRPr="008D776E">
          <w:rPr>
            <w:rStyle w:val="Hyperlink"/>
            <w:noProof/>
            <w:rtl/>
          </w:rPr>
          <w:t xml:space="preserve"> </w:t>
        </w:r>
        <w:r w:rsidR="00A3197D" w:rsidRPr="008D776E">
          <w:rPr>
            <w:rStyle w:val="Hyperlink"/>
            <w:rFonts w:hint="eastAsia"/>
            <w:noProof/>
            <w:rtl/>
          </w:rPr>
          <w:t>الدولية</w:t>
        </w:r>
        <w:r w:rsidR="00A3197D" w:rsidRPr="008D776E">
          <w:rPr>
            <w:rStyle w:val="Hyperlink"/>
            <w:noProof/>
            <w:rtl/>
          </w:rPr>
          <w:t xml:space="preserve"> </w:t>
        </w:r>
        <w:r w:rsidR="00A3197D" w:rsidRPr="008D776E">
          <w:rPr>
            <w:rStyle w:val="Hyperlink"/>
            <w:rFonts w:hint="eastAsia"/>
            <w:noProof/>
            <w:rtl/>
          </w:rPr>
          <w:t>للمبالغ</w:t>
        </w:r>
        <w:r w:rsidR="00A3197D" w:rsidRPr="008D776E">
          <w:rPr>
            <w:rStyle w:val="Hyperlink"/>
            <w:noProof/>
            <w:rtl/>
          </w:rPr>
          <w:t xml:space="preserve"> </w:t>
        </w:r>
        <w:r w:rsidR="00A3197D" w:rsidRPr="008D776E">
          <w:rPr>
            <w:rStyle w:val="Hyperlink"/>
            <w:rFonts w:hint="eastAsia"/>
            <w:noProof/>
            <w:rtl/>
          </w:rPr>
          <w:t>المُحتَفَظ</w:t>
        </w:r>
        <w:r w:rsidR="00A3197D" w:rsidRPr="008D776E">
          <w:rPr>
            <w:rStyle w:val="Hyperlink"/>
            <w:noProof/>
            <w:rtl/>
          </w:rPr>
          <w:t xml:space="preserve"> </w:t>
        </w:r>
        <w:r w:rsidR="00A3197D" w:rsidRPr="008D776E">
          <w:rPr>
            <w:rStyle w:val="Hyperlink"/>
            <w:rFonts w:hint="eastAsia"/>
            <w:noProof/>
            <w:rtl/>
          </w:rPr>
          <w:t>بها</w:t>
        </w:r>
        <w:r w:rsidR="00A3197D" w:rsidRPr="008D776E">
          <w:rPr>
            <w:rStyle w:val="Hyperlink"/>
            <w:noProof/>
            <w:rtl/>
          </w:rPr>
          <w:t xml:space="preserve"> </w:t>
        </w:r>
        <w:r w:rsidR="00A3197D" w:rsidRPr="008D776E">
          <w:rPr>
            <w:rStyle w:val="Hyperlink"/>
            <w:rFonts w:hint="eastAsia"/>
            <w:noProof/>
            <w:rtl/>
          </w:rPr>
          <w:t>والمدفوعة</w:t>
        </w:r>
        <w:r w:rsidR="00A3197D">
          <w:rPr>
            <w:noProof/>
            <w:webHidden/>
          </w:rPr>
          <w:tab/>
        </w:r>
        <w:r w:rsidR="00A3197D">
          <w:rPr>
            <w:noProof/>
            <w:webHidden/>
          </w:rPr>
          <w:fldChar w:fldCharType="begin"/>
        </w:r>
        <w:r w:rsidR="00A3197D">
          <w:rPr>
            <w:noProof/>
            <w:webHidden/>
          </w:rPr>
          <w:instrText xml:space="preserve"> PAGEREF _Toc439184804 \h </w:instrText>
        </w:r>
        <w:r w:rsidR="00A3197D">
          <w:rPr>
            <w:noProof/>
            <w:webHidden/>
          </w:rPr>
        </w:r>
        <w:r w:rsidR="00A3197D">
          <w:rPr>
            <w:noProof/>
            <w:webHidden/>
          </w:rPr>
          <w:fldChar w:fldCharType="separate"/>
        </w:r>
        <w:r w:rsidR="00A3197D">
          <w:rPr>
            <w:noProof/>
            <w:webHidden/>
          </w:rPr>
          <w:t>139</w:t>
        </w:r>
        <w:r w:rsidR="00A3197D">
          <w:rPr>
            <w:noProof/>
            <w:webHidden/>
          </w:rPr>
          <w:fldChar w:fldCharType="end"/>
        </w:r>
      </w:hyperlink>
    </w:p>
    <w:p w:rsidR="00A3197D" w:rsidRDefault="00F4694D" w:rsidP="00A3197D">
      <w:pPr>
        <w:pStyle w:val="TOC1"/>
        <w:bidi/>
        <w:rPr>
          <w:rFonts w:asciiTheme="minorHAnsi" w:hAnsiTheme="minorHAnsi" w:cstheme="minorBidi"/>
          <w:b w:val="0"/>
          <w:noProof/>
          <w:snapToGrid/>
          <w:sz w:val="22"/>
          <w:szCs w:val="22"/>
        </w:rPr>
      </w:pPr>
      <w:hyperlink w:anchor="_Toc439184805" w:history="1">
        <w:r w:rsidR="00A3197D" w:rsidRPr="008D776E">
          <w:rPr>
            <w:rStyle w:val="Hyperlink"/>
            <w:rFonts w:hint="eastAsia"/>
            <w:noProof/>
            <w:rtl/>
          </w:rPr>
          <w:t>الملحق</w:t>
        </w:r>
        <w:r w:rsidR="00A3197D" w:rsidRPr="008D776E">
          <w:rPr>
            <w:rStyle w:val="Hyperlink"/>
            <w:noProof/>
            <w:rtl/>
          </w:rPr>
          <w:t xml:space="preserve"> 7: </w:t>
        </w:r>
        <w:r w:rsidR="00A3197D" w:rsidRPr="008D776E">
          <w:rPr>
            <w:rStyle w:val="Hyperlink"/>
            <w:rFonts w:hint="eastAsia"/>
            <w:noProof/>
            <w:rtl/>
          </w:rPr>
          <w:t>أولويات</w:t>
        </w:r>
        <w:r w:rsidR="00A3197D" w:rsidRPr="008D776E">
          <w:rPr>
            <w:rStyle w:val="Hyperlink"/>
            <w:noProof/>
            <w:rtl/>
          </w:rPr>
          <w:t xml:space="preserve"> </w:t>
        </w:r>
        <w:r w:rsidR="00A3197D" w:rsidRPr="008D776E">
          <w:rPr>
            <w:rStyle w:val="Hyperlink"/>
            <w:rFonts w:hint="eastAsia"/>
            <w:noProof/>
            <w:rtl/>
          </w:rPr>
          <w:t>الدراسة</w:t>
        </w:r>
        <w:r w:rsidR="00A3197D" w:rsidRPr="008D776E">
          <w:rPr>
            <w:rStyle w:val="Hyperlink"/>
            <w:noProof/>
            <w:rtl/>
          </w:rPr>
          <w:t xml:space="preserve"> </w:t>
        </w:r>
        <w:r w:rsidR="00A3197D" w:rsidRPr="008D776E">
          <w:rPr>
            <w:rStyle w:val="Hyperlink"/>
            <w:rFonts w:hint="eastAsia"/>
            <w:noProof/>
            <w:rtl/>
          </w:rPr>
          <w:t>التشخيصية</w:t>
        </w:r>
        <w:r w:rsidR="00A3197D" w:rsidRPr="008D776E">
          <w:rPr>
            <w:rStyle w:val="Hyperlink"/>
            <w:noProof/>
            <w:rtl/>
          </w:rPr>
          <w:t xml:space="preserve"> </w:t>
        </w:r>
        <w:r w:rsidR="00A3197D" w:rsidRPr="008D776E">
          <w:rPr>
            <w:rStyle w:val="Hyperlink"/>
            <w:rFonts w:hint="eastAsia"/>
            <w:noProof/>
            <w:rtl/>
          </w:rPr>
          <w:t>والتدخُّلات</w:t>
        </w:r>
        <w:r w:rsidR="00A3197D" w:rsidRPr="008D776E">
          <w:rPr>
            <w:rStyle w:val="Hyperlink"/>
            <w:noProof/>
            <w:rtl/>
          </w:rPr>
          <w:t xml:space="preserve"> </w:t>
        </w:r>
        <w:r w:rsidR="00A3197D" w:rsidRPr="008D776E">
          <w:rPr>
            <w:rStyle w:val="Hyperlink"/>
            <w:rFonts w:hint="eastAsia"/>
            <w:noProof/>
            <w:rtl/>
          </w:rPr>
          <w:t>المقترحة</w:t>
        </w:r>
        <w:r w:rsidR="00A3197D" w:rsidRPr="008D776E">
          <w:rPr>
            <w:rStyle w:val="Hyperlink"/>
            <w:noProof/>
            <w:rtl/>
          </w:rPr>
          <w:t xml:space="preserve"> </w:t>
        </w:r>
        <w:r w:rsidR="00A3197D" w:rsidRPr="008D776E">
          <w:rPr>
            <w:rStyle w:val="Hyperlink"/>
            <w:rFonts w:hint="eastAsia"/>
            <w:noProof/>
            <w:rtl/>
          </w:rPr>
          <w:t>لمجموعة</w:t>
        </w:r>
        <w:r w:rsidR="00A3197D" w:rsidRPr="008D776E">
          <w:rPr>
            <w:rStyle w:val="Hyperlink"/>
            <w:noProof/>
            <w:rtl/>
          </w:rPr>
          <w:t xml:space="preserve"> </w:t>
        </w:r>
        <w:r w:rsidR="00A3197D" w:rsidRPr="008D776E">
          <w:rPr>
            <w:rStyle w:val="Hyperlink"/>
            <w:rFonts w:hint="eastAsia"/>
            <w:noProof/>
            <w:rtl/>
          </w:rPr>
          <w:t>البنك</w:t>
        </w:r>
        <w:r w:rsidR="00A3197D" w:rsidRPr="008D776E">
          <w:rPr>
            <w:rStyle w:val="Hyperlink"/>
            <w:noProof/>
            <w:rtl/>
          </w:rPr>
          <w:t xml:space="preserve"> </w:t>
        </w:r>
        <w:r w:rsidR="00A3197D" w:rsidRPr="008D776E">
          <w:rPr>
            <w:rStyle w:val="Hyperlink"/>
            <w:rFonts w:hint="eastAsia"/>
            <w:noProof/>
            <w:rtl/>
          </w:rPr>
          <w:t>الدولي</w:t>
        </w:r>
        <w:r w:rsidR="00A3197D" w:rsidRPr="008D776E">
          <w:rPr>
            <w:rStyle w:val="Hyperlink"/>
            <w:noProof/>
            <w:rtl/>
          </w:rPr>
          <w:t xml:space="preserve"> </w:t>
        </w:r>
        <w:r w:rsidR="00A3197D" w:rsidRPr="008D776E">
          <w:rPr>
            <w:rStyle w:val="Hyperlink"/>
            <w:rFonts w:hint="eastAsia"/>
            <w:noProof/>
            <w:rtl/>
          </w:rPr>
          <w:t>في</w:t>
        </w:r>
        <w:r w:rsidR="00A3197D" w:rsidRPr="008D776E">
          <w:rPr>
            <w:rStyle w:val="Hyperlink"/>
            <w:noProof/>
            <w:rtl/>
          </w:rPr>
          <w:t xml:space="preserve"> </w:t>
        </w:r>
        <w:r w:rsidR="00A3197D" w:rsidRPr="008D776E">
          <w:rPr>
            <w:rStyle w:val="Hyperlink"/>
            <w:rFonts w:hint="eastAsia"/>
            <w:noProof/>
            <w:rtl/>
          </w:rPr>
          <w:t>إطار</w:t>
        </w:r>
        <w:r w:rsidR="00A3197D" w:rsidRPr="008D776E">
          <w:rPr>
            <w:rStyle w:val="Hyperlink"/>
            <w:noProof/>
            <w:rtl/>
          </w:rPr>
          <w:t xml:space="preserve"> </w:t>
        </w:r>
        <w:r w:rsidR="00A3197D" w:rsidRPr="008D776E">
          <w:rPr>
            <w:rStyle w:val="Hyperlink"/>
            <w:rFonts w:hint="eastAsia"/>
            <w:noProof/>
            <w:rtl/>
          </w:rPr>
          <w:t>الشراكة</w:t>
        </w:r>
        <w:r w:rsidR="00A3197D" w:rsidRPr="008D776E">
          <w:rPr>
            <w:rStyle w:val="Hyperlink"/>
            <w:noProof/>
            <w:rtl/>
          </w:rPr>
          <w:t xml:space="preserve"> </w:t>
        </w:r>
        <w:r w:rsidR="00A3197D" w:rsidRPr="008D776E">
          <w:rPr>
            <w:rStyle w:val="Hyperlink"/>
            <w:rFonts w:hint="eastAsia"/>
            <w:noProof/>
            <w:rtl/>
          </w:rPr>
          <w:t>الإستراتيجية</w:t>
        </w:r>
        <w:r w:rsidR="00A3197D">
          <w:rPr>
            <w:noProof/>
            <w:webHidden/>
          </w:rPr>
          <w:tab/>
        </w:r>
        <w:r w:rsidR="00A3197D">
          <w:rPr>
            <w:noProof/>
            <w:webHidden/>
          </w:rPr>
          <w:fldChar w:fldCharType="begin"/>
        </w:r>
        <w:r w:rsidR="00A3197D">
          <w:rPr>
            <w:noProof/>
            <w:webHidden/>
          </w:rPr>
          <w:instrText xml:space="preserve"> PAGEREF _Toc439184805 \h </w:instrText>
        </w:r>
        <w:r w:rsidR="00A3197D">
          <w:rPr>
            <w:noProof/>
            <w:webHidden/>
          </w:rPr>
        </w:r>
        <w:r w:rsidR="00A3197D">
          <w:rPr>
            <w:noProof/>
            <w:webHidden/>
          </w:rPr>
          <w:fldChar w:fldCharType="separate"/>
        </w:r>
        <w:r w:rsidR="00A3197D">
          <w:rPr>
            <w:noProof/>
            <w:webHidden/>
          </w:rPr>
          <w:t>1</w:t>
        </w:r>
        <w:r w:rsidR="00A3197D">
          <w:rPr>
            <w:noProof/>
            <w:webHidden/>
          </w:rPr>
          <w:fldChar w:fldCharType="end"/>
        </w:r>
      </w:hyperlink>
    </w:p>
    <w:p w:rsidR="00A3197D" w:rsidRDefault="00A3197D" w:rsidP="00A3197D">
      <w:pPr>
        <w:bidi/>
        <w:rPr>
          <w:rFonts w:ascii="Simplified Arabic" w:hAnsi="Simplified Arabic" w:cs="Simplified Arabic"/>
          <w:sz w:val="36"/>
          <w:szCs w:val="36"/>
          <w:rtl/>
        </w:rPr>
      </w:pPr>
      <w:r>
        <w:rPr>
          <w:rFonts w:ascii="Simplified Arabic" w:hAnsi="Simplified Arabic" w:cs="Simplified Arabic"/>
          <w:sz w:val="36"/>
          <w:szCs w:val="36"/>
          <w:rtl/>
        </w:rPr>
        <w:fldChar w:fldCharType="end"/>
      </w:r>
    </w:p>
    <w:p w:rsidR="007B7880" w:rsidRDefault="007B7880" w:rsidP="007B7880">
      <w:pPr>
        <w:bidi/>
        <w:rPr>
          <w:rFonts w:ascii="Simplified Arabic" w:hAnsi="Simplified Arabic" w:cs="Simplified Arabic"/>
          <w:sz w:val="36"/>
          <w:szCs w:val="36"/>
          <w:rtl/>
        </w:rPr>
      </w:pPr>
      <w:r>
        <w:rPr>
          <w:rFonts w:ascii="Simplified Arabic" w:hAnsi="Simplified Arabic" w:cs="Simplified Arabic" w:hint="cs"/>
          <w:sz w:val="36"/>
          <w:szCs w:val="36"/>
          <w:rtl/>
        </w:rPr>
        <w:t>الجداول</w:t>
      </w:r>
    </w:p>
    <w:p w:rsidR="00D65674" w:rsidRDefault="00D65674" w:rsidP="00D65674">
      <w:pPr>
        <w:pStyle w:val="TOC1"/>
        <w:bidi/>
        <w:rPr>
          <w:rFonts w:asciiTheme="minorHAnsi" w:hAnsiTheme="minorHAnsi" w:cstheme="minorBidi"/>
          <w:b w:val="0"/>
          <w:noProof/>
          <w:snapToGrid/>
          <w:sz w:val="22"/>
          <w:szCs w:val="22"/>
        </w:rPr>
      </w:pPr>
      <w:r>
        <w:rPr>
          <w:rFonts w:ascii="Simplified Arabic" w:hAnsi="Simplified Arabic" w:cs="Simplified Arabic"/>
          <w:sz w:val="36"/>
          <w:szCs w:val="36"/>
          <w:rtl/>
        </w:rPr>
        <w:fldChar w:fldCharType="begin"/>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TOC</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h \z \t "Tables,1</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tl/>
        </w:rPr>
        <w:fldChar w:fldCharType="separate"/>
      </w:r>
      <w:hyperlink w:anchor="_Toc439185207" w:history="1">
        <w:r w:rsidRPr="002C45FD">
          <w:rPr>
            <w:rStyle w:val="Hyperlink"/>
            <w:rFonts w:hint="eastAsia"/>
            <w:noProof/>
            <w:rtl/>
          </w:rPr>
          <w:t>الجدول</w:t>
        </w:r>
        <w:r w:rsidRPr="002C45FD">
          <w:rPr>
            <w:rStyle w:val="Hyperlink"/>
            <w:noProof/>
            <w:rtl/>
          </w:rPr>
          <w:t xml:space="preserve"> 1- </w:t>
        </w:r>
        <w:r w:rsidRPr="002C45FD">
          <w:rPr>
            <w:rStyle w:val="Hyperlink"/>
            <w:rFonts w:hint="eastAsia"/>
            <w:noProof/>
            <w:rtl/>
          </w:rPr>
          <w:t>مؤشرات</w:t>
        </w:r>
        <w:r w:rsidRPr="002C45FD">
          <w:rPr>
            <w:rStyle w:val="Hyperlink"/>
            <w:noProof/>
            <w:rtl/>
          </w:rPr>
          <w:t xml:space="preserve"> </w:t>
        </w:r>
        <w:r w:rsidRPr="002C45FD">
          <w:rPr>
            <w:rStyle w:val="Hyperlink"/>
            <w:rFonts w:hint="eastAsia"/>
            <w:noProof/>
            <w:rtl/>
          </w:rPr>
          <w:t>مختارة</w:t>
        </w:r>
        <w:r w:rsidRPr="002C45FD">
          <w:rPr>
            <w:rStyle w:val="Hyperlink"/>
            <w:noProof/>
            <w:rtl/>
          </w:rPr>
          <w:t xml:space="preserve"> </w:t>
        </w:r>
        <w:r w:rsidRPr="002C45FD">
          <w:rPr>
            <w:rStyle w:val="Hyperlink"/>
            <w:rFonts w:hint="eastAsia"/>
            <w:noProof/>
            <w:rtl/>
          </w:rPr>
          <w:t>على</w:t>
        </w:r>
        <w:r w:rsidRPr="002C45FD">
          <w:rPr>
            <w:rStyle w:val="Hyperlink"/>
            <w:noProof/>
            <w:rtl/>
          </w:rPr>
          <w:t xml:space="preserve"> </w:t>
        </w:r>
        <w:r w:rsidRPr="002C45FD">
          <w:rPr>
            <w:rStyle w:val="Hyperlink"/>
            <w:rFonts w:hint="eastAsia"/>
            <w:noProof/>
            <w:rtl/>
          </w:rPr>
          <w:t>أداء</w:t>
        </w:r>
        <w:r w:rsidRPr="002C45FD">
          <w:rPr>
            <w:rStyle w:val="Hyperlink"/>
            <w:noProof/>
            <w:rtl/>
          </w:rPr>
          <w:t xml:space="preserve"> </w:t>
        </w:r>
        <w:r w:rsidRPr="002C45FD">
          <w:rPr>
            <w:rStyle w:val="Hyperlink"/>
            <w:rFonts w:hint="eastAsia"/>
            <w:noProof/>
            <w:rtl/>
          </w:rPr>
          <w:t>الاقتصاد</w:t>
        </w:r>
        <w:r w:rsidRPr="002C45FD">
          <w:rPr>
            <w:rStyle w:val="Hyperlink"/>
            <w:noProof/>
            <w:rtl/>
          </w:rPr>
          <w:t xml:space="preserve"> </w:t>
        </w:r>
        <w:r w:rsidRPr="002C45FD">
          <w:rPr>
            <w:rStyle w:val="Hyperlink"/>
            <w:rFonts w:hint="eastAsia"/>
            <w:noProof/>
            <w:rtl/>
          </w:rPr>
          <w:t>الكلي،</w:t>
        </w:r>
        <w:r w:rsidRPr="002C45FD">
          <w:rPr>
            <w:rStyle w:val="Hyperlink"/>
            <w:noProof/>
            <w:rtl/>
          </w:rPr>
          <w:t xml:space="preserve"> </w:t>
        </w:r>
        <w:r w:rsidRPr="002C45FD">
          <w:rPr>
            <w:rStyle w:val="Hyperlink"/>
            <w:rFonts w:hint="eastAsia"/>
            <w:noProof/>
            <w:rtl/>
          </w:rPr>
          <w:t>الفعلي</w:t>
        </w:r>
        <w:r w:rsidRPr="002C45FD">
          <w:rPr>
            <w:rStyle w:val="Hyperlink"/>
            <w:noProof/>
            <w:rtl/>
          </w:rPr>
          <w:t xml:space="preserve"> </w:t>
        </w:r>
        <w:r w:rsidRPr="002C45FD">
          <w:rPr>
            <w:rStyle w:val="Hyperlink"/>
            <w:rFonts w:hint="eastAsia"/>
            <w:noProof/>
            <w:rtl/>
          </w:rPr>
          <w:t>والمتوقع</w:t>
        </w:r>
        <w:r w:rsidRPr="002C45FD">
          <w:rPr>
            <w:rStyle w:val="Hyperlink"/>
            <w:noProof/>
            <w:rtl/>
          </w:rPr>
          <w:t xml:space="preserve"> </w:t>
        </w:r>
        <w:r w:rsidRPr="002C45FD">
          <w:rPr>
            <w:rStyle w:val="Hyperlink"/>
            <w:rFonts w:hint="eastAsia"/>
            <w:noProof/>
            <w:rtl/>
          </w:rPr>
          <w:t>للسنوات</w:t>
        </w:r>
        <w:r w:rsidRPr="002C45FD">
          <w:rPr>
            <w:rStyle w:val="Hyperlink"/>
            <w:noProof/>
            <w:rtl/>
          </w:rPr>
          <w:t xml:space="preserve"> 2006-2019</w:t>
        </w:r>
        <w:r>
          <w:rPr>
            <w:noProof/>
            <w:webHidden/>
          </w:rPr>
          <w:tab/>
        </w:r>
        <w:r>
          <w:rPr>
            <w:noProof/>
            <w:webHidden/>
          </w:rPr>
          <w:fldChar w:fldCharType="begin"/>
        </w:r>
        <w:r>
          <w:rPr>
            <w:noProof/>
            <w:webHidden/>
          </w:rPr>
          <w:instrText xml:space="preserve"> PAGEREF _Toc439185207 \h </w:instrText>
        </w:r>
        <w:r>
          <w:rPr>
            <w:noProof/>
            <w:webHidden/>
          </w:rPr>
        </w:r>
        <w:r>
          <w:rPr>
            <w:noProof/>
            <w:webHidden/>
          </w:rPr>
          <w:fldChar w:fldCharType="separate"/>
        </w:r>
        <w:r>
          <w:rPr>
            <w:noProof/>
            <w:webHidden/>
          </w:rPr>
          <w:t>4</w:t>
        </w:r>
        <w:r>
          <w:rPr>
            <w:noProof/>
            <w:webHidden/>
          </w:rPr>
          <w:fldChar w:fldCharType="end"/>
        </w:r>
      </w:hyperlink>
    </w:p>
    <w:p w:rsidR="00D65674" w:rsidRDefault="00F4694D" w:rsidP="00D65674">
      <w:pPr>
        <w:pStyle w:val="TOC1"/>
        <w:bidi/>
        <w:rPr>
          <w:rFonts w:asciiTheme="minorHAnsi" w:hAnsiTheme="minorHAnsi" w:cstheme="minorBidi"/>
          <w:b w:val="0"/>
          <w:noProof/>
          <w:snapToGrid/>
          <w:sz w:val="22"/>
          <w:szCs w:val="22"/>
        </w:rPr>
      </w:pPr>
      <w:hyperlink w:anchor="_Toc439185208" w:history="1">
        <w:r w:rsidR="00D65674" w:rsidRPr="002C45FD">
          <w:rPr>
            <w:rStyle w:val="Hyperlink"/>
            <w:rFonts w:hint="eastAsia"/>
            <w:noProof/>
            <w:rtl/>
          </w:rPr>
          <w:t>الجدول</w:t>
        </w:r>
        <w:r w:rsidR="00D65674" w:rsidRPr="002C45FD">
          <w:rPr>
            <w:rStyle w:val="Hyperlink"/>
            <w:noProof/>
            <w:rtl/>
          </w:rPr>
          <w:t xml:space="preserve"> 2. </w:t>
        </w:r>
        <w:r w:rsidR="00D65674" w:rsidRPr="002C45FD">
          <w:rPr>
            <w:rStyle w:val="Hyperlink"/>
            <w:rFonts w:hint="eastAsia"/>
            <w:noProof/>
            <w:rtl/>
          </w:rPr>
          <w:t>ركائز</w:t>
        </w:r>
        <w:r w:rsidR="00D65674" w:rsidRPr="002C45FD">
          <w:rPr>
            <w:rStyle w:val="Hyperlink"/>
            <w:noProof/>
            <w:rtl/>
          </w:rPr>
          <w:t xml:space="preserve"> </w:t>
        </w:r>
        <w:r w:rsidR="00D65674" w:rsidRPr="002C45FD">
          <w:rPr>
            <w:rStyle w:val="Hyperlink"/>
            <w:rFonts w:hint="eastAsia"/>
            <w:noProof/>
            <w:rtl/>
          </w:rPr>
          <w:t>مجموعة</w:t>
        </w:r>
        <w:r w:rsidR="00D65674" w:rsidRPr="002C45FD">
          <w:rPr>
            <w:rStyle w:val="Hyperlink"/>
            <w:noProof/>
            <w:rtl/>
          </w:rPr>
          <w:t xml:space="preserve"> </w:t>
        </w:r>
        <w:r w:rsidR="00D65674" w:rsidRPr="002C45FD">
          <w:rPr>
            <w:rStyle w:val="Hyperlink"/>
            <w:rFonts w:hint="eastAsia"/>
            <w:noProof/>
            <w:rtl/>
          </w:rPr>
          <w:t>البنك</w:t>
        </w:r>
        <w:r w:rsidR="00D65674" w:rsidRPr="002C45FD">
          <w:rPr>
            <w:rStyle w:val="Hyperlink"/>
            <w:noProof/>
            <w:rtl/>
          </w:rPr>
          <w:t xml:space="preserve"> </w:t>
        </w:r>
        <w:r w:rsidR="00D65674" w:rsidRPr="002C45FD">
          <w:rPr>
            <w:rStyle w:val="Hyperlink"/>
            <w:rFonts w:hint="eastAsia"/>
            <w:noProof/>
            <w:rtl/>
          </w:rPr>
          <w:t>الدولي</w:t>
        </w:r>
        <w:r w:rsidR="00D65674" w:rsidRPr="002C45FD">
          <w:rPr>
            <w:rStyle w:val="Hyperlink"/>
            <w:noProof/>
            <w:rtl/>
          </w:rPr>
          <w:t xml:space="preserve"> </w:t>
        </w:r>
        <w:r w:rsidR="00D65674" w:rsidRPr="002C45FD">
          <w:rPr>
            <w:rStyle w:val="Hyperlink"/>
            <w:rFonts w:hint="eastAsia"/>
            <w:noProof/>
            <w:rtl/>
          </w:rPr>
          <w:t>والإجراءات</w:t>
        </w:r>
        <w:r w:rsidR="00D65674" w:rsidRPr="002C45FD">
          <w:rPr>
            <w:rStyle w:val="Hyperlink"/>
            <w:noProof/>
            <w:rtl/>
          </w:rPr>
          <w:t xml:space="preserve"> </w:t>
        </w:r>
        <w:r w:rsidR="00D65674" w:rsidRPr="002C45FD">
          <w:rPr>
            <w:rStyle w:val="Hyperlink"/>
            <w:rFonts w:hint="eastAsia"/>
            <w:noProof/>
            <w:rtl/>
          </w:rPr>
          <w:t>التدخلية</w:t>
        </w:r>
        <w:r w:rsidR="00D65674" w:rsidRPr="002C45FD">
          <w:rPr>
            <w:rStyle w:val="Hyperlink"/>
            <w:noProof/>
            <w:rtl/>
          </w:rPr>
          <w:t xml:space="preserve"> </w:t>
        </w:r>
        <w:r w:rsidR="00D65674" w:rsidRPr="002C45FD">
          <w:rPr>
            <w:rStyle w:val="Hyperlink"/>
            <w:rFonts w:hint="eastAsia"/>
            <w:noProof/>
            <w:rtl/>
          </w:rPr>
          <w:t>الإقراضية</w:t>
        </w:r>
        <w:r w:rsidR="00D65674" w:rsidRPr="002C45FD">
          <w:rPr>
            <w:rStyle w:val="Hyperlink"/>
            <w:noProof/>
            <w:rtl/>
          </w:rPr>
          <w:t xml:space="preserve"> </w:t>
        </w:r>
        <w:r w:rsidR="00D65674" w:rsidRPr="002C45FD">
          <w:rPr>
            <w:rStyle w:val="Hyperlink"/>
            <w:rFonts w:hint="eastAsia"/>
            <w:noProof/>
            <w:rtl/>
          </w:rPr>
          <w:t>المقترحة</w:t>
        </w:r>
        <w:r w:rsidR="00D65674">
          <w:rPr>
            <w:noProof/>
            <w:webHidden/>
          </w:rPr>
          <w:tab/>
        </w:r>
        <w:r w:rsidR="00D65674">
          <w:rPr>
            <w:noProof/>
            <w:webHidden/>
          </w:rPr>
          <w:fldChar w:fldCharType="begin"/>
        </w:r>
        <w:r w:rsidR="00D65674">
          <w:rPr>
            <w:noProof/>
            <w:webHidden/>
          </w:rPr>
          <w:instrText xml:space="preserve"> PAGEREF _Toc439185208 \h </w:instrText>
        </w:r>
        <w:r w:rsidR="00D65674">
          <w:rPr>
            <w:noProof/>
            <w:webHidden/>
          </w:rPr>
        </w:r>
        <w:r w:rsidR="00D65674">
          <w:rPr>
            <w:noProof/>
            <w:webHidden/>
          </w:rPr>
          <w:fldChar w:fldCharType="separate"/>
        </w:r>
        <w:r w:rsidR="00D65674">
          <w:rPr>
            <w:noProof/>
            <w:webHidden/>
          </w:rPr>
          <w:t>26</w:t>
        </w:r>
        <w:r w:rsidR="00D65674">
          <w:rPr>
            <w:noProof/>
            <w:webHidden/>
          </w:rPr>
          <w:fldChar w:fldCharType="end"/>
        </w:r>
      </w:hyperlink>
    </w:p>
    <w:p w:rsidR="00D65674" w:rsidRDefault="00F4694D" w:rsidP="00D65674">
      <w:pPr>
        <w:pStyle w:val="TOC1"/>
        <w:bidi/>
        <w:rPr>
          <w:rFonts w:asciiTheme="minorHAnsi" w:hAnsiTheme="minorHAnsi" w:cstheme="minorBidi"/>
          <w:b w:val="0"/>
          <w:noProof/>
          <w:snapToGrid/>
          <w:sz w:val="22"/>
          <w:szCs w:val="22"/>
        </w:rPr>
      </w:pPr>
      <w:hyperlink w:anchor="_Toc439185209" w:history="1">
        <w:r w:rsidR="00D65674" w:rsidRPr="002C45FD">
          <w:rPr>
            <w:rStyle w:val="Hyperlink"/>
            <w:rFonts w:hint="eastAsia"/>
            <w:noProof/>
            <w:rtl/>
          </w:rPr>
          <w:t>الجدول</w:t>
        </w:r>
        <w:r w:rsidR="00D65674" w:rsidRPr="002C45FD">
          <w:rPr>
            <w:rStyle w:val="Hyperlink"/>
            <w:noProof/>
            <w:rtl/>
          </w:rPr>
          <w:t xml:space="preserve"> 3. </w:t>
        </w:r>
        <w:r w:rsidR="00D65674" w:rsidRPr="002C45FD">
          <w:rPr>
            <w:rStyle w:val="Hyperlink"/>
            <w:rFonts w:hint="eastAsia"/>
            <w:noProof/>
            <w:rtl/>
          </w:rPr>
          <w:t>ركائز</w:t>
        </w:r>
        <w:r w:rsidR="00D65674" w:rsidRPr="002C45FD">
          <w:rPr>
            <w:rStyle w:val="Hyperlink"/>
            <w:noProof/>
            <w:rtl/>
          </w:rPr>
          <w:t xml:space="preserve"> </w:t>
        </w:r>
        <w:r w:rsidR="00D65674" w:rsidRPr="002C45FD">
          <w:rPr>
            <w:rStyle w:val="Hyperlink"/>
            <w:rFonts w:hint="eastAsia"/>
            <w:noProof/>
            <w:rtl/>
          </w:rPr>
          <w:t>مجموعة</w:t>
        </w:r>
        <w:r w:rsidR="00D65674" w:rsidRPr="002C45FD">
          <w:rPr>
            <w:rStyle w:val="Hyperlink"/>
            <w:noProof/>
            <w:rtl/>
          </w:rPr>
          <w:t xml:space="preserve"> </w:t>
        </w:r>
        <w:r w:rsidR="00D65674" w:rsidRPr="002C45FD">
          <w:rPr>
            <w:rStyle w:val="Hyperlink"/>
            <w:rFonts w:hint="eastAsia"/>
            <w:noProof/>
            <w:rtl/>
          </w:rPr>
          <w:t>البنك</w:t>
        </w:r>
        <w:r w:rsidR="00D65674" w:rsidRPr="002C45FD">
          <w:rPr>
            <w:rStyle w:val="Hyperlink"/>
            <w:noProof/>
            <w:rtl/>
          </w:rPr>
          <w:t xml:space="preserve"> </w:t>
        </w:r>
        <w:r w:rsidR="00D65674" w:rsidRPr="002C45FD">
          <w:rPr>
            <w:rStyle w:val="Hyperlink"/>
            <w:rFonts w:hint="eastAsia"/>
            <w:noProof/>
            <w:rtl/>
          </w:rPr>
          <w:t>الدولي</w:t>
        </w:r>
        <w:r w:rsidR="00D65674" w:rsidRPr="002C45FD">
          <w:rPr>
            <w:rStyle w:val="Hyperlink"/>
            <w:noProof/>
            <w:rtl/>
          </w:rPr>
          <w:t xml:space="preserve"> </w:t>
        </w:r>
        <w:r w:rsidR="00D65674" w:rsidRPr="002C45FD">
          <w:rPr>
            <w:rStyle w:val="Hyperlink"/>
            <w:rFonts w:hint="eastAsia"/>
            <w:noProof/>
            <w:rtl/>
          </w:rPr>
          <w:t>وخدمات</w:t>
        </w:r>
        <w:r w:rsidR="00D65674" w:rsidRPr="002C45FD">
          <w:rPr>
            <w:rStyle w:val="Hyperlink"/>
            <w:noProof/>
            <w:rtl/>
          </w:rPr>
          <w:t xml:space="preserve"> </w:t>
        </w:r>
        <w:r w:rsidR="00D65674" w:rsidRPr="002C45FD">
          <w:rPr>
            <w:rStyle w:val="Hyperlink"/>
            <w:rFonts w:hint="eastAsia"/>
            <w:noProof/>
            <w:rtl/>
          </w:rPr>
          <w:t>البنك</w:t>
        </w:r>
        <w:r w:rsidR="00D65674" w:rsidRPr="002C45FD">
          <w:rPr>
            <w:rStyle w:val="Hyperlink"/>
            <w:noProof/>
            <w:rtl/>
          </w:rPr>
          <w:t xml:space="preserve"> </w:t>
        </w:r>
        <w:r w:rsidR="00D65674" w:rsidRPr="002C45FD">
          <w:rPr>
            <w:rStyle w:val="Hyperlink"/>
            <w:rFonts w:hint="eastAsia"/>
            <w:noProof/>
            <w:rtl/>
          </w:rPr>
          <w:t>التحليلية</w:t>
        </w:r>
        <w:r w:rsidR="00D65674" w:rsidRPr="002C45FD">
          <w:rPr>
            <w:rStyle w:val="Hyperlink"/>
            <w:noProof/>
            <w:rtl/>
          </w:rPr>
          <w:t xml:space="preserve"> </w:t>
        </w:r>
        <w:r w:rsidR="00D65674" w:rsidRPr="002C45FD">
          <w:rPr>
            <w:rStyle w:val="Hyperlink"/>
            <w:rFonts w:hint="eastAsia"/>
            <w:noProof/>
            <w:rtl/>
          </w:rPr>
          <w:t>والاستشارية</w:t>
        </w:r>
        <w:r w:rsidR="00D65674" w:rsidRPr="002C45FD">
          <w:rPr>
            <w:rStyle w:val="Hyperlink"/>
            <w:noProof/>
            <w:rtl/>
          </w:rPr>
          <w:t xml:space="preserve"> </w:t>
        </w:r>
        <w:r w:rsidR="00D65674" w:rsidRPr="002C45FD">
          <w:rPr>
            <w:rStyle w:val="Hyperlink"/>
            <w:rFonts w:hint="eastAsia"/>
            <w:noProof/>
            <w:rtl/>
          </w:rPr>
          <w:t>المقترحة،</w:t>
        </w:r>
        <w:r w:rsidR="00D65674" w:rsidRPr="002C45FD">
          <w:rPr>
            <w:rStyle w:val="Hyperlink"/>
            <w:noProof/>
            <w:rtl/>
          </w:rPr>
          <w:t xml:space="preserve"> </w:t>
        </w:r>
        <w:r w:rsidR="00D65674" w:rsidRPr="002C45FD">
          <w:rPr>
            <w:rStyle w:val="Hyperlink"/>
            <w:rFonts w:hint="eastAsia"/>
            <w:noProof/>
            <w:rtl/>
          </w:rPr>
          <w:t>للسنتين</w:t>
        </w:r>
        <w:r w:rsidR="00D65674" w:rsidRPr="002C45FD">
          <w:rPr>
            <w:rStyle w:val="Hyperlink"/>
            <w:noProof/>
            <w:rtl/>
          </w:rPr>
          <w:t xml:space="preserve"> </w:t>
        </w:r>
        <w:r w:rsidR="00D65674" w:rsidRPr="002C45FD">
          <w:rPr>
            <w:rStyle w:val="Hyperlink"/>
            <w:rFonts w:hint="eastAsia"/>
            <w:noProof/>
            <w:rtl/>
          </w:rPr>
          <w:t>الماليتين</w:t>
        </w:r>
        <w:r w:rsidR="00D65674" w:rsidRPr="002C45FD">
          <w:rPr>
            <w:rStyle w:val="Hyperlink"/>
            <w:noProof/>
            <w:rtl/>
          </w:rPr>
          <w:t xml:space="preserve"> 2016-2017</w:t>
        </w:r>
        <w:r w:rsidR="00D65674">
          <w:rPr>
            <w:noProof/>
            <w:webHidden/>
          </w:rPr>
          <w:tab/>
        </w:r>
        <w:r w:rsidR="00D65674">
          <w:rPr>
            <w:noProof/>
            <w:webHidden/>
          </w:rPr>
          <w:fldChar w:fldCharType="begin"/>
        </w:r>
        <w:r w:rsidR="00D65674">
          <w:rPr>
            <w:noProof/>
            <w:webHidden/>
          </w:rPr>
          <w:instrText xml:space="preserve"> PAGEREF _Toc439185209 \h </w:instrText>
        </w:r>
        <w:r w:rsidR="00D65674">
          <w:rPr>
            <w:noProof/>
            <w:webHidden/>
          </w:rPr>
        </w:r>
        <w:r w:rsidR="00D65674">
          <w:rPr>
            <w:noProof/>
            <w:webHidden/>
          </w:rPr>
          <w:fldChar w:fldCharType="separate"/>
        </w:r>
        <w:r w:rsidR="00D65674">
          <w:rPr>
            <w:noProof/>
            <w:webHidden/>
          </w:rPr>
          <w:t>26</w:t>
        </w:r>
        <w:r w:rsidR="00D65674">
          <w:rPr>
            <w:noProof/>
            <w:webHidden/>
          </w:rPr>
          <w:fldChar w:fldCharType="end"/>
        </w:r>
      </w:hyperlink>
    </w:p>
    <w:p w:rsidR="00D65674" w:rsidRDefault="00F4694D" w:rsidP="00D65674">
      <w:pPr>
        <w:pStyle w:val="TOC1"/>
        <w:bidi/>
        <w:rPr>
          <w:rFonts w:asciiTheme="minorHAnsi" w:hAnsiTheme="minorHAnsi" w:cstheme="minorBidi"/>
          <w:b w:val="0"/>
          <w:noProof/>
          <w:snapToGrid/>
          <w:sz w:val="22"/>
          <w:szCs w:val="22"/>
        </w:rPr>
      </w:pPr>
      <w:hyperlink w:anchor="_Toc439185210" w:history="1">
        <w:r w:rsidR="00D65674" w:rsidRPr="002C45FD">
          <w:rPr>
            <w:rStyle w:val="Hyperlink"/>
            <w:rFonts w:hint="eastAsia"/>
            <w:noProof/>
            <w:rtl/>
          </w:rPr>
          <w:t>الجدول</w:t>
        </w:r>
        <w:r w:rsidR="00D65674" w:rsidRPr="002C45FD">
          <w:rPr>
            <w:rStyle w:val="Hyperlink"/>
            <w:noProof/>
            <w:rtl/>
          </w:rPr>
          <w:t xml:space="preserve"> 4. </w:t>
        </w:r>
        <w:r w:rsidR="00D65674" w:rsidRPr="002C45FD">
          <w:rPr>
            <w:rStyle w:val="Hyperlink"/>
            <w:rFonts w:hint="eastAsia"/>
            <w:noProof/>
            <w:rtl/>
          </w:rPr>
          <w:t>نظرة</w:t>
        </w:r>
        <w:r w:rsidR="00D65674" w:rsidRPr="002C45FD">
          <w:rPr>
            <w:rStyle w:val="Hyperlink"/>
            <w:noProof/>
            <w:rtl/>
          </w:rPr>
          <w:t xml:space="preserve"> </w:t>
        </w:r>
        <w:r w:rsidR="00D65674" w:rsidRPr="002C45FD">
          <w:rPr>
            <w:rStyle w:val="Hyperlink"/>
            <w:rFonts w:hint="eastAsia"/>
            <w:noProof/>
            <w:rtl/>
          </w:rPr>
          <w:t>سريعة</w:t>
        </w:r>
        <w:r w:rsidR="00D65674" w:rsidRPr="002C45FD">
          <w:rPr>
            <w:rStyle w:val="Hyperlink"/>
            <w:noProof/>
            <w:rtl/>
          </w:rPr>
          <w:t xml:space="preserve"> </w:t>
        </w:r>
        <w:r w:rsidR="00D65674" w:rsidRPr="002C45FD">
          <w:rPr>
            <w:rStyle w:val="Hyperlink"/>
            <w:rFonts w:hint="eastAsia"/>
            <w:noProof/>
            <w:rtl/>
          </w:rPr>
          <w:t>على</w:t>
        </w:r>
        <w:r w:rsidR="00D65674" w:rsidRPr="002C45FD">
          <w:rPr>
            <w:rStyle w:val="Hyperlink"/>
            <w:noProof/>
            <w:rtl/>
          </w:rPr>
          <w:t xml:space="preserve"> </w:t>
        </w:r>
        <w:r w:rsidR="00D65674" w:rsidRPr="002C45FD">
          <w:rPr>
            <w:rStyle w:val="Hyperlink"/>
            <w:rFonts w:hint="eastAsia"/>
            <w:noProof/>
            <w:rtl/>
          </w:rPr>
          <w:t>حافظة</w:t>
        </w:r>
        <w:r w:rsidR="00D65674" w:rsidRPr="002C45FD">
          <w:rPr>
            <w:rStyle w:val="Hyperlink"/>
            <w:noProof/>
            <w:rtl/>
          </w:rPr>
          <w:t xml:space="preserve"> </w:t>
        </w:r>
        <w:r w:rsidR="00D65674" w:rsidRPr="002C45FD">
          <w:rPr>
            <w:rStyle w:val="Hyperlink"/>
            <w:rFonts w:hint="eastAsia"/>
            <w:noProof/>
            <w:rtl/>
          </w:rPr>
          <w:t>المشروعات</w:t>
        </w:r>
        <w:r w:rsidR="00D65674" w:rsidRPr="002C45FD">
          <w:rPr>
            <w:rStyle w:val="Hyperlink"/>
            <w:noProof/>
            <w:rtl/>
          </w:rPr>
          <w:t xml:space="preserve"> </w:t>
        </w:r>
        <w:r w:rsidR="00D65674" w:rsidRPr="002C45FD">
          <w:rPr>
            <w:rStyle w:val="Hyperlink"/>
            <w:rFonts w:hint="eastAsia"/>
            <w:noProof/>
            <w:rtl/>
          </w:rPr>
          <w:t>في</w:t>
        </w:r>
        <w:r w:rsidR="00D65674" w:rsidRPr="002C45FD">
          <w:rPr>
            <w:rStyle w:val="Hyperlink"/>
            <w:noProof/>
            <w:rtl/>
          </w:rPr>
          <w:t xml:space="preserve"> </w:t>
        </w:r>
        <w:r w:rsidR="00D65674" w:rsidRPr="002C45FD">
          <w:rPr>
            <w:rStyle w:val="Hyperlink"/>
            <w:rFonts w:hint="eastAsia"/>
            <w:noProof/>
            <w:rtl/>
          </w:rPr>
          <w:t>مصر،</w:t>
        </w:r>
        <w:r w:rsidR="00D65674" w:rsidRPr="002C45FD">
          <w:rPr>
            <w:rStyle w:val="Hyperlink"/>
            <w:noProof/>
            <w:rtl/>
          </w:rPr>
          <w:t xml:space="preserve"> </w:t>
        </w:r>
        <w:r w:rsidR="00D65674" w:rsidRPr="002C45FD">
          <w:rPr>
            <w:rStyle w:val="Hyperlink"/>
            <w:rFonts w:hint="eastAsia"/>
            <w:noProof/>
            <w:rtl/>
          </w:rPr>
          <w:t>للسنوات</w:t>
        </w:r>
        <w:r w:rsidR="00D65674" w:rsidRPr="002C45FD">
          <w:rPr>
            <w:rStyle w:val="Hyperlink"/>
            <w:noProof/>
            <w:rtl/>
          </w:rPr>
          <w:t xml:space="preserve"> </w:t>
        </w:r>
        <w:r w:rsidR="00D65674" w:rsidRPr="002C45FD">
          <w:rPr>
            <w:rStyle w:val="Hyperlink"/>
            <w:rFonts w:hint="eastAsia"/>
            <w:noProof/>
            <w:rtl/>
          </w:rPr>
          <w:t>المالية</w:t>
        </w:r>
        <w:r w:rsidR="00D65674" w:rsidRPr="002C45FD">
          <w:rPr>
            <w:rStyle w:val="Hyperlink"/>
            <w:noProof/>
            <w:rtl/>
          </w:rPr>
          <w:t xml:space="preserve"> 2009-2015</w:t>
        </w:r>
        <w:r w:rsidR="00D65674">
          <w:rPr>
            <w:noProof/>
            <w:webHidden/>
          </w:rPr>
          <w:tab/>
        </w:r>
        <w:r w:rsidR="00D65674">
          <w:rPr>
            <w:noProof/>
            <w:webHidden/>
          </w:rPr>
          <w:fldChar w:fldCharType="begin"/>
        </w:r>
        <w:r w:rsidR="00D65674">
          <w:rPr>
            <w:noProof/>
            <w:webHidden/>
          </w:rPr>
          <w:instrText xml:space="preserve"> PAGEREF _Toc439185210 \h </w:instrText>
        </w:r>
        <w:r w:rsidR="00D65674">
          <w:rPr>
            <w:noProof/>
            <w:webHidden/>
          </w:rPr>
        </w:r>
        <w:r w:rsidR="00D65674">
          <w:rPr>
            <w:noProof/>
            <w:webHidden/>
          </w:rPr>
          <w:fldChar w:fldCharType="separate"/>
        </w:r>
        <w:r w:rsidR="00D65674">
          <w:rPr>
            <w:noProof/>
            <w:webHidden/>
          </w:rPr>
          <w:t>52</w:t>
        </w:r>
        <w:r w:rsidR="00D65674">
          <w:rPr>
            <w:noProof/>
            <w:webHidden/>
          </w:rPr>
          <w:fldChar w:fldCharType="end"/>
        </w:r>
      </w:hyperlink>
    </w:p>
    <w:p w:rsidR="00D65674" w:rsidRDefault="00F4694D" w:rsidP="00D65674">
      <w:pPr>
        <w:pStyle w:val="TOC1"/>
        <w:bidi/>
        <w:rPr>
          <w:rFonts w:asciiTheme="minorHAnsi" w:hAnsiTheme="minorHAnsi" w:cstheme="minorBidi"/>
          <w:b w:val="0"/>
          <w:noProof/>
          <w:snapToGrid/>
          <w:sz w:val="22"/>
          <w:szCs w:val="22"/>
        </w:rPr>
      </w:pPr>
      <w:hyperlink w:anchor="_Toc439185211" w:history="1">
        <w:r w:rsidR="00D65674" w:rsidRPr="002C45FD">
          <w:rPr>
            <w:rStyle w:val="Hyperlink"/>
            <w:rFonts w:hint="eastAsia"/>
            <w:noProof/>
            <w:rtl/>
          </w:rPr>
          <w:t>الجدول</w:t>
        </w:r>
        <w:r w:rsidR="00D65674" w:rsidRPr="002C45FD">
          <w:rPr>
            <w:rStyle w:val="Hyperlink"/>
            <w:noProof/>
            <w:rtl/>
          </w:rPr>
          <w:t xml:space="preserve"> 5. </w:t>
        </w:r>
        <w:r w:rsidR="00D65674" w:rsidRPr="002C45FD">
          <w:rPr>
            <w:rStyle w:val="Hyperlink"/>
            <w:rFonts w:hint="eastAsia"/>
            <w:noProof/>
            <w:rtl/>
          </w:rPr>
          <w:t>الأداة</w:t>
        </w:r>
        <w:r w:rsidR="00D65674" w:rsidRPr="002C45FD">
          <w:rPr>
            <w:rStyle w:val="Hyperlink"/>
            <w:noProof/>
            <w:rtl/>
          </w:rPr>
          <w:t xml:space="preserve"> </w:t>
        </w:r>
        <w:r w:rsidR="00D65674" w:rsidRPr="002C45FD">
          <w:rPr>
            <w:rStyle w:val="Hyperlink"/>
            <w:rFonts w:hint="eastAsia"/>
            <w:noProof/>
            <w:rtl/>
          </w:rPr>
          <w:t>المنهجية</w:t>
        </w:r>
        <w:r w:rsidR="00D65674" w:rsidRPr="002C45FD">
          <w:rPr>
            <w:rStyle w:val="Hyperlink"/>
            <w:noProof/>
            <w:rtl/>
          </w:rPr>
          <w:t xml:space="preserve"> </w:t>
        </w:r>
        <w:r w:rsidR="00D65674" w:rsidRPr="002C45FD">
          <w:rPr>
            <w:rStyle w:val="Hyperlink"/>
            <w:rFonts w:hint="eastAsia"/>
            <w:noProof/>
            <w:rtl/>
          </w:rPr>
          <w:t>لتصنيف</w:t>
        </w:r>
        <w:r w:rsidR="00D65674" w:rsidRPr="002C45FD">
          <w:rPr>
            <w:rStyle w:val="Hyperlink"/>
            <w:noProof/>
            <w:rtl/>
          </w:rPr>
          <w:t xml:space="preserve"> </w:t>
        </w:r>
        <w:r w:rsidR="00D65674" w:rsidRPr="002C45FD">
          <w:rPr>
            <w:rStyle w:val="Hyperlink"/>
            <w:rFonts w:hint="eastAsia"/>
            <w:noProof/>
            <w:rtl/>
          </w:rPr>
          <w:t>مخاطر</w:t>
        </w:r>
        <w:r w:rsidR="00D65674" w:rsidRPr="002C45FD">
          <w:rPr>
            <w:rStyle w:val="Hyperlink"/>
            <w:noProof/>
            <w:rtl/>
          </w:rPr>
          <w:t xml:space="preserve"> </w:t>
        </w:r>
        <w:r w:rsidR="00D65674" w:rsidRPr="002C45FD">
          <w:rPr>
            <w:rStyle w:val="Hyperlink"/>
            <w:rFonts w:hint="eastAsia"/>
            <w:noProof/>
            <w:rtl/>
          </w:rPr>
          <w:t>العمليات</w:t>
        </w:r>
        <w:r w:rsidR="00D65674">
          <w:rPr>
            <w:noProof/>
            <w:webHidden/>
          </w:rPr>
          <w:tab/>
        </w:r>
        <w:r w:rsidR="00D65674">
          <w:rPr>
            <w:noProof/>
            <w:webHidden/>
          </w:rPr>
          <w:fldChar w:fldCharType="begin"/>
        </w:r>
        <w:r w:rsidR="00D65674">
          <w:rPr>
            <w:noProof/>
            <w:webHidden/>
          </w:rPr>
          <w:instrText xml:space="preserve"> PAGEREF _Toc439185211 \h </w:instrText>
        </w:r>
        <w:r w:rsidR="00D65674">
          <w:rPr>
            <w:noProof/>
            <w:webHidden/>
          </w:rPr>
        </w:r>
        <w:r w:rsidR="00D65674">
          <w:rPr>
            <w:noProof/>
            <w:webHidden/>
          </w:rPr>
          <w:fldChar w:fldCharType="separate"/>
        </w:r>
        <w:r w:rsidR="00D65674">
          <w:rPr>
            <w:noProof/>
            <w:webHidden/>
          </w:rPr>
          <w:t>55</w:t>
        </w:r>
        <w:r w:rsidR="00D65674">
          <w:rPr>
            <w:noProof/>
            <w:webHidden/>
          </w:rPr>
          <w:fldChar w:fldCharType="end"/>
        </w:r>
      </w:hyperlink>
    </w:p>
    <w:p w:rsidR="00F15E0B" w:rsidRDefault="00D65674" w:rsidP="00D65674">
      <w:pPr>
        <w:bidi/>
        <w:rPr>
          <w:rFonts w:ascii="Simplified Arabic" w:hAnsi="Simplified Arabic" w:cs="Simplified Arabic"/>
          <w:sz w:val="36"/>
          <w:szCs w:val="36"/>
          <w:rtl/>
        </w:rPr>
      </w:pPr>
      <w:r>
        <w:rPr>
          <w:rFonts w:ascii="Simplified Arabic" w:hAnsi="Simplified Arabic" w:cs="Simplified Arabic"/>
          <w:sz w:val="36"/>
          <w:szCs w:val="36"/>
          <w:rtl/>
        </w:rPr>
        <w:fldChar w:fldCharType="end"/>
      </w:r>
    </w:p>
    <w:p w:rsidR="00F15E0B" w:rsidRDefault="00D65674" w:rsidP="00F15E0B">
      <w:pPr>
        <w:bidi/>
        <w:rPr>
          <w:rFonts w:ascii="Simplified Arabic" w:hAnsi="Simplified Arabic" w:cs="Simplified Arabic"/>
          <w:sz w:val="36"/>
          <w:szCs w:val="36"/>
          <w:rtl/>
        </w:rPr>
      </w:pPr>
      <w:r>
        <w:rPr>
          <w:rFonts w:ascii="Simplified Arabic" w:hAnsi="Simplified Arabic" w:cs="Simplified Arabic" w:hint="cs"/>
          <w:sz w:val="36"/>
          <w:szCs w:val="36"/>
          <w:rtl/>
        </w:rPr>
        <w:t xml:space="preserve">الإطارات </w:t>
      </w:r>
    </w:p>
    <w:p w:rsidR="00942866" w:rsidRDefault="00942866" w:rsidP="00942866">
      <w:pPr>
        <w:pStyle w:val="TOC1"/>
        <w:bidi/>
        <w:rPr>
          <w:rFonts w:asciiTheme="minorHAnsi" w:hAnsiTheme="minorHAnsi" w:cstheme="minorBidi"/>
          <w:b w:val="0"/>
          <w:noProof/>
          <w:snapToGrid/>
          <w:sz w:val="22"/>
          <w:szCs w:val="22"/>
        </w:rPr>
      </w:pPr>
      <w:r>
        <w:rPr>
          <w:rFonts w:ascii="Simplified Arabic" w:hAnsi="Simplified Arabic" w:cs="Simplified Arabic"/>
          <w:sz w:val="36"/>
          <w:szCs w:val="36"/>
          <w:rtl/>
        </w:rPr>
        <w:fldChar w:fldCharType="begin"/>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TOC</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Pr>
        <w:instrText>h \z \t "boxes,1</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tl/>
        </w:rPr>
        <w:fldChar w:fldCharType="separate"/>
      </w:r>
      <w:hyperlink w:anchor="_Toc439185532" w:history="1">
        <w:r w:rsidRPr="00671065">
          <w:rPr>
            <w:rStyle w:val="Hyperlink"/>
            <w:rFonts w:hint="eastAsia"/>
            <w:noProof/>
            <w:rtl/>
          </w:rPr>
          <w:t>الإطار</w:t>
        </w:r>
        <w:r w:rsidRPr="00671065">
          <w:rPr>
            <w:rStyle w:val="Hyperlink"/>
            <w:noProof/>
            <w:rtl/>
          </w:rPr>
          <w:t xml:space="preserve"> 1. </w:t>
        </w:r>
        <w:r w:rsidRPr="00671065">
          <w:rPr>
            <w:rStyle w:val="Hyperlink"/>
            <w:rFonts w:hint="eastAsia"/>
            <w:noProof/>
            <w:rtl/>
          </w:rPr>
          <w:t>مجموعة</w:t>
        </w:r>
        <w:r w:rsidRPr="00671065">
          <w:rPr>
            <w:rStyle w:val="Hyperlink"/>
            <w:noProof/>
            <w:rtl/>
          </w:rPr>
          <w:t xml:space="preserve"> </w:t>
        </w:r>
        <w:r w:rsidRPr="00671065">
          <w:rPr>
            <w:rStyle w:val="Hyperlink"/>
            <w:rFonts w:hint="eastAsia"/>
            <w:noProof/>
            <w:rtl/>
          </w:rPr>
          <w:t>البنك</w:t>
        </w:r>
        <w:r w:rsidRPr="00671065">
          <w:rPr>
            <w:rStyle w:val="Hyperlink"/>
            <w:noProof/>
            <w:rtl/>
          </w:rPr>
          <w:t xml:space="preserve"> </w:t>
        </w:r>
        <w:r w:rsidRPr="00671065">
          <w:rPr>
            <w:rStyle w:val="Hyperlink"/>
            <w:rFonts w:hint="eastAsia"/>
            <w:noProof/>
            <w:rtl/>
          </w:rPr>
          <w:t>الدولي</w:t>
        </w:r>
        <w:r w:rsidRPr="00671065">
          <w:rPr>
            <w:rStyle w:val="Hyperlink"/>
            <w:noProof/>
            <w:rtl/>
          </w:rPr>
          <w:t xml:space="preserve">: </w:t>
        </w:r>
        <w:r w:rsidRPr="00671065">
          <w:rPr>
            <w:rStyle w:val="Hyperlink"/>
            <w:rFonts w:hint="eastAsia"/>
            <w:noProof/>
            <w:rtl/>
          </w:rPr>
          <w:t>جوانب</w:t>
        </w:r>
        <w:r w:rsidRPr="00671065">
          <w:rPr>
            <w:rStyle w:val="Hyperlink"/>
            <w:noProof/>
            <w:rtl/>
          </w:rPr>
          <w:t xml:space="preserve"> </w:t>
        </w:r>
        <w:r w:rsidRPr="00671065">
          <w:rPr>
            <w:rStyle w:val="Hyperlink"/>
            <w:rFonts w:hint="eastAsia"/>
            <w:noProof/>
            <w:rtl/>
          </w:rPr>
          <w:t>التحول</w:t>
        </w:r>
        <w:r w:rsidRPr="00671065">
          <w:rPr>
            <w:rStyle w:val="Hyperlink"/>
            <w:noProof/>
            <w:rtl/>
          </w:rPr>
          <w:t xml:space="preserve"> </w:t>
        </w:r>
        <w:r w:rsidRPr="00671065">
          <w:rPr>
            <w:rStyle w:val="Hyperlink"/>
            <w:rFonts w:hint="eastAsia"/>
            <w:noProof/>
            <w:rtl/>
          </w:rPr>
          <w:t>عن</w:t>
        </w:r>
        <w:r w:rsidRPr="00671065">
          <w:rPr>
            <w:rStyle w:val="Hyperlink"/>
            <w:noProof/>
            <w:rtl/>
          </w:rPr>
          <w:t xml:space="preserve"> </w:t>
        </w:r>
        <w:r w:rsidRPr="00671065">
          <w:rPr>
            <w:rStyle w:val="Hyperlink"/>
            <w:rFonts w:hint="eastAsia"/>
            <w:noProof/>
            <w:rtl/>
          </w:rPr>
          <w:t>نهج</w:t>
        </w:r>
        <w:r w:rsidRPr="00671065">
          <w:rPr>
            <w:rStyle w:val="Hyperlink"/>
            <w:noProof/>
            <w:rtl/>
          </w:rPr>
          <w:t xml:space="preserve"> </w:t>
        </w:r>
        <w:r w:rsidRPr="00671065">
          <w:rPr>
            <w:rStyle w:val="Hyperlink"/>
            <w:rFonts w:hint="eastAsia"/>
            <w:noProof/>
            <w:rtl/>
          </w:rPr>
          <w:t>المساندة</w:t>
        </w:r>
        <w:r w:rsidRPr="00671065">
          <w:rPr>
            <w:rStyle w:val="Hyperlink"/>
            <w:noProof/>
            <w:rtl/>
          </w:rPr>
          <w:t xml:space="preserve"> </w:t>
        </w:r>
        <w:r w:rsidRPr="00671065">
          <w:rPr>
            <w:rStyle w:val="Hyperlink"/>
            <w:rFonts w:hint="eastAsia"/>
            <w:noProof/>
            <w:rtl/>
          </w:rPr>
          <w:t>السابق</w:t>
        </w:r>
        <w:r>
          <w:rPr>
            <w:noProof/>
            <w:webHidden/>
          </w:rPr>
          <w:tab/>
        </w:r>
        <w:r>
          <w:rPr>
            <w:noProof/>
            <w:webHidden/>
          </w:rPr>
          <w:fldChar w:fldCharType="begin"/>
        </w:r>
        <w:r>
          <w:rPr>
            <w:noProof/>
            <w:webHidden/>
          </w:rPr>
          <w:instrText xml:space="preserve"> PAGEREF _Toc439185532 \h </w:instrText>
        </w:r>
        <w:r>
          <w:rPr>
            <w:noProof/>
            <w:webHidden/>
          </w:rPr>
        </w:r>
        <w:r>
          <w:rPr>
            <w:noProof/>
            <w:webHidden/>
          </w:rPr>
          <w:fldChar w:fldCharType="separate"/>
        </w:r>
        <w:r>
          <w:rPr>
            <w:noProof/>
            <w:webHidden/>
          </w:rPr>
          <w:t>27</w:t>
        </w:r>
        <w:r>
          <w:rPr>
            <w:noProof/>
            <w:webHidden/>
          </w:rPr>
          <w:fldChar w:fldCharType="end"/>
        </w:r>
      </w:hyperlink>
    </w:p>
    <w:p w:rsidR="00942866" w:rsidRDefault="00F4694D" w:rsidP="00942866">
      <w:pPr>
        <w:pStyle w:val="TOC1"/>
        <w:bidi/>
        <w:rPr>
          <w:rFonts w:asciiTheme="minorHAnsi" w:hAnsiTheme="minorHAnsi" w:cstheme="minorBidi"/>
          <w:b w:val="0"/>
          <w:noProof/>
          <w:snapToGrid/>
          <w:sz w:val="22"/>
          <w:szCs w:val="22"/>
        </w:rPr>
      </w:pPr>
      <w:hyperlink w:anchor="_Toc439185533" w:history="1">
        <w:r w:rsidR="00942866" w:rsidRPr="00671065">
          <w:rPr>
            <w:rStyle w:val="Hyperlink"/>
            <w:rFonts w:hint="eastAsia"/>
            <w:noProof/>
            <w:rtl/>
          </w:rPr>
          <w:t>الإطار</w:t>
        </w:r>
        <w:r w:rsidR="00942866" w:rsidRPr="00671065">
          <w:rPr>
            <w:rStyle w:val="Hyperlink"/>
            <w:noProof/>
            <w:rtl/>
          </w:rPr>
          <w:t xml:space="preserve"> 2. </w:t>
        </w:r>
        <w:r w:rsidR="00942866" w:rsidRPr="00671065">
          <w:rPr>
            <w:rStyle w:val="Hyperlink"/>
            <w:rFonts w:hint="eastAsia"/>
            <w:noProof/>
            <w:rtl/>
          </w:rPr>
          <w:t>إطار</w:t>
        </w:r>
        <w:r w:rsidR="00942866" w:rsidRPr="00671065">
          <w:rPr>
            <w:rStyle w:val="Hyperlink"/>
            <w:noProof/>
            <w:rtl/>
          </w:rPr>
          <w:t xml:space="preserve"> </w:t>
        </w:r>
        <w:r w:rsidR="00942866" w:rsidRPr="00671065">
          <w:rPr>
            <w:rStyle w:val="Hyperlink"/>
            <w:rFonts w:hint="eastAsia"/>
            <w:noProof/>
            <w:rtl/>
          </w:rPr>
          <w:t>بسيط</w:t>
        </w:r>
        <w:r w:rsidR="00942866" w:rsidRPr="00671065">
          <w:rPr>
            <w:rStyle w:val="Hyperlink"/>
            <w:noProof/>
            <w:rtl/>
          </w:rPr>
          <w:t xml:space="preserve"> </w:t>
        </w:r>
        <w:r w:rsidR="00942866" w:rsidRPr="00671065">
          <w:rPr>
            <w:rStyle w:val="Hyperlink"/>
            <w:rFonts w:hint="eastAsia"/>
            <w:noProof/>
            <w:rtl/>
          </w:rPr>
          <w:t>لتحسين</w:t>
        </w:r>
        <w:r w:rsidR="00942866" w:rsidRPr="00671065">
          <w:rPr>
            <w:rStyle w:val="Hyperlink"/>
            <w:noProof/>
            <w:rtl/>
          </w:rPr>
          <w:t xml:space="preserve"> </w:t>
        </w:r>
        <w:r w:rsidR="00942866" w:rsidRPr="00671065">
          <w:rPr>
            <w:rStyle w:val="Hyperlink"/>
            <w:rFonts w:hint="eastAsia"/>
            <w:noProof/>
            <w:rtl/>
          </w:rPr>
          <w:t>نظام</w:t>
        </w:r>
        <w:r w:rsidR="00942866" w:rsidRPr="00671065">
          <w:rPr>
            <w:rStyle w:val="Hyperlink"/>
            <w:noProof/>
            <w:rtl/>
          </w:rPr>
          <w:t xml:space="preserve"> </w:t>
        </w:r>
        <w:r w:rsidR="00942866" w:rsidRPr="00671065">
          <w:rPr>
            <w:rStyle w:val="Hyperlink"/>
            <w:rFonts w:hint="eastAsia"/>
            <w:noProof/>
            <w:rtl/>
          </w:rPr>
          <w:t>الإدارة</w:t>
        </w:r>
        <w:r w:rsidR="00942866" w:rsidRPr="00671065">
          <w:rPr>
            <w:rStyle w:val="Hyperlink"/>
            <w:noProof/>
            <w:rtl/>
          </w:rPr>
          <w:t xml:space="preserve"> </w:t>
        </w:r>
        <w:r w:rsidR="00942866" w:rsidRPr="00671065">
          <w:rPr>
            <w:rStyle w:val="Hyperlink"/>
            <w:rFonts w:hint="eastAsia"/>
            <w:noProof/>
            <w:rtl/>
          </w:rPr>
          <w:t>العامة</w:t>
        </w:r>
        <w:r w:rsidR="00942866" w:rsidRPr="00671065">
          <w:rPr>
            <w:rStyle w:val="Hyperlink"/>
            <w:noProof/>
            <w:rtl/>
          </w:rPr>
          <w:t xml:space="preserve"> </w:t>
        </w:r>
        <w:r w:rsidR="00942866" w:rsidRPr="00671065">
          <w:rPr>
            <w:rStyle w:val="Hyperlink"/>
            <w:rFonts w:hint="eastAsia"/>
            <w:noProof/>
            <w:rtl/>
          </w:rPr>
          <w:t>والحوكمة</w:t>
        </w:r>
        <w:r w:rsidR="00942866">
          <w:rPr>
            <w:noProof/>
            <w:webHidden/>
          </w:rPr>
          <w:tab/>
        </w:r>
        <w:r w:rsidR="00942866">
          <w:rPr>
            <w:noProof/>
            <w:webHidden/>
          </w:rPr>
          <w:fldChar w:fldCharType="begin"/>
        </w:r>
        <w:r w:rsidR="00942866">
          <w:rPr>
            <w:noProof/>
            <w:webHidden/>
          </w:rPr>
          <w:instrText xml:space="preserve"> PAGEREF _Toc439185533 \h </w:instrText>
        </w:r>
        <w:r w:rsidR="00942866">
          <w:rPr>
            <w:noProof/>
            <w:webHidden/>
          </w:rPr>
        </w:r>
        <w:r w:rsidR="00942866">
          <w:rPr>
            <w:noProof/>
            <w:webHidden/>
          </w:rPr>
          <w:fldChar w:fldCharType="separate"/>
        </w:r>
        <w:r w:rsidR="00942866">
          <w:rPr>
            <w:noProof/>
            <w:webHidden/>
          </w:rPr>
          <w:t>31</w:t>
        </w:r>
        <w:r w:rsidR="00942866">
          <w:rPr>
            <w:noProof/>
            <w:webHidden/>
          </w:rPr>
          <w:fldChar w:fldCharType="end"/>
        </w:r>
      </w:hyperlink>
    </w:p>
    <w:p w:rsidR="00942866" w:rsidRDefault="00F4694D" w:rsidP="00942866">
      <w:pPr>
        <w:pStyle w:val="TOC1"/>
        <w:bidi/>
        <w:rPr>
          <w:rFonts w:asciiTheme="minorHAnsi" w:hAnsiTheme="minorHAnsi" w:cstheme="minorBidi"/>
          <w:b w:val="0"/>
          <w:noProof/>
          <w:snapToGrid/>
          <w:sz w:val="22"/>
          <w:szCs w:val="22"/>
        </w:rPr>
      </w:pPr>
      <w:hyperlink w:anchor="_Toc439185534" w:history="1">
        <w:r w:rsidR="00942866" w:rsidRPr="00671065">
          <w:rPr>
            <w:rStyle w:val="Hyperlink"/>
            <w:rFonts w:hint="eastAsia"/>
            <w:noProof/>
            <w:rtl/>
          </w:rPr>
          <w:t>الإطار</w:t>
        </w:r>
        <w:r w:rsidR="00942866" w:rsidRPr="00671065">
          <w:rPr>
            <w:rStyle w:val="Hyperlink"/>
            <w:noProof/>
            <w:rtl/>
          </w:rPr>
          <w:t xml:space="preserve"> 3. </w:t>
        </w:r>
        <w:r w:rsidR="00942866" w:rsidRPr="00671065">
          <w:rPr>
            <w:rStyle w:val="Hyperlink"/>
            <w:rFonts w:hint="eastAsia"/>
            <w:noProof/>
            <w:rtl/>
          </w:rPr>
          <w:t>إدراج</w:t>
        </w:r>
        <w:r w:rsidR="00942866" w:rsidRPr="00671065">
          <w:rPr>
            <w:rStyle w:val="Hyperlink"/>
            <w:noProof/>
            <w:rtl/>
          </w:rPr>
          <w:t xml:space="preserve"> </w:t>
        </w:r>
        <w:r w:rsidR="00942866" w:rsidRPr="00671065">
          <w:rPr>
            <w:rStyle w:val="Hyperlink"/>
            <w:rFonts w:hint="eastAsia"/>
            <w:noProof/>
            <w:rtl/>
          </w:rPr>
          <w:t>مشاركة</w:t>
        </w:r>
        <w:r w:rsidR="00942866" w:rsidRPr="00671065">
          <w:rPr>
            <w:rStyle w:val="Hyperlink"/>
            <w:noProof/>
            <w:rtl/>
          </w:rPr>
          <w:t xml:space="preserve"> </w:t>
        </w:r>
        <w:r w:rsidR="00942866" w:rsidRPr="00671065">
          <w:rPr>
            <w:rStyle w:val="Hyperlink"/>
            <w:rFonts w:hint="eastAsia"/>
            <w:noProof/>
            <w:rtl/>
          </w:rPr>
          <w:t>المواطنين</w:t>
        </w:r>
        <w:r w:rsidR="00942866" w:rsidRPr="00671065">
          <w:rPr>
            <w:rStyle w:val="Hyperlink"/>
            <w:noProof/>
            <w:rtl/>
          </w:rPr>
          <w:t xml:space="preserve"> </w:t>
        </w:r>
        <w:r w:rsidR="00942866" w:rsidRPr="00671065">
          <w:rPr>
            <w:rStyle w:val="Hyperlink"/>
            <w:rFonts w:hint="eastAsia"/>
            <w:noProof/>
            <w:rtl/>
          </w:rPr>
          <w:t>وتجديد</w:t>
        </w:r>
        <w:r w:rsidR="00942866" w:rsidRPr="00671065">
          <w:rPr>
            <w:rStyle w:val="Hyperlink"/>
            <w:noProof/>
            <w:rtl/>
          </w:rPr>
          <w:t xml:space="preserve"> </w:t>
        </w:r>
        <w:r w:rsidR="00942866" w:rsidRPr="00671065">
          <w:rPr>
            <w:rStyle w:val="Hyperlink"/>
            <w:rFonts w:hint="eastAsia"/>
            <w:noProof/>
            <w:rtl/>
          </w:rPr>
          <w:t>العقد</w:t>
        </w:r>
        <w:r w:rsidR="00942866" w:rsidRPr="00671065">
          <w:rPr>
            <w:rStyle w:val="Hyperlink"/>
            <w:noProof/>
            <w:rtl/>
          </w:rPr>
          <w:t xml:space="preserve"> </w:t>
        </w:r>
        <w:r w:rsidR="00942866" w:rsidRPr="00671065">
          <w:rPr>
            <w:rStyle w:val="Hyperlink"/>
            <w:rFonts w:hint="eastAsia"/>
            <w:noProof/>
            <w:rtl/>
          </w:rPr>
          <w:t>الاجتماعي</w:t>
        </w:r>
        <w:r w:rsidR="00942866" w:rsidRPr="00671065">
          <w:rPr>
            <w:rStyle w:val="Hyperlink"/>
            <w:noProof/>
            <w:rtl/>
          </w:rPr>
          <w:t xml:space="preserve"> </w:t>
        </w:r>
        <w:r w:rsidR="00942866" w:rsidRPr="00671065">
          <w:rPr>
            <w:rStyle w:val="Hyperlink"/>
            <w:rFonts w:hint="eastAsia"/>
            <w:noProof/>
            <w:rtl/>
          </w:rPr>
          <w:t>ضمن</w:t>
        </w:r>
        <w:r w:rsidR="00942866" w:rsidRPr="00671065">
          <w:rPr>
            <w:rStyle w:val="Hyperlink"/>
            <w:noProof/>
            <w:rtl/>
          </w:rPr>
          <w:t xml:space="preserve"> </w:t>
        </w:r>
        <w:r w:rsidR="00942866" w:rsidRPr="00671065">
          <w:rPr>
            <w:rStyle w:val="Hyperlink"/>
            <w:rFonts w:hint="eastAsia"/>
            <w:noProof/>
            <w:rtl/>
          </w:rPr>
          <w:t>عمليات</w:t>
        </w:r>
        <w:r w:rsidR="00942866" w:rsidRPr="00671065">
          <w:rPr>
            <w:rStyle w:val="Hyperlink"/>
            <w:noProof/>
            <w:rtl/>
          </w:rPr>
          <w:t xml:space="preserve"> </w:t>
        </w:r>
        <w:r w:rsidR="00942866" w:rsidRPr="00671065">
          <w:rPr>
            <w:rStyle w:val="Hyperlink"/>
            <w:rFonts w:hint="eastAsia"/>
            <w:noProof/>
            <w:rtl/>
          </w:rPr>
          <w:t>مجموعة</w:t>
        </w:r>
        <w:r w:rsidR="00942866" w:rsidRPr="00671065">
          <w:rPr>
            <w:rStyle w:val="Hyperlink"/>
            <w:noProof/>
            <w:rtl/>
          </w:rPr>
          <w:t xml:space="preserve"> </w:t>
        </w:r>
        <w:r w:rsidR="00942866" w:rsidRPr="00671065">
          <w:rPr>
            <w:rStyle w:val="Hyperlink"/>
            <w:rFonts w:hint="eastAsia"/>
            <w:noProof/>
            <w:rtl/>
          </w:rPr>
          <w:t>البنك</w:t>
        </w:r>
        <w:r w:rsidR="00942866" w:rsidRPr="00671065">
          <w:rPr>
            <w:rStyle w:val="Hyperlink"/>
            <w:noProof/>
            <w:rtl/>
          </w:rPr>
          <w:t xml:space="preserve"> </w:t>
        </w:r>
        <w:r w:rsidR="00942866" w:rsidRPr="00671065">
          <w:rPr>
            <w:rStyle w:val="Hyperlink"/>
            <w:rFonts w:hint="eastAsia"/>
            <w:noProof/>
            <w:rtl/>
          </w:rPr>
          <w:t>الدولي</w:t>
        </w:r>
        <w:r w:rsidR="00942866">
          <w:rPr>
            <w:noProof/>
            <w:webHidden/>
          </w:rPr>
          <w:tab/>
        </w:r>
        <w:r w:rsidR="00942866">
          <w:rPr>
            <w:noProof/>
            <w:webHidden/>
          </w:rPr>
          <w:fldChar w:fldCharType="begin"/>
        </w:r>
        <w:r w:rsidR="00942866">
          <w:rPr>
            <w:noProof/>
            <w:webHidden/>
          </w:rPr>
          <w:instrText xml:space="preserve"> PAGEREF _Toc439185534 \h </w:instrText>
        </w:r>
        <w:r w:rsidR="00942866">
          <w:rPr>
            <w:noProof/>
            <w:webHidden/>
          </w:rPr>
        </w:r>
        <w:r w:rsidR="00942866">
          <w:rPr>
            <w:noProof/>
            <w:webHidden/>
          </w:rPr>
          <w:fldChar w:fldCharType="separate"/>
        </w:r>
        <w:r w:rsidR="00942866">
          <w:rPr>
            <w:noProof/>
            <w:webHidden/>
          </w:rPr>
          <w:t>36</w:t>
        </w:r>
        <w:r w:rsidR="00942866">
          <w:rPr>
            <w:noProof/>
            <w:webHidden/>
          </w:rPr>
          <w:fldChar w:fldCharType="end"/>
        </w:r>
      </w:hyperlink>
    </w:p>
    <w:p w:rsidR="00942866" w:rsidRDefault="00F4694D" w:rsidP="00942866">
      <w:pPr>
        <w:pStyle w:val="TOC1"/>
        <w:bidi/>
        <w:rPr>
          <w:rFonts w:asciiTheme="minorHAnsi" w:hAnsiTheme="minorHAnsi" w:cstheme="minorBidi"/>
          <w:b w:val="0"/>
          <w:noProof/>
          <w:snapToGrid/>
          <w:sz w:val="22"/>
          <w:szCs w:val="22"/>
        </w:rPr>
      </w:pPr>
      <w:hyperlink w:anchor="_Toc439185535" w:history="1">
        <w:r w:rsidR="00942866" w:rsidRPr="00671065">
          <w:rPr>
            <w:rStyle w:val="Hyperlink"/>
            <w:rFonts w:hint="eastAsia"/>
            <w:noProof/>
            <w:rtl/>
          </w:rPr>
          <w:t>الإطار</w:t>
        </w:r>
        <w:r w:rsidR="00942866" w:rsidRPr="00671065">
          <w:rPr>
            <w:rStyle w:val="Hyperlink"/>
            <w:noProof/>
            <w:rtl/>
          </w:rPr>
          <w:t xml:space="preserve"> 4. </w:t>
        </w:r>
        <w:r w:rsidR="00942866" w:rsidRPr="00671065">
          <w:rPr>
            <w:rStyle w:val="Hyperlink"/>
            <w:rFonts w:hint="eastAsia"/>
            <w:noProof/>
            <w:rtl/>
          </w:rPr>
          <w:t>مجالات</w:t>
        </w:r>
        <w:r w:rsidR="00942866" w:rsidRPr="00671065">
          <w:rPr>
            <w:rStyle w:val="Hyperlink"/>
            <w:noProof/>
            <w:rtl/>
          </w:rPr>
          <w:t xml:space="preserve"> </w:t>
        </w:r>
        <w:r w:rsidR="00942866" w:rsidRPr="00671065">
          <w:rPr>
            <w:rStyle w:val="Hyperlink"/>
            <w:rFonts w:hint="eastAsia"/>
            <w:noProof/>
            <w:rtl/>
          </w:rPr>
          <w:t>تعاون</w:t>
        </w:r>
        <w:r w:rsidR="00942866" w:rsidRPr="00671065">
          <w:rPr>
            <w:rStyle w:val="Hyperlink"/>
            <w:noProof/>
            <w:rtl/>
          </w:rPr>
          <w:t xml:space="preserve"> </w:t>
        </w:r>
        <w:r w:rsidR="00942866" w:rsidRPr="00671065">
          <w:rPr>
            <w:rStyle w:val="Hyperlink"/>
            <w:rFonts w:hint="eastAsia"/>
            <w:noProof/>
            <w:rtl/>
          </w:rPr>
          <w:t>مجموعة</w:t>
        </w:r>
        <w:r w:rsidR="00942866" w:rsidRPr="00671065">
          <w:rPr>
            <w:rStyle w:val="Hyperlink"/>
            <w:noProof/>
            <w:rtl/>
          </w:rPr>
          <w:t xml:space="preserve"> </w:t>
        </w:r>
        <w:r w:rsidR="00942866" w:rsidRPr="00671065">
          <w:rPr>
            <w:rStyle w:val="Hyperlink"/>
            <w:rFonts w:hint="eastAsia"/>
            <w:noProof/>
            <w:rtl/>
          </w:rPr>
          <w:t>البنك</w:t>
        </w:r>
        <w:r w:rsidR="00942866" w:rsidRPr="00671065">
          <w:rPr>
            <w:rStyle w:val="Hyperlink"/>
            <w:noProof/>
            <w:rtl/>
          </w:rPr>
          <w:t xml:space="preserve"> </w:t>
        </w:r>
        <w:r w:rsidR="00942866" w:rsidRPr="00671065">
          <w:rPr>
            <w:rStyle w:val="Hyperlink"/>
            <w:rFonts w:hint="eastAsia"/>
            <w:noProof/>
            <w:rtl/>
          </w:rPr>
          <w:t>الدولي</w:t>
        </w:r>
        <w:r w:rsidR="00942866" w:rsidRPr="00671065">
          <w:rPr>
            <w:rStyle w:val="Hyperlink"/>
            <w:noProof/>
            <w:rtl/>
          </w:rPr>
          <w:t xml:space="preserve"> </w:t>
        </w:r>
        <w:r w:rsidR="00942866" w:rsidRPr="00671065">
          <w:rPr>
            <w:rStyle w:val="Hyperlink"/>
            <w:rFonts w:hint="eastAsia"/>
            <w:noProof/>
            <w:rtl/>
          </w:rPr>
          <w:t>في</w:t>
        </w:r>
        <w:r w:rsidR="00942866" w:rsidRPr="00671065">
          <w:rPr>
            <w:rStyle w:val="Hyperlink"/>
            <w:noProof/>
            <w:rtl/>
          </w:rPr>
          <w:t xml:space="preserve"> </w:t>
        </w:r>
        <w:r w:rsidR="00942866" w:rsidRPr="00671065">
          <w:rPr>
            <w:rStyle w:val="Hyperlink"/>
            <w:rFonts w:hint="eastAsia"/>
            <w:noProof/>
            <w:rtl/>
          </w:rPr>
          <w:t>مصر</w:t>
        </w:r>
        <w:r w:rsidR="00942866">
          <w:rPr>
            <w:noProof/>
            <w:webHidden/>
          </w:rPr>
          <w:tab/>
        </w:r>
        <w:r w:rsidR="00942866">
          <w:rPr>
            <w:noProof/>
            <w:webHidden/>
          </w:rPr>
          <w:fldChar w:fldCharType="begin"/>
        </w:r>
        <w:r w:rsidR="00942866">
          <w:rPr>
            <w:noProof/>
            <w:webHidden/>
          </w:rPr>
          <w:instrText xml:space="preserve"> PAGEREF _Toc439185535 \h </w:instrText>
        </w:r>
        <w:r w:rsidR="00942866">
          <w:rPr>
            <w:noProof/>
            <w:webHidden/>
          </w:rPr>
        </w:r>
        <w:r w:rsidR="00942866">
          <w:rPr>
            <w:noProof/>
            <w:webHidden/>
          </w:rPr>
          <w:fldChar w:fldCharType="separate"/>
        </w:r>
        <w:r w:rsidR="00942866">
          <w:rPr>
            <w:noProof/>
            <w:webHidden/>
          </w:rPr>
          <w:t>51</w:t>
        </w:r>
        <w:r w:rsidR="00942866">
          <w:rPr>
            <w:noProof/>
            <w:webHidden/>
          </w:rPr>
          <w:fldChar w:fldCharType="end"/>
        </w:r>
      </w:hyperlink>
    </w:p>
    <w:p w:rsidR="00D65674" w:rsidRDefault="00942866" w:rsidP="00D65674">
      <w:pPr>
        <w:bidi/>
        <w:rPr>
          <w:rFonts w:ascii="Simplified Arabic" w:hAnsi="Simplified Arabic" w:cs="Simplified Arabic"/>
          <w:sz w:val="36"/>
          <w:szCs w:val="36"/>
        </w:rPr>
      </w:pPr>
      <w:r>
        <w:rPr>
          <w:rFonts w:ascii="Simplified Arabic" w:hAnsi="Simplified Arabic" w:cs="Simplified Arabic"/>
          <w:sz w:val="36"/>
          <w:szCs w:val="36"/>
          <w:rtl/>
        </w:rPr>
        <w:fldChar w:fldCharType="end"/>
      </w:r>
    </w:p>
    <w:p w:rsidR="0030506A" w:rsidRDefault="0030506A" w:rsidP="0030506A">
      <w:pPr>
        <w:bidi/>
        <w:rPr>
          <w:rFonts w:ascii="Simplified Arabic" w:hAnsi="Simplified Arabic" w:cs="Simplified Arabic"/>
          <w:sz w:val="36"/>
          <w:szCs w:val="36"/>
          <w:rtl/>
        </w:rPr>
      </w:pPr>
      <w:r>
        <w:rPr>
          <w:rFonts w:ascii="Simplified Arabic" w:hAnsi="Simplified Arabic" w:cs="Simplified Arabic" w:hint="cs"/>
          <w:sz w:val="36"/>
          <w:szCs w:val="36"/>
          <w:rtl/>
        </w:rPr>
        <w:t>الأشكال</w:t>
      </w:r>
    </w:p>
    <w:p w:rsidR="00E625D2" w:rsidRDefault="00E625D2" w:rsidP="00E625D2">
      <w:pPr>
        <w:pStyle w:val="TOC1"/>
        <w:bidi/>
        <w:rPr>
          <w:rFonts w:asciiTheme="minorHAnsi" w:hAnsiTheme="minorHAnsi" w:cstheme="minorBidi"/>
          <w:b w:val="0"/>
          <w:noProof/>
          <w:snapToGrid/>
          <w:sz w:val="22"/>
          <w:szCs w:val="22"/>
        </w:rPr>
      </w:pPr>
      <w:r>
        <w:rPr>
          <w:rFonts w:ascii="Simplified Arabic" w:hAnsi="Simplified Arabic" w:cs="Simplified Arabic"/>
          <w:sz w:val="36"/>
          <w:szCs w:val="36"/>
          <w:rtl/>
        </w:rPr>
        <w:fldChar w:fldCharType="begin"/>
      </w:r>
      <w:r>
        <w:rPr>
          <w:rFonts w:ascii="Simplified Arabic" w:hAnsi="Simplified Arabic" w:cs="Simplified Arabic"/>
          <w:sz w:val="36"/>
          <w:szCs w:val="36"/>
          <w:rtl/>
        </w:rPr>
        <w:instrText xml:space="preserve"> </w:instrText>
      </w:r>
      <w:r>
        <w:rPr>
          <w:rFonts w:ascii="Simplified Arabic" w:hAnsi="Simplified Arabic" w:cs="Simplified Arabic" w:hint="cs"/>
          <w:sz w:val="36"/>
          <w:szCs w:val="36"/>
        </w:rPr>
        <w:instrText>TOC</w:instrText>
      </w:r>
      <w:r>
        <w:rPr>
          <w:rFonts w:ascii="Simplified Arabic" w:hAnsi="Simplified Arabic" w:cs="Simplified Arabic" w:hint="cs"/>
          <w:sz w:val="36"/>
          <w:szCs w:val="36"/>
          <w:rtl/>
        </w:rPr>
        <w:instrText xml:space="preserve"> \</w:instrText>
      </w:r>
      <w:r>
        <w:rPr>
          <w:rFonts w:ascii="Simplified Arabic" w:hAnsi="Simplified Arabic" w:cs="Simplified Arabic" w:hint="cs"/>
          <w:sz w:val="36"/>
          <w:szCs w:val="36"/>
        </w:rPr>
        <w:instrText>h \z \t "Figures,1</w:instrText>
      </w:r>
      <w:r>
        <w:rPr>
          <w:rFonts w:ascii="Simplified Arabic" w:hAnsi="Simplified Arabic" w:cs="Simplified Arabic" w:hint="cs"/>
          <w:sz w:val="36"/>
          <w:szCs w:val="36"/>
          <w:rtl/>
        </w:rPr>
        <w:instrText>"</w:instrText>
      </w:r>
      <w:r>
        <w:rPr>
          <w:rFonts w:ascii="Simplified Arabic" w:hAnsi="Simplified Arabic" w:cs="Simplified Arabic"/>
          <w:sz w:val="36"/>
          <w:szCs w:val="36"/>
          <w:rtl/>
        </w:rPr>
        <w:instrText xml:space="preserve"> </w:instrText>
      </w:r>
      <w:r>
        <w:rPr>
          <w:rFonts w:ascii="Simplified Arabic" w:hAnsi="Simplified Arabic" w:cs="Simplified Arabic"/>
          <w:sz w:val="36"/>
          <w:szCs w:val="36"/>
          <w:rtl/>
        </w:rPr>
        <w:fldChar w:fldCharType="separate"/>
      </w:r>
      <w:hyperlink w:anchor="_Toc439186228" w:history="1">
        <w:r w:rsidRPr="0072448E">
          <w:rPr>
            <w:rStyle w:val="Hyperlink"/>
            <w:rFonts w:hint="eastAsia"/>
            <w:noProof/>
            <w:rtl/>
          </w:rPr>
          <w:t>الشكل</w:t>
        </w:r>
        <w:r w:rsidRPr="0072448E">
          <w:rPr>
            <w:rStyle w:val="Hyperlink"/>
            <w:noProof/>
            <w:rtl/>
          </w:rPr>
          <w:t xml:space="preserve"> 1- </w:t>
        </w:r>
        <w:r w:rsidRPr="0072448E">
          <w:rPr>
            <w:rStyle w:val="Hyperlink"/>
            <w:rFonts w:hint="eastAsia"/>
            <w:noProof/>
            <w:rtl/>
          </w:rPr>
          <w:t>معدل</w:t>
        </w:r>
        <w:r w:rsidRPr="0072448E">
          <w:rPr>
            <w:rStyle w:val="Hyperlink"/>
            <w:noProof/>
            <w:rtl/>
          </w:rPr>
          <w:t xml:space="preserve"> </w:t>
        </w:r>
        <w:r w:rsidRPr="0072448E">
          <w:rPr>
            <w:rStyle w:val="Hyperlink"/>
            <w:rFonts w:hint="eastAsia"/>
            <w:noProof/>
            <w:rtl/>
          </w:rPr>
          <w:t>نمو</w:t>
        </w:r>
        <w:r w:rsidRPr="0072448E">
          <w:rPr>
            <w:rStyle w:val="Hyperlink"/>
            <w:noProof/>
            <w:rtl/>
          </w:rPr>
          <w:t xml:space="preserve"> </w:t>
        </w:r>
        <w:r w:rsidRPr="0072448E">
          <w:rPr>
            <w:rStyle w:val="Hyperlink"/>
            <w:rFonts w:hint="eastAsia"/>
            <w:noProof/>
            <w:rtl/>
          </w:rPr>
          <w:t>إجمالي</w:t>
        </w:r>
        <w:r w:rsidRPr="0072448E">
          <w:rPr>
            <w:rStyle w:val="Hyperlink"/>
            <w:noProof/>
            <w:rtl/>
          </w:rPr>
          <w:t xml:space="preserve"> </w:t>
        </w:r>
        <w:r w:rsidRPr="0072448E">
          <w:rPr>
            <w:rStyle w:val="Hyperlink"/>
            <w:rFonts w:hint="eastAsia"/>
            <w:noProof/>
            <w:rtl/>
          </w:rPr>
          <w:t>الناتج</w:t>
        </w:r>
        <w:r w:rsidRPr="0072448E">
          <w:rPr>
            <w:rStyle w:val="Hyperlink"/>
            <w:noProof/>
            <w:rtl/>
          </w:rPr>
          <w:t xml:space="preserve"> </w:t>
        </w:r>
        <w:r w:rsidRPr="0072448E">
          <w:rPr>
            <w:rStyle w:val="Hyperlink"/>
            <w:rFonts w:hint="eastAsia"/>
            <w:noProof/>
            <w:rtl/>
          </w:rPr>
          <w:t>المحلي</w:t>
        </w:r>
        <w:r w:rsidRPr="0072448E">
          <w:rPr>
            <w:rStyle w:val="Hyperlink"/>
            <w:noProof/>
            <w:rtl/>
          </w:rPr>
          <w:t xml:space="preserve"> </w:t>
        </w:r>
        <w:r w:rsidRPr="0072448E">
          <w:rPr>
            <w:rStyle w:val="Hyperlink"/>
            <w:rFonts w:hint="eastAsia"/>
            <w:noProof/>
            <w:rtl/>
          </w:rPr>
          <w:t>الحقيقي</w:t>
        </w:r>
        <w:r>
          <w:rPr>
            <w:noProof/>
            <w:webHidden/>
          </w:rPr>
          <w:tab/>
        </w:r>
        <w:r>
          <w:rPr>
            <w:noProof/>
            <w:webHidden/>
          </w:rPr>
          <w:fldChar w:fldCharType="begin"/>
        </w:r>
        <w:r>
          <w:rPr>
            <w:noProof/>
            <w:webHidden/>
          </w:rPr>
          <w:instrText xml:space="preserve"> PAGEREF _Toc439186228 \h </w:instrText>
        </w:r>
        <w:r>
          <w:rPr>
            <w:noProof/>
            <w:webHidden/>
          </w:rPr>
        </w:r>
        <w:r>
          <w:rPr>
            <w:noProof/>
            <w:webHidden/>
          </w:rPr>
          <w:fldChar w:fldCharType="separate"/>
        </w:r>
        <w:r>
          <w:rPr>
            <w:noProof/>
            <w:webHidden/>
          </w:rPr>
          <w:t>4</w:t>
        </w:r>
        <w:r>
          <w:rPr>
            <w:noProof/>
            <w:webHidden/>
          </w:rPr>
          <w:fldChar w:fldCharType="end"/>
        </w:r>
      </w:hyperlink>
    </w:p>
    <w:p w:rsidR="00E625D2" w:rsidRDefault="00F4694D" w:rsidP="00E625D2">
      <w:pPr>
        <w:pStyle w:val="TOC1"/>
        <w:bidi/>
        <w:rPr>
          <w:rFonts w:asciiTheme="minorHAnsi" w:hAnsiTheme="minorHAnsi" w:cstheme="minorBidi"/>
          <w:b w:val="0"/>
          <w:noProof/>
          <w:snapToGrid/>
          <w:sz w:val="22"/>
          <w:szCs w:val="22"/>
        </w:rPr>
      </w:pPr>
      <w:hyperlink w:anchor="_Toc439186229" w:history="1">
        <w:r w:rsidR="00E625D2" w:rsidRPr="0072448E">
          <w:rPr>
            <w:rStyle w:val="Hyperlink"/>
            <w:rFonts w:hint="eastAsia"/>
            <w:noProof/>
            <w:rtl/>
          </w:rPr>
          <w:t>الشكل</w:t>
        </w:r>
        <w:r w:rsidR="00E625D2" w:rsidRPr="0072448E">
          <w:rPr>
            <w:rStyle w:val="Hyperlink"/>
            <w:noProof/>
            <w:rtl/>
          </w:rPr>
          <w:t xml:space="preserve"> 2. </w:t>
        </w:r>
        <w:r w:rsidR="00E625D2" w:rsidRPr="0072448E">
          <w:rPr>
            <w:rStyle w:val="Hyperlink"/>
            <w:rFonts w:hint="eastAsia"/>
            <w:noProof/>
            <w:rtl/>
          </w:rPr>
          <w:t>نسبة</w:t>
        </w:r>
        <w:r w:rsidR="00E625D2" w:rsidRPr="0072448E">
          <w:rPr>
            <w:rStyle w:val="Hyperlink"/>
            <w:noProof/>
            <w:rtl/>
          </w:rPr>
          <w:t xml:space="preserve"> </w:t>
        </w:r>
        <w:r w:rsidR="00E625D2" w:rsidRPr="0072448E">
          <w:rPr>
            <w:rStyle w:val="Hyperlink"/>
            <w:rFonts w:hint="eastAsia"/>
            <w:noProof/>
            <w:rtl/>
          </w:rPr>
          <w:t>الفقر</w:t>
        </w:r>
        <w:r w:rsidR="00E625D2" w:rsidRPr="0072448E">
          <w:rPr>
            <w:rStyle w:val="Hyperlink"/>
            <w:noProof/>
            <w:rtl/>
          </w:rPr>
          <w:t xml:space="preserve"> </w:t>
        </w:r>
        <w:r w:rsidR="00E625D2" w:rsidRPr="0072448E">
          <w:rPr>
            <w:rStyle w:val="Hyperlink"/>
            <w:rFonts w:hint="eastAsia"/>
            <w:noProof/>
            <w:rtl/>
          </w:rPr>
          <w:t>في</w:t>
        </w:r>
        <w:r w:rsidR="00E625D2" w:rsidRPr="0072448E">
          <w:rPr>
            <w:rStyle w:val="Hyperlink"/>
            <w:noProof/>
            <w:rtl/>
          </w:rPr>
          <w:t xml:space="preserve"> </w:t>
        </w:r>
        <w:r w:rsidR="00E625D2" w:rsidRPr="0072448E">
          <w:rPr>
            <w:rStyle w:val="Hyperlink"/>
            <w:rFonts w:hint="eastAsia"/>
            <w:noProof/>
            <w:rtl/>
          </w:rPr>
          <w:t>مصر،</w:t>
        </w:r>
        <w:r w:rsidR="00E625D2" w:rsidRPr="0072448E">
          <w:rPr>
            <w:rStyle w:val="Hyperlink"/>
            <w:noProof/>
            <w:rtl/>
          </w:rPr>
          <w:t xml:space="preserve"> </w:t>
        </w:r>
        <w:r w:rsidR="00E625D2" w:rsidRPr="0072448E">
          <w:rPr>
            <w:rStyle w:val="Hyperlink"/>
            <w:rFonts w:hint="eastAsia"/>
            <w:noProof/>
            <w:rtl/>
          </w:rPr>
          <w:t>للسنوات</w:t>
        </w:r>
        <w:r w:rsidR="00E625D2" w:rsidRPr="0072448E">
          <w:rPr>
            <w:rStyle w:val="Hyperlink"/>
            <w:noProof/>
            <w:rtl/>
          </w:rPr>
          <w:t xml:space="preserve"> 2000-2010</w:t>
        </w:r>
        <w:r w:rsidR="00E625D2">
          <w:rPr>
            <w:noProof/>
            <w:webHidden/>
          </w:rPr>
          <w:tab/>
        </w:r>
        <w:r w:rsidR="00E625D2">
          <w:rPr>
            <w:noProof/>
            <w:webHidden/>
          </w:rPr>
          <w:fldChar w:fldCharType="begin"/>
        </w:r>
        <w:r w:rsidR="00E625D2">
          <w:rPr>
            <w:noProof/>
            <w:webHidden/>
          </w:rPr>
          <w:instrText xml:space="preserve"> PAGEREF _Toc439186229 \h </w:instrText>
        </w:r>
        <w:r w:rsidR="00E625D2">
          <w:rPr>
            <w:noProof/>
            <w:webHidden/>
          </w:rPr>
        </w:r>
        <w:r w:rsidR="00E625D2">
          <w:rPr>
            <w:noProof/>
            <w:webHidden/>
          </w:rPr>
          <w:fldChar w:fldCharType="separate"/>
        </w:r>
        <w:r w:rsidR="00E625D2">
          <w:rPr>
            <w:noProof/>
            <w:webHidden/>
          </w:rPr>
          <w:t>7</w:t>
        </w:r>
        <w:r w:rsidR="00E625D2">
          <w:rPr>
            <w:noProof/>
            <w:webHidden/>
          </w:rPr>
          <w:fldChar w:fldCharType="end"/>
        </w:r>
      </w:hyperlink>
    </w:p>
    <w:p w:rsidR="00E625D2" w:rsidRDefault="00F4694D" w:rsidP="00E625D2">
      <w:pPr>
        <w:pStyle w:val="TOC1"/>
        <w:bidi/>
        <w:rPr>
          <w:rFonts w:asciiTheme="minorHAnsi" w:hAnsiTheme="minorHAnsi" w:cstheme="minorBidi"/>
          <w:b w:val="0"/>
          <w:noProof/>
          <w:snapToGrid/>
          <w:sz w:val="22"/>
          <w:szCs w:val="22"/>
        </w:rPr>
      </w:pPr>
      <w:hyperlink w:anchor="_Toc439186230" w:history="1">
        <w:r w:rsidR="00E625D2" w:rsidRPr="0072448E">
          <w:rPr>
            <w:rStyle w:val="Hyperlink"/>
            <w:rFonts w:hint="eastAsia"/>
            <w:noProof/>
            <w:rtl/>
          </w:rPr>
          <w:t>الشكل</w:t>
        </w:r>
        <w:r w:rsidR="00E625D2" w:rsidRPr="0072448E">
          <w:rPr>
            <w:rStyle w:val="Hyperlink"/>
            <w:noProof/>
            <w:rtl/>
          </w:rPr>
          <w:t xml:space="preserve"> 3. </w:t>
        </w:r>
        <w:r w:rsidR="00E625D2" w:rsidRPr="0072448E">
          <w:rPr>
            <w:rStyle w:val="Hyperlink"/>
            <w:rFonts w:hint="eastAsia"/>
            <w:noProof/>
            <w:rtl/>
          </w:rPr>
          <w:t>معدل</w:t>
        </w:r>
        <w:r w:rsidR="00E625D2" w:rsidRPr="0072448E">
          <w:rPr>
            <w:rStyle w:val="Hyperlink"/>
            <w:noProof/>
            <w:rtl/>
          </w:rPr>
          <w:t xml:space="preserve"> </w:t>
        </w:r>
        <w:r w:rsidR="00E625D2" w:rsidRPr="0072448E">
          <w:rPr>
            <w:rStyle w:val="Hyperlink"/>
            <w:rFonts w:hint="eastAsia"/>
            <w:noProof/>
            <w:rtl/>
          </w:rPr>
          <w:t>الفقر</w:t>
        </w:r>
        <w:r w:rsidR="00E625D2" w:rsidRPr="0072448E">
          <w:rPr>
            <w:rStyle w:val="Hyperlink"/>
            <w:noProof/>
            <w:rtl/>
          </w:rPr>
          <w:t xml:space="preserve"> </w:t>
        </w:r>
        <w:r w:rsidR="00E625D2" w:rsidRPr="0072448E">
          <w:rPr>
            <w:rStyle w:val="Hyperlink"/>
            <w:rFonts w:hint="eastAsia"/>
            <w:noProof/>
            <w:rtl/>
          </w:rPr>
          <w:t>في</w:t>
        </w:r>
        <w:r w:rsidR="00E625D2" w:rsidRPr="0072448E">
          <w:rPr>
            <w:rStyle w:val="Hyperlink"/>
            <w:noProof/>
            <w:rtl/>
          </w:rPr>
          <w:t xml:space="preserve"> </w:t>
        </w:r>
        <w:r w:rsidR="00E625D2" w:rsidRPr="0072448E">
          <w:rPr>
            <w:rStyle w:val="Hyperlink"/>
            <w:rFonts w:hint="eastAsia"/>
            <w:noProof/>
            <w:rtl/>
          </w:rPr>
          <w:t>مصر</w:t>
        </w:r>
        <w:r w:rsidR="00E625D2" w:rsidRPr="0072448E">
          <w:rPr>
            <w:rStyle w:val="Hyperlink"/>
            <w:noProof/>
            <w:rtl/>
          </w:rPr>
          <w:t xml:space="preserve"> </w:t>
        </w:r>
        <w:r w:rsidR="00E625D2" w:rsidRPr="0072448E">
          <w:rPr>
            <w:rStyle w:val="Hyperlink"/>
            <w:rFonts w:hint="eastAsia"/>
            <w:noProof/>
            <w:rtl/>
          </w:rPr>
          <w:t>حسب</w:t>
        </w:r>
        <w:r w:rsidR="00E625D2" w:rsidRPr="0072448E">
          <w:rPr>
            <w:rStyle w:val="Hyperlink"/>
            <w:noProof/>
            <w:rtl/>
          </w:rPr>
          <w:t xml:space="preserve"> </w:t>
        </w:r>
        <w:r w:rsidR="00E625D2" w:rsidRPr="0072448E">
          <w:rPr>
            <w:rStyle w:val="Hyperlink"/>
            <w:rFonts w:hint="eastAsia"/>
            <w:noProof/>
            <w:rtl/>
          </w:rPr>
          <w:t>المناطق،</w:t>
        </w:r>
        <w:r w:rsidR="00E625D2" w:rsidRPr="0072448E">
          <w:rPr>
            <w:rStyle w:val="Hyperlink"/>
            <w:noProof/>
            <w:rtl/>
          </w:rPr>
          <w:t xml:space="preserve"> </w:t>
        </w:r>
        <w:r w:rsidR="00E625D2" w:rsidRPr="0072448E">
          <w:rPr>
            <w:rStyle w:val="Hyperlink"/>
            <w:rFonts w:hint="eastAsia"/>
            <w:noProof/>
            <w:rtl/>
          </w:rPr>
          <w:t>للسنوات</w:t>
        </w:r>
        <w:r w:rsidR="00E625D2" w:rsidRPr="0072448E">
          <w:rPr>
            <w:rStyle w:val="Hyperlink"/>
            <w:noProof/>
            <w:rtl/>
          </w:rPr>
          <w:t xml:space="preserve"> 2005-2010</w:t>
        </w:r>
        <w:r w:rsidR="00E625D2">
          <w:rPr>
            <w:noProof/>
            <w:webHidden/>
          </w:rPr>
          <w:tab/>
        </w:r>
        <w:r w:rsidR="00E625D2">
          <w:rPr>
            <w:noProof/>
            <w:webHidden/>
          </w:rPr>
          <w:fldChar w:fldCharType="begin"/>
        </w:r>
        <w:r w:rsidR="00E625D2">
          <w:rPr>
            <w:noProof/>
            <w:webHidden/>
          </w:rPr>
          <w:instrText xml:space="preserve"> PAGEREF _Toc439186230 \h </w:instrText>
        </w:r>
        <w:r w:rsidR="00E625D2">
          <w:rPr>
            <w:noProof/>
            <w:webHidden/>
          </w:rPr>
        </w:r>
        <w:r w:rsidR="00E625D2">
          <w:rPr>
            <w:noProof/>
            <w:webHidden/>
          </w:rPr>
          <w:fldChar w:fldCharType="separate"/>
        </w:r>
        <w:r w:rsidR="00E625D2">
          <w:rPr>
            <w:noProof/>
            <w:webHidden/>
          </w:rPr>
          <w:t>7</w:t>
        </w:r>
        <w:r w:rsidR="00E625D2">
          <w:rPr>
            <w:noProof/>
            <w:webHidden/>
          </w:rPr>
          <w:fldChar w:fldCharType="end"/>
        </w:r>
      </w:hyperlink>
    </w:p>
    <w:p w:rsidR="00D65674" w:rsidRDefault="00E625D2" w:rsidP="00E625D2">
      <w:pPr>
        <w:bidi/>
        <w:rPr>
          <w:rFonts w:ascii="Simplified Arabic" w:hAnsi="Simplified Arabic" w:cs="Simplified Arabic"/>
          <w:sz w:val="36"/>
          <w:szCs w:val="36"/>
          <w:rtl/>
        </w:rPr>
      </w:pPr>
      <w:r>
        <w:rPr>
          <w:rFonts w:ascii="Simplified Arabic" w:hAnsi="Simplified Arabic" w:cs="Simplified Arabic"/>
          <w:sz w:val="36"/>
          <w:szCs w:val="36"/>
          <w:rtl/>
        </w:rPr>
        <w:fldChar w:fldCharType="end"/>
      </w:r>
    </w:p>
    <w:p w:rsidR="00D65674" w:rsidRPr="00F15E0B" w:rsidRDefault="00D65674" w:rsidP="00D65674">
      <w:pPr>
        <w:bidi/>
        <w:rPr>
          <w:rFonts w:ascii="Simplified Arabic" w:hAnsi="Simplified Arabic" w:cs="Simplified Arabic"/>
          <w:sz w:val="36"/>
          <w:szCs w:val="36"/>
          <w:rtl/>
        </w:rPr>
        <w:sectPr w:rsidR="00D65674" w:rsidRPr="00F15E0B">
          <w:headerReference w:type="default" r:id="rId11"/>
          <w:footerReference w:type="default" r:id="rId12"/>
          <w:footerReference w:type="first" r:id="rId13"/>
          <w:pgSz w:w="12240" w:h="15840" w:code="1"/>
          <w:pgMar w:top="1440" w:right="1440" w:bottom="1440" w:left="1440" w:header="720" w:footer="720" w:gutter="0"/>
          <w:pgNumType w:fmt="lowerRoman" w:start="1"/>
          <w:cols w:space="720"/>
          <w:titlePg/>
          <w:docGrid w:linePitch="360"/>
        </w:sectPr>
      </w:pPr>
    </w:p>
    <w:p w:rsidR="00810BAC" w:rsidRPr="00FF3102" w:rsidRDefault="00810BAC" w:rsidP="00810BAC">
      <w:pPr>
        <w:shd w:val="clear" w:color="auto" w:fill="FFFFFF"/>
        <w:autoSpaceDE w:val="0"/>
        <w:autoSpaceDN w:val="0"/>
        <w:bidi/>
        <w:adjustRightInd w:val="0"/>
        <w:jc w:val="center"/>
        <w:outlineLvl w:val="1"/>
        <w:rPr>
          <w:rFonts w:ascii="Simplified Arabic" w:eastAsiaTheme="minorEastAsia" w:hAnsi="Simplified Arabic" w:cs="Simplified Arabic"/>
          <w:bCs/>
          <w:color w:val="000000"/>
          <w:spacing w:val="-2"/>
          <w:rtl/>
          <w:lang w:bidi="ar-EG"/>
        </w:rPr>
      </w:pPr>
      <w:r w:rsidRPr="00FF3102">
        <w:rPr>
          <w:rFonts w:ascii="Simplified Arabic" w:eastAsiaTheme="minorEastAsia" w:hAnsi="Simplified Arabic" w:cs="Simplified Arabic"/>
          <w:bCs/>
          <w:color w:val="000000"/>
          <w:spacing w:val="-2"/>
          <w:rtl/>
        </w:rPr>
        <w:t>إطار الشراكة الإستراتيجية</w:t>
      </w:r>
    </w:p>
    <w:p w:rsidR="00810BAC" w:rsidRPr="00FF3102" w:rsidRDefault="00810BAC" w:rsidP="00810BAC">
      <w:pPr>
        <w:shd w:val="clear" w:color="auto" w:fill="FFFFFF"/>
        <w:autoSpaceDE w:val="0"/>
        <w:autoSpaceDN w:val="0"/>
        <w:bidi/>
        <w:adjustRightInd w:val="0"/>
        <w:jc w:val="center"/>
        <w:outlineLvl w:val="1"/>
        <w:rPr>
          <w:rFonts w:ascii="Simplified Arabic" w:eastAsiaTheme="minorEastAsia" w:hAnsi="Simplified Arabic" w:cs="Simplified Arabic"/>
          <w:bCs/>
          <w:color w:val="000000"/>
          <w:spacing w:val="-2"/>
          <w:rtl/>
          <w:lang w:bidi="ar-EG"/>
        </w:rPr>
      </w:pPr>
      <w:r w:rsidRPr="00FF3102">
        <w:rPr>
          <w:rFonts w:ascii="Simplified Arabic" w:eastAsiaTheme="minorEastAsia" w:hAnsi="Simplified Arabic" w:cs="Simplified Arabic"/>
          <w:bCs/>
          <w:color w:val="000000"/>
          <w:spacing w:val="-2"/>
          <w:rtl/>
        </w:rPr>
        <w:t>لجمهـورية مصـــر العربيـــة للسنوات المالية 2015-2019</w:t>
      </w:r>
    </w:p>
    <w:p w:rsidR="00810BAC" w:rsidRPr="00FF3102" w:rsidRDefault="00810BAC" w:rsidP="00810BAC">
      <w:pPr>
        <w:shd w:val="clear" w:color="auto" w:fill="FFFFFF"/>
        <w:autoSpaceDE w:val="0"/>
        <w:autoSpaceDN w:val="0"/>
        <w:bidi/>
        <w:adjustRightInd w:val="0"/>
        <w:jc w:val="center"/>
        <w:outlineLvl w:val="1"/>
        <w:rPr>
          <w:rFonts w:ascii="Simplified Arabic" w:eastAsia="SimSun" w:hAnsi="Simplified Arabic" w:cs="Simplified Arabic"/>
          <w:color w:val="000000"/>
          <w:spacing w:val="-2"/>
        </w:rPr>
      </w:pPr>
    </w:p>
    <w:p w:rsidR="00810BAC" w:rsidRPr="00FF3102" w:rsidRDefault="00810BAC" w:rsidP="00D23C58">
      <w:pPr>
        <w:pStyle w:val="Head1"/>
        <w:rPr>
          <w:rtl/>
          <w:lang w:bidi="ar-EG"/>
        </w:rPr>
      </w:pPr>
      <w:bookmarkStart w:id="0" w:name="_Toc439184534"/>
      <w:bookmarkStart w:id="1" w:name="OLE_LINK10"/>
      <w:bookmarkStart w:id="2" w:name="OLE_LINK11"/>
      <w:bookmarkStart w:id="3" w:name="OLE_LINK12"/>
      <w:bookmarkStart w:id="4" w:name="OLE_LINK13"/>
      <w:bookmarkStart w:id="5" w:name="OLE_LINK14"/>
      <w:bookmarkStart w:id="6" w:name="OLE_LINK15"/>
      <w:bookmarkStart w:id="7" w:name="OLE_LINK16"/>
      <w:bookmarkStart w:id="8" w:name="OLE_LINK17"/>
      <w:r w:rsidRPr="00FF3102">
        <w:rPr>
          <w:rtl/>
        </w:rPr>
        <w:t>ملخص وافٍ</w:t>
      </w:r>
      <w:bookmarkEnd w:id="0"/>
    </w:p>
    <w:p w:rsidR="00810BAC" w:rsidRPr="00FF3102" w:rsidRDefault="00810BAC" w:rsidP="00123A2B">
      <w:pPr>
        <w:pStyle w:val="MainParanoChap-ExecSum"/>
        <w:numPr>
          <w:ilvl w:val="1"/>
          <w:numId w:val="9"/>
        </w:numPr>
        <w:bidi/>
        <w:ind w:left="0" w:firstLine="0"/>
        <w:rPr>
          <w:rFonts w:ascii="Simplified Arabic" w:eastAsiaTheme="minorEastAsia" w:hAnsi="Simplified Arabic" w:cs="Simplified Arabic"/>
        </w:rPr>
      </w:pPr>
      <w:bookmarkStart w:id="9" w:name="OLE_LINK18"/>
      <w:bookmarkStart w:id="10" w:name="OLE_LINK19"/>
      <w:bookmarkStart w:id="11" w:name="OLE_LINK20"/>
      <w:bookmarkStart w:id="12" w:name="OLE_LINK21"/>
      <w:bookmarkStart w:id="13" w:name="OLE_LINK22"/>
      <w:bookmarkStart w:id="14" w:name="OLE_LINK23"/>
      <w:bookmarkStart w:id="15" w:name="OLE_LINK24"/>
      <w:bookmarkStart w:id="16" w:name="OLE_LINK25"/>
      <w:bookmarkStart w:id="17" w:name="OLE_LINK26"/>
      <w:bookmarkStart w:id="18" w:name="OLE_LINK27"/>
      <w:bookmarkStart w:id="19" w:name="OLE_LINK28"/>
      <w:bookmarkStart w:id="20" w:name="OLE_LINK29"/>
      <w:bookmarkStart w:id="21" w:name="OLE_LINK30"/>
      <w:bookmarkStart w:id="22" w:name="OLE_LINK31"/>
      <w:bookmarkStart w:id="23" w:name="OLE_LINK34"/>
      <w:bookmarkStart w:id="24" w:name="OLE_LINK35"/>
      <w:bookmarkEnd w:id="1"/>
      <w:bookmarkEnd w:id="2"/>
      <w:bookmarkEnd w:id="3"/>
      <w:bookmarkEnd w:id="4"/>
      <w:bookmarkEnd w:id="5"/>
      <w:bookmarkEnd w:id="6"/>
      <w:bookmarkEnd w:id="7"/>
      <w:bookmarkEnd w:id="8"/>
      <w:r w:rsidRPr="00FF3102">
        <w:rPr>
          <w:rFonts w:ascii="Simplified Arabic" w:eastAsiaTheme="minorEastAsia" w:hAnsi="Simplified Arabic" w:cs="Simplified Arabic"/>
          <w:bCs/>
          <w:iCs/>
          <w:rtl/>
        </w:rPr>
        <w:t xml:space="preserve">أُعد إطار الشراكة الإستراتيجية لمجموعة البنك الدولي الخاص بمصر للسنوات المالية 2015-2019 في </w:t>
      </w:r>
      <w:r w:rsidRPr="00FF3102">
        <w:rPr>
          <w:rFonts w:ascii="Simplified Arabic" w:eastAsiaTheme="minorEastAsia" w:hAnsi="Simplified Arabic" w:cs="Simplified Arabic"/>
          <w:bCs/>
          <w:iCs/>
          <w:rtl/>
          <w:lang w:bidi="ar-EG"/>
        </w:rPr>
        <w:t>منعطف بالغ</w:t>
      </w:r>
      <w:r w:rsidRPr="00FF3102">
        <w:rPr>
          <w:rFonts w:ascii="Simplified Arabic" w:eastAsiaTheme="minorEastAsia" w:hAnsi="Simplified Arabic" w:cs="Simplified Arabic"/>
          <w:bCs/>
          <w:iCs/>
          <w:rtl/>
        </w:rPr>
        <w:t xml:space="preserve"> الأهمية من تاريخ البلاد من أجل مساندة جهود الحكومة المصرية لإحداث تغييرات جوهرية على الصعيد الاقتصادي والاجتماعي.</w:t>
      </w:r>
      <w:r w:rsidRPr="00FF3102">
        <w:rPr>
          <w:rFonts w:ascii="Simplified Arabic" w:eastAsiaTheme="minorEastAsia" w:hAnsi="Simplified Arabic" w:cs="Simplified Arabic"/>
          <w:rtl/>
        </w:rPr>
        <w:t xml:space="preserve"> ويستند هذا الإطار إلى الإستراتيجية متوسطة الأمد التي وضعتها الحكومة المصرية والأولويات الوطنية للتنمية الاقتصادية، كما أنه يستجيب لاحتياجات وطلبات الحكومة، ويسترشد في إعداده بسلسلة من المشاورات مع طائفة واسعة من </w:t>
      </w:r>
      <w:r w:rsidR="00123A2B">
        <w:rPr>
          <w:rFonts w:ascii="Simplified Arabic" w:eastAsiaTheme="minorEastAsia" w:hAnsi="Simplified Arabic" w:cs="Simplified Arabic" w:hint="cs"/>
          <w:rtl/>
        </w:rPr>
        <w:t>الفئات المعنية</w:t>
      </w:r>
      <w:r w:rsidRPr="00FF3102">
        <w:rPr>
          <w:rFonts w:ascii="Simplified Arabic" w:eastAsiaTheme="minorEastAsia" w:hAnsi="Simplified Arabic" w:cs="Simplified Arabic"/>
          <w:rtl/>
        </w:rPr>
        <w:t xml:space="preserve"> في مصر. وفي الوقت ذاته، يقترح ه</w:t>
      </w:r>
      <w:r w:rsidR="00123A2B">
        <w:rPr>
          <w:rFonts w:ascii="Simplified Arabic" w:eastAsiaTheme="minorEastAsia" w:hAnsi="Simplified Arabic" w:cs="Simplified Arabic"/>
          <w:rtl/>
        </w:rPr>
        <w:t>ذا الإطار بعض الإجراءات</w:t>
      </w:r>
      <w:r w:rsidR="00123A2B">
        <w:rPr>
          <w:rFonts w:ascii="Simplified Arabic" w:eastAsiaTheme="minorEastAsia" w:hAnsi="Simplified Arabic" w:cs="Simplified Arabic" w:hint="cs"/>
          <w:rtl/>
        </w:rPr>
        <w:t xml:space="preserve"> </w:t>
      </w:r>
      <w:r w:rsidR="00123A2B">
        <w:rPr>
          <w:rFonts w:ascii="Simplified Arabic" w:eastAsiaTheme="minorEastAsia" w:hAnsi="Simplified Arabic" w:cs="Simplified Arabic"/>
          <w:rtl/>
        </w:rPr>
        <w:t>ال</w:t>
      </w:r>
      <w:r w:rsidR="00123A2B">
        <w:rPr>
          <w:rFonts w:ascii="Simplified Arabic" w:eastAsiaTheme="minorEastAsia" w:hAnsi="Simplified Arabic" w:cs="Simplified Arabic" w:hint="cs"/>
          <w:rtl/>
        </w:rPr>
        <w:t>إ</w:t>
      </w:r>
      <w:r w:rsidRPr="00FF3102">
        <w:rPr>
          <w:rFonts w:ascii="Simplified Arabic" w:eastAsiaTheme="minorEastAsia" w:hAnsi="Simplified Arabic" w:cs="Simplified Arabic"/>
          <w:rtl/>
        </w:rPr>
        <w:t>نتقائية التي تتماشى مع الأولويات الإنمائية للدراسة التشخيصية المنهجية الخاصة بمصر،</w:t>
      </w:r>
      <w:r w:rsidRPr="00FF3102">
        <w:rPr>
          <w:rStyle w:val="FootnoteReference"/>
          <w:rFonts w:ascii="Simplified Arabic" w:eastAsiaTheme="minorEastAsia" w:hAnsi="Simplified Arabic" w:cs="Simplified Arabic"/>
          <w:rtl/>
        </w:rPr>
        <w:footnoteReference w:id="2"/>
      </w:r>
      <w:r w:rsidR="003A1252">
        <w:rPr>
          <w:rFonts w:ascii="Simplified Arabic" w:eastAsiaTheme="minorEastAsia" w:hAnsi="Simplified Arabic" w:cs="Simplified Arabic"/>
          <w:rtl/>
        </w:rPr>
        <w:t xml:space="preserve"> </w:t>
      </w:r>
      <w:r w:rsidRPr="00FF3102">
        <w:rPr>
          <w:rFonts w:ascii="Simplified Arabic" w:eastAsiaTheme="minorEastAsia" w:hAnsi="Simplified Arabic" w:cs="Simplified Arabic"/>
          <w:rtl/>
        </w:rPr>
        <w:t xml:space="preserve">ويستفيد من الميزة النسبية لمجموعة البنك الدولي. وسيسعى هذا البرنامج المقترح أيضا إلى تنفيذ الإستراتيجية الجديدة لمكتب منطقة الشرق الأوسط وشمال أفريقيا، لاسيما الركائز المتعلقة بتجديد العقد الاجتماعي ومساندة التعافي الاقتصادي وتعزيز التعاون الإقليمي. </w:t>
      </w:r>
    </w:p>
    <w:p w:rsidR="00810BAC" w:rsidRPr="00FF3102" w:rsidRDefault="00810BAC" w:rsidP="00123A2B">
      <w:pPr>
        <w:pStyle w:val="MainParanoChap-ExecSum"/>
        <w:numPr>
          <w:ilvl w:val="1"/>
          <w:numId w:val="9"/>
        </w:numPr>
        <w:bidi/>
        <w:ind w:left="0" w:firstLine="0"/>
        <w:rPr>
          <w:rFonts w:ascii="Simplified Arabic" w:eastAsiaTheme="minorEastAsia" w:hAnsi="Simplified Arabic" w:cs="Simplified Arabic"/>
        </w:rPr>
      </w:pPr>
      <w:bookmarkStart w:id="25" w:name="OLE_LINK3"/>
      <w:bookmarkStart w:id="26" w:name="OLE_LINK4"/>
      <w:bookmarkStart w:id="27" w:name="OLE_LINK5"/>
      <w:bookmarkStart w:id="28" w:name="OLE_LINK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FF3102">
        <w:rPr>
          <w:rFonts w:ascii="Simplified Arabic" w:eastAsiaTheme="minorEastAsia" w:hAnsi="Simplified Arabic" w:cs="Simplified Arabic"/>
          <w:bCs/>
          <w:i/>
          <w:iCs/>
          <w:rtl/>
        </w:rPr>
        <w:t>نفذت مصر إصلاحات سياسية واقتصادية واجتماعية،</w:t>
      </w:r>
      <w:r w:rsidR="00123A2B">
        <w:rPr>
          <w:rFonts w:ascii="Simplified Arabic" w:eastAsiaTheme="minorEastAsia" w:hAnsi="Simplified Arabic" w:cs="Simplified Arabic" w:hint="cs"/>
          <w:bCs/>
          <w:i/>
          <w:iCs/>
          <w:rtl/>
        </w:rPr>
        <w:t xml:space="preserve"> ومع ذلك</w:t>
      </w:r>
      <w:r w:rsidRPr="00FF3102">
        <w:rPr>
          <w:rFonts w:ascii="Simplified Arabic" w:eastAsiaTheme="minorEastAsia" w:hAnsi="Simplified Arabic" w:cs="Simplified Arabic"/>
          <w:bCs/>
          <w:i/>
          <w:iCs/>
          <w:rtl/>
        </w:rPr>
        <w:t xml:space="preserve"> </w:t>
      </w:r>
      <w:r w:rsidR="00123A2B">
        <w:rPr>
          <w:rFonts w:ascii="Simplified Arabic" w:eastAsiaTheme="minorEastAsia" w:hAnsi="Simplified Arabic" w:cs="Simplified Arabic" w:hint="cs"/>
          <w:bCs/>
          <w:i/>
          <w:iCs/>
          <w:rtl/>
        </w:rPr>
        <w:t>يظل</w:t>
      </w:r>
      <w:r w:rsidRPr="00FF3102">
        <w:rPr>
          <w:rFonts w:ascii="Simplified Arabic" w:eastAsiaTheme="minorEastAsia" w:hAnsi="Simplified Arabic" w:cs="Simplified Arabic"/>
          <w:bCs/>
          <w:i/>
          <w:iCs/>
          <w:rtl/>
        </w:rPr>
        <w:t xml:space="preserve"> أمامها تحديات كبيرة</w:t>
      </w:r>
      <w:r w:rsidRPr="00FF3102">
        <w:rPr>
          <w:rFonts w:ascii="Simplified Arabic" w:eastAsiaTheme="minorEastAsia" w:hAnsi="Simplified Arabic" w:cs="Simplified Arabic"/>
          <w:bCs/>
          <w:rtl/>
        </w:rPr>
        <w:t>.</w:t>
      </w:r>
      <w:r w:rsidRPr="00FF3102">
        <w:rPr>
          <w:rFonts w:ascii="Simplified Arabic" w:eastAsiaTheme="minorEastAsia" w:hAnsi="Simplified Arabic" w:cs="Simplified Arabic"/>
          <w:bCs/>
          <w:iCs/>
          <w:color w:val="000000"/>
          <w:spacing w:val="-2"/>
          <w:rtl/>
        </w:rPr>
        <w:t xml:space="preserve"> </w:t>
      </w:r>
      <w:r w:rsidRPr="00FF3102">
        <w:rPr>
          <w:rFonts w:ascii="Simplified Arabic" w:eastAsiaTheme="minorEastAsia" w:hAnsi="Simplified Arabic" w:cs="Simplified Arabic"/>
          <w:spacing w:val="-2"/>
          <w:rtl/>
        </w:rPr>
        <w:t>وتشهد عملية التحول السياسي في مصر إحراز تقدُّم، إذ من المقرر الانتهاء من إجراء الانتخابات البرلمانية بحلول نهاية عام 2015. وقد أقدمت مصر مؤخراً على اتخاذ إجراءات مهمة للحد من عجز الموازنة العامة واستعادة استقرار الاقتصاد الكلي بالتحول من الدعم الشامل إلى اعتماد برنامج للتحويلات أكثر توجيهاً، واتخاذ تدابير لاحتواء فاتورة الأجور، وزيادة إيرادات الضرائب.</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وتُظهر أرقام الاقتصاد الكلي بعض التحسُّن مع ارتفاع معدل النمو إلى 4.2 في المائة عام 2014/2015. وتشير مؤشرات السلامة المالية إلى استمرار قدرة القطاع المصرفي على التعافي ومواجهة الأزمات، كما تبذل الحكومة المصرية جهودا لتعميق الخدمات المالية بحيث تشمل كافة فئات المجتمع.</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ورغم ذلك، من الضروري أن تستمر الإصلاحات المالية العامة والاقتصادية من أجل تعزيز معدلات النمو. وقد قطعت مصر أيضا خطوات كبيرة على مؤشرات التنمية البشرية:</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شهدت</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معدلات</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وفيات</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الأطفال،</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والعمر</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المتوقع</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عند</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الميلاد،</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والالتحاق</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بالتعليم</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الابتدائي</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والثانوي، ومعدلات الإلمام بالقراءة والكتابة تحسنا</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كبيرا</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في</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الأعوام</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الثلاثين</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 xml:space="preserve">الماضية. وهنا أيضا، لا تزال قضايا تحسين نظام الإدارة العامة والحوكمة تؤثر في نواتج الصحة والتعليم. ولحماية الفقراء، تستهدف الحكومة من خلال برنامج جديد للتحويلات النقدية مساعدة 1.5 مليون أسرة. </w:t>
      </w:r>
    </w:p>
    <w:p w:rsidR="00810BAC" w:rsidRPr="00FF3102" w:rsidRDefault="00810BAC" w:rsidP="00AB20C0">
      <w:pPr>
        <w:pStyle w:val="MainParanoChap-ExecSum"/>
        <w:numPr>
          <w:ilvl w:val="1"/>
          <w:numId w:val="9"/>
        </w:numPr>
        <w:bidi/>
        <w:ind w:left="0" w:firstLine="0"/>
        <w:rPr>
          <w:rFonts w:ascii="Simplified Arabic" w:eastAsiaTheme="minorEastAsia" w:hAnsi="Simplified Arabic" w:cs="Simplified Arabic"/>
        </w:rPr>
      </w:pPr>
      <w:bookmarkStart w:id="29" w:name="OLE_LINK76"/>
      <w:bookmarkStart w:id="30" w:name="OLE_LINK77"/>
      <w:bookmarkStart w:id="31" w:name="OLE_LINK78"/>
      <w:bookmarkStart w:id="32" w:name="OLE_LINK79"/>
      <w:bookmarkEnd w:id="25"/>
      <w:bookmarkEnd w:id="26"/>
      <w:bookmarkEnd w:id="27"/>
      <w:bookmarkEnd w:id="28"/>
      <w:r w:rsidRPr="00FF3102">
        <w:rPr>
          <w:rFonts w:ascii="Simplified Arabic" w:eastAsiaTheme="minorEastAsia" w:hAnsi="Simplified Arabic" w:cs="Simplified Arabic"/>
          <w:bCs/>
          <w:iCs/>
          <w:rtl/>
        </w:rPr>
        <w:t>هناك حاجة لإجراء إصلاحات هيكلية بعيدة المدى ليتحول الاقتصاد المصري إلى منظومة ديناميكية يمكنها الحد من الفقر، وخلق فرص عمل منتجة، والحفاظ على الاستقرار الاجتماعي والسياسي.</w:t>
      </w:r>
      <w:r w:rsidRPr="00FF3102">
        <w:rPr>
          <w:rFonts w:ascii="Simplified Arabic" w:eastAsiaTheme="minorEastAsia" w:hAnsi="Simplified Arabic" w:cs="Simplified Arabic"/>
          <w:rtl/>
        </w:rPr>
        <w:t xml:space="preserve"> وكان النمو الاقتصادي في العقود الثلاثة الماضية متوسطا ومتفاوتا، ولم يكن كافيا للحد من الفقر أو لاستيعاب النمو السريع للمعروض من الأيدي العاملة. وظلت معدلات الفقر مرتفعة عند نسبة تبلغ نحو 25 في المائة من السكان مع تركّزها في قرى الصعيد، كما لا تزال نسبة البطالة مرتفعة خاصةً بين النساء والشباب. وفي الوقت ذاته، مازال عجز الموازنة العامة كبيراً، ولا تكفي احتياطيات النقد الأجنبي إلا لنحو ثلاثة أشهر من الواردات، ولا تزال المخاطر السياسية والاجتماعية قائمة نظرا لاستمرار وجود مسبباتها الأساسية، وهي نقص الوظائف في القطاع الرسمي وارتفاع نسبة البطالة والعمالة الجزئية بين الشباب المصري وإقصاء الفئات الفقيرة من السكان.</w:t>
      </w:r>
      <w:r w:rsidRPr="00FF3102">
        <w:rPr>
          <w:rFonts w:ascii="Simplified Arabic" w:eastAsiaTheme="minorEastAsia" w:hAnsi="Simplified Arabic" w:cs="Simplified Arabic"/>
        </w:rPr>
        <w:t xml:space="preserve"> </w:t>
      </w:r>
    </w:p>
    <w:p w:rsidR="00810BAC" w:rsidRPr="00FF3102" w:rsidRDefault="00810BAC" w:rsidP="001E71BE">
      <w:pPr>
        <w:pStyle w:val="MainParanoChap-ExecSum"/>
        <w:numPr>
          <w:ilvl w:val="1"/>
          <w:numId w:val="9"/>
        </w:numPr>
        <w:bidi/>
        <w:ind w:left="0" w:firstLine="0"/>
        <w:rPr>
          <w:rFonts w:ascii="Simplified Arabic" w:eastAsiaTheme="minorEastAsia" w:hAnsi="Simplified Arabic" w:cs="Simplified Arabic"/>
        </w:rPr>
      </w:pPr>
      <w:bookmarkStart w:id="33" w:name="OLE_LINK83"/>
      <w:bookmarkStart w:id="34" w:name="OLE_LINK84"/>
      <w:bookmarkStart w:id="35" w:name="OLE_LINK85"/>
      <w:bookmarkStart w:id="36" w:name="OLE_LINK86"/>
      <w:bookmarkStart w:id="37" w:name="OLE_LINK89"/>
      <w:bookmarkStart w:id="38" w:name="OLE_LINK90"/>
      <w:bookmarkStart w:id="39" w:name="OLE_LINK87"/>
      <w:bookmarkStart w:id="40" w:name="OLE_LINK88"/>
      <w:bookmarkStart w:id="41" w:name="OLE_LINK91"/>
      <w:bookmarkStart w:id="42" w:name="OLE_LINK92"/>
      <w:bookmarkEnd w:id="29"/>
      <w:bookmarkEnd w:id="30"/>
      <w:bookmarkEnd w:id="31"/>
      <w:bookmarkEnd w:id="32"/>
      <w:r w:rsidRPr="00FF3102">
        <w:rPr>
          <w:rFonts w:ascii="Simplified Arabic" w:eastAsiaTheme="minorEastAsia" w:hAnsi="Simplified Arabic" w:cs="Simplified Arabic"/>
          <w:bCs/>
          <w:iCs/>
          <w:rtl/>
        </w:rPr>
        <w:t>أدت القفزة التي طرأت مؤخرا على معدل الزيادة السكانية، مقترنة بالطفرة الناتجة عن التضخم السكاني الأخير، إلى حدوث تضخم ثانٍ في أعداد الشباب بنسبة تزيد بنحو 50 في المائة عن سابقه.</w:t>
      </w:r>
      <w:r w:rsidRPr="00FF3102">
        <w:rPr>
          <w:rFonts w:ascii="Simplified Arabic" w:eastAsiaTheme="minorEastAsia" w:hAnsi="Simplified Arabic" w:cs="Simplified Arabic"/>
          <w:rtl/>
        </w:rPr>
        <w:t xml:space="preserve"> وسيؤدي ذلك إلى زيادة الضغوط الواقعة على سوق العمل والبنية التحتية والخدمات الاجتماعية والبيئة، مما يزيد من ضرورة قيام مصر بتنفيذ إصلاحات هيكلية وإصلاحات للسياسات واسعة النطاق.</w:t>
      </w:r>
    </w:p>
    <w:bookmarkEnd w:id="33"/>
    <w:bookmarkEnd w:id="34"/>
    <w:bookmarkEnd w:id="35"/>
    <w:bookmarkEnd w:id="36"/>
    <w:bookmarkEnd w:id="37"/>
    <w:bookmarkEnd w:id="38"/>
    <w:bookmarkEnd w:id="39"/>
    <w:bookmarkEnd w:id="40"/>
    <w:bookmarkEnd w:id="41"/>
    <w:bookmarkEnd w:id="42"/>
    <w:p w:rsidR="00810BAC" w:rsidRPr="00FF3102" w:rsidRDefault="00810BAC" w:rsidP="00AB20C0">
      <w:pPr>
        <w:pStyle w:val="MainParanoChap-ExecSum"/>
        <w:numPr>
          <w:ilvl w:val="1"/>
          <w:numId w:val="9"/>
        </w:numPr>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طرحت الحكومة المصرية مؤخرا إستراتيجيتها للتنمية المستدامة: رؤية مصر للعام 2030</w:t>
      </w:r>
      <w:r w:rsidRPr="00FF3102">
        <w:rPr>
          <w:rFonts w:ascii="Simplified Arabic" w:eastAsiaTheme="minorEastAsia" w:hAnsi="Simplified Arabic" w:cs="Simplified Arabic"/>
          <w:rtl/>
        </w:rPr>
        <w:t xml:space="preserve">. وقد وُضعت هذه الإستراتيجية بالتشاور مع المجتمع المدني والقطاع الخاص والشباب المصري وشركاء التنمية الدوليين، وهي تركز على ثلاثة مجالات رئيسية: التنمية الاقتصادية، وتحسين نظام الإدارة العامة والحوكمة، والعدالة الاجتماعية، واحتواء كافة فئات المجتمع. وتتمثل أبرز سمات هذه الإستراتيجية في التركيز على الدور القيادي المتوقع أن يلعبه القطاع الخاص في التنمية الاقتصادية، والتأكيد على الحاجة إلى تعزيز الشفافية والمساءلة في القطاع العام، والتأكيد على احتواء الجميع. وكما هو الحال مع جميع الإستراتيجيات، سيتوقف النجاح </w:t>
      </w:r>
      <w:r w:rsidR="00AB20C0">
        <w:rPr>
          <w:rFonts w:ascii="Simplified Arabic" w:eastAsiaTheme="minorEastAsia" w:hAnsi="Simplified Arabic" w:cs="Simplified Arabic" w:hint="cs"/>
          <w:rtl/>
        </w:rPr>
        <w:t>بصورة أساساسية</w:t>
      </w:r>
      <w:r w:rsidRPr="00FF3102">
        <w:rPr>
          <w:rFonts w:ascii="Simplified Arabic" w:eastAsiaTheme="minorEastAsia" w:hAnsi="Simplified Arabic" w:cs="Simplified Arabic"/>
          <w:rtl/>
        </w:rPr>
        <w:t xml:space="preserve"> على مدى جودة تنفيذ إستراتيجية الحكومة المصرية.</w:t>
      </w:r>
    </w:p>
    <w:p w:rsidR="00810BAC" w:rsidRPr="00FF3102" w:rsidRDefault="00810BAC" w:rsidP="001E71BE">
      <w:pPr>
        <w:pStyle w:val="MainParanoChap-ExecSum"/>
        <w:numPr>
          <w:ilvl w:val="1"/>
          <w:numId w:val="9"/>
        </w:numPr>
        <w:bidi/>
        <w:ind w:left="0" w:firstLine="0"/>
        <w:rPr>
          <w:rFonts w:ascii="Simplified Arabic" w:eastAsiaTheme="minorEastAsia" w:hAnsi="Simplified Arabic" w:cs="Simplified Arabic"/>
        </w:rPr>
      </w:pPr>
      <w:bookmarkStart w:id="43" w:name="OLE_LINK102"/>
      <w:bookmarkStart w:id="44" w:name="OLE_LINK103"/>
      <w:r w:rsidRPr="00FF3102">
        <w:rPr>
          <w:rFonts w:ascii="Simplified Arabic" w:eastAsiaTheme="minorEastAsia" w:hAnsi="Simplified Arabic" w:cs="Simplified Arabic"/>
          <w:bCs/>
          <w:iCs/>
          <w:rtl/>
        </w:rPr>
        <w:t>تركز مساندة مجموعة البنك الدولي ضمن إطار الشراكة الإستراتيجية على تحقيق هدفي المجموعة، وتعطي أولوية للركيزة الأولى من إستراتيجية منطقة الشرق الأوسط وشمال أفريقيا "تجديد العقد الاجتماعي، وتُرتَّب ضمن ثلاثة مجالات للتركيز مرتبطة ببعضها ارتباطا وثيقا: (أ) تحسين نظام الإدارة العامة والحوكمة؛ (ب) خلق فرص عمل بالقطاع الخاص؛ (ج) الاحتواء الاجتماعي.</w:t>
      </w:r>
      <w:r w:rsidRPr="00FF3102">
        <w:rPr>
          <w:rFonts w:ascii="Simplified Arabic" w:eastAsiaTheme="minorEastAsia" w:hAnsi="Simplified Arabic" w:cs="Simplified Arabic"/>
          <w:b/>
          <w:i/>
        </w:rPr>
        <w:t xml:space="preserve"> </w:t>
      </w:r>
    </w:p>
    <w:p w:rsidR="00810BAC" w:rsidRPr="00FF3102" w:rsidRDefault="00810BAC" w:rsidP="00AB20C0">
      <w:pPr>
        <w:pStyle w:val="Bullet3"/>
        <w:bidi/>
        <w:ind w:left="1080"/>
        <w:rPr>
          <w:rFonts w:ascii="Simplified Arabic" w:eastAsiaTheme="minorEastAsia" w:hAnsi="Simplified Arabic" w:cs="Simplified Arabic"/>
          <w:b/>
          <w:i/>
        </w:rPr>
      </w:pPr>
      <w:bookmarkStart w:id="45" w:name="OLE_LINK104"/>
      <w:bookmarkStart w:id="46" w:name="OLE_LINK105"/>
      <w:bookmarkStart w:id="47" w:name="OLE_LINK106"/>
      <w:bookmarkStart w:id="48" w:name="OLE_LINK107"/>
      <w:bookmarkStart w:id="49" w:name="OLE_LINK108"/>
      <w:bookmarkStart w:id="50" w:name="OLE_LINK109"/>
      <w:bookmarkStart w:id="51" w:name="OLE_LINK110"/>
      <w:bookmarkEnd w:id="43"/>
      <w:bookmarkEnd w:id="44"/>
      <w:r w:rsidRPr="00FF3102">
        <w:rPr>
          <w:rFonts w:ascii="Simplified Arabic" w:eastAsiaTheme="minorEastAsia" w:hAnsi="Simplified Arabic" w:cs="Simplified Arabic"/>
          <w:bCs/>
          <w:rtl/>
        </w:rPr>
        <w:t>جهود تحسين نظام الإدارة العامة والحوكمة</w:t>
      </w:r>
      <w:r w:rsidRPr="00FF3102">
        <w:rPr>
          <w:rFonts w:ascii="Simplified Arabic" w:eastAsiaTheme="minorEastAsia" w:hAnsi="Simplified Arabic" w:cs="Simplified Arabic"/>
          <w:rtl/>
        </w:rPr>
        <w:t xml:space="preserve"> ستشمل تحسين مستوى الشفافية والكفاءة، وتدعيم إنشاء مؤسسات شاملة للجميع تعمل لصالح الفقراء، وتشجيع مشاركة المواطنين واستطلاع آرائهم. وستساند مجموعة البنك الدولي تعزيز ثقة المواطنين في أجهزة الدولة، لاسيما فيما يتعلق بتقديم الخدمات مثل إنشاء نظام موجَّه للتحويلات الاجتماعية وتطبيق اللامركزية في تقديم خدمات الصرف الصحي بالمناطق الريفية؛ وتحسين مستوى شفافية وكفاءة الإدارة العامة من خلال تدعيم قدرة المواطنين على </w:t>
      </w:r>
      <w:r w:rsidR="00AB20C0">
        <w:rPr>
          <w:rFonts w:ascii="Simplified Arabic" w:eastAsiaTheme="minorEastAsia" w:hAnsi="Simplified Arabic" w:cs="Simplified Arabic" w:hint="cs"/>
          <w:rtl/>
        </w:rPr>
        <w:t>مساءلة</w:t>
      </w:r>
      <w:r w:rsidRPr="00FF3102">
        <w:rPr>
          <w:rFonts w:ascii="Simplified Arabic" w:eastAsiaTheme="minorEastAsia" w:hAnsi="Simplified Arabic" w:cs="Simplified Arabic"/>
          <w:rtl/>
        </w:rPr>
        <w:t xml:space="preserve"> المسؤولين بالدولة من خلال إتاحة الحصول على المعلومات واستطلاع الآراء بشأن مستوى تقديم الخدمات؛ وتحسين نظم الإدارة العامة والحوكمة في قطاع الطاقة من خلال إصلاحات سياسات ودعم الطاقة. وتقع قضايا تحسين نظام الإدارة العامة والحوكمة في صميم مجالي التركيز الآخرَين كذلك.</w:t>
      </w:r>
    </w:p>
    <w:p w:rsidR="00810BAC" w:rsidRPr="00FF3102" w:rsidRDefault="00810BAC" w:rsidP="00810BAC">
      <w:pPr>
        <w:pStyle w:val="Bullet3"/>
        <w:bidi/>
        <w:ind w:left="1080"/>
        <w:rPr>
          <w:rFonts w:ascii="Simplified Arabic" w:eastAsiaTheme="minorEastAsia" w:hAnsi="Simplified Arabic" w:cs="Simplified Arabic"/>
          <w:b/>
          <w:i/>
        </w:rPr>
      </w:pPr>
      <w:bookmarkStart w:id="52" w:name="OLE_LINK166"/>
      <w:bookmarkStart w:id="53" w:name="OLE_LINK167"/>
      <w:bookmarkStart w:id="54" w:name="OLE_LINK168"/>
      <w:bookmarkStart w:id="55" w:name="OLE_LINK169"/>
      <w:bookmarkStart w:id="56" w:name="OLE_LINK170"/>
      <w:bookmarkStart w:id="57" w:name="OLE_LINK171"/>
      <w:bookmarkStart w:id="58" w:name="OLE_LINK172"/>
      <w:bookmarkStart w:id="59" w:name="OLE_LINK173"/>
      <w:bookmarkStart w:id="60" w:name="OLE_LINK174"/>
      <w:bookmarkStart w:id="61" w:name="OLE_LINK175"/>
      <w:bookmarkStart w:id="62" w:name="OLE_LINK176"/>
      <w:bookmarkStart w:id="63" w:name="OLE_LINK164"/>
      <w:bookmarkStart w:id="64" w:name="OLE_LINK165"/>
      <w:bookmarkStart w:id="65" w:name="OLE_LINK123"/>
      <w:bookmarkStart w:id="66" w:name="OLE_LINK124"/>
      <w:bookmarkStart w:id="67" w:name="OLE_LINK125"/>
      <w:bookmarkStart w:id="68" w:name="OLE_LINK126"/>
      <w:bookmarkStart w:id="69" w:name="OLE_LINK127"/>
      <w:bookmarkStart w:id="70" w:name="OLE_LINK128"/>
      <w:bookmarkStart w:id="71" w:name="OLE_LINK129"/>
      <w:bookmarkStart w:id="72" w:name="OLE_LINK130"/>
      <w:bookmarkStart w:id="73" w:name="OLE_LINK131"/>
      <w:bookmarkStart w:id="74" w:name="OLE_LINK132"/>
      <w:bookmarkStart w:id="75" w:name="OLE_LINK135"/>
      <w:bookmarkStart w:id="76" w:name="OLE_LINK136"/>
      <w:bookmarkStart w:id="77" w:name="OLE_LINK133"/>
      <w:bookmarkStart w:id="78" w:name="OLE_LINK134"/>
      <w:bookmarkStart w:id="79" w:name="OLE_LINK121"/>
      <w:bookmarkStart w:id="80" w:name="OLE_LINK122"/>
      <w:bookmarkStart w:id="81" w:name="OLE_LINK137"/>
      <w:bookmarkStart w:id="82" w:name="OLE_LINK138"/>
      <w:bookmarkStart w:id="83" w:name="OLE_LINK139"/>
      <w:bookmarkStart w:id="84" w:name="OLE_LINK140"/>
      <w:bookmarkStart w:id="85" w:name="OLE_LINK143"/>
      <w:bookmarkStart w:id="86" w:name="OLE_LINK144"/>
      <w:bookmarkStart w:id="87" w:name="OLE_LINK147"/>
      <w:bookmarkStart w:id="88" w:name="OLE_LINK148"/>
      <w:bookmarkStart w:id="89" w:name="OLE_LINK149"/>
      <w:bookmarkStart w:id="90" w:name="OLE_LINK150"/>
      <w:bookmarkStart w:id="91" w:name="OLE_LINK153"/>
      <w:bookmarkStart w:id="92" w:name="OLE_LINK154"/>
      <w:bookmarkStart w:id="93" w:name="OLE_LINK151"/>
      <w:bookmarkStart w:id="94" w:name="OLE_LINK152"/>
      <w:bookmarkStart w:id="95" w:name="OLE_LINK155"/>
      <w:bookmarkStart w:id="96" w:name="OLE_LINK156"/>
      <w:bookmarkStart w:id="97" w:name="OLE_LINK158"/>
      <w:bookmarkStart w:id="98" w:name="OLE_LINK159"/>
      <w:bookmarkStart w:id="99" w:name="OLE_LINK160"/>
      <w:bookmarkStart w:id="100" w:name="OLE_LINK161"/>
      <w:bookmarkEnd w:id="45"/>
      <w:bookmarkEnd w:id="46"/>
      <w:bookmarkEnd w:id="47"/>
      <w:bookmarkEnd w:id="48"/>
      <w:bookmarkEnd w:id="49"/>
      <w:bookmarkEnd w:id="50"/>
      <w:bookmarkEnd w:id="51"/>
      <w:r w:rsidRPr="00FF3102">
        <w:rPr>
          <w:rFonts w:ascii="Simplified Arabic" w:eastAsiaTheme="minorEastAsia" w:hAnsi="Simplified Arabic" w:cs="Simplified Arabic"/>
          <w:bCs/>
          <w:spacing w:val="-2"/>
          <w:rtl/>
        </w:rPr>
        <w:t xml:space="preserve">مساندة خلق فرص عمل بالقطاع الخاص </w:t>
      </w:r>
      <w:r w:rsidRPr="00FF3102">
        <w:rPr>
          <w:rFonts w:ascii="Simplified Arabic" w:eastAsiaTheme="minorEastAsia" w:hAnsi="Simplified Arabic" w:cs="Simplified Arabic"/>
          <w:spacing w:val="-2"/>
          <w:rtl/>
        </w:rPr>
        <w:t>ستشمل تحسين مناخ الأعمال أمام استثمارات القطاع الخاص.</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 xml:space="preserve">وقد تساند مجموعة البنك الدولي أيضا توجيه استثمارات تحفيزية في مجال البنية التحتية والمؤسسات وبناء القدرات التي تسهم في زيادة القدرة التنافسية بما في ذلك تنمية المهارات المطلوبة في سوق العمل؛ وضمان أمن الطاقة وتنويع مصادرها في مصر من خلال تحسين كفاءة استخدام الطاقة ومساندة الاستدامة المالية لقطاع الطاقة؛ وتدعيم قطاع النقل لتعزيز القدرة على الانتقال والاتصال وحفز النشاط الاقتصادي؛ وتحسين إنتاجية قطاع الزراعة عن طريق تدعيم وسائل توزيع الموارد المائية وإدارتها وتطوير سلاسل التوريد؛ وتحسين تعميم الخدمات المالية ونظام الإدارة العامة والحوكمة لتنمية المشروعات المتوسطة والصغيرة ومتناهية الصغر. </w:t>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rsidR="00810BAC" w:rsidRPr="00FF3102" w:rsidRDefault="00810BAC" w:rsidP="00810BAC">
      <w:pPr>
        <w:pStyle w:val="Bullet3"/>
        <w:bidi/>
        <w:ind w:left="1080"/>
        <w:rPr>
          <w:rFonts w:ascii="Simplified Arabic" w:eastAsiaTheme="minorEastAsia" w:hAnsi="Simplified Arabic" w:cs="Simplified Arabic"/>
          <w:spacing w:val="-2"/>
        </w:rPr>
      </w:pPr>
      <w:r w:rsidRPr="00FF3102">
        <w:rPr>
          <w:rFonts w:ascii="Simplified Arabic" w:eastAsiaTheme="minorEastAsia" w:hAnsi="Simplified Arabic" w:cs="Simplified Arabic"/>
          <w:bCs/>
          <w:spacing w:val="-2"/>
          <w:rtl/>
        </w:rPr>
        <w:t>تحسين الاحتواء الاجتماعي</w:t>
      </w:r>
      <w:r w:rsidRPr="00FF3102">
        <w:rPr>
          <w:rFonts w:ascii="Simplified Arabic" w:eastAsiaTheme="minorEastAsia" w:hAnsi="Simplified Arabic" w:cs="Simplified Arabic"/>
          <w:spacing w:val="-2"/>
          <w:rtl/>
        </w:rPr>
        <w:t xml:space="preserve"> ستتم معالجته بتدعيم توجيه منظومة شبكات الأمان الاجتماعي؛ ومساندة مشروع للتنمية المحلية يستهدف المحافظات الأفقر في صعيد مصر؛ وتحسين جودة خدمات الرعاية الصحية بتوسيع نطاق خدمات صحة الأسرة التي تستهدف أفقر 40 في المائة من السكان ومساندة جهود مصر، مع تقديم مساعدات فنية لها، الرامية إلى الوقاية من الإصابة بفيروس التهاب الكبد "سي" وتشخيصه ومعالجته؛ وتحسين سبل الحصول على خدمات الصرف الصحي المحسَّنة؛ وزيادة فرص الإسكان للأسر منخفضة الدخل؛ والانخراط في حوارات وأنشطة تحليلية مع الحكومة المصرية لتحديد إجراء تدخلي فاعل في قطاع التعليم من أجل معالجة جوانب الضعف في حوكمة هذا القطاع. وستعود المنافع في هذا المجال على المرأة بدرجة كبيرة.</w:t>
      </w:r>
    </w:p>
    <w:p w:rsidR="00810BAC" w:rsidRPr="00FF3102" w:rsidRDefault="00810BAC" w:rsidP="00144327">
      <w:pPr>
        <w:pStyle w:val="MainParanoChap-ExecSum"/>
        <w:numPr>
          <w:ilvl w:val="1"/>
          <w:numId w:val="9"/>
        </w:numPr>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 xml:space="preserve">يمثل إطار الشراكة الإستراتيجية </w:t>
      </w:r>
      <w:r w:rsidR="00AB20C0">
        <w:rPr>
          <w:rFonts w:ascii="Simplified Arabic" w:eastAsiaTheme="minorEastAsia" w:hAnsi="Simplified Arabic" w:cs="Simplified Arabic" w:hint="cs"/>
          <w:bCs/>
          <w:iCs/>
          <w:rtl/>
        </w:rPr>
        <w:t xml:space="preserve">الحالي </w:t>
      </w:r>
      <w:r w:rsidRPr="00FF3102">
        <w:rPr>
          <w:rFonts w:ascii="Simplified Arabic" w:eastAsiaTheme="minorEastAsia" w:hAnsi="Simplified Arabic" w:cs="Simplified Arabic"/>
          <w:bCs/>
          <w:iCs/>
          <w:rtl/>
        </w:rPr>
        <w:t xml:space="preserve"> تحولا مهما عن إستراتيجيات مجموعة البنك الدولي السابقة الخاصة بمصر. ويساند هذا الإطار تنفيذ برنامج تحولي لتجديد العقد الاجتماعي بهدف مساندة خلق فرص عمل بالقطاع الخاص، وتحقيق الاحتواء الاجتماعي، وتحسين نظام الإدارة العامة والحوكمة.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وتتجه مجموعة البنك الدولي نحو زيادة برنامج إقراضها إلى أكثر من الضعف، مقارنةً بما كان عليه في الماضي القريب، ليصل في مجمله إلى نحو 8 مليارات دولار خلال فترة السنوات المالية 2015-2019، منها مبلغ قدره حوالي 6 مليارات دولار</w:t>
      </w:r>
      <w:r w:rsidR="00913B8E">
        <w:rPr>
          <w:rFonts w:ascii="Simplified Arabic" w:eastAsiaTheme="minorEastAsia" w:hAnsi="Simplified Arabic" w:cs="Simplified Arabic" w:hint="cs"/>
          <w:rtl/>
        </w:rPr>
        <w:t xml:space="preserve"> تخصيص مبدأي</w:t>
      </w:r>
      <w:r w:rsidRPr="00FF3102">
        <w:rPr>
          <w:rFonts w:ascii="Simplified Arabic" w:eastAsiaTheme="minorEastAsia" w:hAnsi="Simplified Arabic" w:cs="Simplified Arabic"/>
          <w:rtl/>
        </w:rPr>
        <w:t xml:space="preserve"> </w:t>
      </w:r>
      <w:r w:rsidR="00913B8E">
        <w:rPr>
          <w:rFonts w:ascii="Simplified Arabic" w:eastAsiaTheme="minorEastAsia" w:hAnsi="Simplified Arabic" w:cs="Simplified Arabic" w:hint="cs"/>
          <w:rtl/>
        </w:rPr>
        <w:t xml:space="preserve">تطلب السلطات الحصول عليه </w:t>
      </w:r>
      <w:r w:rsidRPr="00FF3102">
        <w:rPr>
          <w:rFonts w:ascii="Simplified Arabic" w:eastAsiaTheme="minorEastAsia" w:hAnsi="Simplified Arabic" w:cs="Simplified Arabic"/>
          <w:rtl/>
        </w:rPr>
        <w:t>من البنك الدولي للإنشاء والتعمير ونحو ملياري دولار من مؤسسة التمويل الدولية. وسيتوقف الحجم الفعلي لإقراض البنك الدولي للإنشاء والتعمير ووتيرته على تنفيذ هذا البرنامج، بما في ذلك القدرة على التصدي لمخاطر الاقتصاد الكلي، واختيار الأدوات والأداء الاقتصادي أثناء الفترة التي يغطيها إطار الشراكة الإستراتيجية، واستمرار اهتمام الحكومة بالحصول على تمويل من البنك الدولي للإنشاء والتعمير، وقدرة البنك على الإقراض ومتطلبات المقترضين الآخرين. وبالمثل، فإن الاستثمارات الفعلية لمؤسسة التمويل الدولية وضمانات الوكالة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الدولية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لضمان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الاستثمار خلال الفترة التي يغطيها إطار الشراكة الإستراتيجية ستتوقف على تحسُّن استقرار الاقتصاد الكلي والتقدُّم المحرز في تنفيذ الإصلاحات المتعلقة بمناخ الاستثمار التي من شأنها تعزيز ثقة المستثمرين وتسهيل تعزيز مشاركة القطاع الخاص. ويعتزم البنك أيضا استخدام نهج برامجي يشمل التمويل والمعارف، واستخدام منتجات تحليلية تشكل ركيزة أساسية إستراتيجية للحوار بشأن السياسات وتصميم المشروعات، والاستفادة من </w:t>
      </w:r>
      <w:r w:rsidR="00013BC2">
        <w:rPr>
          <w:rFonts w:ascii="Simplified Arabic" w:eastAsiaTheme="minorEastAsia" w:hAnsi="Simplified Arabic" w:cs="Simplified Arabic" w:hint="cs"/>
          <w:rtl/>
        </w:rPr>
        <w:t>القدرة التنسيقية</w:t>
      </w:r>
      <w:r w:rsidRPr="00FF3102">
        <w:rPr>
          <w:rFonts w:ascii="Simplified Arabic" w:eastAsiaTheme="minorEastAsia" w:hAnsi="Simplified Arabic" w:cs="Simplified Arabic"/>
          <w:rtl/>
        </w:rPr>
        <w:t xml:space="preserve"> لمجموعة البنك الدولي </w:t>
      </w:r>
      <w:r w:rsidR="00013BC2">
        <w:rPr>
          <w:rFonts w:ascii="Simplified Arabic" w:eastAsiaTheme="minorEastAsia" w:hAnsi="Simplified Arabic" w:cs="Simplified Arabic" w:hint="cs"/>
          <w:rtl/>
        </w:rPr>
        <w:t>للحصول علي التأييد</w:t>
      </w:r>
      <w:r w:rsidRPr="00FF3102">
        <w:rPr>
          <w:rFonts w:ascii="Simplified Arabic" w:eastAsiaTheme="minorEastAsia" w:hAnsi="Simplified Arabic" w:cs="Simplified Arabic"/>
          <w:rtl/>
        </w:rPr>
        <w:t xml:space="preserve"> وإجراء الإصلاحات.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وسيعتمد الإقراض على أداتي تمويل سياسات التنمية وتمويل البرامج وفقاً للنتائج بدرجة أكبر مما كان عليه في الماضي حيث كانت الأداة الرئيسية هي القروض الاستثمارية، وإن </w:t>
      </w:r>
      <w:r w:rsidR="00013BC2">
        <w:rPr>
          <w:rFonts w:ascii="Simplified Arabic" w:eastAsiaTheme="minorEastAsia" w:hAnsi="Simplified Arabic" w:cs="Simplified Arabic" w:hint="cs"/>
          <w:rtl/>
        </w:rPr>
        <w:t>ظل إستخدام هذا النوع من القروض واردا إذا ما إقتضت الحاجة</w:t>
      </w:r>
      <w:r w:rsidRPr="00FF3102">
        <w:rPr>
          <w:rFonts w:ascii="Simplified Arabic" w:eastAsiaTheme="minorEastAsia" w:hAnsi="Simplified Arabic" w:cs="Simplified Arabic"/>
          <w:rtl/>
        </w:rPr>
        <w:t>. وستشكِّل قضايا تحسين نظام الإدارة العامة والحوكمة جزءا لا يتجزأ من جميع مبادرات مجموعة البنك، بما في ذلك إصلاحات السياسات والإصلاحات المؤسسية وتعزيز الشفافية والمساءلة على مستوى القطاعات والمشروعات. وسيشمل ذلك تعزيز سماع أصوات المواطنين ووضع آلي</w:t>
      </w:r>
      <w:r w:rsidR="00F4694D">
        <w:rPr>
          <w:rFonts w:ascii="Simplified Arabic" w:eastAsiaTheme="minorEastAsia" w:hAnsi="Simplified Arabic" w:cs="Simplified Arabic"/>
          <w:rtl/>
        </w:rPr>
        <w:t>ات لمعالجة الشكاوى والمظالم. وس</w:t>
      </w:r>
      <w:r w:rsidR="00F4694D">
        <w:rPr>
          <w:rFonts w:ascii="Simplified Arabic" w:eastAsiaTheme="minorEastAsia" w:hAnsi="Simplified Arabic" w:cs="Simplified Arabic" w:hint="cs"/>
          <w:rtl/>
        </w:rPr>
        <w:t>وف تكون</w:t>
      </w:r>
      <w:r w:rsidRPr="00FF3102">
        <w:rPr>
          <w:rFonts w:ascii="Simplified Arabic" w:eastAsiaTheme="minorEastAsia" w:hAnsi="Simplified Arabic" w:cs="Simplified Arabic"/>
          <w:rtl/>
        </w:rPr>
        <w:t xml:space="preserve"> مجموعة البنك الدولي</w:t>
      </w:r>
      <w:r w:rsidR="00F4694D">
        <w:rPr>
          <w:rFonts w:ascii="Simplified Arabic" w:eastAsiaTheme="minorEastAsia" w:hAnsi="Simplified Arabic" w:cs="Simplified Arabic" w:hint="cs"/>
          <w:rtl/>
        </w:rPr>
        <w:t xml:space="preserve"> أكثر حرصا </w:t>
      </w:r>
      <w:r w:rsidRPr="00FF3102">
        <w:rPr>
          <w:rFonts w:ascii="Simplified Arabic" w:eastAsiaTheme="minorEastAsia" w:hAnsi="Simplified Arabic" w:cs="Simplified Arabic"/>
          <w:rtl/>
        </w:rPr>
        <w:t>في استخدام موارد البنك الدولي للإنشاء والتعمير في القطاعات العامة الرئيسية، مع قيام مؤسسة التمويل الدولية بالاستفادة من إمكانات القطاع الخاص.</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وسيستخدم البنك ومؤسسة التمويل الدولية نهجا مشتركا في قطاعي الطاقة والتعليم وفي زيادة القدرة على المنافسة.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وستسعى مجموعة البنك الدولي إلى تشجيع التعاون الإقليمي في عدد من المجالات: تحقيق استقرار الاقتصاد الكلي (من خلال المساندة التمويلية من شركاء التنمية)، والاستثمارات الخاصة العابرة للحدود في قطاعي الطاقة والمياه، وتشجيع وضع برنامج لزيادة الوعي فيما يتعلق بتعزيز القدرة على المنافسة. </w:t>
      </w:r>
    </w:p>
    <w:p w:rsidR="00810BAC" w:rsidRPr="00FF3102" w:rsidRDefault="00810BAC" w:rsidP="001E71BE">
      <w:pPr>
        <w:pStyle w:val="MainParanoChap-ExecSum"/>
        <w:numPr>
          <w:ilvl w:val="1"/>
          <w:numId w:val="9"/>
        </w:numPr>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 xml:space="preserve">تتضمن إستراتيجية مجموعة البنك الدولي أيضا تحولات في توجيه التركيز فيما بين القطاعات وداخلها. </w:t>
      </w:r>
      <w:r w:rsidRPr="00FF3102">
        <w:rPr>
          <w:rFonts w:ascii="Simplified Arabic" w:eastAsiaTheme="minorEastAsia" w:hAnsi="Simplified Arabic" w:cs="Simplified Arabic"/>
          <w:rtl/>
        </w:rPr>
        <w:t>وسيركز البنك الاهتمام من جديد على إصلاحات قطاع التعليم وعلى المناطق التي لم تأخذ نصيبها من التنمية، لاسيما في صعيد مصر.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قطاع الطاقة، سيتحول تركيز مجموعة البنك الدولي من توليد الكهرباء بالطرق التقليدية إلى تعزيز كفاءة استخدام الطاقة، وتحسين شبكات النقل، وزيادة إنتاج الطاقة المتجددة من منشآت طاقة الرياح والطاقة الشمسية، مع السعي لتعبئة رؤوس الأموال والمعارف التقنية من القطاع الخاص. وفي قطاع الصحة، ستركز مساندة البنك على مساءلة مقدِّمي الخدمات أمام المواطنين وتحسين جودة خدمات الرعاية الصحية، مع تقديم مساعدات فنية بهدف مساندة الجهود التي تبذلها الحكومة المصرية للتصدي لفيروس التهاب الكبد "سي". وسيتم التعامل مع مساندة قطاعي الزراعة والمياه على نحو شامل وليس بوصفهما قطاعين منفصلين، كما ستتحول هذه المساندة من البنية التحتية للري والصرف إلى ربط المزارعين بالأسواق وتحسين إنتاجية الزراعة كثيفة الاستخدام للأيدي العاملة.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وسيتم إدماج قطاع البيئة في العمليات ذات الصلة، على سبيل المثال في قطاعات الطاقة والزراعة والنقل.</w:t>
      </w:r>
    </w:p>
    <w:p w:rsidR="00810BAC" w:rsidRPr="00FF3102" w:rsidRDefault="00810BAC" w:rsidP="00144327">
      <w:pPr>
        <w:pStyle w:val="MainParanoChap-ExecSum"/>
        <w:numPr>
          <w:ilvl w:val="1"/>
          <w:numId w:val="9"/>
        </w:numPr>
        <w:bidi/>
        <w:ind w:left="0" w:firstLine="0"/>
        <w:rPr>
          <w:rFonts w:ascii="Simplified Arabic" w:eastAsiaTheme="minorEastAsia" w:hAnsi="Simplified Arabic" w:cs="Simplified Arabic"/>
        </w:rPr>
      </w:pPr>
      <w:bookmarkStart w:id="101" w:name="OLE_LINK186"/>
      <w:bookmarkStart w:id="102" w:name="OLE_LINK187"/>
      <w:bookmarkStart w:id="103" w:name="OLE_LINK184"/>
      <w:bookmarkStart w:id="104" w:name="OLE_LINK185"/>
      <w:bookmarkStart w:id="105" w:name="OLE_LINK188"/>
      <w:bookmarkStart w:id="106" w:name="OLE_LINK189"/>
      <w:bookmarkStart w:id="107" w:name="OLE_LINK190"/>
      <w:bookmarkStart w:id="108" w:name="OLE_LINK191"/>
      <w:r w:rsidRPr="00FF3102">
        <w:rPr>
          <w:rFonts w:ascii="Simplified Arabic" w:eastAsiaTheme="minorEastAsia" w:hAnsi="Simplified Arabic" w:cs="Simplified Arabic"/>
          <w:bCs/>
          <w:iCs/>
          <w:rtl/>
        </w:rPr>
        <w:t>هناك أيضا طرق مهمة سيتم من خلالها تطبيق مبدأ ال</w:t>
      </w:r>
      <w:r w:rsidR="00144327">
        <w:rPr>
          <w:rFonts w:ascii="Simplified Arabic" w:eastAsiaTheme="minorEastAsia" w:hAnsi="Simplified Arabic" w:cs="Simplified Arabic" w:hint="cs"/>
          <w:bCs/>
          <w:iCs/>
          <w:rtl/>
        </w:rPr>
        <w:t>إختيار الأمثل</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rtl/>
        </w:rPr>
        <w:t xml:space="preserve"> أولاً، ستركز مجموعة البنك الدولي على المجالات ذات الأولوية التي حددتها الدراسة التشخيصية المنهجية الخاصة بمصر. وثانياً، فيما يتعلق بمجالات تعز</w:t>
      </w:r>
      <w:r w:rsidR="008A2624">
        <w:rPr>
          <w:rFonts w:ascii="Simplified Arabic" w:eastAsiaTheme="minorEastAsia" w:hAnsi="Simplified Arabic" w:cs="Simplified Arabic" w:hint="cs"/>
          <w:rtl/>
        </w:rPr>
        <w:t>ي</w:t>
      </w:r>
      <w:r w:rsidRPr="00FF3102">
        <w:rPr>
          <w:rFonts w:ascii="Simplified Arabic" w:eastAsiaTheme="minorEastAsia" w:hAnsi="Simplified Arabic" w:cs="Simplified Arabic"/>
          <w:rtl/>
        </w:rPr>
        <w:t xml:space="preserve">ز تحقيق الرخاء المشترك ، فإن مجموعة </w:t>
      </w:r>
      <w:r w:rsidR="008A2624">
        <w:rPr>
          <w:rFonts w:ascii="Simplified Arabic" w:eastAsiaTheme="minorEastAsia" w:hAnsi="Simplified Arabic" w:cs="Simplified Arabic" w:hint="cs"/>
          <w:rtl/>
        </w:rPr>
        <w:t xml:space="preserve">البك الدولي </w:t>
      </w:r>
      <w:r w:rsidRPr="00FF3102">
        <w:rPr>
          <w:rFonts w:ascii="Simplified Arabic" w:eastAsiaTheme="minorEastAsia" w:hAnsi="Simplified Arabic" w:cs="Simplified Arabic"/>
          <w:rtl/>
        </w:rPr>
        <w:t>ستعمل على استقطاب الدعم والتأييد لها</w:t>
      </w:r>
      <w:r w:rsidR="008A2624">
        <w:rPr>
          <w:rFonts w:ascii="Simplified Arabic" w:eastAsiaTheme="minorEastAsia" w:hAnsi="Simplified Arabic" w:cs="Simplified Arabic" w:hint="cs"/>
          <w:rtl/>
        </w:rPr>
        <w:t xml:space="preserve"> في حالة عدم وجود</w:t>
      </w:r>
      <w:r w:rsidR="008A2624" w:rsidRPr="00FF3102">
        <w:rPr>
          <w:rFonts w:ascii="Simplified Arabic" w:eastAsiaTheme="minorEastAsia" w:hAnsi="Simplified Arabic" w:cs="Simplified Arabic"/>
          <w:rtl/>
        </w:rPr>
        <w:t xml:space="preserve"> طلب من </w:t>
      </w:r>
      <w:r w:rsidR="008A2624">
        <w:rPr>
          <w:rFonts w:ascii="Simplified Arabic" w:eastAsiaTheme="minorEastAsia" w:hAnsi="Simplified Arabic" w:cs="Simplified Arabic" w:hint="cs"/>
          <w:rtl/>
        </w:rPr>
        <w:t xml:space="preserve">جانب </w:t>
      </w:r>
      <w:r w:rsidR="008A2624" w:rsidRPr="00FF3102">
        <w:rPr>
          <w:rFonts w:ascii="Simplified Arabic" w:eastAsiaTheme="minorEastAsia" w:hAnsi="Simplified Arabic" w:cs="Simplified Arabic"/>
          <w:rtl/>
        </w:rPr>
        <w:t>الحكومة</w:t>
      </w:r>
      <w:r w:rsidR="008A2624">
        <w:rPr>
          <w:rFonts w:ascii="Simplified Arabic" w:eastAsiaTheme="minorEastAsia" w:hAnsi="Simplified Arabic" w:cs="Simplified Arabic"/>
          <w:rtl/>
        </w:rPr>
        <w:t xml:space="preserve"> على تلقي مساندة من </w:t>
      </w:r>
      <w:r w:rsidR="008A2624">
        <w:rPr>
          <w:rFonts w:ascii="Simplified Arabic" w:eastAsiaTheme="minorEastAsia" w:hAnsi="Simplified Arabic" w:cs="Simplified Arabic" w:hint="cs"/>
          <w:rtl/>
        </w:rPr>
        <w:t>ال</w:t>
      </w:r>
      <w:r w:rsidR="008A2624">
        <w:rPr>
          <w:rFonts w:ascii="Simplified Arabic" w:eastAsiaTheme="minorEastAsia" w:hAnsi="Simplified Arabic" w:cs="Simplified Arabic"/>
          <w:rtl/>
        </w:rPr>
        <w:t>مجموعة</w:t>
      </w:r>
      <w:r w:rsidR="008A2624">
        <w:rPr>
          <w:rFonts w:ascii="Simplified Arabic" w:eastAsiaTheme="minorEastAsia" w:hAnsi="Simplified Arabic" w:cs="Simplified Arabic" w:hint="cs"/>
          <w:rtl/>
        </w:rPr>
        <w:t xml:space="preserve">. </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وثالثاً، سيمتنع البنك عن الإقراض في المجالات التي يمكنها جذب استثمارات من القطاع الخاص، ليتيح لمؤسسة التمويل الدولية والوكالة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الدولية لضمان الاستثمار القيام بدور أكثر ملاءمة في القطاعات التي تتوفر رغبة واضحة للاستثمار فيها من جانب مستثمري القطاع الخاص. ورابعاً، سيركّز البنك على الإقراض في القطاعات التي تلتزم التزاما قويا بتدعيم المؤسسات وزيادة مساءلة </w:t>
      </w:r>
      <w:r w:rsidR="000F4666" w:rsidRPr="00FF3102">
        <w:rPr>
          <w:rFonts w:ascii="Simplified Arabic" w:eastAsiaTheme="minorEastAsia" w:hAnsi="Simplified Arabic" w:cs="Simplified Arabic"/>
          <w:rtl/>
        </w:rPr>
        <w:t>المسؤولين بالدولة</w:t>
      </w:r>
      <w:r w:rsidR="000F4666">
        <w:rPr>
          <w:rFonts w:ascii="Simplified Arabic" w:eastAsiaTheme="minorEastAsia" w:hAnsi="Simplified Arabic" w:cs="Simplified Arabic" w:hint="cs"/>
          <w:rtl/>
        </w:rPr>
        <w:t xml:space="preserve"> </w:t>
      </w:r>
      <w:r w:rsidRPr="00FF3102">
        <w:rPr>
          <w:rFonts w:ascii="Simplified Arabic" w:eastAsiaTheme="minorEastAsia" w:hAnsi="Simplified Arabic" w:cs="Simplified Arabic"/>
          <w:rtl/>
        </w:rPr>
        <w:t>أمام المواطنين.</w:t>
      </w:r>
      <w:r w:rsidRPr="00FF3102">
        <w:rPr>
          <w:rFonts w:ascii="Simplified Arabic" w:eastAsiaTheme="minorEastAsia" w:hAnsi="Simplified Arabic" w:cs="Simplified Arabic"/>
        </w:rPr>
        <w:t xml:space="preserve"> </w:t>
      </w:r>
    </w:p>
    <w:p w:rsidR="00810BAC" w:rsidRPr="00FF3102" w:rsidRDefault="00810BAC" w:rsidP="000F4666">
      <w:pPr>
        <w:pStyle w:val="MainParanoChap-ExecSum"/>
        <w:numPr>
          <w:ilvl w:val="1"/>
          <w:numId w:val="9"/>
        </w:numPr>
        <w:bidi/>
        <w:ind w:left="0" w:firstLine="0"/>
        <w:rPr>
          <w:rFonts w:ascii="Simplified Arabic" w:eastAsiaTheme="minorEastAsia" w:hAnsi="Simplified Arabic" w:cs="Simplified Arabic"/>
        </w:rPr>
      </w:pPr>
      <w:bookmarkStart w:id="109" w:name="OLE_LINK194"/>
      <w:bookmarkStart w:id="110" w:name="OLE_LINK195"/>
      <w:bookmarkStart w:id="111" w:name="OLE_LINK196"/>
      <w:bookmarkStart w:id="112" w:name="OLE_LINK197"/>
      <w:bookmarkStart w:id="113" w:name="OLE_LINK198"/>
      <w:bookmarkStart w:id="114" w:name="OLE_LINK199"/>
      <w:bookmarkStart w:id="115" w:name="OLE_LINK200"/>
      <w:bookmarkEnd w:id="101"/>
      <w:bookmarkEnd w:id="102"/>
      <w:bookmarkEnd w:id="103"/>
      <w:bookmarkEnd w:id="104"/>
      <w:bookmarkEnd w:id="105"/>
      <w:bookmarkEnd w:id="106"/>
      <w:bookmarkEnd w:id="107"/>
      <w:bookmarkEnd w:id="108"/>
      <w:r w:rsidRPr="00FF3102">
        <w:rPr>
          <w:rFonts w:ascii="Simplified Arabic" w:eastAsiaTheme="minorEastAsia" w:hAnsi="Simplified Arabic" w:cs="Simplified Arabic"/>
          <w:bCs/>
          <w:iCs/>
          <w:rtl/>
        </w:rPr>
        <w:t xml:space="preserve">من المتوقع تحقيق نتائج قوية في ظل إطار الشراكة الإستراتيجية من خلال المشروعات الجديدة والجارية وكذلك الخدمات والتحليلات الاستشارية. </w:t>
      </w:r>
      <w:r w:rsidRPr="00FF3102">
        <w:rPr>
          <w:rFonts w:ascii="Simplified Arabic" w:eastAsiaTheme="minorEastAsia" w:hAnsi="Simplified Arabic" w:cs="Simplified Arabic"/>
          <w:rtl/>
        </w:rPr>
        <w:t xml:space="preserve">وستساعد إصلاحات السياسات والإصلاحات المؤسسية التي تتم مساندتها في إطار عمليات الاستثمار وتمويل سياسات التنمية المقترحة على تحقيق هدفي مجموعة البنك الدولي عن طريق تجديد العقد الاجتماعي، والحد من أوجه القصور بالقطاع العام، وتدعيم الأساس لإيجاد اقتصاد يقوده القطاع الخاص. كما سيؤدي تسريع وتيرة تنفيذ المشروعات القائمة إلى تحقيق نتائج ملموسة. وسيتم وضع بعض النتائج المأخوذة من برامج جديدة في </w:t>
      </w:r>
      <w:r w:rsidR="000F4666">
        <w:rPr>
          <w:rFonts w:ascii="Simplified Arabic" w:eastAsiaTheme="minorEastAsia" w:hAnsi="Simplified Arabic" w:cs="Simplified Arabic" w:hint="cs"/>
          <w:rtl/>
        </w:rPr>
        <w:t xml:space="preserve">تقييم </w:t>
      </w:r>
      <w:r w:rsidRPr="00FF3102">
        <w:rPr>
          <w:rFonts w:ascii="Simplified Arabic" w:eastAsiaTheme="minorEastAsia" w:hAnsi="Simplified Arabic" w:cs="Simplified Arabic"/>
          <w:rtl/>
        </w:rPr>
        <w:t>الأداء و</w:t>
      </w:r>
      <w:r w:rsidR="000F4666">
        <w:rPr>
          <w:rFonts w:ascii="Simplified Arabic" w:eastAsiaTheme="minorEastAsia" w:hAnsi="Simplified Arabic" w:cs="Simplified Arabic" w:hint="cs"/>
          <w:rtl/>
        </w:rPr>
        <w:t>إستنباط الدروس</w:t>
      </w:r>
      <w:r w:rsidRPr="00FF3102">
        <w:rPr>
          <w:rFonts w:ascii="Simplified Arabic" w:eastAsiaTheme="minorEastAsia" w:hAnsi="Simplified Arabic" w:cs="Simplified Arabic"/>
          <w:rtl/>
        </w:rPr>
        <w:t xml:space="preserve"> الذي سيتم إجراؤه في السنة المالية 2018.</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كما أن الاستدامة البيئية ومتابعة النتائج المصنَّفة </w:t>
      </w:r>
      <w:r w:rsidR="000F4666">
        <w:rPr>
          <w:rFonts w:ascii="Simplified Arabic" w:eastAsiaTheme="minorEastAsia" w:hAnsi="Simplified Arabic" w:cs="Simplified Arabic" w:hint="cs"/>
          <w:rtl/>
        </w:rPr>
        <w:t>وفقا</w:t>
      </w:r>
      <w:r w:rsidRPr="00FF3102">
        <w:rPr>
          <w:rFonts w:ascii="Simplified Arabic" w:eastAsiaTheme="minorEastAsia" w:hAnsi="Simplified Arabic" w:cs="Simplified Arabic"/>
          <w:rtl/>
        </w:rPr>
        <w:t xml:space="preserve"> </w:t>
      </w:r>
      <w:r w:rsidR="000F4666">
        <w:rPr>
          <w:rFonts w:ascii="Simplified Arabic" w:eastAsiaTheme="minorEastAsia" w:hAnsi="Simplified Arabic" w:cs="Simplified Arabic" w:hint="cs"/>
          <w:rtl/>
        </w:rPr>
        <w:t>لل</w:t>
      </w:r>
      <w:r w:rsidRPr="00FF3102">
        <w:rPr>
          <w:rFonts w:ascii="Simplified Arabic" w:eastAsiaTheme="minorEastAsia" w:hAnsi="Simplified Arabic" w:cs="Simplified Arabic"/>
          <w:rtl/>
        </w:rPr>
        <w:t>نوع ال</w:t>
      </w:r>
      <w:r w:rsidR="000F4666">
        <w:rPr>
          <w:rFonts w:ascii="Simplified Arabic" w:eastAsiaTheme="minorEastAsia" w:hAnsi="Simplified Arabic" w:cs="Simplified Arabic" w:hint="cs"/>
          <w:rtl/>
        </w:rPr>
        <w:t>إجتماعي</w:t>
      </w:r>
      <w:r w:rsidRPr="00FF3102">
        <w:rPr>
          <w:rFonts w:ascii="Simplified Arabic" w:eastAsiaTheme="minorEastAsia" w:hAnsi="Simplified Arabic" w:cs="Simplified Arabic"/>
          <w:rtl/>
        </w:rPr>
        <w:t xml:space="preserve"> سيشكلان جزءا لا يتجزأ من مبادرات مجموعة البنك الدولي في ظل إطار الشراكة الإستراتيجية. </w:t>
      </w:r>
    </w:p>
    <w:p w:rsidR="00810BAC" w:rsidRPr="00FF3102" w:rsidRDefault="00810BAC" w:rsidP="001E71BE">
      <w:pPr>
        <w:pStyle w:val="MainParanoChap-ExecSum"/>
        <w:numPr>
          <w:ilvl w:val="1"/>
          <w:numId w:val="9"/>
        </w:numPr>
        <w:bidi/>
        <w:ind w:left="0" w:firstLine="0"/>
        <w:rPr>
          <w:rFonts w:ascii="Simplified Arabic" w:eastAsiaTheme="minorEastAsia" w:hAnsi="Simplified Arabic" w:cs="Simplified Arabic"/>
        </w:rPr>
      </w:pPr>
      <w:bookmarkStart w:id="116" w:name="OLE_LINK201"/>
      <w:bookmarkStart w:id="117" w:name="OLE_LINK206"/>
      <w:bookmarkStart w:id="118" w:name="OLE_LINK207"/>
      <w:bookmarkStart w:id="119" w:name="OLE_LINK208"/>
      <w:bookmarkStart w:id="120" w:name="OLE_LINK209"/>
      <w:bookmarkStart w:id="121" w:name="OLE_LINK210"/>
      <w:bookmarkStart w:id="122" w:name="OLE_LINK211"/>
      <w:bookmarkStart w:id="123" w:name="OLE_LINK212"/>
      <w:bookmarkStart w:id="124" w:name="OLE_LINK213"/>
      <w:bookmarkStart w:id="125" w:name="OLE_LINK214"/>
      <w:bookmarkStart w:id="126" w:name="OLE_LINK215"/>
      <w:bookmarkStart w:id="127" w:name="OLE_LINK216"/>
      <w:bookmarkStart w:id="128" w:name="OLE_LINK217"/>
      <w:bookmarkEnd w:id="109"/>
      <w:bookmarkEnd w:id="110"/>
      <w:bookmarkEnd w:id="111"/>
      <w:bookmarkEnd w:id="112"/>
      <w:bookmarkEnd w:id="113"/>
      <w:bookmarkEnd w:id="114"/>
      <w:bookmarkEnd w:id="115"/>
      <w:r w:rsidRPr="00FF3102">
        <w:rPr>
          <w:rFonts w:ascii="Simplified Arabic" w:eastAsiaTheme="minorEastAsia" w:hAnsi="Simplified Arabic" w:cs="Simplified Arabic"/>
          <w:bCs/>
          <w:iCs/>
          <w:rtl/>
        </w:rPr>
        <w:t>التصنيف العام للمخاطر التي تؤثر في برنامج مجموعة البنك الدولي يُعد مرتفعاً</w:t>
      </w:r>
      <w:r w:rsidRPr="00FF3102">
        <w:rPr>
          <w:rFonts w:ascii="Simplified Arabic" w:eastAsiaTheme="minorEastAsia" w:hAnsi="Simplified Arabic" w:cs="Simplified Arabic"/>
          <w:rtl/>
        </w:rPr>
        <w:t>. فالمخاطر السياسية والاجتماعية والمتعلقة بنظام الإدارة العامة والحوكمة والاقتصاد الكلي والإستراتيجيات والسياسات القطاعية تُصنَّف على أنها مرتفعة وسيتم رصدها عن كثب، مع قيام مجموعة البنك الدولي بإجراء تعديلات ملائمة على برنامجها الإقراضي والحوار الذي تجريه على مستوى القطاعات.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وسيستمر البنك في تقديم المشورة الفنية بشأن الأثر التوزيعي لخفض دعم الطاقة وكذلك بشأن تحسين توجيه التحويلات النقدية لحماية الفئات الأشد فقرا.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وتُصنَّف المخاطر المرتبطة بالقدرات المؤسسية التنفيذية والمخاطر المالية والتعاقدية على أنها كبيرة. ويمكن تخفيف حدة هذه المخاطر من خلال تقديم مساعدة فنية للهيئات المسؤولة عن إدارة التنفيذ وتوخي المزيد من العناية الواجبة على التوالي. وللتصدي للمخاطر البيئية والاجتماعية، سيتم تقديم خدمات بناء القدرات للحكومة المصرية والهيئات المسؤولة عن إدارة التنفيذ لإعداد وتنفيذ والإشراف على بعض أدوات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الإجراءات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الوقائية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البيئية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والاجتماعية المحددة، وستشمل هذه الخدمات استخدام آليات لمشاركة المواطنين ومعالجة الشكاوى والمظالم.</w:t>
      </w:r>
    </w:p>
    <w:bookmarkEnd w:id="116"/>
    <w:bookmarkEnd w:id="117"/>
    <w:bookmarkEnd w:id="118"/>
    <w:bookmarkEnd w:id="119"/>
    <w:bookmarkEnd w:id="120"/>
    <w:bookmarkEnd w:id="121"/>
    <w:bookmarkEnd w:id="122"/>
    <w:bookmarkEnd w:id="123"/>
    <w:bookmarkEnd w:id="124"/>
    <w:bookmarkEnd w:id="125"/>
    <w:bookmarkEnd w:id="126"/>
    <w:bookmarkEnd w:id="127"/>
    <w:bookmarkEnd w:id="128"/>
    <w:p w:rsidR="00810BAC" w:rsidRPr="00FF3102" w:rsidRDefault="00810BAC" w:rsidP="001E71BE">
      <w:pPr>
        <w:pStyle w:val="MainParanoChapter"/>
        <w:numPr>
          <w:ilvl w:val="1"/>
          <w:numId w:val="9"/>
        </w:numPr>
        <w:tabs>
          <w:tab w:val="clear" w:pos="1440"/>
        </w:tabs>
        <w:bidi/>
        <w:ind w:left="0" w:firstLine="0"/>
        <w:rPr>
          <w:rFonts w:ascii="Simplified Arabic" w:hAnsi="Simplified Arabic" w:cs="Simplified Arabic"/>
          <w:spacing w:val="0"/>
        </w:rPr>
        <w:sectPr w:rsidR="00810BAC" w:rsidRPr="00FF3102">
          <w:footerReference w:type="first" r:id="rId14"/>
          <w:pgSz w:w="12240" w:h="15840"/>
          <w:pgMar w:top="1440" w:right="1440" w:bottom="1296" w:left="1440" w:header="720" w:footer="720" w:gutter="0"/>
          <w:pgNumType w:fmt="lowerRoman" w:start="1"/>
          <w:cols w:space="720"/>
          <w:docGrid w:linePitch="360"/>
        </w:sectPr>
      </w:pPr>
    </w:p>
    <w:p w:rsidR="00810BAC" w:rsidRPr="00FF3102" w:rsidRDefault="00810BAC" w:rsidP="00810BAC">
      <w:pPr>
        <w:bidi/>
        <w:spacing w:after="240"/>
        <w:jc w:val="center"/>
        <w:rPr>
          <w:rFonts w:ascii="Simplified Arabic" w:eastAsiaTheme="minorEastAsia" w:hAnsi="Simplified Arabic" w:cs="Simplified Arabic"/>
          <w:rtl/>
          <w:lang w:bidi="ar-EG"/>
        </w:rPr>
      </w:pPr>
      <w:r w:rsidRPr="00FF3102">
        <w:rPr>
          <w:rFonts w:ascii="Simplified Arabic" w:eastAsiaTheme="minorEastAsia" w:hAnsi="Simplified Arabic" w:cs="Simplified Arabic"/>
          <w:bCs/>
          <w:color w:val="000000"/>
          <w:rtl/>
        </w:rPr>
        <w:t>إطار الشراكة الإستراتيجية</w:t>
      </w:r>
    </w:p>
    <w:p w:rsidR="00810BAC" w:rsidRPr="00FF3102" w:rsidRDefault="00810BAC" w:rsidP="00810BAC">
      <w:pPr>
        <w:shd w:val="clear" w:color="auto" w:fill="FFFFFF"/>
        <w:autoSpaceDE w:val="0"/>
        <w:autoSpaceDN w:val="0"/>
        <w:bidi/>
        <w:adjustRightInd w:val="0"/>
        <w:spacing w:after="240"/>
        <w:jc w:val="center"/>
        <w:outlineLvl w:val="1"/>
        <w:rPr>
          <w:rFonts w:ascii="Simplified Arabic" w:eastAsiaTheme="minorEastAsia" w:hAnsi="Simplified Arabic" w:cs="Simplified Arabic"/>
          <w:color w:val="000000"/>
          <w:rtl/>
          <w:lang w:bidi="ar-EG"/>
        </w:rPr>
      </w:pPr>
      <w:r w:rsidRPr="00FF3102">
        <w:rPr>
          <w:rFonts w:ascii="Simplified Arabic" w:eastAsiaTheme="minorEastAsia" w:hAnsi="Simplified Arabic" w:cs="Simplified Arabic"/>
          <w:bCs/>
          <w:color w:val="000000"/>
          <w:rtl/>
        </w:rPr>
        <w:t>لجمهـورية مصـــر العربيـــة للسنوات المالية 2015-2019</w:t>
      </w:r>
    </w:p>
    <w:p w:rsidR="00810BAC" w:rsidRPr="00FF3102" w:rsidRDefault="00810BAC" w:rsidP="00D23C58">
      <w:pPr>
        <w:pStyle w:val="Head1"/>
        <w:rPr>
          <w:szCs w:val="24"/>
        </w:rPr>
      </w:pPr>
      <w:bookmarkStart w:id="129" w:name="_Toc439184535"/>
      <w:r w:rsidRPr="00FF3102">
        <w:rPr>
          <w:rtl/>
        </w:rPr>
        <w:t>أولا. مقدمة</w:t>
      </w:r>
      <w:bookmarkEnd w:id="129"/>
    </w:p>
    <w:p w:rsidR="00810BAC" w:rsidRPr="00FF3102" w:rsidRDefault="00810BAC" w:rsidP="00EF246B">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130" w:name="OLE_LINK65"/>
      <w:bookmarkStart w:id="131" w:name="OLE_LINK66"/>
      <w:bookmarkStart w:id="132" w:name="OLE_LINK67"/>
      <w:bookmarkStart w:id="133" w:name="OLE_LINK68"/>
      <w:r w:rsidRPr="00FF3102">
        <w:rPr>
          <w:rFonts w:ascii="Simplified Arabic" w:eastAsiaTheme="minorEastAsia" w:hAnsi="Simplified Arabic" w:cs="Simplified Arabic"/>
          <w:bCs/>
          <w:iCs/>
          <w:spacing w:val="0"/>
          <w:rtl/>
        </w:rPr>
        <w:t xml:space="preserve">يغطي إطار الشراكة الإستراتيجية </w:t>
      </w:r>
      <w:r w:rsidR="00EF246B">
        <w:rPr>
          <w:rFonts w:ascii="Simplified Arabic" w:eastAsiaTheme="minorEastAsia" w:hAnsi="Simplified Arabic" w:cs="Simplified Arabic" w:hint="cs"/>
          <w:bCs/>
          <w:iCs/>
          <w:spacing w:val="0"/>
          <w:rtl/>
        </w:rPr>
        <w:t>الحالي</w:t>
      </w:r>
      <w:r w:rsidRPr="00FF3102">
        <w:rPr>
          <w:rFonts w:ascii="Simplified Arabic" w:eastAsiaTheme="minorEastAsia" w:hAnsi="Simplified Arabic" w:cs="Simplified Arabic"/>
          <w:bCs/>
          <w:iCs/>
          <w:spacing w:val="0"/>
          <w:rtl/>
        </w:rPr>
        <w:t>، الذي</w:t>
      </w:r>
      <w:r w:rsidRPr="00FF3102">
        <w:rPr>
          <w:rFonts w:ascii="Simplified Arabic" w:eastAsiaTheme="minorEastAsia" w:hAnsi="Simplified Arabic" w:cs="Simplified Arabic"/>
          <w:bCs/>
          <w:iCs/>
          <w:rtl/>
        </w:rPr>
        <w:t xml:space="preserve"> اشترك في إعداده البنك</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الدولي</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للإنشاء</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والتعمير ومؤسسة</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التمويل</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الدولية</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والوكالة</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الدولية</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لضمان</w:t>
      </w:r>
      <w:r w:rsidRPr="00FF3102">
        <w:rPr>
          <w:rFonts w:ascii="Simplified Arabic" w:eastAsiaTheme="minorEastAsia" w:hAnsi="Simplified Arabic" w:cs="Simplified Arabic"/>
          <w:bCs/>
          <w:iCs/>
        </w:rPr>
        <w:t xml:space="preserve"> </w:t>
      </w:r>
      <w:r w:rsidRPr="00FF3102">
        <w:rPr>
          <w:rFonts w:ascii="Simplified Arabic" w:eastAsiaTheme="minorEastAsia" w:hAnsi="Simplified Arabic" w:cs="Simplified Arabic"/>
          <w:bCs/>
          <w:iCs/>
          <w:rtl/>
        </w:rPr>
        <w:t>الاستثمار، الفترة من السنة المالية 2015 حتى السنة المالية 2019.</w:t>
      </w:r>
      <w:r w:rsidRPr="00FF3102">
        <w:rPr>
          <w:rFonts w:ascii="Simplified Arabic" w:eastAsiaTheme="minorEastAsia" w:hAnsi="Simplified Arabic" w:cs="Simplified Arabic"/>
          <w:spacing w:val="0"/>
          <w:rtl/>
        </w:rPr>
        <w:t xml:space="preserve"> وكانت أحدث إستراتيجية لمجموعة البنك الدولي هي مذكرة الإستراتيجية المؤقتة التي أُعدت عام 2011 في سياق سادت فيه حالة من عدم اليقين على الصعيدين السياسي والاقتصادي في مصر وتغطي برنامج مساندة إرشاديا اعتبارا من يونيو 2012 حتى ديسمبر 2013. و</w:t>
      </w:r>
      <w:r w:rsidR="00EF246B">
        <w:rPr>
          <w:rFonts w:ascii="Simplified Arabic" w:eastAsiaTheme="minorEastAsia" w:hAnsi="Simplified Arabic" w:cs="Simplified Arabic" w:hint="cs"/>
          <w:spacing w:val="0"/>
          <w:rtl/>
        </w:rPr>
        <w:t xml:space="preserve">قد </w:t>
      </w:r>
      <w:r w:rsidRPr="00FF3102">
        <w:rPr>
          <w:rFonts w:ascii="Simplified Arabic" w:eastAsiaTheme="minorEastAsia" w:hAnsi="Simplified Arabic" w:cs="Simplified Arabic"/>
          <w:spacing w:val="0"/>
          <w:rtl/>
        </w:rPr>
        <w:t>اتبعت مذكرة الإستراتيجية المؤقتة</w:t>
      </w:r>
      <w:r w:rsidR="00EF246B">
        <w:rPr>
          <w:rFonts w:ascii="Simplified Arabic" w:eastAsiaTheme="minorEastAsia" w:hAnsi="Simplified Arabic" w:cs="Simplified Arabic" w:hint="cs"/>
          <w:spacing w:val="0"/>
          <w:rtl/>
        </w:rPr>
        <w:t xml:space="preserve"> نهج</w:t>
      </w:r>
      <w:r w:rsidRPr="00FF3102">
        <w:rPr>
          <w:rFonts w:ascii="Simplified Arabic" w:eastAsiaTheme="minorEastAsia" w:hAnsi="Simplified Arabic" w:cs="Simplified Arabic"/>
          <w:spacing w:val="0"/>
          <w:rtl/>
        </w:rPr>
        <w:t xml:space="preserve"> إستراتيجية </w:t>
      </w:r>
      <w:r w:rsidR="00EF246B">
        <w:rPr>
          <w:rFonts w:ascii="Simplified Arabic" w:eastAsiaTheme="minorEastAsia" w:hAnsi="Simplified Arabic" w:cs="Simplified Arabic" w:hint="cs"/>
          <w:spacing w:val="0"/>
          <w:rtl/>
        </w:rPr>
        <w:t>ال</w:t>
      </w:r>
      <w:r w:rsidRPr="00FF3102">
        <w:rPr>
          <w:rFonts w:ascii="Simplified Arabic" w:eastAsiaTheme="minorEastAsia" w:hAnsi="Simplified Arabic" w:cs="Simplified Arabic"/>
          <w:spacing w:val="0"/>
          <w:rtl/>
        </w:rPr>
        <w:t>مساعدة</w:t>
      </w:r>
      <w:r w:rsidRPr="00FF3102">
        <w:rPr>
          <w:rFonts w:ascii="Simplified Arabic" w:eastAsiaTheme="minorEastAsia" w:hAnsi="Simplified Arabic" w:cs="Simplified Arabic"/>
          <w:rtl/>
        </w:rPr>
        <w:t xml:space="preserve"> </w:t>
      </w:r>
      <w:r w:rsidR="00EF246B">
        <w:rPr>
          <w:rFonts w:ascii="Simplified Arabic" w:eastAsiaTheme="minorEastAsia" w:hAnsi="Simplified Arabic" w:cs="Simplified Arabic" w:hint="cs"/>
          <w:rtl/>
        </w:rPr>
        <w:t>ال</w:t>
      </w:r>
      <w:r w:rsidRPr="00FF3102">
        <w:rPr>
          <w:rFonts w:ascii="Simplified Arabic" w:eastAsiaTheme="minorEastAsia" w:hAnsi="Simplified Arabic" w:cs="Simplified Arabic"/>
          <w:rtl/>
        </w:rPr>
        <w:t xml:space="preserve">سابقة </w:t>
      </w:r>
      <w:r w:rsidR="00EF246B">
        <w:rPr>
          <w:rFonts w:ascii="Simplified Arabic" w:eastAsiaTheme="minorEastAsia" w:hAnsi="Simplified Arabic" w:cs="Simplified Arabic" w:hint="cs"/>
          <w:rtl/>
        </w:rPr>
        <w:t>ال</w:t>
      </w:r>
      <w:r w:rsidRPr="00FF3102">
        <w:rPr>
          <w:rFonts w:ascii="Simplified Arabic" w:eastAsiaTheme="minorEastAsia" w:hAnsi="Simplified Arabic" w:cs="Simplified Arabic"/>
          <w:rtl/>
        </w:rPr>
        <w:t>خاصة بمصر و</w:t>
      </w:r>
      <w:r w:rsidR="00EF246B">
        <w:rPr>
          <w:rFonts w:ascii="Simplified Arabic" w:eastAsiaTheme="minorEastAsia" w:hAnsi="Simplified Arabic" w:cs="Simplified Arabic" w:hint="cs"/>
          <w:rtl/>
        </w:rPr>
        <w:t>ال</w:t>
      </w:r>
      <w:r w:rsidRPr="00FF3102">
        <w:rPr>
          <w:rFonts w:ascii="Simplified Arabic" w:eastAsiaTheme="minorEastAsia" w:hAnsi="Simplified Arabic" w:cs="Simplified Arabic"/>
          <w:rtl/>
        </w:rPr>
        <w:t>مشتركة</w:t>
      </w:r>
      <w:r w:rsidRPr="00FF3102">
        <w:rPr>
          <w:rFonts w:ascii="Simplified Arabic" w:eastAsiaTheme="minorEastAsia" w:hAnsi="Simplified Arabic" w:cs="Simplified Arabic"/>
          <w:spacing w:val="0"/>
          <w:rtl/>
        </w:rPr>
        <w:t xml:space="preserve"> بين البنك ومؤسسة التمويل الدولية لفترة السنوات المالية 2006 – 2009 والتي جرى تمديد العمل بها حتى السنة المالية 2011.</w:t>
      </w:r>
      <w:r w:rsidRPr="00FF3102">
        <w:rPr>
          <w:rFonts w:ascii="Simplified Arabic" w:eastAsiaTheme="minorEastAsia" w:hAnsi="Simplified Arabic" w:cs="Simplified Arabic"/>
          <w:spacing w:val="0"/>
        </w:rPr>
        <w:t xml:space="preserve"> </w:t>
      </w:r>
    </w:p>
    <w:p w:rsidR="00810BAC" w:rsidRPr="00FF3102" w:rsidRDefault="00810BAC" w:rsidP="00EF246B">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134" w:name="OLE_LINK73"/>
      <w:bookmarkStart w:id="135" w:name="OLE_LINK74"/>
      <w:bookmarkEnd w:id="130"/>
      <w:bookmarkEnd w:id="131"/>
      <w:bookmarkEnd w:id="132"/>
      <w:bookmarkEnd w:id="133"/>
      <w:r w:rsidRPr="00FF3102">
        <w:rPr>
          <w:rFonts w:ascii="Simplified Arabic" w:eastAsiaTheme="minorEastAsia" w:hAnsi="Simplified Arabic" w:cs="Simplified Arabic"/>
          <w:bCs/>
          <w:iCs/>
          <w:spacing w:val="0"/>
          <w:rtl/>
        </w:rPr>
        <w:t xml:space="preserve">يستند إطار الشراكة الإستراتيجية لمجموعة البنك الدولي الخاص بمصر إلى الحوار الذي تم إجراؤه مع الحكومة المصرية ومشاورات واسعة النطاق وتحليلات قوية. </w:t>
      </w:r>
      <w:r w:rsidRPr="00FF3102">
        <w:rPr>
          <w:rFonts w:ascii="Simplified Arabic" w:eastAsiaTheme="minorEastAsia" w:hAnsi="Simplified Arabic" w:cs="Simplified Arabic"/>
          <w:spacing w:val="0"/>
          <w:rtl/>
        </w:rPr>
        <w:t>و</w:t>
      </w:r>
      <w:r w:rsidRPr="00FF3102">
        <w:rPr>
          <w:rFonts w:ascii="Simplified Arabic" w:eastAsiaTheme="minorEastAsia" w:hAnsi="Simplified Arabic" w:cs="Simplified Arabic"/>
          <w:rtl/>
        </w:rPr>
        <w:t>يستفيد</w:t>
      </w:r>
      <w:r w:rsidRPr="00FF3102">
        <w:rPr>
          <w:rFonts w:ascii="Simplified Arabic" w:eastAsiaTheme="minorEastAsia" w:hAnsi="Simplified Arabic" w:cs="Simplified Arabic"/>
          <w:spacing w:val="0"/>
          <w:rtl/>
        </w:rPr>
        <w:t xml:space="preserve"> هذا الإطار </w:t>
      </w:r>
      <w:r w:rsidRPr="00FF3102">
        <w:rPr>
          <w:rFonts w:ascii="Simplified Arabic" w:eastAsiaTheme="minorEastAsia" w:hAnsi="Simplified Arabic" w:cs="Simplified Arabic"/>
          <w:rtl/>
        </w:rPr>
        <w:t>من</w:t>
      </w:r>
      <w:r w:rsidRPr="00FF3102">
        <w:rPr>
          <w:rFonts w:ascii="Simplified Arabic" w:eastAsiaTheme="minorEastAsia" w:hAnsi="Simplified Arabic" w:cs="Simplified Arabic"/>
          <w:spacing w:val="0"/>
          <w:rtl/>
        </w:rPr>
        <w:t xml:space="preserve"> إستراتيجية الحكومة المصرية للتنمية المستدامة 2030.</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ويستند</w:t>
      </w:r>
      <w:r w:rsidRPr="00FF3102">
        <w:rPr>
          <w:rFonts w:ascii="Simplified Arabic" w:eastAsiaTheme="minorEastAsia" w:hAnsi="Simplified Arabic" w:cs="Simplified Arabic"/>
          <w:rtl/>
        </w:rPr>
        <w:t xml:space="preserve"> الإطار</w:t>
      </w:r>
      <w:r w:rsidRPr="00FF3102">
        <w:rPr>
          <w:rFonts w:ascii="Simplified Arabic" w:eastAsiaTheme="minorEastAsia" w:hAnsi="Simplified Arabic" w:cs="Simplified Arabic"/>
          <w:spacing w:val="0"/>
          <w:rtl/>
        </w:rPr>
        <w:t xml:space="preserve"> أيضاً إلى مشاورات مع </w:t>
      </w:r>
      <w:r w:rsidR="00EF246B">
        <w:rPr>
          <w:rFonts w:ascii="Simplified Arabic" w:eastAsiaTheme="minorEastAsia" w:hAnsi="Simplified Arabic" w:cs="Simplified Arabic" w:hint="cs"/>
          <w:spacing w:val="0"/>
          <w:rtl/>
        </w:rPr>
        <w:t>الفئات المعنية</w:t>
      </w:r>
      <w:r w:rsidRPr="00FF3102">
        <w:rPr>
          <w:rFonts w:ascii="Simplified Arabic" w:eastAsiaTheme="minorEastAsia" w:hAnsi="Simplified Arabic" w:cs="Simplified Arabic"/>
          <w:spacing w:val="0"/>
          <w:rtl/>
        </w:rPr>
        <w:t xml:space="preserve"> في مصر ويستفيد على نحو مباشر من التحليل الوارد في الدراسة التشخيصية المنهجية الخاصة بمصر.</w:t>
      </w:r>
      <w:r w:rsidRPr="00FF3102">
        <w:rPr>
          <w:rStyle w:val="FootnoteReference"/>
          <w:rFonts w:ascii="Simplified Arabic" w:eastAsiaTheme="minorEastAsia" w:hAnsi="Simplified Arabic" w:cs="Simplified Arabic"/>
          <w:spacing w:val="0"/>
          <w:rtl/>
        </w:rPr>
        <w:footnoteReference w:id="3"/>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136" w:name="OLE_LINK100"/>
      <w:bookmarkStart w:id="137" w:name="OLE_LINK101"/>
      <w:bookmarkStart w:id="138" w:name="OLE_LINK111"/>
      <w:bookmarkStart w:id="139" w:name="OLE_LINK112"/>
      <w:bookmarkStart w:id="140" w:name="OLE_LINK98"/>
      <w:bookmarkStart w:id="141" w:name="OLE_LINK99"/>
      <w:bookmarkStart w:id="142" w:name="OLE_LINK96"/>
      <w:bookmarkStart w:id="143" w:name="OLE_LINK97"/>
      <w:bookmarkEnd w:id="134"/>
      <w:bookmarkEnd w:id="135"/>
      <w:r w:rsidRPr="00FF3102">
        <w:rPr>
          <w:rFonts w:ascii="Simplified Arabic" w:eastAsiaTheme="minorEastAsia" w:hAnsi="Simplified Arabic" w:cs="Simplified Arabic"/>
          <w:bCs/>
          <w:iCs/>
          <w:spacing w:val="0"/>
          <w:rtl/>
        </w:rPr>
        <w:t>تم تنظيم إطار الشراكة الإستراتيجية ليغطي ثلاثة مجالات للتركيز يرتبط بعضها ببعض من أجل تحقيق هدفي تعزيز الرخاء المشترك وإنهاء الفقر المدقع على نحو قابل للاستمرار:</w:t>
      </w:r>
      <w:r w:rsidRPr="00FF3102">
        <w:rPr>
          <w:rStyle w:val="FootnoteReference"/>
          <w:rFonts w:ascii="Simplified Arabic" w:eastAsiaTheme="minorEastAsia" w:hAnsi="Simplified Arabic" w:cs="Simplified Arabic"/>
          <w:bCs/>
          <w:iCs/>
          <w:spacing w:val="0"/>
          <w:rtl/>
        </w:rPr>
        <w:footnoteReference w:id="4"/>
      </w:r>
      <w:r w:rsidRPr="00FF3102">
        <w:rPr>
          <w:rFonts w:ascii="Simplified Arabic" w:eastAsiaTheme="minorEastAsia" w:hAnsi="Simplified Arabic" w:cs="Simplified Arabic"/>
          <w:bCs/>
          <w:iCs/>
          <w:spacing w:val="0"/>
          <w:rtl/>
        </w:rPr>
        <w:t xml:space="preserve"> (أ) تحسين نظام الإدارة العامة والحوكمة؛ (ب) خلق فرص عمل بقيادة القطاع الخاص؛ (ج) الاحتواء الاجتماعي.</w:t>
      </w:r>
      <w:r w:rsidRPr="00FF3102">
        <w:rPr>
          <w:rFonts w:ascii="Simplified Arabic" w:eastAsiaTheme="minorEastAsia" w:hAnsi="Simplified Arabic" w:cs="Simplified Arabic"/>
          <w:spacing w:val="0"/>
          <w:rtl/>
        </w:rPr>
        <w:t xml:space="preserve"> وبالإضافة إلى ذلك، تمثل الاستدامة البيئية، وهي إحدى القضايا طويلة الأمد بالنسبة لمصر، محور تركيز مشتركا بين مختلف القطاعات فيما يتعلق بالمساعدات التي تقدمها مجموعة البنك الدولي، كما ستشكل جزءا لا يتجزأ من مبادرات المجموعة في ظل إطار الشراكة الإستراتيجية.</w:t>
      </w:r>
      <w:r w:rsidRPr="00FF3102">
        <w:rPr>
          <w:rFonts w:ascii="Simplified Arabic" w:eastAsiaTheme="minorEastAsia" w:hAnsi="Simplified Arabic" w:cs="Simplified Arabic"/>
          <w:spacing w:val="0"/>
        </w:rPr>
        <w:t xml:space="preserve"> </w:t>
      </w:r>
    </w:p>
    <w:p w:rsidR="00810BAC" w:rsidRPr="00FF3102" w:rsidRDefault="00810BAC" w:rsidP="00D23C58">
      <w:pPr>
        <w:pStyle w:val="Head1"/>
        <w:rPr>
          <w:szCs w:val="24"/>
        </w:rPr>
      </w:pPr>
      <w:bookmarkStart w:id="144" w:name="_Toc439184536"/>
      <w:bookmarkStart w:id="145" w:name="OLE_LINK141"/>
      <w:bookmarkStart w:id="146" w:name="OLE_LINK142"/>
      <w:bookmarkStart w:id="147" w:name="OLE_LINK157"/>
      <w:bookmarkStart w:id="148" w:name="OLE_LINK162"/>
      <w:bookmarkStart w:id="149" w:name="OLE_LINK145"/>
      <w:bookmarkStart w:id="150" w:name="OLE_LINK146"/>
      <w:bookmarkStart w:id="151" w:name="OLE_LINK163"/>
      <w:bookmarkStart w:id="152" w:name="OLE_LINK177"/>
      <w:bookmarkStart w:id="153" w:name="OLE_LINK178"/>
      <w:bookmarkStart w:id="154" w:name="OLE_LINK179"/>
      <w:bookmarkStart w:id="155" w:name="OLE_LINK180"/>
      <w:bookmarkStart w:id="156" w:name="OLE_LINK181"/>
      <w:bookmarkStart w:id="157" w:name="OLE_LINK182"/>
      <w:bookmarkStart w:id="158" w:name="OLE_LINK183"/>
      <w:bookmarkStart w:id="159" w:name="OLE_LINK192"/>
      <w:bookmarkStart w:id="160" w:name="OLE_LINK193"/>
      <w:bookmarkStart w:id="161" w:name="OLE_LINK202"/>
      <w:bookmarkStart w:id="162" w:name="OLE_LINK203"/>
      <w:bookmarkStart w:id="163" w:name="OLE_LINK204"/>
      <w:bookmarkStart w:id="164" w:name="OLE_LINK205"/>
      <w:bookmarkStart w:id="165" w:name="OLE_LINK218"/>
      <w:bookmarkStart w:id="166" w:name="OLE_LINK219"/>
      <w:bookmarkStart w:id="167" w:name="OLE_LINK220"/>
      <w:bookmarkStart w:id="168" w:name="OLE_LINK225"/>
      <w:bookmarkStart w:id="169" w:name="OLE_LINK226"/>
      <w:bookmarkStart w:id="170" w:name="OLE_LINK223"/>
      <w:bookmarkStart w:id="171" w:name="OLE_LINK224"/>
      <w:bookmarkStart w:id="172" w:name="OLE_LINK227"/>
      <w:bookmarkStart w:id="173" w:name="OLE_LINK228"/>
      <w:bookmarkStart w:id="174" w:name="OLE_LINK231"/>
      <w:bookmarkStart w:id="175" w:name="OLE_LINK232"/>
      <w:bookmarkStart w:id="176" w:name="OLE_LINK229"/>
      <w:bookmarkStart w:id="177" w:name="OLE_LINK230"/>
      <w:bookmarkEnd w:id="136"/>
      <w:bookmarkEnd w:id="137"/>
      <w:bookmarkEnd w:id="138"/>
      <w:bookmarkEnd w:id="139"/>
      <w:bookmarkEnd w:id="140"/>
      <w:bookmarkEnd w:id="141"/>
      <w:bookmarkEnd w:id="142"/>
      <w:bookmarkEnd w:id="143"/>
      <w:r w:rsidRPr="00FF3102">
        <w:rPr>
          <w:rtl/>
        </w:rPr>
        <w:t>ثانيا. السياق الإقليمي ودور مجموعة البنك الدولي</w:t>
      </w:r>
      <w:bookmarkEnd w:id="144"/>
    </w:p>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تشهد منطقة الشرق الأوسط وشمال أفريقيا اضطرابات وأعمال عنف واسعة النطاق، وتشكل إعادة إحلال السلام والاستقرار والحفاظ عليهما أحد التحديات الرئيسية بالنسبة لبلدان المنطقة وشركائها. </w:t>
      </w:r>
      <w:r w:rsidRPr="00FF3102">
        <w:rPr>
          <w:rFonts w:ascii="Simplified Arabic" w:eastAsiaTheme="minorEastAsia" w:hAnsi="Simplified Arabic" w:cs="Simplified Arabic"/>
          <w:spacing w:val="0"/>
          <w:rtl/>
        </w:rPr>
        <w:t>تعاني المنطقة من اتساع رقعة الاضطرابات المدنية وأعمال العنف</w:t>
      </w:r>
      <w:r w:rsidRPr="00FF3102">
        <w:rPr>
          <w:rFonts w:ascii="Simplified Arabic" w:eastAsiaTheme="minorEastAsia" w:hAnsi="Simplified Arabic" w:cs="Simplified Arabic"/>
          <w:rtl/>
        </w:rPr>
        <w:t>، مما يتسبب في</w:t>
      </w:r>
      <w:r w:rsidRPr="00FF3102">
        <w:rPr>
          <w:rFonts w:ascii="Simplified Arabic" w:eastAsiaTheme="minorEastAsia" w:hAnsi="Simplified Arabic" w:cs="Simplified Arabic"/>
          <w:spacing w:val="0"/>
          <w:rtl/>
        </w:rPr>
        <w:t xml:space="preserve"> غياب الأمن وتدمير البنية التحتية و</w:t>
      </w:r>
      <w:r w:rsidRPr="00FF3102">
        <w:rPr>
          <w:rFonts w:ascii="Simplified Arabic" w:eastAsiaTheme="minorEastAsia" w:hAnsi="Simplified Arabic" w:cs="Simplified Arabic"/>
          <w:rtl/>
        </w:rPr>
        <w:t xml:space="preserve">خلق </w:t>
      </w:r>
      <w:r w:rsidRPr="00FF3102">
        <w:rPr>
          <w:rFonts w:ascii="Simplified Arabic" w:eastAsiaTheme="minorEastAsia" w:hAnsi="Simplified Arabic" w:cs="Simplified Arabic"/>
          <w:spacing w:val="0"/>
          <w:rtl/>
        </w:rPr>
        <w:t xml:space="preserve">معاناة إنسانية على نطاق واسع. وقد فرَّ قرابة ستة عشر مليون شخص من ديارهم واتجه كثيرون منهم إلى بلدان قريبة هشة لا يمكنها استيعابهم، مما تسبب في </w:t>
      </w:r>
      <w:r w:rsidRPr="00FF3102">
        <w:rPr>
          <w:rFonts w:ascii="Simplified Arabic" w:eastAsiaTheme="minorEastAsia" w:hAnsi="Simplified Arabic" w:cs="Simplified Arabic"/>
          <w:rtl/>
        </w:rPr>
        <w:t xml:space="preserve">خلق </w:t>
      </w:r>
      <w:r w:rsidRPr="00FF3102">
        <w:rPr>
          <w:rFonts w:ascii="Simplified Arabic" w:eastAsiaTheme="minorEastAsia" w:hAnsi="Simplified Arabic" w:cs="Simplified Arabic"/>
          <w:spacing w:val="0"/>
          <w:rtl/>
        </w:rPr>
        <w:t>أكبر أزمة للاجئين منذ الحرب العالمية الثانية. وقد تأثرت مصر، وهي أحد البلدان المهمة من الناحية الجغرافية السياسية بالمنطقة، كثيراً بهذه الاضطرابات وتعيَّن عليها إعطاء أولوية للتصدي للمخاوف الأمنية في الوقت نفسه الذي تتصدى فيه للمعوقات</w:t>
      </w:r>
      <w:r w:rsidRPr="00FF3102">
        <w:rPr>
          <w:rFonts w:ascii="Simplified Arabic" w:eastAsiaTheme="minorEastAsia" w:hAnsi="Simplified Arabic" w:cs="Simplified Arabic"/>
          <w:rtl/>
        </w:rPr>
        <w:t xml:space="preserve"> أمام تحقيق التنمية الاقتصادية.</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b/>
          <w:i/>
        </w:rPr>
      </w:pPr>
      <w:bookmarkStart w:id="178" w:name="OLE_LINK239"/>
      <w:bookmarkStart w:id="179" w:name="OLE_LINK240"/>
      <w:bookmarkStart w:id="180" w:name="OLE_LINK241"/>
      <w:bookmarkStart w:id="181" w:name="OLE_LINK242"/>
      <w:bookmarkStart w:id="182" w:name="OLE_LINK243"/>
      <w:bookmarkStart w:id="183" w:name="OLE_LINK244"/>
      <w:bookmarkStart w:id="184" w:name="OLE_LINK245"/>
      <w:bookmarkStart w:id="185" w:name="OLE_LINK246"/>
      <w:bookmarkStart w:id="186" w:name="OLE_LINK247"/>
      <w:bookmarkStart w:id="187" w:name="OLE_LINK248"/>
      <w:bookmarkStart w:id="188" w:name="OLE_LINK249"/>
      <w:bookmarkStart w:id="189" w:name="OLE_LINK250"/>
      <w:bookmarkStart w:id="190" w:name="OLE_LINK251"/>
      <w:bookmarkStart w:id="191" w:name="OLE_LINK252"/>
      <w:bookmarkStart w:id="192" w:name="OLE_LINK253"/>
      <w:r w:rsidRPr="00FF3102">
        <w:rPr>
          <w:rFonts w:ascii="Simplified Arabic" w:eastAsiaTheme="minorEastAsia" w:hAnsi="Simplified Arabic" w:cs="Simplified Arabic"/>
          <w:bCs/>
          <w:iCs/>
          <w:spacing w:val="0"/>
          <w:rtl/>
        </w:rPr>
        <w:t>تركز الإستراتيجية الجديدة لمجموعة البنك الدولي على مساندة إحلال السلام والاستقرار في المنطقة، ليس فقط لأنهما شرطان أساسيان لتحقيق التنمية الاقتصادية، بل أيضا لأنهما من المنافع العامة العالمية.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فالصراعات وأعمال العنف</w:t>
      </w:r>
      <w:r w:rsidRPr="00FF3102">
        <w:rPr>
          <w:rFonts w:ascii="Simplified Arabic" w:eastAsiaTheme="minorEastAsia" w:hAnsi="Simplified Arabic" w:cs="Simplified Arabic"/>
          <w:rtl/>
        </w:rPr>
        <w:t xml:space="preserve"> الدائرة في</w:t>
      </w:r>
      <w:r w:rsidRPr="00FF3102">
        <w:rPr>
          <w:rFonts w:ascii="Simplified Arabic" w:eastAsiaTheme="minorEastAsia" w:hAnsi="Simplified Arabic" w:cs="Simplified Arabic"/>
          <w:spacing w:val="0"/>
          <w:rtl/>
        </w:rPr>
        <w:t xml:space="preserve"> المنطقة لها آثار ضخمة غير مباشرة تتمثل في أزمة اللاجئين</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وتزايد أعمال العنف</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والإرهاب. وتستهدف إستراتيجية مجموعة البنك الدولي عكس مسار الاتجاهات الحالية في المنطقة والمساعدة على تهيئة الظروف المواتية لتحقيق نمو يجني الجميع ثماره.</w:t>
      </w:r>
      <w:r w:rsidRPr="00FF3102">
        <w:rPr>
          <w:rStyle w:val="FootnoteReference"/>
          <w:rFonts w:ascii="Simplified Arabic" w:eastAsiaTheme="minorEastAsia" w:hAnsi="Simplified Arabic" w:cs="Simplified Arabic"/>
          <w:spacing w:val="0"/>
          <w:rtl/>
        </w:rPr>
        <w:footnoteReference w:id="5"/>
      </w:r>
      <w:r w:rsidRPr="00FF3102">
        <w:rPr>
          <w:rFonts w:ascii="Simplified Arabic" w:eastAsiaTheme="minorEastAsia" w:hAnsi="Simplified Arabic" w:cs="Simplified Arabic"/>
          <w:spacing w:val="0"/>
          <w:rtl/>
        </w:rPr>
        <w:t xml:space="preserve"> وللقيام بذلك، لابد من معالجة المسببات الرئيسية للصراع والعنف مع القيام في الوقت ذاته بتقديم المساندة لتخفيف حدة عواقب الصراعات الأشد إلحاحاً.</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b/>
          <w:i/>
        </w:rPr>
      </w:pPr>
      <w:bookmarkStart w:id="193" w:name="OLE_LINK254"/>
      <w:bookmarkStart w:id="194" w:name="OLE_LINK255"/>
      <w:bookmarkStart w:id="195" w:name="OLE_LINK256"/>
      <w:bookmarkStart w:id="196" w:name="OLE_LINK257"/>
      <w:bookmarkStart w:id="197" w:name="OLE_LINK258"/>
      <w:bookmarkStart w:id="198" w:name="OLE_LINK259"/>
      <w:bookmarkStart w:id="199" w:name="OLE_LINK260"/>
      <w:bookmarkStart w:id="200" w:name="OLE_LINK261"/>
      <w:bookmarkStart w:id="201" w:name="OLE_LINK262"/>
      <w:bookmarkStart w:id="202" w:name="OLE_LINK263"/>
      <w:bookmarkStart w:id="203" w:name="OLE_LINK264"/>
      <w:bookmarkStart w:id="204" w:name="OLE_LINK265"/>
      <w:bookmarkStart w:id="205" w:name="OLE_LINK266"/>
      <w:bookmarkStart w:id="206" w:name="OLE_LINK267"/>
      <w:bookmarkStart w:id="207" w:name="OLE_LINK268"/>
      <w:bookmarkStart w:id="208" w:name="OLE_LINK269"/>
      <w:bookmarkStart w:id="209" w:name="OLE_LINK270"/>
      <w:bookmarkStart w:id="210" w:name="OLE_LINK271"/>
      <w:bookmarkStart w:id="211" w:name="OLE_LINK272"/>
      <w:bookmarkStart w:id="212" w:name="OLE_LINK273"/>
      <w:bookmarkStart w:id="213" w:name="OLE_LINK274"/>
      <w:bookmarkStart w:id="214" w:name="OLE_LINK275"/>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F3102">
        <w:rPr>
          <w:rFonts w:ascii="Simplified Arabic" w:eastAsiaTheme="minorEastAsia" w:hAnsi="Simplified Arabic" w:cs="Simplified Arabic"/>
          <w:bCs/>
          <w:iCs/>
          <w:spacing w:val="-2"/>
          <w:rtl/>
        </w:rPr>
        <w:t xml:space="preserve">تستهدف إستراتيجية مجموعة البنك الدولي الخاصة بمنطقة الشرق الأوسط وشمال أفريقيا تحقيق أربع ركائز: تجديد العقد الاجتماعي بين الدولة ومواطنيها، وتشجيع التعاون الإقليمي، وتعزيز القدرة على مجابهة الصدمات الناشئة عن تدفق النازحين واللاجئين، ومساندة التعافي وإعادة الإعمار. </w:t>
      </w:r>
      <w:r w:rsidRPr="00FF3102">
        <w:rPr>
          <w:rFonts w:ascii="Simplified Arabic" w:eastAsiaTheme="minorEastAsia" w:hAnsi="Simplified Arabic" w:cs="Simplified Arabic"/>
          <w:spacing w:val="-2"/>
          <w:rtl/>
        </w:rPr>
        <w:t xml:space="preserve">وفي السياق المصري، هناك ثلاث ركائز هي الأكثر ارتباطاً بهذا السياق وستمثل محور تركيز الإستراتيجية المقترحة لمجموعة البنك الدولي. وستشمل هذه الركائز </w:t>
      </w:r>
      <w:r w:rsidRPr="00FF3102">
        <w:rPr>
          <w:rFonts w:ascii="Simplified Arabic" w:eastAsiaTheme="minorEastAsia" w:hAnsi="Simplified Arabic" w:cs="Simplified Arabic"/>
          <w:iCs/>
          <w:spacing w:val="-2"/>
          <w:rtl/>
        </w:rPr>
        <w:t>تجديد العقد الاجتماعي ومساندة التعافي الاقتصادي</w:t>
      </w:r>
      <w:r w:rsidRPr="00FF3102">
        <w:rPr>
          <w:rFonts w:ascii="Simplified Arabic" w:eastAsiaTheme="minorEastAsia" w:hAnsi="Simplified Arabic" w:cs="Simplified Arabic"/>
          <w:spacing w:val="-2"/>
          <w:rtl/>
        </w:rPr>
        <w:t xml:space="preserve"> من خلال تمكين القطاع الخاص من خلق فرص العمل، لاسيما للشباب، وتشجيع تحسين نظام الإدارة العامة والحوكمة من خلال زيادة الشفافية والمساءلة في استخدام الموارد وتحسين جودة تقديم الخدمات، وحماية الفقراء والضعفاء بقدر أكبر من الفاعلية. وستسعى الإستراتيجية إلى تشجيع </w:t>
      </w:r>
      <w:r w:rsidRPr="00FF3102">
        <w:rPr>
          <w:rFonts w:ascii="Simplified Arabic" w:eastAsiaTheme="minorEastAsia" w:hAnsi="Simplified Arabic" w:cs="Simplified Arabic"/>
          <w:iCs/>
          <w:spacing w:val="-2"/>
          <w:rtl/>
        </w:rPr>
        <w:t>التعاون الإقليمي</w:t>
      </w:r>
      <w:r w:rsidRPr="00FF3102">
        <w:rPr>
          <w:rFonts w:ascii="Simplified Arabic" w:eastAsiaTheme="minorEastAsia" w:hAnsi="Simplified Arabic" w:cs="Simplified Arabic"/>
          <w:spacing w:val="-2"/>
          <w:rtl/>
        </w:rPr>
        <w:t>، لاسيما في مجال الاستثمارات الخاصة العابرة للحدود، ومواصلة التعاون الإقليمي في قطاعات الطاقة والمياه والتعليم، والمشاركات عبر الحدود من خلال تعزيز الشراكات المالية والمعرفية والساعية إلى استقطاب التأييد مع هيئات التنمية الإقليمية.</w:t>
      </w:r>
    </w:p>
    <w:p w:rsidR="00810BAC" w:rsidRPr="00FF3102" w:rsidRDefault="00810BAC" w:rsidP="00D23C58">
      <w:pPr>
        <w:pStyle w:val="Head1"/>
        <w:rPr>
          <w:szCs w:val="24"/>
        </w:rPr>
      </w:pPr>
      <w:bookmarkStart w:id="215" w:name="_Toc439184537"/>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FF3102">
        <w:rPr>
          <w:rtl/>
        </w:rPr>
        <w:t>ثالثا. السياق المصري وأجندة التنمية</w:t>
      </w:r>
      <w:bookmarkEnd w:id="215"/>
    </w:p>
    <w:p w:rsidR="00810BAC" w:rsidRPr="00FF3102" w:rsidRDefault="00810BAC" w:rsidP="00D23C58">
      <w:pPr>
        <w:pStyle w:val="Head2"/>
        <w:rPr>
          <w:rtl/>
          <w:lang w:bidi="ar-EG"/>
        </w:rPr>
      </w:pPr>
      <w:bookmarkStart w:id="216" w:name="_Toc439184538"/>
      <w:r w:rsidRPr="00FF3102">
        <w:rPr>
          <w:rtl/>
        </w:rPr>
        <w:t>أ. السياق الاجتماعي والسياسي</w:t>
      </w:r>
      <w:bookmarkEnd w:id="216"/>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من المتوقع أن تستكمل مصر خارطة الطريق السياسية التي أُعلن عنها في يوليو 2013.</w:t>
      </w:r>
      <w:r w:rsidRPr="00FF3102">
        <w:rPr>
          <w:rFonts w:ascii="Simplified Arabic" w:eastAsiaTheme="minorEastAsia" w:hAnsi="Simplified Arabic" w:cs="Simplified Arabic"/>
          <w:spacing w:val="0"/>
          <w:rtl/>
        </w:rPr>
        <w:t xml:space="preserve"> فبعد ثلاثة أعوام من عدم وضوح الأوضاع السياسية في أعقاب اندلاع ثورة عام 2011،</w:t>
      </w:r>
      <w:r w:rsidRPr="00FF3102">
        <w:rPr>
          <w:rStyle w:val="FootnoteReference"/>
          <w:rFonts w:ascii="Simplified Arabic" w:eastAsiaTheme="minorEastAsia" w:hAnsi="Simplified Arabic" w:cs="Simplified Arabic"/>
          <w:spacing w:val="0"/>
          <w:rtl/>
        </w:rPr>
        <w:footnoteReference w:id="6"/>
      </w:r>
      <w:r w:rsidRPr="00FF3102">
        <w:rPr>
          <w:rFonts w:ascii="Simplified Arabic" w:eastAsiaTheme="minorEastAsia" w:hAnsi="Simplified Arabic" w:cs="Simplified Arabic"/>
          <w:spacing w:val="0"/>
          <w:rtl/>
        </w:rPr>
        <w:t xml:space="preserve"> أُقر دستور جديد في استفتاء شعبي و</w:t>
      </w:r>
      <w:r w:rsidRPr="00FF3102">
        <w:rPr>
          <w:rFonts w:ascii="Simplified Arabic" w:eastAsiaTheme="minorEastAsia" w:hAnsi="Simplified Arabic" w:cs="Simplified Arabic"/>
          <w:rtl/>
        </w:rPr>
        <w:t>أُجريت</w:t>
      </w:r>
      <w:r w:rsidRPr="00FF3102">
        <w:rPr>
          <w:rFonts w:ascii="Simplified Arabic" w:eastAsiaTheme="minorEastAsia" w:hAnsi="Simplified Arabic" w:cs="Simplified Arabic"/>
          <w:spacing w:val="0"/>
          <w:rtl/>
        </w:rPr>
        <w:t xml:space="preserve"> الانتخابات الرئاسية في مايو 2014. ومن المقرر الانتهاء من إجراء الانتخابات البرلمانية بنهاية عام 2015.</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217" w:name="OLE_LINK289"/>
      <w:bookmarkStart w:id="218" w:name="OLE_LINK290"/>
      <w:r w:rsidRPr="00FF3102">
        <w:rPr>
          <w:rFonts w:ascii="Simplified Arabic" w:eastAsiaTheme="minorEastAsia" w:hAnsi="Simplified Arabic" w:cs="Simplified Arabic"/>
          <w:bCs/>
          <w:iCs/>
          <w:spacing w:val="-4"/>
          <w:rtl/>
        </w:rPr>
        <w:t xml:space="preserve">أحرزت الحكومة الحالية تقدما على صعيد استعادة الأمن وخفض مستوى الاضطرابات المدنية والعنف السياسي، وإن كان خطر وقوع اضطرابات ما زال قائما. </w:t>
      </w:r>
      <w:r w:rsidRPr="00FF3102">
        <w:rPr>
          <w:rFonts w:ascii="Simplified Arabic" w:eastAsiaTheme="minorEastAsia" w:hAnsi="Simplified Arabic" w:cs="Simplified Arabic"/>
          <w:spacing w:val="-4"/>
          <w:rtl/>
        </w:rPr>
        <w:t>ولا تزال الأسباب الرئيسية للاحتجاجات- وهي نقص</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الوظائف</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القطاع</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الرسمي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وارتفاع</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نسبة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البطالة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والعمالة الجزئية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الشباب</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المصري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ونقص الخدمات المقدمة للفئات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الفقيرة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السكان- قائمةً وتمثل محور تركيز الإصلاحات الاقتصادية والاجتماعية للحكومة المصرية.</w:t>
      </w:r>
      <w:r w:rsidRPr="00FF3102">
        <w:rPr>
          <w:rFonts w:ascii="Simplified Arabic" w:eastAsiaTheme="minorEastAsia" w:hAnsi="Simplified Arabic" w:cs="Simplified Arabic"/>
          <w:spacing w:val="-4"/>
          <w:rtl/>
        </w:rPr>
        <w:t xml:space="preserve"> ويكتسي ضمان استقرار البيئة السياسية والاجتماعية وأمنها وسلامتها أهمية بالغة في تشجيع النمو الاقتصادي، وجذب استثمارات توفر فرص عمل، والحد من الفقر، وتعزيز الرخاء المشترك.</w:t>
      </w:r>
    </w:p>
    <w:p w:rsidR="00810BAC" w:rsidRPr="00FF3102" w:rsidRDefault="00810BAC" w:rsidP="00D23C58">
      <w:pPr>
        <w:pStyle w:val="Head2"/>
        <w:rPr>
          <w:rtl/>
          <w:lang w:bidi="ar-EG"/>
        </w:rPr>
      </w:pPr>
      <w:bookmarkStart w:id="219" w:name="_Toc439184539"/>
      <w:bookmarkEnd w:id="217"/>
      <w:bookmarkEnd w:id="218"/>
      <w:r w:rsidRPr="00FF3102">
        <w:rPr>
          <w:rtl/>
        </w:rPr>
        <w:t>ب. التطورات الاقتصادية</w:t>
      </w:r>
      <w:bookmarkEnd w:id="219"/>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220" w:name="OLE_LINK303"/>
      <w:bookmarkStart w:id="221" w:name="OLE_LINK304"/>
      <w:bookmarkStart w:id="222" w:name="OLE_LINK305"/>
      <w:bookmarkStart w:id="223" w:name="OLE_LINK306"/>
      <w:bookmarkStart w:id="224" w:name="OLE_LINK307"/>
      <w:bookmarkStart w:id="225" w:name="OLE_LINK308"/>
      <w:bookmarkStart w:id="226" w:name="OLE_LINK309"/>
      <w:bookmarkStart w:id="227" w:name="OLE_LINK310"/>
      <w:r w:rsidRPr="00FF3102">
        <w:rPr>
          <w:rFonts w:ascii="Simplified Arabic" w:eastAsiaTheme="minorEastAsia" w:hAnsi="Simplified Arabic" w:cs="Simplified Arabic"/>
          <w:bCs/>
          <w:iCs/>
          <w:spacing w:val="-4"/>
          <w:rtl/>
        </w:rPr>
        <w:t>كان</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معدل</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النمو الاقتصادي</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في</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مصر</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خلال</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العقود</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الثلاثة</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الماضية</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bCs/>
          <w:iCs/>
          <w:spacing w:val="-4"/>
          <w:rtl/>
        </w:rPr>
        <w:t>متوسطا، لكنه لم يكن كافيا لاستيعاب النمو السريع في أعداد السكان والأيدي العاملة.</w:t>
      </w:r>
      <w:r w:rsidRPr="00FF3102">
        <w:rPr>
          <w:rFonts w:ascii="Simplified Arabic" w:eastAsiaTheme="minorEastAsia" w:hAnsi="Simplified Arabic" w:cs="Simplified Arabic"/>
          <w:spacing w:val="-4"/>
          <w:rtl/>
        </w:rPr>
        <w:t xml:space="preserve"> وقد بلغ متوسط نصيب الفرد من النمو نحو 2 في المائة سنوياً منذ عام 1980. واتسم الاقتصاد بتراجع معدلات الاستثمار العام، وانخفاض الاستثمار الخاص وتقلّبه، وانخفاض الصادرات وعدم تنويعها، وانخفاض معدلات التوظيف والمشاركة في القوى العاملة، لاسيما بين النساء، وضعف ديناميكيات الشركات وخلق فرص العمل، وغياب قطاع قوي للمشروعات الصغيرة والمتوسطة، ومحدودية نمو الإنتاجية.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وأصبح الاقتصاد المصري كثيف الاستخدام لرأس المال على نحو متزايد </w:t>
      </w:r>
      <w:r w:rsidRPr="00FF3102">
        <w:rPr>
          <w:rFonts w:ascii="Simplified Arabic" w:eastAsiaTheme="minorEastAsia" w:hAnsi="Simplified Arabic" w:cs="Simplified Arabic"/>
          <w:rtl/>
        </w:rPr>
        <w:t>حيث لا تتجاوز</w:t>
      </w:r>
      <w:r w:rsidRPr="00FF3102">
        <w:rPr>
          <w:rFonts w:ascii="Simplified Arabic" w:eastAsiaTheme="minorEastAsia" w:hAnsi="Simplified Arabic" w:cs="Simplified Arabic"/>
          <w:spacing w:val="0"/>
          <w:rtl/>
        </w:rPr>
        <w:t xml:space="preserve"> حصة العمالة من الدخل ما يتراوح بين نحو 30 و 40 في المائة. وأسهم الدعم المفرط للصناعات كثيفة الاستخدام لرأس المال في محدودية خلق فرص العمل على نحو عام في مصر مقارنةً بغيرها من البلدان متوسطة الدخل.</w:t>
      </w:r>
      <w:bookmarkEnd w:id="220"/>
      <w:bookmarkEnd w:id="221"/>
      <w:bookmarkEnd w:id="222"/>
      <w:bookmarkEnd w:id="223"/>
      <w:bookmarkEnd w:id="224"/>
      <w:bookmarkEnd w:id="225"/>
      <w:bookmarkEnd w:id="226"/>
      <w:bookmarkEnd w:id="227"/>
    </w:p>
    <w:tbl>
      <w:tblPr>
        <w:tblStyle w:val="TableGrid"/>
        <w:tblpPr w:leftFromText="187" w:rightFromText="187" w:vertAnchor="text" w:horzAnchor="margin" w:tblpY="2570"/>
        <w:tblOverlap w:val="never"/>
        <w:tblW w:w="0" w:type="auto"/>
        <w:tblLayout w:type="fixed"/>
        <w:tblLook w:val="04A0" w:firstRow="1" w:lastRow="0" w:firstColumn="1" w:lastColumn="0" w:noHBand="0" w:noVBand="1"/>
      </w:tblPr>
      <w:tblGrid>
        <w:gridCol w:w="4495"/>
      </w:tblGrid>
      <w:tr w:rsidR="00B914E9" w:rsidRPr="00FF3102" w:rsidTr="00B914E9">
        <w:trPr>
          <w:trHeight w:val="2250"/>
        </w:trPr>
        <w:tc>
          <w:tcPr>
            <w:tcW w:w="4495" w:type="dxa"/>
            <w:tcMar>
              <w:left w:w="0" w:type="dxa"/>
              <w:right w:w="0" w:type="dxa"/>
            </w:tcMar>
          </w:tcPr>
          <w:p w:rsidR="00B914E9" w:rsidRPr="00FF3102" w:rsidRDefault="00B914E9" w:rsidP="00E625D2">
            <w:pPr>
              <w:pStyle w:val="Figures"/>
              <w:framePr w:hSpace="0" w:wrap="auto" w:hAnchor="text" w:yAlign="inline"/>
              <w:suppressOverlap w:val="0"/>
              <w:rPr>
                <w:rtl/>
                <w:lang w:bidi="ar-EG"/>
              </w:rPr>
            </w:pPr>
            <w:bookmarkStart w:id="228" w:name="_Toc439186228"/>
            <w:bookmarkStart w:id="229" w:name="OLE_LINK321"/>
            <w:bookmarkStart w:id="230" w:name="OLE_LINK322"/>
            <w:bookmarkStart w:id="231" w:name="OLE_LINK323"/>
            <w:bookmarkStart w:id="232" w:name="OLE_LINK324"/>
            <w:bookmarkStart w:id="233" w:name="OLE_LINK325"/>
            <w:bookmarkStart w:id="234" w:name="OLE_LINK328"/>
            <w:bookmarkStart w:id="235" w:name="OLE_LINK329"/>
            <w:bookmarkStart w:id="236" w:name="OLE_LINK326"/>
            <w:bookmarkStart w:id="237" w:name="OLE_LINK327"/>
            <w:bookmarkStart w:id="238" w:name="OLE_LINK330"/>
            <w:bookmarkStart w:id="239" w:name="OLE_LINK331"/>
            <w:bookmarkStart w:id="240" w:name="OLE_LINK332"/>
            <w:bookmarkStart w:id="241" w:name="OLE_LINK333"/>
            <w:bookmarkStart w:id="242" w:name="OLE_LINK334"/>
            <w:bookmarkStart w:id="243" w:name="OLE_LINK335"/>
            <w:bookmarkStart w:id="244" w:name="OLE_LINK336"/>
            <w:bookmarkStart w:id="245" w:name="OLE_LINK337"/>
            <w:bookmarkStart w:id="246" w:name="OLE_LINK338"/>
            <w:bookmarkStart w:id="247" w:name="OLE_LINK339"/>
            <w:bookmarkStart w:id="248" w:name="OLE_LINK340"/>
            <w:bookmarkStart w:id="249" w:name="OLE_LINK341"/>
            <w:bookmarkStart w:id="250" w:name="OLE_LINK342"/>
            <w:bookmarkStart w:id="251" w:name="OLE_LINK343"/>
            <w:bookmarkStart w:id="252" w:name="OLE_LINK344"/>
            <w:bookmarkStart w:id="253" w:name="OLE_LINK345"/>
            <w:bookmarkStart w:id="254" w:name="OLE_LINK346"/>
            <w:bookmarkStart w:id="255" w:name="OLE_LINK347"/>
            <w:bookmarkStart w:id="256" w:name="OLE_LINK348"/>
            <w:bookmarkStart w:id="257" w:name="OLE_LINK349"/>
            <w:bookmarkStart w:id="258" w:name="OLE_LINK350"/>
            <w:bookmarkStart w:id="259" w:name="OLE_LINK351"/>
            <w:bookmarkStart w:id="260" w:name="OLE_LINK352"/>
            <w:bookmarkStart w:id="261" w:name="OLE_LINK353"/>
            <w:bookmarkStart w:id="262" w:name="OLE_LINK354"/>
            <w:bookmarkStart w:id="263" w:name="OLE_LINK355"/>
            <w:bookmarkStart w:id="264" w:name="OLE_LINK356"/>
            <w:bookmarkStart w:id="265" w:name="OLE_LINK359"/>
            <w:bookmarkStart w:id="266" w:name="OLE_LINK357"/>
            <w:bookmarkStart w:id="267" w:name="OLE_LINK358"/>
            <w:r w:rsidRPr="00FF3102">
              <w:rPr>
                <w:rtl/>
              </w:rPr>
              <w:t>الشكل 1- معدل نمو إجمالي الناتج المحلي الحقيقي</w:t>
            </w:r>
            <w:bookmarkEnd w:id="228"/>
          </w:p>
          <w:p w:rsidR="00B914E9" w:rsidRPr="00FF3102" w:rsidRDefault="00B914E9" w:rsidP="00B914E9">
            <w:pPr>
              <w:pStyle w:val="Sourceornote"/>
              <w:bidi/>
              <w:ind w:left="90"/>
              <w:rPr>
                <w:rFonts w:ascii="Simplified Arabic" w:hAnsi="Simplified Arabic" w:cs="Simplified Arabic"/>
                <w:i/>
                <w:sz w:val="24"/>
                <w:szCs w:val="24"/>
              </w:rPr>
            </w:pPr>
            <w:r w:rsidRPr="00FF3102">
              <w:rPr>
                <w:rFonts w:ascii="Simplified Arabic" w:hAnsi="Simplified Arabic" w:cs="Simplified Arabic"/>
                <w:i/>
                <w:noProof/>
                <w:sz w:val="24"/>
                <w:szCs w:val="24"/>
              </w:rPr>
              <w:drawing>
                <wp:inline distT="0" distB="0" distL="0" distR="0" wp14:anchorId="49F8FF6B" wp14:editId="706B8D46">
                  <wp:extent cx="2838450" cy="1152525"/>
                  <wp:effectExtent l="0" t="0" r="0" b="9525"/>
                  <wp:docPr id="1" name="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8450" cy="1152525"/>
                          </a:xfrm>
                          <a:prstGeom prst="rect">
                            <a:avLst/>
                          </a:prstGeom>
                          <a:noFill/>
                          <a:ln>
                            <a:noFill/>
                          </a:ln>
                        </pic:spPr>
                      </pic:pic>
                    </a:graphicData>
                  </a:graphic>
                </wp:inline>
              </w:drawing>
            </w:r>
          </w:p>
          <w:p w:rsidR="00B914E9" w:rsidRPr="00FF3102" w:rsidRDefault="00B914E9" w:rsidP="00B914E9">
            <w:pPr>
              <w:pStyle w:val="Sourceornote"/>
              <w:bidi/>
              <w:ind w:left="90"/>
              <w:rPr>
                <w:rFonts w:ascii="Simplified Arabic" w:eastAsiaTheme="minorEastAsia" w:hAnsi="Simplified Arabic" w:cs="Simplified Arabic"/>
                <w:sz w:val="24"/>
                <w:szCs w:val="24"/>
                <w:rtl/>
                <w:lang w:bidi="ar-EG"/>
              </w:rPr>
            </w:pPr>
            <w:bookmarkStart w:id="268" w:name="OLE_LINK313"/>
            <w:bookmarkStart w:id="269" w:name="OLE_LINK314"/>
            <w:bookmarkStart w:id="270" w:name="OLE_LINK315"/>
            <w:bookmarkStart w:id="271" w:name="OLE_LINK316"/>
            <w:r w:rsidRPr="00FF3102">
              <w:rPr>
                <w:rFonts w:ascii="Simplified Arabic" w:eastAsiaTheme="minorEastAsia" w:hAnsi="Simplified Arabic" w:cs="Simplified Arabic"/>
                <w:iCs/>
                <w:sz w:val="24"/>
                <w:szCs w:val="24"/>
                <w:rtl/>
              </w:rPr>
              <w:t>المصدر:</w:t>
            </w:r>
            <w:r w:rsidRPr="00FF3102">
              <w:rPr>
                <w:rFonts w:ascii="Simplified Arabic" w:eastAsiaTheme="minorEastAsia" w:hAnsi="Simplified Arabic" w:cs="Simplified Arabic"/>
                <w:sz w:val="24"/>
                <w:szCs w:val="24"/>
                <w:rtl/>
              </w:rPr>
              <w:t xml:space="preserve"> تقديرات خبراء صندوق النقد الدولي والبنك الدولي.</w:t>
            </w:r>
            <w:bookmarkEnd w:id="268"/>
            <w:bookmarkEnd w:id="269"/>
            <w:bookmarkEnd w:id="270"/>
            <w:bookmarkEnd w:id="271"/>
          </w:p>
        </w:tc>
      </w:tr>
    </w:tbl>
    <w:p w:rsidR="00810BAC" w:rsidRPr="00FF3102" w:rsidRDefault="00810BAC" w:rsidP="001E71BE">
      <w:pPr>
        <w:pStyle w:val="MainParanoChapter"/>
        <w:numPr>
          <w:ilvl w:val="0"/>
          <w:numId w:val="22"/>
        </w:numPr>
        <w:tabs>
          <w:tab w:val="clear" w:pos="1440"/>
          <w:tab w:val="num" w:pos="0"/>
          <w:tab w:val="left" w:pos="540"/>
        </w:tabs>
        <w:bidi/>
        <w:spacing w:after="0"/>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2"/>
          <w:rtl/>
        </w:rPr>
        <w:t xml:space="preserve">منذ عام 2000، ظل النمو الاقتصادي في مصر متقلبا بسبب عوامل داخلية وخارجية على حد سواء. </w:t>
      </w:r>
      <w:r w:rsidRPr="00FF3102">
        <w:rPr>
          <w:rFonts w:ascii="Simplified Arabic" w:eastAsiaTheme="minorEastAsia" w:hAnsi="Simplified Arabic" w:cs="Simplified Arabic"/>
          <w:spacing w:val="-2"/>
          <w:rtl/>
        </w:rPr>
        <w:t xml:space="preserve">وبدأت معدلات النمو المتوسطة في مطلع هذه الفترة (1999-2003) في الزيادة نتيجةً لإجراء إصلاحات هيكلية واسعة النطاق بدأت في عام 2004 وشملت تسريع تطبيق برنامج الخصخصة، وإدخال تحسينات على بيئة ممارسة الأعمال وإدارة سعر الصرف، والقطاع المصرفي، والضرائب، وإصلاحات تجارية. وأسهمت الاستثمارات الخاصة التي عززها ارتفاع صافي الاستثمار الأجنبي المباشر في زيادة معدل النمو، وهو ما أسهمت فيه أيضا </w:t>
      </w:r>
      <w:r w:rsidRPr="00FF3102">
        <w:rPr>
          <w:rFonts w:ascii="Simplified Arabic" w:eastAsiaTheme="minorEastAsia" w:hAnsi="Simplified Arabic" w:cs="Simplified Arabic"/>
          <w:iCs/>
          <w:spacing w:val="-2"/>
          <w:rtl/>
        </w:rPr>
        <w:t>الاقتصادات الخليجية المزدهرة وقوة معدل نمو الاقتصاد العالمي</w:t>
      </w:r>
      <w:r w:rsidRPr="00FF3102">
        <w:rPr>
          <w:rFonts w:ascii="Simplified Arabic" w:eastAsiaTheme="minorEastAsia" w:hAnsi="Simplified Arabic" w:cs="Simplified Arabic"/>
          <w:spacing w:val="-2"/>
          <w:rtl/>
        </w:rPr>
        <w:t>. وتسارعت معدلات النمو لتتجاوز 7 في المائة سنوياً في 2007-2008، ونما متوسط دخل الفرد بمعدل جيد. وأدى وقوع الأزمة المالية العالمية عام 2008 وارتفاع أسعار المواد الغذائية إلى توقف النمو الاقتصادي القوي لمصر، كما هبطت معدلات النمو السنوية إلى ما يتراوح من 4.7 إلى 5.1 في المائة عامي 2009 و 2010، لكنها ظلت متجاوزةً لمعظم الاقتصادات الصاعدة. وبعد اندلاع الثورة المصرية في عام 2011 وما أعقبها من اضطرابات سياسية ومدنية، تراجع قطاع السياحة والاستثمارات الأجنبية وتدهور مناخ الأعمال وهبطت معدلات النمو السنوية إلى نحو 2 في المائة (الشكل 1). ومن المتوقع أن يرتفع معدل النمو إلى أكثر من 4 في المائة عام 2015 (الجدول 1).</w:t>
      </w:r>
      <w:r w:rsidRPr="00FF3102">
        <w:rPr>
          <w:rStyle w:val="FootnoteReference"/>
          <w:rFonts w:ascii="Simplified Arabic" w:eastAsiaTheme="minorEastAsia" w:hAnsi="Simplified Arabic" w:cs="Simplified Arabic"/>
          <w:spacing w:val="-2"/>
          <w:rtl/>
        </w:rPr>
        <w:footnoteReference w:id="7"/>
      </w:r>
      <w:r w:rsidRPr="00FF3102">
        <w:rPr>
          <w:rFonts w:ascii="Simplified Arabic" w:eastAsiaTheme="minorEastAsia" w:hAnsi="Simplified Arabic" w:cs="Simplified Arabic"/>
          <w:spacing w:val="-2"/>
          <w:rtl/>
        </w:rPr>
        <w:t xml:space="preserve"> وما زالت نسبة البطالة مرتفعة إذ بلغت 12.7 في المائة في يونيو 2015، ويبرز هذا الارتفاع بوجه خاص بين النساء والشباب. </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tbl>
      <w:tblPr>
        <w:bidiVisual/>
        <w:tblW w:w="8669" w:type="dxa"/>
        <w:jc w:val="center"/>
        <w:tblLayout w:type="fixed"/>
        <w:tblLook w:val="04A0" w:firstRow="1" w:lastRow="0" w:firstColumn="1" w:lastColumn="0" w:noHBand="0" w:noVBand="1"/>
      </w:tblPr>
      <w:tblGrid>
        <w:gridCol w:w="2492"/>
        <w:gridCol w:w="667"/>
        <w:gridCol w:w="612"/>
        <w:gridCol w:w="611"/>
        <w:gridCol w:w="614"/>
        <w:gridCol w:w="612"/>
        <w:gridCol w:w="611"/>
        <w:gridCol w:w="612"/>
        <w:gridCol w:w="611"/>
        <w:gridCol w:w="612"/>
        <w:gridCol w:w="615"/>
      </w:tblGrid>
      <w:tr w:rsidR="00810BAC" w:rsidRPr="00FF3102" w:rsidTr="00B914E9">
        <w:trPr>
          <w:cantSplit/>
          <w:trHeight w:val="22"/>
          <w:jc w:val="center"/>
        </w:trPr>
        <w:tc>
          <w:tcPr>
            <w:tcW w:w="8669" w:type="dxa"/>
            <w:gridSpan w:val="11"/>
            <w:tcBorders>
              <w:bottom w:val="single" w:sz="4" w:space="0" w:color="auto"/>
            </w:tcBorders>
            <w:tcMar>
              <w:left w:w="43" w:type="dxa"/>
              <w:right w:w="43" w:type="dxa"/>
            </w:tcMar>
            <w:vAlign w:val="center"/>
          </w:tcPr>
          <w:p w:rsidR="00810BAC" w:rsidRPr="00FF3102" w:rsidRDefault="00810BAC" w:rsidP="00810BAC">
            <w:pPr>
              <w:pStyle w:val="Tabletitle"/>
              <w:bidi/>
              <w:spacing w:before="20" w:after="20"/>
              <w:rPr>
                <w:rFonts w:ascii="Simplified Arabic" w:eastAsiaTheme="minorEastAsia" w:hAnsi="Simplified Arabic" w:cs="Simplified Arabic"/>
                <w:bCs/>
                <w:sz w:val="24"/>
                <w:rtl/>
              </w:rPr>
            </w:pPr>
          </w:p>
          <w:p w:rsidR="00810BAC" w:rsidRPr="00FF3102" w:rsidRDefault="00810BAC" w:rsidP="003612F4">
            <w:pPr>
              <w:pStyle w:val="Tables"/>
              <w:rPr>
                <w:rtl/>
              </w:rPr>
            </w:pPr>
            <w:bookmarkStart w:id="272" w:name="_Toc439185207"/>
            <w:r w:rsidRPr="00FF3102">
              <w:rPr>
                <w:rtl/>
              </w:rPr>
              <w:t>الجدول 1- مؤشرات مختارة على أداء الاقتصاد الكلي، الفعلي والمتوقع للسنوات 2006-2019</w:t>
            </w:r>
            <w:bookmarkEnd w:id="272"/>
          </w:p>
        </w:tc>
      </w:tr>
      <w:tr w:rsidR="00810BAC" w:rsidRPr="00FF3102" w:rsidTr="00B914E9">
        <w:trPr>
          <w:cantSplit/>
          <w:trHeight w:val="22"/>
          <w:jc w:val="center"/>
        </w:trPr>
        <w:tc>
          <w:tcPr>
            <w:tcW w:w="2492" w:type="dxa"/>
            <w:vMerge w:val="restart"/>
            <w:tcBorders>
              <w:top w:val="single" w:sz="4" w:space="0" w:color="auto"/>
              <w:bottom w:val="single" w:sz="4" w:space="0" w:color="auto"/>
            </w:tcBorders>
            <w:tcMar>
              <w:left w:w="43" w:type="dxa"/>
              <w:right w:w="43" w:type="dxa"/>
            </w:tcMar>
            <w:vAlign w:val="center"/>
          </w:tcPr>
          <w:p w:rsidR="00810BAC" w:rsidRPr="00B914E9" w:rsidRDefault="00810BAC" w:rsidP="00810BAC">
            <w:pPr>
              <w:pStyle w:val="Tableheading"/>
              <w:bidi/>
              <w:spacing w:before="20" w:after="20"/>
              <w:rPr>
                <w:rFonts w:ascii="Simplified Arabic" w:eastAsiaTheme="minorEastAsia" w:hAnsi="Simplified Arabic" w:cs="Simplified Arabic"/>
                <w:bCs w:val="0"/>
                <w:iCs w:val="0"/>
                <w:sz w:val="20"/>
                <w:szCs w:val="20"/>
                <w:rtl/>
              </w:rPr>
            </w:pPr>
            <w:r w:rsidRPr="00B914E9">
              <w:rPr>
                <w:rFonts w:ascii="Simplified Arabic" w:eastAsiaTheme="minorEastAsia" w:hAnsi="Simplified Arabic" w:cs="Simplified Arabic"/>
                <w:sz w:val="20"/>
                <w:szCs w:val="20"/>
                <w:rtl/>
              </w:rPr>
              <w:t>السنة المالية</w:t>
            </w:r>
          </w:p>
        </w:tc>
        <w:tc>
          <w:tcPr>
            <w:tcW w:w="3116" w:type="dxa"/>
            <w:gridSpan w:val="5"/>
            <w:tcBorders>
              <w:top w:val="single" w:sz="4" w:space="0" w:color="auto"/>
              <w:right w:val="single" w:sz="4" w:space="0" w:color="auto"/>
            </w:tcBorders>
            <w:tcMar>
              <w:left w:w="0" w:type="dxa"/>
              <w:right w:w="0" w:type="dxa"/>
            </w:tcMar>
            <w:vAlign w:val="center"/>
          </w:tcPr>
          <w:tbl>
            <w:tblPr>
              <w:tblStyle w:val="TableGrid"/>
              <w:tblW w:w="0" w:type="auto"/>
              <w:tblLayout w:type="fixed"/>
              <w:tblLook w:val="04A0" w:firstRow="1" w:lastRow="0" w:firstColumn="1" w:lastColumn="0" w:noHBand="0" w:noVBand="1"/>
            </w:tblPr>
            <w:tblGrid>
              <w:gridCol w:w="3055"/>
            </w:tblGrid>
            <w:tr w:rsidR="00810BAC" w:rsidRPr="00B914E9">
              <w:trPr>
                <w:trHeight w:val="262"/>
              </w:trPr>
              <w:tc>
                <w:tcPr>
                  <w:tcW w:w="3055" w:type="dxa"/>
                  <w:tcBorders>
                    <w:top w:val="single" w:sz="4" w:space="0" w:color="auto"/>
                    <w:left w:val="single" w:sz="4" w:space="0" w:color="auto"/>
                    <w:bottom w:val="single" w:sz="4" w:space="0" w:color="auto"/>
                    <w:right w:val="single" w:sz="4" w:space="0" w:color="auto"/>
                  </w:tcBorders>
                </w:tcPr>
                <w:p w:rsidR="00810BAC" w:rsidRPr="00B914E9" w:rsidRDefault="00810BAC" w:rsidP="00810BAC">
                  <w:pPr>
                    <w:pStyle w:val="Tableheading"/>
                    <w:bidi/>
                    <w:spacing w:before="20" w:after="20"/>
                    <w:rPr>
                      <w:rFonts w:ascii="Simplified Arabic" w:eastAsiaTheme="minorEastAsia" w:hAnsi="Simplified Arabic" w:cs="Simplified Arabic"/>
                      <w:bCs w:val="0"/>
                      <w:iCs w:val="0"/>
                      <w:sz w:val="20"/>
                      <w:szCs w:val="20"/>
                      <w:rtl/>
                      <w:lang w:bidi="ar-EG"/>
                    </w:rPr>
                  </w:pPr>
                  <w:r w:rsidRPr="00B914E9">
                    <w:rPr>
                      <w:rFonts w:ascii="Simplified Arabic" w:eastAsiaTheme="minorEastAsia" w:hAnsi="Simplified Arabic" w:cs="Simplified Arabic"/>
                      <w:sz w:val="20"/>
                      <w:szCs w:val="20"/>
                      <w:rtl/>
                    </w:rPr>
                    <w:t>الفعلي</w:t>
                  </w:r>
                </w:p>
              </w:tc>
            </w:tr>
          </w:tbl>
          <w:p w:rsidR="00810BAC" w:rsidRPr="00B914E9" w:rsidRDefault="00810BAC" w:rsidP="00810BAC">
            <w:pPr>
              <w:pStyle w:val="Tableheading"/>
              <w:bidi/>
              <w:spacing w:before="20" w:after="20"/>
              <w:rPr>
                <w:rFonts w:ascii="Simplified Arabic" w:hAnsi="Simplified Arabic" w:cs="Simplified Arabic"/>
                <w:bCs w:val="0"/>
                <w:iCs w:val="0"/>
                <w:spacing w:val="-6"/>
                <w:sz w:val="20"/>
                <w:szCs w:val="20"/>
              </w:rPr>
            </w:pPr>
          </w:p>
        </w:tc>
        <w:tc>
          <w:tcPr>
            <w:tcW w:w="3061" w:type="dxa"/>
            <w:gridSpan w:val="5"/>
            <w:tcBorders>
              <w:top w:val="single" w:sz="4" w:space="0" w:color="auto"/>
              <w:left w:val="single" w:sz="4" w:space="0" w:color="auto"/>
            </w:tcBorders>
            <w:tcMar>
              <w:left w:w="43" w:type="dxa"/>
              <w:right w:w="43" w:type="dxa"/>
            </w:tcMar>
            <w:vAlign w:val="center"/>
          </w:tcPr>
          <w:tbl>
            <w:tblPr>
              <w:tblStyle w:val="TableGrid"/>
              <w:tblW w:w="0" w:type="auto"/>
              <w:tblLayout w:type="fixed"/>
              <w:tblLook w:val="04A0" w:firstRow="1" w:lastRow="0" w:firstColumn="1" w:lastColumn="0" w:noHBand="0" w:noVBand="1"/>
            </w:tblPr>
            <w:tblGrid>
              <w:gridCol w:w="2960"/>
            </w:tblGrid>
            <w:tr w:rsidR="00810BAC" w:rsidRPr="00B914E9">
              <w:trPr>
                <w:trHeight w:val="262"/>
              </w:trPr>
              <w:tc>
                <w:tcPr>
                  <w:tcW w:w="2960" w:type="dxa"/>
                  <w:tcBorders>
                    <w:top w:val="single" w:sz="4" w:space="0" w:color="auto"/>
                    <w:left w:val="single" w:sz="4" w:space="0" w:color="auto"/>
                    <w:bottom w:val="single" w:sz="4" w:space="0" w:color="auto"/>
                    <w:right w:val="single" w:sz="4" w:space="0" w:color="auto"/>
                  </w:tcBorders>
                </w:tcPr>
                <w:p w:rsidR="00810BAC" w:rsidRPr="00B914E9" w:rsidRDefault="00810BAC" w:rsidP="00810BAC">
                  <w:pPr>
                    <w:pStyle w:val="Tableheading"/>
                    <w:bidi/>
                    <w:spacing w:before="20" w:after="20"/>
                    <w:rPr>
                      <w:rFonts w:ascii="Simplified Arabic" w:eastAsiaTheme="minorEastAsia" w:hAnsi="Simplified Arabic" w:cs="Simplified Arabic"/>
                      <w:bCs w:val="0"/>
                      <w:iCs w:val="0"/>
                      <w:sz w:val="20"/>
                      <w:szCs w:val="20"/>
                      <w:rtl/>
                      <w:lang w:bidi="ar-EG"/>
                    </w:rPr>
                  </w:pPr>
                  <w:r w:rsidRPr="00B914E9">
                    <w:rPr>
                      <w:rFonts w:ascii="Simplified Arabic" w:eastAsiaTheme="minorEastAsia" w:hAnsi="Simplified Arabic" w:cs="Simplified Arabic"/>
                      <w:sz w:val="20"/>
                      <w:szCs w:val="20"/>
                      <w:rtl/>
                    </w:rPr>
                    <w:t>المتوقع</w:t>
                  </w:r>
                </w:p>
              </w:tc>
            </w:tr>
          </w:tbl>
          <w:p w:rsidR="00810BAC" w:rsidRPr="00B914E9" w:rsidRDefault="00810BAC" w:rsidP="00810BAC">
            <w:pPr>
              <w:pStyle w:val="Tableheading"/>
              <w:bidi/>
              <w:spacing w:before="20" w:after="20"/>
              <w:rPr>
                <w:rFonts w:ascii="Simplified Arabic" w:hAnsi="Simplified Arabic" w:cs="Simplified Arabic"/>
                <w:bCs w:val="0"/>
                <w:iCs w:val="0"/>
                <w:sz w:val="20"/>
                <w:szCs w:val="20"/>
              </w:rPr>
            </w:pPr>
          </w:p>
        </w:tc>
      </w:tr>
      <w:tr w:rsidR="00810BAC" w:rsidRPr="00FF3102" w:rsidTr="00B914E9">
        <w:trPr>
          <w:cantSplit/>
          <w:trHeight w:val="22"/>
          <w:jc w:val="center"/>
        </w:trPr>
        <w:tc>
          <w:tcPr>
            <w:tcW w:w="2492" w:type="dxa"/>
            <w:vMerge/>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rPr>
                <w:rFonts w:ascii="Simplified Arabic" w:hAnsi="Simplified Arabic" w:cs="Simplified Arabic"/>
                <w:bCs w:val="0"/>
                <w:iCs w:val="0"/>
                <w:sz w:val="20"/>
                <w:szCs w:val="20"/>
              </w:rPr>
            </w:pPr>
          </w:p>
        </w:tc>
        <w:tc>
          <w:tcPr>
            <w:tcW w:w="667" w:type="dxa"/>
            <w:tcBorders>
              <w:left w:val="nil"/>
              <w:bottom w:val="single" w:sz="4" w:space="0" w:color="auto"/>
            </w:tcBorders>
            <w:tcMar>
              <w:left w:w="0" w:type="dxa"/>
              <w:right w:w="0"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2006-10</w:t>
            </w:r>
          </w:p>
        </w:tc>
        <w:tc>
          <w:tcPr>
            <w:tcW w:w="612"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2011</w:t>
            </w:r>
          </w:p>
        </w:tc>
        <w:tc>
          <w:tcPr>
            <w:tcW w:w="611"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2012</w:t>
            </w:r>
          </w:p>
        </w:tc>
        <w:tc>
          <w:tcPr>
            <w:tcW w:w="614"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2013</w:t>
            </w:r>
          </w:p>
        </w:tc>
        <w:tc>
          <w:tcPr>
            <w:tcW w:w="612" w:type="dxa"/>
            <w:tcBorders>
              <w:bottom w:val="single" w:sz="4" w:space="0" w:color="auto"/>
              <w:right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2014</w:t>
            </w:r>
          </w:p>
        </w:tc>
        <w:tc>
          <w:tcPr>
            <w:tcW w:w="611" w:type="dxa"/>
            <w:tcBorders>
              <w:left w:val="single" w:sz="4" w:space="0" w:color="auto"/>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color w:val="auto"/>
                <w:sz w:val="20"/>
                <w:szCs w:val="20"/>
              </w:rPr>
            </w:pPr>
            <w:r w:rsidRPr="00B914E9">
              <w:rPr>
                <w:rFonts w:ascii="Simplified Arabic" w:hAnsi="Simplified Arabic" w:cs="Simplified Arabic"/>
                <w:bCs w:val="0"/>
                <w:iCs w:val="0"/>
                <w:color w:val="auto"/>
                <w:sz w:val="20"/>
                <w:szCs w:val="20"/>
              </w:rPr>
              <w:t>2015</w:t>
            </w:r>
          </w:p>
        </w:tc>
        <w:tc>
          <w:tcPr>
            <w:tcW w:w="612"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2016</w:t>
            </w:r>
          </w:p>
        </w:tc>
        <w:tc>
          <w:tcPr>
            <w:tcW w:w="611"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2017</w:t>
            </w:r>
          </w:p>
        </w:tc>
        <w:tc>
          <w:tcPr>
            <w:tcW w:w="612"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2018</w:t>
            </w:r>
          </w:p>
        </w:tc>
        <w:tc>
          <w:tcPr>
            <w:tcW w:w="615" w:type="dxa"/>
            <w:tcBorders>
              <w:bottom w:val="single" w:sz="4" w:space="0" w:color="auto"/>
            </w:tcBorders>
            <w:tcMar>
              <w:left w:w="43" w:type="dxa"/>
              <w:right w:w="43" w:type="dxa"/>
            </w:tcMar>
            <w:vAlign w:val="center"/>
          </w:tcPr>
          <w:p w:rsidR="00810BAC" w:rsidRPr="00B914E9" w:rsidRDefault="00810BAC" w:rsidP="00810BAC">
            <w:pPr>
              <w:pStyle w:val="Tableheading"/>
              <w:bidi/>
              <w:spacing w:before="20" w:after="20"/>
              <w:jc w:val="left"/>
              <w:rPr>
                <w:rFonts w:ascii="Simplified Arabic" w:hAnsi="Simplified Arabic" w:cs="Simplified Arabic"/>
                <w:bCs w:val="0"/>
                <w:iCs w:val="0"/>
                <w:sz w:val="20"/>
                <w:szCs w:val="20"/>
              </w:rPr>
            </w:pPr>
            <w:r w:rsidRPr="00B914E9">
              <w:rPr>
                <w:rFonts w:ascii="Simplified Arabic" w:hAnsi="Simplified Arabic" w:cs="Simplified Arabic"/>
                <w:bCs w:val="0"/>
                <w:iCs w:val="0"/>
                <w:sz w:val="20"/>
                <w:szCs w:val="20"/>
              </w:rPr>
              <w:t>2019</w:t>
            </w:r>
          </w:p>
        </w:tc>
      </w:tr>
      <w:tr w:rsidR="00810BAC" w:rsidRPr="00FF3102" w:rsidTr="00B914E9">
        <w:trPr>
          <w:cantSplit/>
          <w:trHeight w:val="22"/>
          <w:jc w:val="center"/>
        </w:trPr>
        <w:tc>
          <w:tcPr>
            <w:tcW w:w="2492" w:type="dxa"/>
            <w:tcBorders>
              <w:top w:val="single"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pacing w:val="-4"/>
                <w:sz w:val="20"/>
                <w:szCs w:val="20"/>
                <w:rtl/>
              </w:rPr>
              <w:t>معدل نمو إجمالي الناتج المحلي الحقيقي (%)</w:t>
            </w:r>
          </w:p>
        </w:tc>
        <w:tc>
          <w:tcPr>
            <w:tcW w:w="667" w:type="dxa"/>
            <w:tcBorders>
              <w:top w:val="single"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6.2</w:t>
            </w:r>
          </w:p>
        </w:tc>
        <w:tc>
          <w:tcPr>
            <w:tcW w:w="612"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1.8</w:t>
            </w:r>
          </w:p>
        </w:tc>
        <w:tc>
          <w:tcPr>
            <w:tcW w:w="611"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2.2</w:t>
            </w:r>
          </w:p>
        </w:tc>
        <w:tc>
          <w:tcPr>
            <w:tcW w:w="614"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2.1</w:t>
            </w:r>
          </w:p>
        </w:tc>
        <w:tc>
          <w:tcPr>
            <w:tcW w:w="612" w:type="dxa"/>
            <w:tcBorders>
              <w:top w:val="single"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2.2</w:t>
            </w:r>
          </w:p>
        </w:tc>
        <w:tc>
          <w:tcPr>
            <w:tcW w:w="611" w:type="dxa"/>
            <w:tcBorders>
              <w:top w:val="single"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4.2</w:t>
            </w:r>
          </w:p>
        </w:tc>
        <w:tc>
          <w:tcPr>
            <w:tcW w:w="612"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3.8</w:t>
            </w:r>
          </w:p>
        </w:tc>
        <w:tc>
          <w:tcPr>
            <w:tcW w:w="611"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4.4</w:t>
            </w:r>
          </w:p>
        </w:tc>
        <w:tc>
          <w:tcPr>
            <w:tcW w:w="612"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4.8</w:t>
            </w:r>
          </w:p>
        </w:tc>
        <w:tc>
          <w:tcPr>
            <w:tcW w:w="615" w:type="dxa"/>
            <w:tcBorders>
              <w:top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5.2</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ind w:right="-49"/>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pacing w:val="-5"/>
                <w:sz w:val="20"/>
                <w:szCs w:val="20"/>
                <w:rtl/>
              </w:rPr>
              <w:t>نسبة البطالة (نهاية الفترة، %)</w:t>
            </w:r>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9.3</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11.8</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12.6</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13.3</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13.3</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12.7</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12.5</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12.</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11.4</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10.7</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bookmarkStart w:id="273" w:name="OLE_LINK362"/>
            <w:bookmarkStart w:id="274" w:name="OLE_LINK363"/>
            <w:bookmarkStart w:id="275" w:name="OLE_LINK364"/>
            <w:bookmarkStart w:id="276" w:name="OLE_LINK365"/>
            <w:r w:rsidRPr="00B914E9">
              <w:rPr>
                <w:rFonts w:ascii="Simplified Arabic" w:eastAsiaTheme="minorEastAsia" w:hAnsi="Simplified Arabic" w:cs="Simplified Arabic"/>
                <w:color w:val="000000"/>
                <w:spacing w:val="-4"/>
                <w:sz w:val="20"/>
                <w:szCs w:val="20"/>
                <w:rtl/>
              </w:rPr>
              <w:t>التضخم (مؤشر أسعار المستهلكين، متوسط الفترة)</w:t>
            </w:r>
            <w:bookmarkEnd w:id="273"/>
            <w:bookmarkEnd w:id="274"/>
            <w:bookmarkEnd w:id="275"/>
            <w:bookmarkEnd w:id="276"/>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11.0</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11.0</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8.6</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6.9</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10.1</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11.0</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9.8</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9.5</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9.1</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8.7</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spacing w:val="-4"/>
                <w:sz w:val="20"/>
                <w:szCs w:val="20"/>
                <w:rtl/>
              </w:rPr>
              <w:t>الاستثمار الأجنبي المباشر (% من إجمالي الناتج المحلي)</w:t>
            </w:r>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5.9</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0.9</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1.5</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1.5</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 xml:space="preserve"> 2.0</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3.3</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4.3</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4.3</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4.2</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bookmarkStart w:id="277" w:name="OLE_LINK366"/>
            <w:bookmarkStart w:id="278" w:name="OLE_LINK367"/>
            <w:r w:rsidRPr="00B914E9">
              <w:rPr>
                <w:rFonts w:ascii="Simplified Arabic" w:eastAsiaTheme="minorEastAsia" w:hAnsi="Simplified Arabic" w:cs="Simplified Arabic"/>
                <w:color w:val="000000"/>
                <w:spacing w:val="-4"/>
                <w:sz w:val="20"/>
                <w:szCs w:val="20"/>
                <w:rtl/>
              </w:rPr>
              <w:t>نسبة الاستثمارات الوطنية (% من إجمالي الناتج المحلي)</w:t>
            </w:r>
            <w:bookmarkEnd w:id="277"/>
            <w:bookmarkEnd w:id="278"/>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19.6</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17.1</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16.4</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14.2</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14.0</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14.6</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14.7</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14.8</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15.0</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15.2</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spacing w:val="-4"/>
                <w:sz w:val="20"/>
                <w:szCs w:val="20"/>
                <w:rtl/>
              </w:rPr>
              <w:t xml:space="preserve"> منها:</w:t>
            </w:r>
            <w:r w:rsidRPr="00B914E9">
              <w:rPr>
                <w:rFonts w:ascii="Simplified Arabic" w:eastAsiaTheme="minorEastAsia" w:hAnsi="Simplified Arabic" w:cs="Simplified Arabic"/>
                <w:spacing w:val="-4"/>
                <w:sz w:val="20"/>
                <w:szCs w:val="20"/>
              </w:rPr>
              <w:t xml:space="preserve"> </w:t>
            </w:r>
            <w:r w:rsidRPr="00B914E9">
              <w:rPr>
                <w:rFonts w:ascii="Simplified Arabic" w:eastAsiaTheme="minorEastAsia" w:hAnsi="Simplified Arabic" w:cs="Simplified Arabic"/>
                <w:spacing w:val="-4"/>
                <w:sz w:val="20"/>
                <w:szCs w:val="20"/>
                <w:rtl/>
              </w:rPr>
              <w:t>الاستثمار الخاص (% من إجمالي الناتج المحلي)</w:t>
            </w:r>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11.9</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10.4</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10.3</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8.8</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center"/>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z w:val="20"/>
                <w:szCs w:val="20"/>
                <w:rtl/>
              </w:rPr>
              <w:t>غير متاح</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bidi/>
              <w:spacing w:before="20" w:after="20"/>
              <w:jc w:val="center"/>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sz w:val="20"/>
                <w:szCs w:val="20"/>
                <w:rtl/>
              </w:rPr>
              <w:t>غير متاح</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jc w:val="center"/>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z w:val="20"/>
                <w:szCs w:val="20"/>
                <w:rtl/>
              </w:rPr>
              <w:t>غير متاح</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jc w:val="center"/>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z w:val="20"/>
                <w:szCs w:val="20"/>
                <w:rtl/>
              </w:rPr>
              <w:t>غير متاح</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jc w:val="center"/>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color w:val="000000"/>
                <w:sz w:val="20"/>
                <w:szCs w:val="20"/>
                <w:rtl/>
              </w:rPr>
              <w:t>غير متاح</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jc w:val="center"/>
              <w:rPr>
                <w:rFonts w:ascii="Simplified Arabic" w:eastAsiaTheme="minorEastAsia" w:hAnsi="Simplified Arabic" w:cs="Simplified Arabic"/>
                <w:sz w:val="20"/>
                <w:szCs w:val="20"/>
                <w:rtl/>
                <w:lang w:bidi="ar-EG"/>
              </w:rPr>
            </w:pPr>
            <w:bookmarkStart w:id="279" w:name="OLE_LINK368"/>
            <w:bookmarkStart w:id="280" w:name="OLE_LINK369"/>
            <w:bookmarkStart w:id="281" w:name="OLE_LINK370"/>
            <w:bookmarkStart w:id="282" w:name="OLE_LINK371"/>
            <w:r w:rsidRPr="00B914E9">
              <w:rPr>
                <w:rFonts w:ascii="Simplified Arabic" w:eastAsiaTheme="minorEastAsia" w:hAnsi="Simplified Arabic" w:cs="Simplified Arabic"/>
                <w:color w:val="000000"/>
                <w:sz w:val="20"/>
                <w:szCs w:val="20"/>
                <w:rtl/>
              </w:rPr>
              <w:t>غير متاح</w:t>
            </w:r>
            <w:bookmarkEnd w:id="279"/>
            <w:bookmarkEnd w:id="280"/>
            <w:bookmarkEnd w:id="281"/>
            <w:bookmarkEnd w:id="282"/>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spacing w:val="-4"/>
                <w:sz w:val="20"/>
                <w:szCs w:val="20"/>
                <w:rtl/>
              </w:rPr>
              <w:t>رصيد المالية العامة (باستثناء المنح، % من إجمالي الناتج المحلي)</w:t>
            </w:r>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-7.5</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-10.0</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-10.7</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-13.3</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-16.7</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-12.6</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-10.7</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-9.2</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-8.0</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-7.5</w:t>
            </w:r>
          </w:p>
        </w:tc>
      </w:tr>
      <w:tr w:rsidR="00810BAC" w:rsidRPr="00FF3102" w:rsidTr="00B914E9">
        <w:trPr>
          <w:cantSplit/>
          <w:trHeight w:val="22"/>
          <w:jc w:val="center"/>
        </w:trPr>
        <w:tc>
          <w:tcPr>
            <w:tcW w:w="2492" w:type="dxa"/>
            <w:tcBorders>
              <w:top w:val="dotted" w:sz="4" w:space="0" w:color="auto"/>
              <w:bottom w:val="dotted" w:sz="4" w:space="0" w:color="auto"/>
            </w:tcBorders>
            <w:tcMar>
              <w:left w:w="43" w:type="dxa"/>
              <w:right w:w="43" w:type="dxa"/>
            </w:tcMar>
            <w:vAlign w:val="center"/>
          </w:tcPr>
          <w:p w:rsidR="00810BAC" w:rsidRPr="00B914E9" w:rsidRDefault="00810BAC" w:rsidP="00810BAC">
            <w:pPr>
              <w:bidi/>
              <w:spacing w:before="20" w:after="20"/>
              <w:rPr>
                <w:rFonts w:ascii="Simplified Arabic" w:eastAsiaTheme="minorEastAsia" w:hAnsi="Simplified Arabic" w:cs="Simplified Arabic"/>
                <w:sz w:val="20"/>
                <w:szCs w:val="20"/>
                <w:rtl/>
                <w:lang w:bidi="ar-EG"/>
              </w:rPr>
            </w:pPr>
            <w:r w:rsidRPr="00B914E9">
              <w:rPr>
                <w:rFonts w:ascii="Simplified Arabic" w:eastAsiaTheme="minorEastAsia" w:hAnsi="Simplified Arabic" w:cs="Simplified Arabic"/>
                <w:spacing w:val="-4"/>
                <w:sz w:val="20"/>
                <w:szCs w:val="20"/>
                <w:rtl/>
              </w:rPr>
              <w:t>ميزان الحساب الجاري (% من إجمالي الناتج المحلي)</w:t>
            </w:r>
          </w:p>
        </w:tc>
        <w:tc>
          <w:tcPr>
            <w:tcW w:w="667" w:type="dxa"/>
            <w:tcBorders>
              <w:top w:val="dotted" w:sz="4" w:space="0" w:color="auto"/>
              <w:bottom w:val="dotted" w:sz="4" w:space="0" w:color="auto"/>
            </w:tcBorders>
            <w:shd w:val="clear" w:color="000000" w:fill="auto"/>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-0.1</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-2.6</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-3.1</w:t>
            </w:r>
          </w:p>
        </w:tc>
        <w:tc>
          <w:tcPr>
            <w:tcW w:w="614"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-2.0</w:t>
            </w:r>
          </w:p>
        </w:tc>
        <w:tc>
          <w:tcPr>
            <w:tcW w:w="612" w:type="dxa"/>
            <w:tcBorders>
              <w:top w:val="dotted" w:sz="4" w:space="0" w:color="auto"/>
              <w:bottom w:val="dotted" w:sz="4" w:space="0" w:color="auto"/>
              <w:right w:val="single" w:sz="4" w:space="0" w:color="auto"/>
            </w:tcBorders>
            <w:tcMar>
              <w:left w:w="43" w:type="dxa"/>
              <w:right w:w="43" w:type="dxa"/>
            </w:tcMar>
            <w:vAlign w:val="center"/>
          </w:tcPr>
          <w:p w:rsidR="00810BAC" w:rsidRPr="00B914E9" w:rsidRDefault="00810BAC" w:rsidP="00810BAC">
            <w:pPr>
              <w:tabs>
                <w:tab w:val="decimal" w:pos="473"/>
              </w:tabs>
              <w:bidi/>
              <w:spacing w:before="20" w:after="20"/>
              <w:jc w:val="both"/>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-0.9</w:t>
            </w:r>
          </w:p>
        </w:tc>
        <w:tc>
          <w:tcPr>
            <w:tcW w:w="611" w:type="dxa"/>
            <w:tcBorders>
              <w:top w:val="dotted" w:sz="4" w:space="0" w:color="auto"/>
              <w:left w:val="single"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jc w:val="both"/>
              <w:rPr>
                <w:rFonts w:ascii="Simplified Arabic" w:hAnsi="Simplified Arabic" w:cs="Simplified Arabic"/>
                <w:sz w:val="20"/>
                <w:szCs w:val="20"/>
              </w:rPr>
            </w:pPr>
            <w:r w:rsidRPr="00B914E9">
              <w:rPr>
                <w:rFonts w:ascii="Simplified Arabic" w:hAnsi="Simplified Arabic" w:cs="Simplified Arabic"/>
                <w:sz w:val="20"/>
                <w:szCs w:val="20"/>
              </w:rPr>
              <w:t>-3.7</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-5.6</w:t>
            </w:r>
          </w:p>
        </w:tc>
        <w:tc>
          <w:tcPr>
            <w:tcW w:w="611"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-5.2</w:t>
            </w:r>
          </w:p>
        </w:tc>
        <w:tc>
          <w:tcPr>
            <w:tcW w:w="612"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-4.0</w:t>
            </w:r>
          </w:p>
        </w:tc>
        <w:tc>
          <w:tcPr>
            <w:tcW w:w="615" w:type="dxa"/>
            <w:tcBorders>
              <w:top w:val="dotted" w:sz="4" w:space="0" w:color="auto"/>
              <w:bottom w:val="dotted" w:sz="4" w:space="0" w:color="auto"/>
            </w:tcBorders>
            <w:tcMar>
              <w:left w:w="43" w:type="dxa"/>
              <w:right w:w="43" w:type="dxa"/>
            </w:tcMar>
            <w:vAlign w:val="center"/>
          </w:tcPr>
          <w:p w:rsidR="00810BAC" w:rsidRPr="00B914E9" w:rsidRDefault="00810BAC" w:rsidP="00810BAC">
            <w:pPr>
              <w:tabs>
                <w:tab w:val="decimal" w:pos="343"/>
              </w:tabs>
              <w:bidi/>
              <w:spacing w:before="20" w:after="20"/>
              <w:rPr>
                <w:rFonts w:ascii="Simplified Arabic" w:hAnsi="Simplified Arabic" w:cs="Simplified Arabic"/>
                <w:color w:val="000000"/>
                <w:sz w:val="20"/>
                <w:szCs w:val="20"/>
              </w:rPr>
            </w:pPr>
            <w:r w:rsidRPr="00B914E9">
              <w:rPr>
                <w:rFonts w:ascii="Simplified Arabic" w:hAnsi="Simplified Arabic" w:cs="Simplified Arabic"/>
                <w:color w:val="000000"/>
                <w:sz w:val="20"/>
                <w:szCs w:val="20"/>
              </w:rPr>
              <w:t xml:space="preserve"> -3.1</w:t>
            </w:r>
          </w:p>
        </w:tc>
      </w:tr>
      <w:tr w:rsidR="00810BAC" w:rsidRPr="00FF3102" w:rsidTr="00B914E9">
        <w:trPr>
          <w:cantSplit/>
          <w:trHeight w:val="22"/>
          <w:jc w:val="center"/>
        </w:trPr>
        <w:tc>
          <w:tcPr>
            <w:tcW w:w="8669" w:type="dxa"/>
            <w:gridSpan w:val="11"/>
            <w:tcBorders>
              <w:top w:val="single" w:sz="4" w:space="0" w:color="auto"/>
            </w:tcBorders>
            <w:tcMar>
              <w:left w:w="43" w:type="dxa"/>
              <w:right w:w="43" w:type="dxa"/>
            </w:tcMar>
            <w:vAlign w:val="center"/>
          </w:tcPr>
          <w:p w:rsidR="00810BAC" w:rsidRPr="00B914E9" w:rsidRDefault="00810BAC" w:rsidP="00810BAC">
            <w:pPr>
              <w:pStyle w:val="Sourceornote"/>
              <w:bidi/>
              <w:spacing w:after="0"/>
              <w:rPr>
                <w:rFonts w:ascii="Simplified Arabic" w:eastAsiaTheme="minorEastAsia" w:hAnsi="Simplified Arabic" w:cs="Simplified Arabic"/>
                <w:sz w:val="20"/>
              </w:rPr>
            </w:pPr>
            <w:r w:rsidRPr="00B914E9">
              <w:rPr>
                <w:rFonts w:ascii="Simplified Arabic" w:eastAsiaTheme="minorEastAsia" w:hAnsi="Simplified Arabic" w:cs="Simplified Arabic"/>
                <w:iCs/>
                <w:sz w:val="20"/>
                <w:rtl/>
              </w:rPr>
              <w:t>المصدر:</w:t>
            </w:r>
            <w:r w:rsidRPr="00B914E9">
              <w:rPr>
                <w:rFonts w:ascii="Simplified Arabic" w:eastAsiaTheme="minorEastAsia" w:hAnsi="Simplified Arabic" w:cs="Simplified Arabic"/>
                <w:sz w:val="20"/>
                <w:rtl/>
              </w:rPr>
              <w:t xml:space="preserve"> الفعلي: تقديرات السلطات الوطنية وخبراء البنك الدولي. </w:t>
            </w:r>
          </w:p>
        </w:tc>
      </w:tr>
    </w:tbl>
    <w:p w:rsidR="00810BAC" w:rsidRPr="00FF3102" w:rsidRDefault="00810BAC" w:rsidP="00810BAC">
      <w:pPr>
        <w:pStyle w:val="NoSpacing"/>
        <w:bidi/>
        <w:rPr>
          <w:rFonts w:ascii="Simplified Arabic" w:hAnsi="Simplified Arabic" w:cs="Simplified Arabic"/>
          <w:szCs w:val="24"/>
        </w:rPr>
      </w:pPr>
    </w:p>
    <w:p w:rsidR="00810BAC" w:rsidRPr="00FF3102" w:rsidRDefault="00810BAC" w:rsidP="00FA6351">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283" w:name="OLE_LINK378"/>
      <w:bookmarkStart w:id="284" w:name="OLE_LINK379"/>
      <w:bookmarkStart w:id="285" w:name="OLE_LINK380"/>
      <w:bookmarkStart w:id="286" w:name="OLE_LINK381"/>
      <w:bookmarkStart w:id="287" w:name="OLE_LINK382"/>
      <w:bookmarkStart w:id="288" w:name="OLE_LINK383"/>
      <w:bookmarkStart w:id="289" w:name="OLE_LINK384"/>
      <w:bookmarkStart w:id="290" w:name="OLE_LINK385"/>
      <w:bookmarkStart w:id="291" w:name="OLE_LINK386"/>
      <w:bookmarkStart w:id="292" w:name="OLE_LINK387"/>
      <w:bookmarkStart w:id="293" w:name="OLE_LINK388"/>
      <w:bookmarkStart w:id="294" w:name="OLE_LINK389"/>
      <w:bookmarkStart w:id="295" w:name="OLE_LINK390"/>
      <w:bookmarkStart w:id="296" w:name="OLE_LINK391"/>
      <w:bookmarkStart w:id="297" w:name="OLE_LINK392"/>
      <w:bookmarkStart w:id="298" w:name="OLE_LINK393"/>
      <w:bookmarkStart w:id="299" w:name="OLE_LINK394"/>
      <w:bookmarkStart w:id="300" w:name="OLE_LINK395"/>
      <w:bookmarkStart w:id="301" w:name="OLE_LINK396"/>
      <w:bookmarkStart w:id="302" w:name="OLE_LINK397"/>
      <w:bookmarkStart w:id="303" w:name="OLE_LINK398"/>
      <w:bookmarkStart w:id="304" w:name="OLE_LINK399"/>
      <w:bookmarkStart w:id="305" w:name="OLE_LINK400"/>
      <w:bookmarkStart w:id="306" w:name="OLE_LINK401"/>
      <w:bookmarkStart w:id="307" w:name="OLE_LINK402"/>
      <w:bookmarkStart w:id="308" w:name="OLE_LINK403"/>
      <w:bookmarkStart w:id="309" w:name="OLE_LINK404"/>
      <w:bookmarkStart w:id="310" w:name="OLE_LINK405"/>
      <w:bookmarkStart w:id="311" w:name="OLE_LINK406"/>
      <w:bookmarkStart w:id="312" w:name="OLE_LINK407"/>
      <w:bookmarkStart w:id="313" w:name="OLE_LINK408"/>
      <w:bookmarkStart w:id="314" w:name="OLE_LINK409"/>
      <w:bookmarkStart w:id="315" w:name="OLE_LINK412"/>
      <w:bookmarkStart w:id="316" w:name="OLE_LINK413"/>
      <w:bookmarkStart w:id="317" w:name="OLE_LINK410"/>
      <w:bookmarkStart w:id="318" w:name="OLE_LINK411"/>
      <w:bookmarkStart w:id="319" w:name="OLE_LINK414"/>
      <w:bookmarkStart w:id="320" w:name="OLE_LINK415"/>
      <w:r w:rsidRPr="00FF3102">
        <w:rPr>
          <w:rFonts w:ascii="Simplified Arabic" w:eastAsiaTheme="minorEastAsia" w:hAnsi="Simplified Arabic" w:cs="Simplified Arabic"/>
          <w:bCs/>
          <w:iCs/>
          <w:rtl/>
        </w:rPr>
        <w:t>بالرغم</w:t>
      </w:r>
      <w:r w:rsidRPr="00FF3102">
        <w:rPr>
          <w:rFonts w:ascii="Simplified Arabic" w:eastAsiaTheme="minorEastAsia" w:hAnsi="Simplified Arabic" w:cs="Simplified Arabic"/>
          <w:bCs/>
          <w:iCs/>
          <w:spacing w:val="0"/>
          <w:rtl/>
        </w:rPr>
        <w:t xml:space="preserve"> من أن مصر عانت لفترة طويلة من وجود عجز هيكلي كبير في الموازنة العامة </w:t>
      </w:r>
      <w:r w:rsidRPr="00FF3102">
        <w:rPr>
          <w:rFonts w:ascii="Simplified Arabic" w:eastAsiaTheme="minorEastAsia" w:hAnsi="Simplified Arabic" w:cs="Simplified Arabic"/>
          <w:bCs/>
          <w:iCs/>
          <w:rtl/>
        </w:rPr>
        <w:t xml:space="preserve">كما </w:t>
      </w:r>
      <w:r w:rsidRPr="00FF3102">
        <w:rPr>
          <w:rFonts w:ascii="Simplified Arabic" w:eastAsiaTheme="minorEastAsia" w:hAnsi="Simplified Arabic" w:cs="Simplified Arabic"/>
          <w:bCs/>
          <w:iCs/>
          <w:spacing w:val="0"/>
          <w:rtl/>
        </w:rPr>
        <w:t>لم يدعم الإنفاق العام تحقيق نمو شامل للجميع، فإن الحكومة المصرية شرعت مؤخرا في تنفيذ عدد من الإصلاحات المهمة.</w:t>
      </w:r>
      <w:r w:rsidRPr="00FF3102">
        <w:rPr>
          <w:rFonts w:ascii="Simplified Arabic" w:eastAsiaTheme="minorEastAsia" w:hAnsi="Simplified Arabic" w:cs="Simplified Arabic"/>
          <w:spacing w:val="0"/>
          <w:rtl/>
        </w:rPr>
        <w:t xml:space="preserve"> وتعكس </w:t>
      </w:r>
      <w:r w:rsidR="00FA6351">
        <w:rPr>
          <w:rFonts w:ascii="Simplified Arabic" w:eastAsiaTheme="minorEastAsia" w:hAnsi="Simplified Arabic" w:cs="Simplified Arabic" w:hint="cs"/>
          <w:spacing w:val="0"/>
          <w:rtl/>
        </w:rPr>
        <w:t>نسب العجز</w:t>
      </w:r>
      <w:r w:rsidRPr="00FF3102">
        <w:rPr>
          <w:rFonts w:ascii="Simplified Arabic" w:eastAsiaTheme="minorEastAsia" w:hAnsi="Simplified Arabic" w:cs="Simplified Arabic"/>
          <w:spacing w:val="0"/>
          <w:rtl/>
        </w:rPr>
        <w:t xml:space="preserve"> المزمنة في الموازنة العامة لمصر انخفاض إيرادات الضرائب، وارتفاع الإنفاق على الدعم ومدفوعات الفائدة ورواتب موظفي الخدمة المدنية والتي تزاحم الإنفاق الأكثر إنتاجية على تكوين رأس المال البشري والمادي.</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rtl/>
        </w:rPr>
        <w:t>كما أن</w:t>
      </w:r>
      <w:r w:rsidRPr="00FF3102">
        <w:rPr>
          <w:rFonts w:ascii="Simplified Arabic" w:eastAsiaTheme="minorEastAsia" w:hAnsi="Simplified Arabic" w:cs="Simplified Arabic"/>
          <w:spacing w:val="0"/>
          <w:rtl/>
        </w:rPr>
        <w:t xml:space="preserve"> نسبة الدين الحكومي إلى</w:t>
      </w:r>
      <w:r w:rsidRPr="00FF3102">
        <w:rPr>
          <w:rFonts w:ascii="Simplified Arabic" w:eastAsiaTheme="minorEastAsia" w:hAnsi="Simplified Arabic" w:cs="Simplified Arabic"/>
          <w:rtl/>
        </w:rPr>
        <w:t xml:space="preserve"> إجمالي الناتج المحلي يُتوقع وصولها إلى </w:t>
      </w:r>
      <w:r w:rsidRPr="00FF3102">
        <w:rPr>
          <w:rFonts w:ascii="Simplified Arabic" w:eastAsiaTheme="minorEastAsia" w:hAnsi="Simplified Arabic" w:cs="Simplified Arabic"/>
          <w:spacing w:val="0"/>
          <w:rtl/>
        </w:rPr>
        <w:t>91 في المائة من إجمالي الناتج المحلي بنهاية السنة المالية 2015.</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w:t>
      </w:r>
      <w:r w:rsidRPr="00FF3102">
        <w:rPr>
          <w:rFonts w:ascii="Simplified Arabic" w:eastAsiaTheme="minorEastAsia" w:hAnsi="Simplified Arabic" w:cs="Simplified Arabic"/>
          <w:rtl/>
        </w:rPr>
        <w:t>قد أدى</w:t>
      </w:r>
      <w:r w:rsidRPr="00FF3102">
        <w:rPr>
          <w:rFonts w:ascii="Simplified Arabic" w:eastAsiaTheme="minorEastAsia" w:hAnsi="Simplified Arabic" w:cs="Simplified Arabic"/>
          <w:spacing w:val="0"/>
          <w:rtl/>
        </w:rPr>
        <w:t xml:space="preserve"> التمويل النقدي الكبير لسد العج</w:t>
      </w:r>
      <w:r w:rsidR="00FA6351">
        <w:rPr>
          <w:rFonts w:ascii="Simplified Arabic" w:eastAsiaTheme="minorEastAsia" w:hAnsi="Simplified Arabic" w:cs="Simplified Arabic" w:hint="cs"/>
          <w:spacing w:val="0"/>
          <w:rtl/>
        </w:rPr>
        <w:t>ز</w:t>
      </w:r>
      <w:r w:rsidRPr="00FF3102">
        <w:rPr>
          <w:rFonts w:ascii="Simplified Arabic" w:eastAsiaTheme="minorEastAsia" w:hAnsi="Simplified Arabic" w:cs="Simplified Arabic"/>
          <w:spacing w:val="0"/>
          <w:rtl/>
        </w:rPr>
        <w:t xml:space="preserve"> والتدفقات الكبيرة الواردة من دول مجلس التعاون الخليجي في السنة المالية 2014 (الفقرة 13)</w:t>
      </w:r>
      <w:r w:rsidRPr="00FF3102">
        <w:rPr>
          <w:rFonts w:ascii="Simplified Arabic" w:eastAsiaTheme="minorEastAsia" w:hAnsi="Simplified Arabic" w:cs="Simplified Arabic"/>
          <w:rtl/>
        </w:rPr>
        <w:t xml:space="preserve"> إلى تخفيف أعباء </w:t>
      </w:r>
      <w:r w:rsidRPr="00FF3102">
        <w:rPr>
          <w:rFonts w:ascii="Simplified Arabic" w:eastAsiaTheme="minorEastAsia" w:hAnsi="Simplified Arabic" w:cs="Simplified Arabic"/>
          <w:spacing w:val="0"/>
          <w:rtl/>
        </w:rPr>
        <w:t>تراكم المزيد من الديون بصورة مؤقتة، لكن هذه التدفقات انخفضت على نحو ملحوظ في السنة المالية 2015.</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وباعتبارها بداية مهمة للحد من العجز المزمن في الموازنة العامة، شرعت الحكومة المصرية مؤخراً في تنفيذ إصلاحات رئيسية لخفض دعم الطاقة، وتوسيع الوعاء الضريبي من خلال تطبيق ضرائب جديدة، وزيادة أسعار منتجات الوقود وتعريفة الكهرباء، وتحسين توجيه شبكات الأمان الاجتماعي، وإصلاح جهاز الخدمة المدنية. وتمثل عودة مصر إلى أسواق المال الدولية في النصف الثاني من عام 2015</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مع النجاح في إصدار سندات دولية بقيمة 1.5 مليار دولار</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مؤشرا إيجابيا على استعادة ثقة المجتمع الدولي، كما أن افتتاح مشروع توسعة قناة السويس مؤخراً بعد عام واحد فقط من بدء العمل واكتشاف</w:t>
      </w:r>
      <w:r w:rsidRPr="00FF3102">
        <w:rPr>
          <w:rFonts w:ascii="Simplified Arabic" w:eastAsiaTheme="minorEastAsia" w:hAnsi="Simplified Arabic" w:cs="Simplified Arabic"/>
          <w:rtl/>
        </w:rPr>
        <w:t xml:space="preserve"> حقل غاز ضخم </w:t>
      </w:r>
      <w:r w:rsidRPr="00FF3102">
        <w:rPr>
          <w:rFonts w:ascii="Simplified Arabic" w:eastAsiaTheme="minorEastAsia" w:hAnsi="Simplified Arabic" w:cs="Simplified Arabic"/>
          <w:spacing w:val="0"/>
          <w:rtl/>
        </w:rPr>
        <w:t>في المياه الإقليمية المصرية يبشران بالخير بالنسبة</w:t>
      </w:r>
      <w:r w:rsidRPr="00FF3102">
        <w:rPr>
          <w:rFonts w:ascii="Simplified Arabic" w:eastAsiaTheme="minorEastAsia" w:hAnsi="Simplified Arabic" w:cs="Simplified Arabic"/>
          <w:rtl/>
        </w:rPr>
        <w:t xml:space="preserve"> لآفاق البلاد على المدى المتوسط.</w:t>
      </w:r>
    </w:p>
    <w:p w:rsidR="00810BAC" w:rsidRPr="00FF3102" w:rsidRDefault="00810BAC" w:rsidP="000C04A8">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321" w:name="OLE_LINK287"/>
      <w:bookmarkStart w:id="322" w:name="OLE_LINK288"/>
      <w:bookmarkStart w:id="323" w:name="OLE_LINK291"/>
      <w:bookmarkStart w:id="324" w:name="OLE_LINK292"/>
      <w:bookmarkStart w:id="325" w:name="OLE_LINK297"/>
      <w:bookmarkStart w:id="326" w:name="OLE_LINK298"/>
      <w:bookmarkStart w:id="327" w:name="OLE_LINK299"/>
      <w:bookmarkStart w:id="328" w:name="OLE_LINK300"/>
      <w:bookmarkStart w:id="329" w:name="OLE_LINK422"/>
      <w:bookmarkStart w:id="330" w:name="OLE_LINK423"/>
      <w:bookmarkStart w:id="331" w:name="OLE_LINK424"/>
      <w:bookmarkStart w:id="332" w:name="OLE_LINK425"/>
      <w:bookmarkStart w:id="333" w:name="OLE_LINK426"/>
      <w:bookmarkStart w:id="334" w:name="OLE_LINK427"/>
      <w:bookmarkStart w:id="335" w:name="OLE_LINK428"/>
      <w:bookmarkStart w:id="336" w:name="OLE_LINK429"/>
      <w:bookmarkStart w:id="337" w:name="OLE_LINK430"/>
      <w:bookmarkStart w:id="338" w:name="OLE_LINK431"/>
      <w:bookmarkStart w:id="339" w:name="OLE_LINK64"/>
      <w:bookmarkStart w:id="340" w:name="OLE_LINK69"/>
      <w:bookmarkStart w:id="341" w:name="OLE_LINK1"/>
      <w:bookmarkStart w:id="342" w:name="OLE_LINK2"/>
      <w:bookmarkStart w:id="343" w:name="OLE_LINK62"/>
      <w:bookmarkStart w:id="344" w:name="OLE_LINK63"/>
      <w:bookmarkStart w:id="345" w:name="OLE_LINK72"/>
      <w:bookmarkStart w:id="346" w:name="OLE_LINK75"/>
      <w:bookmarkStart w:id="347" w:name="OLE_LINK80"/>
      <w:bookmarkStart w:id="348" w:name="OLE_LINK81"/>
      <w:bookmarkStart w:id="349" w:name="OLE_LINK82"/>
      <w:bookmarkStart w:id="350" w:name="OLE_LINK93"/>
      <w:bookmarkStart w:id="351" w:name="OLE_LINK94"/>
      <w:bookmarkStart w:id="352" w:name="OLE_LINK95"/>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FF3102">
        <w:rPr>
          <w:rFonts w:ascii="Simplified Arabic" w:eastAsiaTheme="minorEastAsia" w:hAnsi="Simplified Arabic" w:cs="Simplified Arabic"/>
          <w:bCs/>
          <w:iCs/>
          <w:spacing w:val="-4"/>
          <w:rtl/>
        </w:rPr>
        <w:t>ظل معدل التضخم متقلبا ومرتفعا رغم الارتفاع الحقيقي في قيمة العملة، لكنه</w:t>
      </w:r>
      <w:r w:rsidR="000C04A8">
        <w:rPr>
          <w:rFonts w:ascii="Simplified Arabic" w:eastAsiaTheme="minorEastAsia" w:hAnsi="Simplified Arabic" w:cs="Simplified Arabic" w:hint="cs"/>
          <w:bCs/>
          <w:iCs/>
          <w:spacing w:val="-4"/>
          <w:rtl/>
        </w:rPr>
        <w:t xml:space="preserve"> ربما </w:t>
      </w:r>
      <w:r w:rsidRPr="00FF3102">
        <w:rPr>
          <w:rFonts w:ascii="Simplified Arabic" w:eastAsiaTheme="minorEastAsia" w:hAnsi="Simplified Arabic" w:cs="Simplified Arabic"/>
          <w:bCs/>
          <w:iCs/>
          <w:spacing w:val="-4"/>
          <w:rtl/>
        </w:rPr>
        <w:t xml:space="preserve">يكون في </w:t>
      </w:r>
      <w:r w:rsidR="000C04A8">
        <w:rPr>
          <w:rFonts w:ascii="Simplified Arabic" w:eastAsiaTheme="minorEastAsia" w:hAnsi="Simplified Arabic" w:cs="Simplified Arabic" w:hint="cs"/>
          <w:bCs/>
          <w:iCs/>
          <w:spacing w:val="-4"/>
          <w:rtl/>
        </w:rPr>
        <w:t>طريقه للإنخفاض</w:t>
      </w:r>
      <w:r w:rsidRPr="00FF3102">
        <w:rPr>
          <w:rFonts w:ascii="Simplified Arabic" w:eastAsiaTheme="minorEastAsia" w:hAnsi="Simplified Arabic" w:cs="Simplified Arabic"/>
          <w:bCs/>
          <w:iCs/>
          <w:spacing w:val="-4"/>
          <w:rtl/>
        </w:rPr>
        <w:t>.</w:t>
      </w:r>
      <w:r w:rsidRPr="00FF3102">
        <w:rPr>
          <w:rFonts w:ascii="Simplified Arabic" w:eastAsiaTheme="minorEastAsia" w:hAnsi="Simplified Arabic" w:cs="Simplified Arabic"/>
          <w:spacing w:val="-4"/>
          <w:rtl/>
        </w:rPr>
        <w:t xml:space="preserve"> وحتى مع التباطؤ الاقتصادي في الفترة 2011-2013، بقي معدل التضخم مرتفعا (الجدول 1). وأسهم العجز الكبير في الموازنة العامة لمصر والتمويل النقدي الجزئي لهذا العجز، وكذلك استمرار الاختناقات على جانب العرض، في خلق ضغوط تضخمية. وبالإضافة إلى ذلك، ظل سعر الصرف دون تغيير على نحو عام في الفترة من يونيو 2013 حتى نهاية عام 2014، وذلك بسبب التدفقات الكبيرة الواردة من دول الخليج، وهو ما أدى إلى استمرار ارتفاع سعر الصرف الحقيقي الفعلي أمام الدولار. واستجابة لتوسيع ميزان المدفوعات "الهيكلي"، بدأ البنك المركزي المصري في تطبيق نظام العطاءات للنقد الأجنبي اعتبارا من ديسمبر 2012 لشراء وبيع النقد الأجنبي</w:t>
      </w:r>
      <w:r w:rsidRPr="00E625D2">
        <w:rPr>
          <w:rFonts w:ascii="Simplified Arabic" w:eastAsiaTheme="minorEastAsia" w:hAnsi="Simplified Arabic" w:cs="Simplified Arabic"/>
          <w:spacing w:val="-4"/>
          <w:rtl/>
        </w:rPr>
        <w:t>.</w:t>
      </w:r>
      <w:r w:rsidRPr="00E625D2">
        <w:rPr>
          <w:rFonts w:ascii="Simplified Arabic" w:eastAsiaTheme="minorEastAsia" w:hAnsi="Simplified Arabic" w:cs="Simplified Arabic"/>
          <w:spacing w:val="-4"/>
        </w:rPr>
        <w:t xml:space="preserve"> </w:t>
      </w:r>
      <w:r w:rsidRPr="00E625D2">
        <w:rPr>
          <w:rFonts w:ascii="Simplified Arabic" w:eastAsiaTheme="minorEastAsia" w:hAnsi="Simplified Arabic" w:cs="Simplified Arabic"/>
          <w:spacing w:val="-4"/>
          <w:rtl/>
        </w:rPr>
        <w:t>لكن القيود</w:t>
      </w:r>
      <w:r w:rsidRPr="00FF3102">
        <w:rPr>
          <w:rFonts w:ascii="Simplified Arabic" w:eastAsiaTheme="minorEastAsia" w:hAnsi="Simplified Arabic" w:cs="Simplified Arabic"/>
          <w:spacing w:val="-4"/>
          <w:rtl/>
        </w:rPr>
        <w:t xml:space="preserve"> المفروضة على العطاءات وعلى سوق المعاملات بين البنوك لم تؤدِ إلى توفير ما يكفي من النقد الأجنبي بسعر الصرف اليومي المحدد من البنك المركزي المصري وأسهمت في إيجاد سوق موازية للنقد الأجنبي. وفي عام 2015، بذل البنك المركزي المصري جهودا للحد من هذه السوق الموازية. وسمح البنك المركزي بتحريك سعر الصرف الرسمي، أي انخفاض قيمة العملة الرسمية بنسبة 12.5 في المائة منذ بداية عام 2015، وقام بتوسيع هامش سعر الصرف. وتركز الانتقال تدريجياً نحو اعتماد سياسة أكثر مرونة بشأن سعر الصرف على تحقيق سعر توازني بالسوق من شأنه تحسين توّفر النقد الأجنبي، وتدعيم القدرة التنافسية، ودعم الصادرات.</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وزاد معدل التضخم قليلا على 9 في المائة في السنة المالية 2015 على الرغم من ضعف قيمة الجنيه المصري، وارتفاع أسعار منتجات الوقود، وزيادة ضرائب الاستهلاك. ويعكس معدل التضخم المنخفض قليلا والمتوقع للسنة المالية 2016 اتباع سياسة نقدية استباقية من جانب البنك المركزي المصري، وانخفاض أسعار النفط والحبوب العالمية، وتباطؤ النمو في منطقة اليورو التي تُعد الشريك التجاري الرئيسي لمصر. وتبلغ الاحتياطيات من النقد الأجنبي حالياً ما يعادل نحو ثلاثة أشهر من الواردات. </w:t>
      </w:r>
      <w:r w:rsidR="00FA6351">
        <w:rPr>
          <w:rFonts w:ascii="Simplified Arabic" w:eastAsiaTheme="minorEastAsia" w:hAnsi="Simplified Arabic" w:cs="Simplified Arabic" w:hint="cs"/>
          <w:spacing w:val="-4"/>
          <w:rtl/>
        </w:rPr>
        <w:t>سوف يتحتم</w:t>
      </w:r>
      <w:r w:rsidRPr="00FF3102">
        <w:rPr>
          <w:rFonts w:ascii="Simplified Arabic" w:eastAsiaTheme="minorEastAsia" w:hAnsi="Simplified Arabic" w:cs="Simplified Arabic"/>
          <w:spacing w:val="-4"/>
          <w:rtl/>
        </w:rPr>
        <w:t xml:space="preserve"> على مصر في الفترة المقبلة تلبية الطلب الكبير والمتراكم على النقد الأجنبي وتحسين قدرتها على المنافسة في الأسواق الخارجية.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353" w:name="OLE_LINK301"/>
      <w:bookmarkStart w:id="354" w:name="OLE_LINK302"/>
      <w:bookmarkStart w:id="355" w:name="OLE_LINK317"/>
      <w:bookmarkStart w:id="356" w:name="OLE_LINK318"/>
      <w:bookmarkStart w:id="357" w:name="OLE_LINK311"/>
      <w:bookmarkStart w:id="358" w:name="OLE_LINK312"/>
      <w:bookmarkStart w:id="359" w:name="OLE_LINK360"/>
      <w:bookmarkStart w:id="360" w:name="OLE_LINK361"/>
      <w:bookmarkStart w:id="361" w:name="OLE_LINK319"/>
      <w:bookmarkStart w:id="362" w:name="OLE_LINK320"/>
      <w:bookmarkStart w:id="363" w:name="OLE_LINK372"/>
      <w:bookmarkStart w:id="364" w:name="OLE_LINK373"/>
      <w:bookmarkStart w:id="365" w:name="OLE_LINK374"/>
      <w:bookmarkStart w:id="366" w:name="OLE_LINK375"/>
      <w:bookmarkStart w:id="367" w:name="OLE_LINK416"/>
      <w:bookmarkStart w:id="368" w:name="OLE_LINK376"/>
      <w:bookmarkStart w:id="369" w:name="OLE_LINK377"/>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r w:rsidRPr="00FF3102">
        <w:rPr>
          <w:rFonts w:ascii="Simplified Arabic" w:eastAsiaTheme="minorEastAsia" w:hAnsi="Simplified Arabic" w:cs="Simplified Arabic"/>
          <w:bCs/>
          <w:iCs/>
          <w:spacing w:val="0"/>
          <w:rtl/>
        </w:rPr>
        <w:t>تلقت الحكومة المصرية تدفقات مالية استثنائية كبيرة ساعدت على استقرار أوضاع الاقتصاد.</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 xml:space="preserve">فمنذ منتصف عام 2013، تعهدت المملكة العربية السعودية والإمارات العربية المتحدة والكويت بتقديم نحو 24 مليار دولار إلى مصر في شكل ودائع لدى البنك المركزي ومنح نقدية وعينية ومعونات للمشروعات، واستلمت مصر منها ما يتراوح </w:t>
      </w:r>
      <w:r w:rsidRPr="00FF3102">
        <w:rPr>
          <w:rFonts w:ascii="Simplified Arabic" w:eastAsiaTheme="minorEastAsia" w:hAnsi="Simplified Arabic" w:cs="Simplified Arabic"/>
          <w:rtl/>
        </w:rPr>
        <w:t>بين</w:t>
      </w:r>
      <w:r w:rsidRPr="00FF3102">
        <w:rPr>
          <w:rFonts w:ascii="Simplified Arabic" w:eastAsiaTheme="minorEastAsia" w:hAnsi="Simplified Arabic" w:cs="Simplified Arabic"/>
          <w:spacing w:val="0"/>
          <w:rtl/>
        </w:rPr>
        <w:t xml:space="preserve"> 18 </w:t>
      </w:r>
      <w:r w:rsidRPr="00FF3102">
        <w:rPr>
          <w:rFonts w:ascii="Simplified Arabic" w:eastAsiaTheme="minorEastAsia" w:hAnsi="Simplified Arabic" w:cs="Simplified Arabic"/>
          <w:rtl/>
        </w:rPr>
        <w:t xml:space="preserve">و </w:t>
      </w:r>
      <w:r w:rsidRPr="00FF3102">
        <w:rPr>
          <w:rFonts w:ascii="Simplified Arabic" w:eastAsiaTheme="minorEastAsia" w:hAnsi="Simplified Arabic" w:cs="Simplified Arabic"/>
          <w:spacing w:val="0"/>
          <w:rtl/>
        </w:rPr>
        <w:t>19 مليار دولار في السنة المالية 2014. وساعدت هذه التدفقات في استقرار أوضاع الاقتصاد وتلبية جزء من احتياجات البلاد من الطاقة والمواد الغذائية.</w:t>
      </w:r>
      <w:r w:rsidRPr="00FF3102">
        <w:rPr>
          <w:rFonts w:ascii="Simplified Arabic" w:eastAsiaTheme="minorEastAsia" w:hAnsi="Simplified Arabic" w:cs="Simplified Arabic"/>
          <w:bCs/>
          <w:iCs/>
          <w:spacing w:val="0"/>
          <w:rtl/>
        </w:rPr>
        <w:t xml:space="preserve"> </w:t>
      </w:r>
      <w:r w:rsidRPr="00FF3102">
        <w:rPr>
          <w:rFonts w:ascii="Simplified Arabic" w:eastAsiaTheme="minorEastAsia" w:hAnsi="Simplified Arabic" w:cs="Simplified Arabic"/>
          <w:spacing w:val="0"/>
          <w:rtl/>
        </w:rPr>
        <w:t>وفي مؤتمر دعم وتنمية الاقتصاد المصري الذي عُقد في مارس 2015،</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تعهدت دول مجلس التعاون الخليجي بتقديم 12.5 مليار دولار أخرى</w:t>
      </w:r>
      <w:r w:rsidRPr="00FF3102">
        <w:rPr>
          <w:rFonts w:ascii="Simplified Arabic" w:eastAsiaTheme="minorEastAsia" w:hAnsi="Simplified Arabic" w:cs="Simplified Arabic"/>
          <w:rtl/>
        </w:rPr>
        <w:t>، بعضها تم استلامه وبعضها الآخر في</w:t>
      </w:r>
      <w:r w:rsidRPr="00FF3102">
        <w:rPr>
          <w:rFonts w:ascii="Simplified Arabic" w:eastAsiaTheme="minorEastAsia" w:hAnsi="Simplified Arabic" w:cs="Simplified Arabic"/>
          <w:spacing w:val="0"/>
          <w:rtl/>
        </w:rPr>
        <w:t xml:space="preserve"> مرحلة التنفيذ.</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370" w:name="OLE_LINK438"/>
      <w:bookmarkStart w:id="371" w:name="OLE_LINK439"/>
      <w:bookmarkStart w:id="372" w:name="OLE_LINK440"/>
      <w:bookmarkStart w:id="373" w:name="OLE_LINK443"/>
      <w:bookmarkStart w:id="374" w:name="OLE_LINK444"/>
      <w:bookmarkStart w:id="375" w:name="OLE_LINK445"/>
      <w:bookmarkStart w:id="376" w:name="OLE_LINK446"/>
      <w:bookmarkStart w:id="377" w:name="OLE_LINK447"/>
      <w:bookmarkStart w:id="378" w:name="OLE_LINK448"/>
      <w:bookmarkStart w:id="379" w:name="OLE_LINK449"/>
      <w:bookmarkStart w:id="380" w:name="OLE_LINK450"/>
      <w:bookmarkStart w:id="381" w:name="OLE_LINK451"/>
      <w:bookmarkStart w:id="382" w:name="OLE_LINK453"/>
      <w:bookmarkStart w:id="383" w:name="OLE_LINK454"/>
      <w:bookmarkStart w:id="384" w:name="OLE_LINK452"/>
      <w:bookmarkStart w:id="385" w:name="OLE_LINK455"/>
      <w:bookmarkStart w:id="386" w:name="OLE_LINK456"/>
      <w:bookmarkStart w:id="387" w:name="OLE_LINK457"/>
      <w:bookmarkStart w:id="388" w:name="OLE_LINK458"/>
      <w:bookmarkStart w:id="389" w:name="OLE_LINK459"/>
      <w:bookmarkStart w:id="390" w:name="OLE_LINK460"/>
      <w:bookmarkStart w:id="391" w:name="OLE_LINK461"/>
      <w:bookmarkStart w:id="392" w:name="OLE_LINK46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r w:rsidRPr="00FF3102">
        <w:rPr>
          <w:rFonts w:ascii="Simplified Arabic" w:eastAsiaTheme="minorEastAsia" w:hAnsi="Simplified Arabic" w:cs="Simplified Arabic"/>
          <w:bCs/>
          <w:iCs/>
          <w:spacing w:val="0"/>
          <w:rtl/>
        </w:rPr>
        <w:t>مازالت مواطن الضعف قائمة</w:t>
      </w:r>
      <w:r w:rsidRPr="00FF3102">
        <w:rPr>
          <w:rFonts w:ascii="Simplified Arabic" w:eastAsiaTheme="minorEastAsia" w:hAnsi="Simplified Arabic" w:cs="Simplified Arabic"/>
          <w:iCs/>
          <w:spacing w:val="0"/>
          <w:rtl/>
        </w:rPr>
        <w:t xml:space="preserve">. </w:t>
      </w:r>
      <w:r w:rsidRPr="00FF3102">
        <w:rPr>
          <w:rFonts w:ascii="Simplified Arabic" w:eastAsiaTheme="minorEastAsia" w:hAnsi="Simplified Arabic" w:cs="Simplified Arabic"/>
          <w:spacing w:val="0"/>
          <w:rtl/>
        </w:rPr>
        <w:t>يمر الاقتصاد حاليا بمرحلة تعافٍ مبكر</w:t>
      </w:r>
      <w:r w:rsidRPr="00FF3102">
        <w:rPr>
          <w:rFonts w:ascii="Simplified Arabic" w:eastAsiaTheme="minorEastAsia" w:hAnsi="Simplified Arabic" w:cs="Simplified Arabic"/>
          <w:rtl/>
        </w:rPr>
        <w:t xml:space="preserve"> ومازال عرضة لصدمات داخلية أو خارجية سلبية.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وتشمل المخاطر تباطؤ النمو في البلدان الأخرى مما قد يؤثر في الاستثمار والسياحة والتجارة العالمية، والصراعات الإقليمية أو تدهور الوضع الأمني الداخلي الذي قد يؤثر أيضا في ثقة المستثمرين والسياحة. وبدايةً من عام 2014، نفذت الحكومة المصرية حزمتي تحفيز اقتصادي بما يبلغ 3 في المائة من إجمالي الناتج المحلي، لاسيما الإنفاق الاستثماري الذي يشمل إقامة مشروعات عملاقة مخطط لها (الفقرة 55) تنطوي على مخاطر اقتصادية ومالية عامة، لكنها تشمل أيضا زيادات كبيرة في أجور ومعاشات القطاع العام مما يساعد معظم متوسطي الدخل.</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وتُعتبر إصلاحات تسعير الطاقة الأخيرة مشجعةً شأنها شأن زيادة الضرائب على بعض السلع المختارة وتطبيق ضرائب جديدة (الفقرة 23).</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ويلزم إجراء مزيد من الإصلاحات الهيكلية لوضع مستويات الموازنة العامة والديون على مسار مستدام ولتحفيز تحقيق نمو اقتصادي قوي يقوده القطاع الخاص. وستكون مرونة سعر الصرف عاملا مهما لتعزيز استقرار الاقتصاد الكلي، والنمو كثيف</w:t>
      </w:r>
      <w:r w:rsidRPr="00FF3102">
        <w:rPr>
          <w:rFonts w:ascii="Simplified Arabic" w:eastAsiaTheme="minorEastAsia" w:hAnsi="Simplified Arabic" w:cs="Simplified Arabic"/>
          <w:rtl/>
        </w:rPr>
        <w:t xml:space="preserve"> الاستخدام للأيدي</w:t>
      </w:r>
      <w:r w:rsidRPr="00FF3102">
        <w:rPr>
          <w:rFonts w:ascii="Simplified Arabic" w:eastAsiaTheme="minorEastAsia" w:hAnsi="Simplified Arabic" w:cs="Simplified Arabic"/>
          <w:spacing w:val="0"/>
          <w:rtl/>
        </w:rPr>
        <w:t xml:space="preserve"> العاملة، والقدرة التنافسية للصادرات.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393" w:name="OLE_LINK483"/>
      <w:bookmarkStart w:id="394" w:name="OLE_LINK484"/>
      <w:bookmarkStart w:id="395" w:name="OLE_LINK470"/>
      <w:bookmarkStart w:id="396" w:name="OLE_LINK471"/>
      <w:bookmarkStart w:id="397" w:name="OLE_LINK472"/>
      <w:bookmarkStart w:id="398" w:name="OLE_LINK473"/>
      <w:bookmarkStart w:id="399" w:name="OLE_LINK474"/>
      <w:bookmarkStart w:id="400" w:name="OLE_LINK475"/>
      <w:bookmarkStart w:id="401" w:name="OLE_LINK476"/>
      <w:bookmarkStart w:id="402" w:name="OLE_LINK477"/>
      <w:bookmarkStart w:id="403" w:name="OLE_LINK478"/>
      <w:bookmarkStart w:id="404" w:name="OLE_LINK479"/>
      <w:bookmarkStart w:id="405" w:name="OLE_LINK480"/>
      <w:bookmarkStart w:id="406" w:name="OLE_LINK481"/>
      <w:bookmarkStart w:id="407" w:name="OLE_LINK482"/>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FF3102">
        <w:rPr>
          <w:rFonts w:ascii="Simplified Arabic" w:eastAsiaTheme="minorEastAsia" w:hAnsi="Simplified Arabic" w:cs="Simplified Arabic"/>
          <w:bCs/>
          <w:iCs/>
          <w:spacing w:val="0"/>
          <w:rtl/>
        </w:rPr>
        <w:t>يشير تحليل</w:t>
      </w:r>
      <w:r w:rsidRPr="00FF3102">
        <w:rPr>
          <w:rFonts w:ascii="Simplified Arabic" w:eastAsiaTheme="minorEastAsia" w:hAnsi="Simplified Arabic" w:cs="Simplified Arabic"/>
          <w:bCs/>
          <w:iCs/>
          <w:rtl/>
        </w:rPr>
        <w:t xml:space="preserve"> للقدرة على تحمل أعباء الديون أُجري مؤخرا </w:t>
      </w:r>
      <w:r w:rsidRPr="00FF3102">
        <w:rPr>
          <w:rFonts w:ascii="Simplified Arabic" w:eastAsiaTheme="minorEastAsia" w:hAnsi="Simplified Arabic" w:cs="Simplified Arabic"/>
          <w:bCs/>
          <w:iCs/>
          <w:spacing w:val="0"/>
          <w:rtl/>
        </w:rPr>
        <w:t>إلى أن مصر ستتمكن من تحمل أعباء ديونها في المدى المتوسط إذا ما تبنت مسارا لضبط أوضاع المالية</w:t>
      </w:r>
      <w:r w:rsidRPr="00FF3102">
        <w:rPr>
          <w:rFonts w:ascii="Simplified Arabic" w:eastAsiaTheme="minorEastAsia" w:hAnsi="Simplified Arabic" w:cs="Simplified Arabic"/>
          <w:bCs/>
          <w:iCs/>
          <w:rtl/>
        </w:rPr>
        <w:t xml:space="preserve"> العامة</w:t>
      </w:r>
      <w:r w:rsidRPr="00FF3102">
        <w:rPr>
          <w:rFonts w:ascii="Simplified Arabic" w:eastAsiaTheme="minorEastAsia" w:hAnsi="Simplified Arabic" w:cs="Simplified Arabic"/>
          <w:bCs/>
          <w:iCs/>
          <w:spacing w:val="0"/>
          <w:rtl/>
        </w:rPr>
        <w:t xml:space="preserve"> </w:t>
      </w:r>
      <w:r w:rsidRPr="00FF3102">
        <w:rPr>
          <w:rFonts w:ascii="Simplified Arabic" w:eastAsiaTheme="minorEastAsia" w:hAnsi="Simplified Arabic" w:cs="Simplified Arabic"/>
          <w:bCs/>
          <w:iCs/>
          <w:rtl/>
        </w:rPr>
        <w:t>يشجع على النمو.</w:t>
      </w:r>
      <w:r w:rsidRPr="00FF3102">
        <w:rPr>
          <w:rFonts w:ascii="Simplified Arabic" w:eastAsiaTheme="minorEastAsia" w:hAnsi="Simplified Arabic" w:cs="Simplified Arabic"/>
          <w:spacing w:val="0"/>
          <w:rtl/>
        </w:rPr>
        <w:t xml:space="preserve"> وسيسهم العجز الأولي خلال </w:t>
      </w:r>
      <w:r w:rsidRPr="00FF3102">
        <w:rPr>
          <w:rFonts w:ascii="Simplified Arabic" w:eastAsiaTheme="minorEastAsia" w:hAnsi="Simplified Arabic" w:cs="Simplified Arabic"/>
          <w:rtl/>
        </w:rPr>
        <w:t>الفترة</w:t>
      </w:r>
      <w:r w:rsidRPr="00FF3102">
        <w:rPr>
          <w:rFonts w:ascii="Simplified Arabic" w:eastAsiaTheme="minorEastAsia" w:hAnsi="Simplified Arabic" w:cs="Simplified Arabic"/>
          <w:spacing w:val="0"/>
          <w:rtl/>
        </w:rPr>
        <w:t xml:space="preserve"> 2016-2017 وأسعار الفائدة الحقيقية الإيجابية في ارتفاع المديونية، لكن ديناميكيات الدين الإيجابية</w:t>
      </w:r>
      <w:r w:rsidRPr="00FF3102">
        <w:rPr>
          <w:rFonts w:ascii="Simplified Arabic" w:eastAsiaTheme="minorEastAsia" w:hAnsi="Simplified Arabic" w:cs="Simplified Arabic"/>
          <w:rtl/>
        </w:rPr>
        <w:t xml:space="preserve"> من جراء</w:t>
      </w:r>
      <w:r w:rsidRPr="00FF3102">
        <w:rPr>
          <w:rFonts w:ascii="Simplified Arabic" w:eastAsiaTheme="minorEastAsia" w:hAnsi="Simplified Arabic" w:cs="Simplified Arabic"/>
          <w:spacing w:val="0"/>
          <w:rtl/>
        </w:rPr>
        <w:t xml:space="preserve"> نمو إجمالي الناتج المحلي إلى جانب تحقيق توازن أولي في رصيد المالية العامة في السنة المالية 2018 وتحقيق فائض بعد ذلك</w:t>
      </w:r>
      <w:r w:rsidRPr="00FF3102">
        <w:rPr>
          <w:rFonts w:ascii="Simplified Arabic" w:eastAsiaTheme="minorEastAsia" w:hAnsi="Simplified Arabic" w:cs="Simplified Arabic"/>
          <w:rtl/>
        </w:rPr>
        <w:t xml:space="preserve"> ستعوِّض هذا الارتفاع و</w:t>
      </w:r>
      <w:r w:rsidRPr="00FF3102">
        <w:rPr>
          <w:rFonts w:ascii="Simplified Arabic" w:eastAsiaTheme="minorEastAsia" w:hAnsi="Simplified Arabic" w:cs="Simplified Arabic"/>
          <w:spacing w:val="0"/>
          <w:rtl/>
        </w:rPr>
        <w:t>ستسمح بتراجع نسبة الدين إلى إجمالي الناتج المحلي من 91 في المائة من إجمالي الناتج المحلي في السنة المالية 2015 إلى 85 في المائة بحلول السنة المالية 2019.</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ورغم ذلك، ستظل نسبة الدين إلى إجمالي الناتج المحلي مرتفعةً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وستظل فاتورة خدمة</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الدين تفرض ضغوطا على الإنفاق العام. وبالإضافة إلى ذلك، قد ينعكس اتجاه التراجع المتوقع في مسار نسبة الدين إلى إجمالي الناتج المحلي على المدى المتوسط إذا لم يستمر تعافي الاقتصاد وإذا ضعفت جهود ضبط أوضاع المالية العامة.</w:t>
      </w:r>
      <w:bookmarkEnd w:id="393"/>
      <w:bookmarkEnd w:id="394"/>
    </w:p>
    <w:p w:rsidR="00810BAC" w:rsidRPr="00FF3102" w:rsidRDefault="00810BAC" w:rsidP="00D23C58">
      <w:pPr>
        <w:pStyle w:val="Head2"/>
        <w:rPr>
          <w:rtl/>
          <w:lang w:bidi="ar-EG"/>
        </w:rPr>
      </w:pPr>
      <w:bookmarkStart w:id="408" w:name="_Toc439184540"/>
      <w:bookmarkEnd w:id="395"/>
      <w:bookmarkEnd w:id="396"/>
      <w:bookmarkEnd w:id="397"/>
      <w:bookmarkEnd w:id="398"/>
      <w:bookmarkEnd w:id="399"/>
      <w:bookmarkEnd w:id="400"/>
      <w:bookmarkEnd w:id="401"/>
      <w:bookmarkEnd w:id="402"/>
      <w:bookmarkEnd w:id="403"/>
      <w:bookmarkEnd w:id="404"/>
      <w:bookmarkEnd w:id="405"/>
      <w:bookmarkEnd w:id="406"/>
      <w:bookmarkEnd w:id="407"/>
      <w:r w:rsidRPr="00FF3102">
        <w:rPr>
          <w:rtl/>
        </w:rPr>
        <w:t>ج. لمحة عن أوضاع الفقر</w:t>
      </w:r>
      <w:bookmarkEnd w:id="408"/>
    </w:p>
    <w:tbl>
      <w:tblPr>
        <w:tblStyle w:val="TableGrid"/>
        <w:tblpPr w:leftFromText="187" w:rightFromText="187" w:vertAnchor="text" w:horzAnchor="margin" w:tblpY="654"/>
        <w:tblOverlap w:val="never"/>
        <w:bidiVisual/>
        <w:tblW w:w="0" w:type="auto"/>
        <w:tblLayout w:type="fixed"/>
        <w:tblLook w:val="04A0" w:firstRow="1" w:lastRow="0" w:firstColumn="1" w:lastColumn="0" w:noHBand="0" w:noVBand="1"/>
      </w:tblPr>
      <w:tblGrid>
        <w:gridCol w:w="4225"/>
      </w:tblGrid>
      <w:tr w:rsidR="00DF160F" w:rsidRPr="00FF3102" w:rsidTr="009A79DD">
        <w:trPr>
          <w:trHeight w:val="20"/>
        </w:trPr>
        <w:tc>
          <w:tcPr>
            <w:tcW w:w="4225" w:type="dxa"/>
          </w:tcPr>
          <w:p w:rsidR="00DF160F" w:rsidRPr="00FF3102" w:rsidRDefault="00DF160F" w:rsidP="00E625D2">
            <w:pPr>
              <w:pStyle w:val="Figures"/>
              <w:framePr w:hSpace="0" w:wrap="auto" w:hAnchor="text" w:yAlign="inline"/>
              <w:suppressOverlap w:val="0"/>
              <w:rPr>
                <w:rtl/>
                <w:lang w:bidi="ar-EG"/>
              </w:rPr>
            </w:pPr>
            <w:bookmarkStart w:id="409" w:name="_Toc439186229"/>
            <w:bookmarkStart w:id="410" w:name="OLE_LINK487"/>
            <w:bookmarkStart w:id="411" w:name="OLE_LINK488"/>
            <w:bookmarkStart w:id="412" w:name="OLE_LINK489"/>
            <w:bookmarkStart w:id="413" w:name="OLE_LINK490"/>
            <w:bookmarkStart w:id="414" w:name="OLE_LINK491"/>
            <w:bookmarkStart w:id="415" w:name="OLE_LINK492"/>
            <w:bookmarkStart w:id="416" w:name="OLE_LINK493"/>
            <w:bookmarkStart w:id="417" w:name="OLE_LINK494"/>
            <w:bookmarkStart w:id="418" w:name="OLE_LINK495"/>
            <w:r w:rsidRPr="00FF3102">
              <w:rPr>
                <w:rtl/>
              </w:rPr>
              <w:t>الشكل 2. نسبة الفقر في مصر، للسنوات 2000-2010</w:t>
            </w:r>
            <w:bookmarkEnd w:id="409"/>
          </w:p>
          <w:p w:rsidR="00DF160F" w:rsidRPr="00FF3102" w:rsidRDefault="00DF160F" w:rsidP="00DF160F">
            <w:pPr>
              <w:pStyle w:val="Figuretext"/>
              <w:framePr w:hSpace="0" w:wrap="auto" w:vAnchor="margin" w:xAlign="left" w:yAlign="inline"/>
              <w:bidi/>
              <w:suppressOverlap w:val="0"/>
              <w:rPr>
                <w:rFonts w:ascii="Simplified Arabic" w:hAnsi="Simplified Arabic" w:cs="Simplified Arabic"/>
                <w:sz w:val="24"/>
                <w:szCs w:val="24"/>
              </w:rPr>
            </w:pPr>
            <w:r w:rsidRPr="00FF3102">
              <w:rPr>
                <w:rFonts w:ascii="Simplified Arabic" w:hAnsi="Simplified Arabic" w:cs="Simplified Arabic"/>
                <w:noProof/>
                <w:sz w:val="24"/>
                <w:szCs w:val="24"/>
              </w:rPr>
              <w:drawing>
                <wp:inline distT="0" distB="0" distL="0" distR="0" wp14:anchorId="710EF51B" wp14:editId="65DE0717">
                  <wp:extent cx="2552700" cy="1104900"/>
                  <wp:effectExtent l="0" t="0" r="0" b="0"/>
                  <wp:docPr id="2" name="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2700" cy="1104900"/>
                          </a:xfrm>
                          <a:prstGeom prst="rect">
                            <a:avLst/>
                          </a:prstGeom>
                          <a:noFill/>
                          <a:ln>
                            <a:noFill/>
                          </a:ln>
                        </pic:spPr>
                      </pic:pic>
                    </a:graphicData>
                  </a:graphic>
                </wp:inline>
              </w:drawing>
            </w:r>
          </w:p>
          <w:p w:rsidR="00DF160F" w:rsidRPr="00FF3102" w:rsidRDefault="00DF160F" w:rsidP="00DF160F">
            <w:pPr>
              <w:pStyle w:val="Sourceornote"/>
              <w:bidi/>
              <w:rPr>
                <w:rFonts w:ascii="Simplified Arabic" w:eastAsiaTheme="minorEastAsia" w:hAnsi="Simplified Arabic" w:cs="Simplified Arabic"/>
                <w:sz w:val="24"/>
                <w:szCs w:val="24"/>
                <w:rtl/>
              </w:rPr>
            </w:pPr>
            <w:bookmarkStart w:id="419" w:name="OLE_LINK499"/>
            <w:bookmarkStart w:id="420" w:name="OLE_LINK500"/>
            <w:r w:rsidRPr="00FF3102">
              <w:rPr>
                <w:rFonts w:ascii="Simplified Arabic" w:eastAsiaTheme="minorEastAsia" w:hAnsi="Simplified Arabic" w:cs="Simplified Arabic"/>
                <w:iCs/>
                <w:sz w:val="20"/>
                <w:rtl/>
              </w:rPr>
              <w:t>المصدر:</w:t>
            </w:r>
            <w:r w:rsidRPr="00FF3102">
              <w:rPr>
                <w:rFonts w:ascii="Simplified Arabic" w:eastAsiaTheme="minorEastAsia" w:hAnsi="Simplified Arabic" w:cs="Simplified Arabic"/>
                <w:sz w:val="20"/>
                <w:rtl/>
              </w:rPr>
              <w:t xml:space="preserve"> بيانات عام 2000، الفقر والرخاء المشترك في مصر (2000-2013)، مذكرة مرجعية؛ 2005، 2010، وكما هو وارد في الدراسة التشخيصية المنهجية الخاصة بمصر.</w:t>
            </w:r>
            <w:bookmarkEnd w:id="419"/>
            <w:bookmarkEnd w:id="420"/>
          </w:p>
        </w:tc>
      </w:tr>
    </w:tbl>
    <w:p w:rsidR="00810BAC" w:rsidRPr="00FF3102" w:rsidRDefault="00810BAC" w:rsidP="001E71BE">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على الرغم من تحقيق معدلات نمو اقتصادي معقولة خلال العقد الأول من القرن الحالي، فقد زادت معدلات الفقر.</w:t>
      </w:r>
      <w:r w:rsidRPr="00FF3102">
        <w:rPr>
          <w:rFonts w:ascii="Simplified Arabic" w:eastAsiaTheme="minorEastAsia" w:hAnsi="Simplified Arabic" w:cs="Simplified Arabic"/>
          <w:spacing w:val="-4"/>
          <w:rtl/>
        </w:rPr>
        <w:t xml:space="preserve"> وخلال سنوات من النمو القوي والمتوسط، زادت معدلات الفقر باطراد من 16.7 في المائة عام 2000 إلى 24.3 في المائة عام 2010 (الشكل 2). وتدهور مستوى رفاهة الفقراء – قياسا بحجم الفجوة بين متوسط الدخل وخط الفقر- في الفترة بين عامي 2005 و 2010. وأظهر آخر تعداد رسمي للفقراء أن أكثر من 26 في المائة من السكان يعيشون تحت خط الفقر في عام 2013، لكن البيانات والاختلافات المنهجية تحول دون إجراء مقارنة بين أعداد الفقراء عام 2013 وأعدادهم في السنوات السابقة.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وخلال الفترة التي يغطيها إطار الشراكة الإستراتيجية، سينتهي الجهاز المركزي للتعبئة والإحصاء في مصر من العمل الميداني لإجراء مسح جديد للأسر والذي سيتم استخدامه لتحديث تقديرات الفقر.</w:t>
      </w:r>
      <w:bookmarkEnd w:id="410"/>
      <w:bookmarkEnd w:id="411"/>
      <w:bookmarkEnd w:id="412"/>
      <w:bookmarkEnd w:id="413"/>
      <w:bookmarkEnd w:id="414"/>
      <w:bookmarkEnd w:id="415"/>
      <w:bookmarkEnd w:id="416"/>
      <w:bookmarkEnd w:id="417"/>
      <w:bookmarkEnd w:id="418"/>
    </w:p>
    <w:tbl>
      <w:tblPr>
        <w:tblStyle w:val="TableGrid"/>
        <w:tblpPr w:leftFromText="187" w:rightFromText="187" w:vertAnchor="text" w:horzAnchor="margin" w:tblpY="306"/>
        <w:bidiVisual/>
        <w:tblW w:w="0" w:type="auto"/>
        <w:tblLayout w:type="fixed"/>
        <w:tblLook w:val="04A0" w:firstRow="1" w:lastRow="0" w:firstColumn="1" w:lastColumn="0" w:noHBand="0" w:noVBand="1"/>
      </w:tblPr>
      <w:tblGrid>
        <w:gridCol w:w="4225"/>
      </w:tblGrid>
      <w:tr w:rsidR="00DF160F" w:rsidRPr="00FF3102" w:rsidTr="009A79DD">
        <w:trPr>
          <w:trHeight w:val="20"/>
        </w:trPr>
        <w:tc>
          <w:tcPr>
            <w:tcW w:w="4225" w:type="dxa"/>
          </w:tcPr>
          <w:p w:rsidR="00DF160F" w:rsidRPr="00FF3102" w:rsidRDefault="00DF160F" w:rsidP="00E625D2">
            <w:pPr>
              <w:pStyle w:val="Figures"/>
              <w:framePr w:hSpace="0" w:wrap="auto" w:hAnchor="text" w:yAlign="inline"/>
              <w:suppressOverlap w:val="0"/>
              <w:rPr>
                <w:rtl/>
                <w:lang w:bidi="ar-EG"/>
              </w:rPr>
            </w:pPr>
            <w:bookmarkStart w:id="421" w:name="_Toc439186230"/>
            <w:bookmarkStart w:id="422" w:name="OLE_LINK509"/>
            <w:bookmarkStart w:id="423" w:name="OLE_LINK510"/>
            <w:bookmarkStart w:id="424" w:name="OLE_LINK505"/>
            <w:bookmarkStart w:id="425" w:name="OLE_LINK506"/>
            <w:r w:rsidRPr="009A79DD">
              <w:rPr>
                <w:rtl/>
              </w:rPr>
              <w:t>الشكل 3.</w:t>
            </w:r>
            <w:r w:rsidRPr="00FF3102">
              <w:rPr>
                <w:rtl/>
              </w:rPr>
              <w:t xml:space="preserve"> معدل الفقر في مصر حسب المناطق، للسنوات 2005-2010</w:t>
            </w:r>
            <w:bookmarkEnd w:id="421"/>
          </w:p>
          <w:p w:rsidR="00DF160F" w:rsidRPr="00FF3102" w:rsidRDefault="009A79DD" w:rsidP="00DF160F">
            <w:pPr>
              <w:pStyle w:val="Sourceornote"/>
              <w:bidi/>
              <w:rPr>
                <w:rFonts w:ascii="Simplified Arabic" w:hAnsi="Simplified Arabic" w:cs="Simplified Arabic"/>
                <w:i/>
                <w:sz w:val="24"/>
                <w:szCs w:val="24"/>
              </w:rPr>
            </w:pPr>
            <w:r>
              <w:rPr>
                <w:rFonts w:ascii="Simplified Arabic" w:hAnsi="Simplified Arabic" w:cs="Simplified Arabic"/>
                <w:i/>
                <w:noProof/>
                <w:sz w:val="24"/>
                <w:szCs w:val="24"/>
              </w:rPr>
              <w:drawing>
                <wp:inline distT="0" distB="0" distL="0" distR="0" wp14:anchorId="11C2E7FB" wp14:editId="7D4A4DDD">
                  <wp:extent cx="2545715" cy="847725"/>
                  <wp:effectExtent l="0" t="0" r="69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 3.png"/>
                          <pic:cNvPicPr/>
                        </pic:nvPicPr>
                        <pic:blipFill>
                          <a:blip r:embed="rId17">
                            <a:extLst>
                              <a:ext uri="{28A0092B-C50C-407E-A947-70E740481C1C}">
                                <a14:useLocalDpi xmlns:a14="http://schemas.microsoft.com/office/drawing/2010/main" val="0"/>
                              </a:ext>
                            </a:extLst>
                          </a:blip>
                          <a:stretch>
                            <a:fillRect/>
                          </a:stretch>
                        </pic:blipFill>
                        <pic:spPr>
                          <a:xfrm>
                            <a:off x="0" y="0"/>
                            <a:ext cx="2545715" cy="847725"/>
                          </a:xfrm>
                          <a:prstGeom prst="rect">
                            <a:avLst/>
                          </a:prstGeom>
                        </pic:spPr>
                      </pic:pic>
                    </a:graphicData>
                  </a:graphic>
                </wp:inline>
              </w:drawing>
            </w:r>
          </w:p>
          <w:p w:rsidR="00DF160F" w:rsidRPr="00DF160F" w:rsidRDefault="00DF160F" w:rsidP="00DF160F">
            <w:pPr>
              <w:pStyle w:val="Sourceornote"/>
              <w:bidi/>
              <w:rPr>
                <w:rFonts w:ascii="Simplified Arabic" w:eastAsiaTheme="minorEastAsia" w:hAnsi="Simplified Arabic" w:cs="Simplified Arabic"/>
                <w:sz w:val="16"/>
                <w:szCs w:val="16"/>
                <w:rtl/>
                <w:lang w:bidi="ar-EG"/>
              </w:rPr>
            </w:pPr>
            <w:r w:rsidRPr="00DF160F">
              <w:rPr>
                <w:rFonts w:ascii="Simplified Arabic" w:eastAsiaTheme="minorEastAsia" w:hAnsi="Simplified Arabic" w:cs="Simplified Arabic"/>
                <w:iCs/>
                <w:sz w:val="16"/>
                <w:szCs w:val="16"/>
                <w:rtl/>
              </w:rPr>
              <w:t>ملاحظة:</w:t>
            </w:r>
            <w:r w:rsidRPr="00DF160F">
              <w:rPr>
                <w:rFonts w:ascii="Simplified Arabic" w:eastAsiaTheme="minorEastAsia" w:hAnsi="Simplified Arabic" w:cs="Simplified Arabic"/>
                <w:sz w:val="16"/>
                <w:szCs w:val="16"/>
              </w:rPr>
              <w:t xml:space="preserve"> </w:t>
            </w:r>
            <w:r w:rsidRPr="00DF160F">
              <w:rPr>
                <w:rFonts w:ascii="Simplified Arabic" w:eastAsiaTheme="minorEastAsia" w:hAnsi="Simplified Arabic" w:cs="Simplified Arabic"/>
                <w:sz w:val="16"/>
                <w:szCs w:val="16"/>
                <w:rtl/>
              </w:rPr>
              <w:t>تُستثنى المناطق الحدودية التي يمثل سكانها أقل من واحد في المائة من السكان؛ وفي عام 2010، لم يتم إدراج محافظتا حلوان والسادس من أكتوبر.</w:t>
            </w:r>
          </w:p>
          <w:p w:rsidR="00DF160F" w:rsidRPr="00FF3102" w:rsidRDefault="00DF160F" w:rsidP="00DF160F">
            <w:pPr>
              <w:pStyle w:val="Figuretitle"/>
              <w:framePr w:hSpace="0" w:wrap="auto" w:vAnchor="margin" w:xAlign="left" w:yAlign="inline"/>
              <w:bidi/>
              <w:spacing w:after="0"/>
              <w:suppressOverlap w:val="0"/>
              <w:jc w:val="left"/>
              <w:rPr>
                <w:rFonts w:ascii="Simplified Arabic" w:eastAsiaTheme="minorEastAsia" w:hAnsi="Simplified Arabic" w:cs="Simplified Arabic"/>
                <w:b w:val="0"/>
                <w:bCs w:val="0"/>
                <w:sz w:val="24"/>
                <w:szCs w:val="24"/>
                <w:rtl/>
                <w:lang w:bidi="ar-EG"/>
              </w:rPr>
            </w:pPr>
            <w:bookmarkStart w:id="426" w:name="OLE_LINK496"/>
            <w:bookmarkStart w:id="427" w:name="OLE_LINK497"/>
            <w:bookmarkStart w:id="428" w:name="OLE_LINK498"/>
            <w:r w:rsidRPr="00DF160F">
              <w:rPr>
                <w:rFonts w:ascii="Simplified Arabic" w:eastAsiaTheme="minorEastAsia" w:hAnsi="Simplified Arabic" w:cs="Simplified Arabic"/>
                <w:b w:val="0"/>
                <w:bCs w:val="0"/>
                <w:iCs/>
                <w:sz w:val="16"/>
                <w:szCs w:val="16"/>
                <w:rtl/>
              </w:rPr>
              <w:t>المصدر</w:t>
            </w:r>
            <w:r w:rsidRPr="00DF160F">
              <w:rPr>
                <w:rFonts w:ascii="Simplified Arabic" w:eastAsiaTheme="minorEastAsia" w:hAnsi="Simplified Arabic" w:cs="Simplified Arabic"/>
                <w:b w:val="0"/>
                <w:bCs w:val="0"/>
                <w:sz w:val="16"/>
                <w:szCs w:val="16"/>
                <w:rtl/>
              </w:rPr>
              <w:t>: مسح الدخل والإنفاق والاستهلاك للأسر كما هو وارد في الدراسة التشخيصية المنهجية الخاصة بمصر.</w:t>
            </w:r>
            <w:bookmarkEnd w:id="426"/>
            <w:bookmarkEnd w:id="427"/>
            <w:bookmarkEnd w:id="428"/>
          </w:p>
        </w:tc>
      </w:tr>
    </w:tbl>
    <w:p w:rsidR="00810BAC" w:rsidRPr="00DF160F" w:rsidRDefault="00810BAC" w:rsidP="001E71BE">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التفاوت بين المناطق في مستوى الرفاهة سمة دائمة للفقر في مصر. </w:t>
      </w:r>
      <w:r w:rsidRPr="00FF3102">
        <w:rPr>
          <w:rFonts w:ascii="Simplified Arabic" w:eastAsiaTheme="minorEastAsia" w:hAnsi="Simplified Arabic" w:cs="Simplified Arabic"/>
          <w:spacing w:val="0"/>
          <w:rtl/>
        </w:rPr>
        <w:t xml:space="preserve">فأعلى معدلات الفقر موجودة في قرى الصعيد: بحلول عام 2010، كان نصف سكان الوجه القبلي تحت خط الفقر الوطني. وتأتي </w:t>
      </w:r>
      <w:r w:rsidRPr="00FF3102">
        <w:rPr>
          <w:rFonts w:ascii="Simplified Arabic" w:eastAsiaTheme="minorEastAsia" w:hAnsi="Simplified Arabic" w:cs="Simplified Arabic"/>
          <w:rtl/>
        </w:rPr>
        <w:t>مدن</w:t>
      </w:r>
      <w:r w:rsidRPr="00FF3102">
        <w:rPr>
          <w:rFonts w:ascii="Simplified Arabic" w:eastAsiaTheme="minorEastAsia" w:hAnsi="Simplified Arabic" w:cs="Simplified Arabic"/>
          <w:spacing w:val="0"/>
          <w:rtl/>
        </w:rPr>
        <w:t xml:space="preserve"> الصعيد في المرتبة الثانية من حيث ارتفاع معدلات الفقر.</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ورغم ارتفاع معدلات الفقر على نحو خاص في الصعيد، </w:t>
      </w:r>
      <w:r w:rsidRPr="00FF3102">
        <w:rPr>
          <w:rFonts w:ascii="Simplified Arabic" w:eastAsiaTheme="minorEastAsia" w:hAnsi="Simplified Arabic" w:cs="Simplified Arabic"/>
          <w:rtl/>
        </w:rPr>
        <w:t xml:space="preserve">فإن </w:t>
      </w:r>
      <w:r w:rsidRPr="00FF3102">
        <w:rPr>
          <w:rFonts w:ascii="Simplified Arabic" w:eastAsiaTheme="minorEastAsia" w:hAnsi="Simplified Arabic" w:cs="Simplified Arabic"/>
          <w:spacing w:val="0"/>
          <w:rtl/>
        </w:rPr>
        <w:t xml:space="preserve">المدن الكبرى الرئيسية في البلاد (القاهرة والأسكندرية وبورسعيد والسويس) تشهد </w:t>
      </w:r>
      <w:r w:rsidRPr="00FF3102">
        <w:rPr>
          <w:rFonts w:ascii="Simplified Arabic" w:eastAsiaTheme="minorEastAsia" w:hAnsi="Simplified Arabic" w:cs="Simplified Arabic"/>
          <w:rtl/>
        </w:rPr>
        <w:t>هي الأخرى</w:t>
      </w:r>
      <w:r w:rsidRPr="00FF3102">
        <w:rPr>
          <w:rFonts w:ascii="Simplified Arabic" w:eastAsiaTheme="minorEastAsia" w:hAnsi="Simplified Arabic" w:cs="Simplified Arabic"/>
          <w:spacing w:val="0"/>
          <w:rtl/>
        </w:rPr>
        <w:t xml:space="preserve"> ارتفاعا في نسبة الفقر (الشكل 3).</w:t>
      </w:r>
    </w:p>
    <w:p w:rsidR="00DF160F" w:rsidRPr="00FF3102" w:rsidRDefault="00DF160F" w:rsidP="00DF160F">
      <w:pPr>
        <w:pStyle w:val="MainParanoChapter"/>
        <w:numPr>
          <w:ilvl w:val="0"/>
          <w:numId w:val="0"/>
        </w:numPr>
        <w:tabs>
          <w:tab w:val="clear" w:pos="1440"/>
        </w:tabs>
        <w:bidi/>
        <w:rPr>
          <w:rFonts w:ascii="Simplified Arabic" w:eastAsiaTheme="minorEastAsia" w:hAnsi="Simplified Arabic" w:cs="Simplified Arabic"/>
        </w:rPr>
      </w:pP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429" w:name="OLE_LINK511"/>
      <w:bookmarkStart w:id="430" w:name="OLE_LINK512"/>
      <w:bookmarkStart w:id="431" w:name="OLE_LINK517"/>
      <w:bookmarkStart w:id="432" w:name="OLE_LINK518"/>
      <w:bookmarkStart w:id="433" w:name="OLE_LINK513"/>
      <w:bookmarkStart w:id="434" w:name="OLE_LINK514"/>
      <w:bookmarkStart w:id="435" w:name="OLE_LINK515"/>
      <w:bookmarkStart w:id="436" w:name="OLE_LINK516"/>
      <w:bookmarkEnd w:id="422"/>
      <w:bookmarkEnd w:id="423"/>
      <w:bookmarkEnd w:id="424"/>
      <w:bookmarkEnd w:id="425"/>
      <w:r w:rsidRPr="00FF3102">
        <w:rPr>
          <w:rFonts w:ascii="Simplified Arabic" w:eastAsiaTheme="minorEastAsia" w:hAnsi="Simplified Arabic" w:cs="Simplified Arabic"/>
          <w:bCs/>
          <w:iCs/>
          <w:spacing w:val="0"/>
          <w:rtl/>
        </w:rPr>
        <w:t xml:space="preserve">لم يترجم النمو الاقتصادي في الفترة بين عامي 2005 و 2010 إلى زيادة فرص العمل المتاحة بدرجة كبيرة. </w:t>
      </w:r>
      <w:r w:rsidRPr="00FF3102">
        <w:rPr>
          <w:rFonts w:ascii="Simplified Arabic" w:eastAsiaTheme="minorEastAsia" w:hAnsi="Simplified Arabic" w:cs="Simplified Arabic"/>
          <w:spacing w:val="0"/>
          <w:rtl/>
        </w:rPr>
        <w:t>فقد عجز القطاع الخاص الرسمي عن توفير فرص عمل منتجة للأيدي العاملة المتنامية، وهو ما نتج عن ارتفاع نسبة العمل بالقطاع غير الرسمي منخفض الإنتاجية في المشروعات الصغيرة ومتناهية الصغر مع زيادة إمكانية التعرُّض لصدمات اقتصادية. ونناقش أدناه المعوقات أمام نمو القطاع الخاص (الفقرات</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31-35). ورغم معدل النمو القوي في إجمالي الناتج المحلي، فقد تراجع معدل نمو دخل الأسر بين عامي 2005 و 2010: </w:t>
      </w:r>
      <w:r w:rsidRPr="00FF3102">
        <w:rPr>
          <w:rFonts w:ascii="Simplified Arabic" w:eastAsiaTheme="minorEastAsia" w:hAnsi="Simplified Arabic" w:cs="Simplified Arabic"/>
          <w:bCs/>
          <w:iCs/>
          <w:spacing w:val="0"/>
          <w:rtl/>
        </w:rPr>
        <w:t>بلغ</w:t>
      </w:r>
      <w:r w:rsidRPr="00FF3102">
        <w:rPr>
          <w:rFonts w:ascii="Simplified Arabic" w:eastAsiaTheme="minorEastAsia" w:hAnsi="Simplified Arabic" w:cs="Simplified Arabic"/>
          <w:spacing w:val="0"/>
          <w:rtl/>
        </w:rPr>
        <w:t xml:space="preserve"> معدل نمو الدخل </w:t>
      </w:r>
      <w:r w:rsidRPr="00FF3102">
        <w:rPr>
          <w:rFonts w:ascii="Simplified Arabic" w:eastAsiaTheme="minorEastAsia" w:hAnsi="Simplified Arabic" w:cs="Simplified Arabic"/>
          <w:bCs/>
          <w:iCs/>
          <w:spacing w:val="0"/>
          <w:rtl/>
        </w:rPr>
        <w:t>السنوي</w:t>
      </w:r>
      <w:r w:rsidRPr="00FF3102">
        <w:rPr>
          <w:rFonts w:ascii="Simplified Arabic" w:eastAsiaTheme="minorEastAsia" w:hAnsi="Simplified Arabic" w:cs="Simplified Arabic"/>
          <w:spacing w:val="0"/>
          <w:rtl/>
        </w:rPr>
        <w:t xml:space="preserve"> لأفقر 40 في المائة من السكان (</w:t>
      </w:r>
      <w:r w:rsidRPr="00FF3102">
        <w:rPr>
          <w:rFonts w:ascii="Simplified Arabic" w:eastAsiaTheme="minorEastAsia" w:hAnsi="Simplified Arabic" w:cs="Simplified Arabic"/>
          <w:bCs/>
          <w:iCs/>
          <w:spacing w:val="0"/>
          <w:rtl/>
        </w:rPr>
        <w:t>مؤشر الرخاء المشترك</w:t>
      </w:r>
      <w:r w:rsidRPr="00FF3102">
        <w:rPr>
          <w:rFonts w:ascii="Simplified Arabic" w:eastAsiaTheme="minorEastAsia" w:hAnsi="Simplified Arabic" w:cs="Simplified Arabic"/>
          <w:spacing w:val="0"/>
          <w:rtl/>
        </w:rPr>
        <w:t>) -1.3 في المائة، في حين هبط المتوسط العام لدخل الأسر بسرعة أكبر بنسبة -1.7 في المائة سنوياً. وقد تفسّر هذه النتائج الانخفاض الطفيف في مستوى التفاوت داخل مصر خلال هذه الفترة.</w:t>
      </w:r>
      <w:r w:rsidRPr="00FF3102">
        <w:rPr>
          <w:rStyle w:val="FootnoteReference"/>
          <w:rFonts w:ascii="Simplified Arabic" w:eastAsiaTheme="minorEastAsia" w:hAnsi="Simplified Arabic" w:cs="Simplified Arabic"/>
          <w:spacing w:val="0"/>
          <w:rtl/>
        </w:rPr>
        <w:footnoteReference w:id="8"/>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437" w:name="OLE_LINK70"/>
      <w:bookmarkStart w:id="438" w:name="OLE_LINK71"/>
      <w:bookmarkStart w:id="439" w:name="OLE_LINK113"/>
      <w:bookmarkStart w:id="440" w:name="OLE_LINK114"/>
      <w:bookmarkStart w:id="441" w:name="OLE_LINK221"/>
      <w:bookmarkStart w:id="442" w:name="OLE_LINK222"/>
      <w:bookmarkStart w:id="443" w:name="OLE_LINK233"/>
      <w:bookmarkStart w:id="444" w:name="OLE_LINK234"/>
      <w:bookmarkStart w:id="445" w:name="OLE_LINK235"/>
      <w:bookmarkStart w:id="446" w:name="OLE_LINK236"/>
      <w:bookmarkStart w:id="447" w:name="OLE_LINK237"/>
      <w:bookmarkStart w:id="448" w:name="OLE_LINK238"/>
      <w:bookmarkStart w:id="449" w:name="OLE_LINK276"/>
      <w:bookmarkStart w:id="450" w:name="OLE_LINK277"/>
      <w:bookmarkStart w:id="451" w:name="OLE_LINK278"/>
      <w:bookmarkStart w:id="452" w:name="OLE_LINK279"/>
      <w:bookmarkStart w:id="453" w:name="OLE_LINK280"/>
      <w:bookmarkStart w:id="454" w:name="OLE_LINK281"/>
      <w:bookmarkStart w:id="455" w:name="OLE_LINK282"/>
      <w:bookmarkStart w:id="456" w:name="OLE_LINK283"/>
      <w:bookmarkStart w:id="457" w:name="OLE_LINK284"/>
      <w:bookmarkEnd w:id="429"/>
      <w:bookmarkEnd w:id="430"/>
      <w:bookmarkEnd w:id="431"/>
      <w:bookmarkEnd w:id="432"/>
      <w:bookmarkEnd w:id="433"/>
      <w:bookmarkEnd w:id="434"/>
      <w:bookmarkEnd w:id="435"/>
      <w:bookmarkEnd w:id="436"/>
      <w:r w:rsidRPr="00FF3102">
        <w:rPr>
          <w:rFonts w:ascii="Simplified Arabic" w:eastAsiaTheme="minorEastAsia" w:hAnsi="Simplified Arabic" w:cs="Simplified Arabic"/>
          <w:bCs/>
          <w:iCs/>
          <w:spacing w:val="0"/>
          <w:rtl/>
        </w:rPr>
        <w:t>يتركّز أفقر 40 في المائة من الأسر المصرية في المناطق الريفية بمصر حيث تقل فرص الحصول على الخدمات الأساسية عن المتوسطات الوطنية.</w:t>
      </w:r>
      <w:r w:rsidRPr="00FF3102">
        <w:rPr>
          <w:rFonts w:ascii="Simplified Arabic" w:eastAsiaTheme="minorEastAsia" w:hAnsi="Simplified Arabic" w:cs="Simplified Arabic"/>
          <w:spacing w:val="0"/>
          <w:rtl/>
        </w:rPr>
        <w:t xml:space="preserve"> وقرى الصعيد هي موطن أكبر نسبة من السكان المعرضين للحرمان والمعاناة.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iCs/>
          <w:spacing w:val="0"/>
          <w:rtl/>
        </w:rPr>
        <w:t xml:space="preserve">وعلى الرغم من إحراز تقدُّم جيد في مختلف </w:t>
      </w:r>
      <w:r w:rsidRPr="00FF3102">
        <w:rPr>
          <w:rFonts w:ascii="Simplified Arabic" w:eastAsiaTheme="minorEastAsia" w:hAnsi="Simplified Arabic" w:cs="Simplified Arabic"/>
          <w:iCs/>
          <w:rtl/>
        </w:rPr>
        <w:t>أنحاء</w:t>
      </w:r>
      <w:r w:rsidRPr="00FF3102">
        <w:rPr>
          <w:rFonts w:ascii="Simplified Arabic" w:eastAsiaTheme="minorEastAsia" w:hAnsi="Simplified Arabic" w:cs="Simplified Arabic"/>
          <w:iCs/>
          <w:spacing w:val="0"/>
          <w:rtl/>
        </w:rPr>
        <w:t xml:space="preserve"> مصر من حيث الالتحاق بالتعليم والعديد من مؤشرات الرعاية الصحية، فإن التفاوت مازال قائما. وفي اختبارات قياس نواتج التعلُّم في مادتي الرياضيات والعلوم، كان متوسط أداء الأطفال في المناطق الريفية أقل بواقع 40 نقطة عن نظرائهم في المناطق الحضرية وبنحو 75 نقطة عن نظرائهم في المناطق الحضرية بالوجه البحري؛ وفي التعليم الأساسي، يلاحظ أنه بينما تكون معدلات التحاق الأطفال في الخمس الأكثر ثراء من السكان كاملة تقريبا، فإنها</w:t>
      </w:r>
      <w:r w:rsidRPr="00FF3102">
        <w:rPr>
          <w:rFonts w:ascii="Simplified Arabic" w:eastAsiaTheme="minorEastAsia" w:hAnsi="Simplified Arabic" w:cs="Simplified Arabic"/>
          <w:iCs/>
          <w:spacing w:val="0"/>
        </w:rPr>
        <w:t xml:space="preserve"> </w:t>
      </w:r>
      <w:r w:rsidRPr="00FF3102">
        <w:rPr>
          <w:rFonts w:ascii="Simplified Arabic" w:eastAsiaTheme="minorEastAsia" w:hAnsi="Simplified Arabic" w:cs="Simplified Arabic"/>
          <w:iCs/>
          <w:spacing w:val="0"/>
          <w:rtl/>
        </w:rPr>
        <w:t xml:space="preserve">تصل في الخمس الأشد فقرا إلى نحو 73 في المائة في التعليم الأساسي وأقل من 50 في المائة في التعليم الثانوي. </w:t>
      </w:r>
      <w:r w:rsidRPr="00FF3102">
        <w:rPr>
          <w:rFonts w:ascii="Simplified Arabic" w:eastAsiaTheme="minorEastAsia" w:hAnsi="Simplified Arabic" w:cs="Simplified Arabic"/>
          <w:spacing w:val="0"/>
          <w:rtl/>
        </w:rPr>
        <w:t>و</w:t>
      </w:r>
      <w:r w:rsidRPr="00FF3102">
        <w:rPr>
          <w:rFonts w:ascii="Simplified Arabic" w:eastAsiaTheme="minorEastAsia" w:hAnsi="Simplified Arabic" w:cs="Simplified Arabic"/>
          <w:rtl/>
        </w:rPr>
        <w:t>مازالت</w:t>
      </w:r>
      <w:r w:rsidRPr="00FF3102">
        <w:rPr>
          <w:rFonts w:ascii="Simplified Arabic" w:eastAsiaTheme="minorEastAsia" w:hAnsi="Simplified Arabic" w:cs="Simplified Arabic"/>
          <w:spacing w:val="0"/>
          <w:rtl/>
        </w:rPr>
        <w:t xml:space="preserve"> هناك أيضا تفاوتات جغرافية في قطاع الرعاية الصحية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فاحتمال وفاة الأطفال دون سن الخامسة ممن يعيشون في قرى الصعيد يزيد بواقع الضعف عمن هم في الشريحة العمرية نفسها في المناطق الحضرية بالوجه البحري.</w:t>
      </w:r>
      <w:r w:rsidRPr="00FF3102">
        <w:rPr>
          <w:rStyle w:val="FootnoteReference"/>
          <w:rFonts w:ascii="Simplified Arabic" w:eastAsiaTheme="minorEastAsia" w:hAnsi="Simplified Arabic" w:cs="Simplified Arabic"/>
          <w:spacing w:val="0"/>
          <w:rtl/>
        </w:rPr>
        <w:footnoteReference w:id="9"/>
      </w:r>
      <w:r w:rsidRPr="00FF3102">
        <w:rPr>
          <w:rFonts w:ascii="Simplified Arabic" w:eastAsiaTheme="minorEastAsia" w:hAnsi="Simplified Arabic" w:cs="Simplified Arabic"/>
          <w:spacing w:val="0"/>
          <w:rtl/>
        </w:rPr>
        <w:t xml:space="preserve"> وقد يؤدي انخفاض نصيب الفرد من الإنفاق العام ومعدلات التغطية للخدمات الأساسية في الريف مقارنةً بالحضر إلى استمرار التباينات الاقتصادية.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458" w:name="OLE_LINK417"/>
      <w:bookmarkStart w:id="459" w:name="OLE_LINK418"/>
      <w:bookmarkStart w:id="460" w:name="OLE_LINK419"/>
      <w:bookmarkStart w:id="461" w:name="OLE_LINK420"/>
      <w:bookmarkStart w:id="462" w:name="OLE_LINK421"/>
      <w:bookmarkStart w:id="463" w:name="OLE_LINK432"/>
      <w:bookmarkStart w:id="464" w:name="OLE_LINK433"/>
      <w:bookmarkStart w:id="465" w:name="OLE_LINK434"/>
      <w:bookmarkStart w:id="466" w:name="OLE_LINK435"/>
      <w:bookmarkStart w:id="467" w:name="OLE_LINK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r w:rsidRPr="00FF3102">
        <w:rPr>
          <w:rFonts w:ascii="Simplified Arabic" w:eastAsiaTheme="minorEastAsia" w:hAnsi="Simplified Arabic" w:cs="Simplified Arabic"/>
          <w:bCs/>
          <w:iCs/>
          <w:spacing w:val="0"/>
          <w:rtl/>
        </w:rPr>
        <w:t xml:space="preserve">تتفاقم اتجاهات الفقر والتشغيل المثيرة للقلق بسبب الزيادة التي </w:t>
      </w:r>
      <w:r w:rsidRPr="00FF3102">
        <w:rPr>
          <w:rFonts w:ascii="Simplified Arabic" w:eastAsiaTheme="minorEastAsia" w:hAnsi="Simplified Arabic" w:cs="Simplified Arabic"/>
          <w:bCs/>
          <w:iCs/>
          <w:rtl/>
        </w:rPr>
        <w:t>طرأت</w:t>
      </w:r>
      <w:r w:rsidRPr="00FF3102">
        <w:rPr>
          <w:rFonts w:ascii="Simplified Arabic" w:eastAsiaTheme="minorEastAsia" w:hAnsi="Simplified Arabic" w:cs="Simplified Arabic"/>
          <w:bCs/>
          <w:iCs/>
          <w:spacing w:val="0"/>
          <w:rtl/>
        </w:rPr>
        <w:t xml:space="preserve"> مؤخرا </w:t>
      </w:r>
      <w:r w:rsidRPr="00FF3102">
        <w:rPr>
          <w:rFonts w:ascii="Simplified Arabic" w:eastAsiaTheme="minorEastAsia" w:hAnsi="Simplified Arabic" w:cs="Simplified Arabic"/>
          <w:bCs/>
          <w:iCs/>
          <w:rtl/>
        </w:rPr>
        <w:t>على</w:t>
      </w:r>
      <w:r w:rsidRPr="00FF3102">
        <w:rPr>
          <w:rFonts w:ascii="Simplified Arabic" w:eastAsiaTheme="minorEastAsia" w:hAnsi="Simplified Arabic" w:cs="Simplified Arabic"/>
          <w:bCs/>
          <w:iCs/>
          <w:spacing w:val="0"/>
          <w:rtl/>
        </w:rPr>
        <w:t xml:space="preserve"> معدلات الخصوبة والنمو السكاني.</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ففي عام 2012، بلغ عدد المصريين في الشريحة العمرية 15 – 29 عاما حوالي 7.5 مليون مصري (9.6 في المائة من سكان مصر). وأدى انضمام هذا الجيل إلى القوى العاملة إلى وضع ضغوط هائلة على سوق العمل.</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كما أن نحو 70 في المائة من العاطلين عن العمل تتراوح أعمارهم بين 15 و 29 عاما، و</w:t>
      </w:r>
      <w:r w:rsidRPr="00FF3102">
        <w:rPr>
          <w:rFonts w:ascii="Simplified Arabic" w:eastAsiaTheme="minorEastAsia" w:hAnsi="Simplified Arabic" w:cs="Simplified Arabic"/>
          <w:rtl/>
        </w:rPr>
        <w:t>يتجه</w:t>
      </w:r>
      <w:r w:rsidRPr="00FF3102">
        <w:rPr>
          <w:rFonts w:ascii="Simplified Arabic" w:eastAsiaTheme="minorEastAsia" w:hAnsi="Simplified Arabic" w:cs="Simplified Arabic"/>
          <w:spacing w:val="0"/>
          <w:rtl/>
        </w:rPr>
        <w:t xml:space="preserve"> الشباب والنساء على الأرجح </w:t>
      </w:r>
      <w:r w:rsidRPr="00FF3102">
        <w:rPr>
          <w:rFonts w:ascii="Simplified Arabic" w:eastAsiaTheme="minorEastAsia" w:hAnsi="Simplified Arabic" w:cs="Simplified Arabic"/>
          <w:rtl/>
        </w:rPr>
        <w:t>للعمل</w:t>
      </w:r>
      <w:r w:rsidRPr="00FF3102">
        <w:rPr>
          <w:rFonts w:ascii="Simplified Arabic" w:eastAsiaTheme="minorEastAsia" w:hAnsi="Simplified Arabic" w:cs="Simplified Arabic"/>
          <w:spacing w:val="0"/>
          <w:rtl/>
        </w:rPr>
        <w:t xml:space="preserve"> بالقطاع غير الرسمي حيث لا توجد ساعات عمل منتظمة ولا عقود محررة ولا تأمين اجتماعي</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ورغم انخفاض معدلات النمو السكاني السنوية من 3.6 في المائة عام 1980 إلى 1.9 في المائة عام 2007، فإن هذه المعدلات عاودت الارتفاع إلى أكثر من 2.5 في المائة مما نتج عنه حدوث تضخم ثانٍ في أعداد الشباب. وفي عام 2012، كان هناك أكثر من 11 مليون مصري دون سن الخامسة، وهو جيل يزيد بنحو 50 في المائة عن الزيادة السكانية الأولى. وستضع هذه الزيادة الثانية في أعداد الشباب مزيدا من الضغوط على الخدمات وكذلك على سوق العمل التي تعجز عن استيعاب الأعداد الحالية من الشباب، كما ستزيد من ضرورة قيام مصر بتنفيذ إصلاحات هيكلية وإصلاحات للسياسات واسعة النطاق قبل أن تنضم هذه الموجة الثانية إلى القوى العاملة.</w:t>
      </w:r>
    </w:p>
    <w:p w:rsidR="00810BAC" w:rsidRPr="00FF3102" w:rsidRDefault="00810BAC" w:rsidP="00D23C58">
      <w:pPr>
        <w:pStyle w:val="Head2"/>
        <w:rPr>
          <w:rtl/>
          <w:lang w:bidi="ar-EG"/>
        </w:rPr>
      </w:pPr>
      <w:bookmarkStart w:id="468" w:name="_Toc439184541"/>
      <w:bookmarkEnd w:id="458"/>
      <w:bookmarkEnd w:id="459"/>
      <w:bookmarkEnd w:id="460"/>
      <w:bookmarkEnd w:id="461"/>
      <w:bookmarkEnd w:id="462"/>
      <w:bookmarkEnd w:id="463"/>
      <w:bookmarkEnd w:id="464"/>
      <w:bookmarkEnd w:id="465"/>
      <w:bookmarkEnd w:id="466"/>
      <w:bookmarkEnd w:id="467"/>
      <w:r w:rsidRPr="00FF3102">
        <w:rPr>
          <w:rtl/>
        </w:rPr>
        <w:t>د. التحديات الإنمائية أمام إنهاء الفقر المدقع وتعزيز الرخاء المشترك</w:t>
      </w:r>
      <w:bookmarkEnd w:id="468"/>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469" w:name="OLE_LINK465"/>
      <w:bookmarkStart w:id="470" w:name="OLE_LINK466"/>
      <w:bookmarkStart w:id="471" w:name="OLE_LINK467"/>
      <w:bookmarkStart w:id="472" w:name="OLE_LINK468"/>
      <w:r w:rsidRPr="00FF3102">
        <w:rPr>
          <w:rFonts w:ascii="Simplified Arabic" w:eastAsiaTheme="minorEastAsia" w:hAnsi="Simplified Arabic" w:cs="Simplified Arabic"/>
          <w:bCs/>
          <w:iCs/>
          <w:spacing w:val="0"/>
          <w:rtl/>
        </w:rPr>
        <w:t>حددت الدراسة التشخيصية المنهجية الخاصة بمصر ثلاث أولويات رئيسية للإصلاح لكي ترتكز عليها جهود التنمية وكذلك ثلاثة محركات رئيسية لإنهاء الفقر المدقع وتعزيز الرخاء المشترك في مصر على نحو قابل للاستمرار.</w:t>
      </w:r>
      <w:r w:rsidRPr="00FF3102">
        <w:rPr>
          <w:rFonts w:ascii="Simplified Arabic" w:eastAsiaTheme="minorEastAsia" w:hAnsi="Simplified Arabic" w:cs="Simplified Arabic"/>
          <w:spacing w:val="0"/>
          <w:rtl/>
        </w:rPr>
        <w:t xml:space="preserve"> والأولويات الثلاث الرئيسية هي استقرار الاقتصاد الكلي، وإصلاحات دعم الطاقة، وتحسين نظام الإدارة العامة والحوكمة. والمحركات الثلاثة الرئيسية التي حددتها الدراسة التشخيصية المنهجية الخاصة بمصر هي تنمية القطاع الخاص، والتنمية المكانية، والاحتواء الاجتماعي. وتمثل القضايا البيئية أيضا تحديا طويل الأمد </w:t>
      </w:r>
      <w:r w:rsidRPr="00FF3102">
        <w:rPr>
          <w:rFonts w:ascii="Simplified Arabic" w:eastAsiaTheme="minorEastAsia" w:hAnsi="Simplified Arabic" w:cs="Simplified Arabic"/>
          <w:rtl/>
        </w:rPr>
        <w:t>أمام</w:t>
      </w:r>
      <w:r w:rsidRPr="00FF3102">
        <w:rPr>
          <w:rFonts w:ascii="Simplified Arabic" w:eastAsiaTheme="minorEastAsia" w:hAnsi="Simplified Arabic" w:cs="Simplified Arabic"/>
          <w:spacing w:val="0"/>
          <w:rtl/>
        </w:rPr>
        <w:t xml:space="preserve"> مصر لضمان استدامة اقتصادها.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وتتسق هذه المحركات الثلاثة على نحو جيد مع ثلاث ركائز لإستراتيجية المنطقة التي تركز على تجديد العقد الاجتماعي، وإعادة الإعمار والتعافي، والتعاون الإقليمي.</w:t>
      </w:r>
      <w:r w:rsidRPr="00FF3102">
        <w:rPr>
          <w:rFonts w:ascii="Simplified Arabic" w:eastAsiaTheme="minorEastAsia" w:hAnsi="Simplified Arabic" w:cs="Simplified Arabic"/>
          <w:spacing w:val="0"/>
        </w:rPr>
        <w:t xml:space="preserve"> </w:t>
      </w:r>
    </w:p>
    <w:bookmarkEnd w:id="469"/>
    <w:bookmarkEnd w:id="470"/>
    <w:bookmarkEnd w:id="471"/>
    <w:bookmarkEnd w:id="472"/>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استقرار الاقتصاد الكلي</w:t>
      </w:r>
    </w:p>
    <w:p w:rsidR="00810BAC" w:rsidRPr="00FF3102" w:rsidRDefault="00810BAC" w:rsidP="000C04A8">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473" w:name="OLE_LINK502"/>
      <w:bookmarkStart w:id="474" w:name="OLE_LINK503"/>
      <w:bookmarkStart w:id="475" w:name="OLE_LINK504"/>
      <w:bookmarkStart w:id="476" w:name="OLE_LINK507"/>
      <w:bookmarkStart w:id="477" w:name="OLE_LINK519"/>
      <w:bookmarkStart w:id="478" w:name="OLE_LINK520"/>
      <w:bookmarkStart w:id="479" w:name="OLE_LINK521"/>
      <w:bookmarkStart w:id="480" w:name="OLE_LINK522"/>
      <w:bookmarkStart w:id="481" w:name="OLE_LINK523"/>
      <w:bookmarkStart w:id="482" w:name="OLE_LINK524"/>
      <w:bookmarkStart w:id="483" w:name="OLE_LINK525"/>
      <w:bookmarkStart w:id="484" w:name="OLE_LINK526"/>
      <w:bookmarkStart w:id="485" w:name="OLE_LINK527"/>
      <w:bookmarkStart w:id="486" w:name="OLE_LINK528"/>
      <w:bookmarkStart w:id="487" w:name="OLE_LINK529"/>
      <w:bookmarkStart w:id="488" w:name="OLE_LINK530"/>
      <w:bookmarkStart w:id="489" w:name="OLE_LINK531"/>
      <w:bookmarkStart w:id="490" w:name="OLE_LINK532"/>
      <w:bookmarkStart w:id="491" w:name="OLE_LINK533"/>
      <w:bookmarkStart w:id="492" w:name="OLE_LINK534"/>
      <w:r w:rsidRPr="00FF3102">
        <w:rPr>
          <w:rFonts w:ascii="Simplified Arabic" w:eastAsiaTheme="minorEastAsia" w:hAnsi="Simplified Arabic" w:cs="Simplified Arabic"/>
          <w:bCs/>
          <w:iCs/>
          <w:spacing w:val="-4"/>
          <w:rtl/>
        </w:rPr>
        <w:t>قامت الحكومة المصرية مؤخرا باتخاذ إجراءات مهمة للحد من عجز الموازنة العامة واستعادة استقرار الاقتصاد الكلي، إلا أنه يلزم تنفيذ المزيد من الإصلاحات.</w:t>
      </w:r>
      <w:r w:rsidRPr="00FF3102">
        <w:rPr>
          <w:rFonts w:ascii="Simplified Arabic" w:eastAsiaTheme="minorEastAsia" w:hAnsi="Simplified Arabic" w:cs="Simplified Arabic"/>
          <w:spacing w:val="-4"/>
          <w:rtl/>
        </w:rPr>
        <w:t xml:space="preserve"> وقد عالجت الإجراءات التي اتخذتها الحكومة مؤخراً قضايا الدعم والأجور والضرائب، لكن قضايا المالية العامة ظلت مشكلة مزمنة في مصر. وقام القطاع المصرفي المحلي بتمويل العجز المزمن، مما أدى إلى مزاحمة الاستثمارات الخاصة في أسواق الائتمان.</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w:t>
      </w:r>
      <w:r w:rsidR="000C04A8">
        <w:rPr>
          <w:rFonts w:ascii="Simplified Arabic" w:eastAsiaTheme="minorEastAsia" w:hAnsi="Simplified Arabic" w:cs="Simplified Arabic" w:hint="cs"/>
          <w:spacing w:val="-4"/>
          <w:rtl/>
        </w:rPr>
        <w:t xml:space="preserve">قد </w:t>
      </w:r>
      <w:r w:rsidRPr="00FF3102">
        <w:rPr>
          <w:rFonts w:ascii="Simplified Arabic" w:eastAsiaTheme="minorEastAsia" w:hAnsi="Simplified Arabic" w:cs="Simplified Arabic"/>
          <w:spacing w:val="-4"/>
          <w:rtl/>
        </w:rPr>
        <w:t>أدى الدعم ، ومدفوعات الفائدة المرتفعة على الدين العام، ومضاعفة حجم الرواتب الحكومية</w:t>
      </w:r>
      <w:r w:rsidR="000C04A8">
        <w:rPr>
          <w:rFonts w:ascii="Simplified Arabic" w:eastAsiaTheme="minorEastAsia" w:hAnsi="Simplified Arabic" w:cs="Simplified Arabic" w:hint="cs"/>
          <w:spacing w:val="-4"/>
          <w:rtl/>
        </w:rPr>
        <w:t xml:space="preserve"> مؤخرا</w:t>
      </w:r>
      <w:r w:rsidRPr="00FF3102">
        <w:rPr>
          <w:rFonts w:ascii="Simplified Arabic" w:eastAsiaTheme="minorEastAsia" w:hAnsi="Simplified Arabic" w:cs="Simplified Arabic"/>
          <w:spacing w:val="-4"/>
          <w:rtl/>
        </w:rPr>
        <w:t xml:space="preserve"> في ظل وجود قطاع عام متضخم بالفعل إلى زيادة الضغوط على حيز المالية العامة، وهو ما أثر بالقدر الأكبر في استثمارات القطاع العام وأعمال الصيانة به. وتسبب استمرار الاختناقات المزمنة على جانب العرض في إبقاء الأسعار- لاسيما أسعار المواد الغذائية- مرتفعة، وتأث</w:t>
      </w:r>
      <w:r w:rsidRPr="00FF3102">
        <w:rPr>
          <w:rFonts w:ascii="Simplified Arabic" w:eastAsiaTheme="minorEastAsia" w:hAnsi="Simplified Arabic" w:cs="Simplified Arabic"/>
          <w:spacing w:val="-4"/>
          <w:rtl/>
          <w:lang w:bidi="ar-EG"/>
        </w:rPr>
        <w:t>ُّ</w:t>
      </w:r>
      <w:r w:rsidR="000C04A8">
        <w:rPr>
          <w:rFonts w:ascii="Simplified Arabic" w:eastAsiaTheme="minorEastAsia" w:hAnsi="Simplified Arabic" w:cs="Simplified Arabic"/>
          <w:spacing w:val="-4"/>
          <w:rtl/>
        </w:rPr>
        <w:t>ر الفئات الفقيرة وال</w:t>
      </w:r>
      <w:r w:rsidR="000C04A8">
        <w:rPr>
          <w:rFonts w:ascii="Simplified Arabic" w:eastAsiaTheme="minorEastAsia" w:hAnsi="Simplified Arabic" w:cs="Simplified Arabic" w:hint="cs"/>
          <w:spacing w:val="-4"/>
          <w:rtl/>
        </w:rPr>
        <w:t>أكثر عرضة</w:t>
      </w:r>
      <w:r w:rsidRPr="00FF3102">
        <w:rPr>
          <w:rFonts w:ascii="Simplified Arabic" w:eastAsiaTheme="minorEastAsia" w:hAnsi="Simplified Arabic" w:cs="Simplified Arabic"/>
          <w:spacing w:val="-4"/>
          <w:rtl/>
        </w:rPr>
        <w:t xml:space="preserve"> بذلك أكثر من غيرهم. كما أدى ارتفاع معدل التضخم عن 9 في المائة إلى إضعاف القدرة التنافسية وتثبيط همم مستثمري القطاع الخاص. </w:t>
      </w:r>
    </w:p>
    <w:p w:rsidR="00810BAC" w:rsidRPr="00FF3102" w:rsidRDefault="00810BAC" w:rsidP="000C04A8">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493" w:name="OLE_LINK501"/>
      <w:bookmarkStart w:id="494" w:name="OLE_LINK508"/>
      <w:bookmarkStart w:id="495" w:name="OLE_LINK535"/>
      <w:bookmarkStart w:id="496" w:name="OLE_LINK536"/>
      <w:bookmarkStart w:id="497" w:name="OLE_LINK537"/>
      <w:bookmarkStart w:id="498" w:name="OLE_LINK538"/>
      <w:bookmarkStart w:id="499" w:name="OLE_LINK539"/>
      <w:bookmarkStart w:id="500" w:name="OLE_LINK540"/>
      <w:bookmarkStart w:id="501" w:name="OLE_LINK541"/>
      <w:bookmarkStart w:id="502" w:name="OLE_LINK542"/>
      <w:bookmarkStart w:id="503" w:name="OLE_LINK543"/>
      <w:bookmarkStart w:id="504" w:name="OLE_LINK544"/>
      <w:bookmarkStart w:id="505" w:name="OLE_LINK545"/>
      <w:bookmarkStart w:id="506" w:name="OLE_LINK546"/>
      <w:bookmarkStart w:id="507" w:name="OLE_LINK548"/>
      <w:bookmarkStart w:id="508" w:name="OLE_LINK549"/>
      <w:bookmarkStart w:id="509" w:name="OLE_LINK547"/>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FF3102">
        <w:rPr>
          <w:rFonts w:ascii="Simplified Arabic" w:eastAsiaTheme="minorEastAsia" w:hAnsi="Simplified Arabic" w:cs="Simplified Arabic"/>
          <w:bCs/>
          <w:iCs/>
          <w:spacing w:val="0"/>
          <w:rtl/>
        </w:rPr>
        <w:t xml:space="preserve">طبّقت الحكومة المصرية مجموعة متنوعة من الضرائب الجديدة. </w:t>
      </w:r>
      <w:r w:rsidRPr="00FF3102">
        <w:rPr>
          <w:rFonts w:ascii="Simplified Arabic" w:eastAsiaTheme="minorEastAsia" w:hAnsi="Simplified Arabic" w:cs="Simplified Arabic"/>
          <w:spacing w:val="0"/>
          <w:rtl/>
        </w:rPr>
        <w:t>وأدخلت ضرائب على العقارات وأرباح الأسهم والمكاسب الرأسمالية وكذلك ضرائب على علاوات موظفي الخدمة المدنية (المعفاة في السابق)، كما زادت الضرائب على السجائر ثلاث مرات متتالية خلال السنة المالية 2015. وعدّلت الحكومة أيضا ضريبة الدخل ليكون لها سقف ضريبي موحد بنسبة 22.5 في المائة</w:t>
      </w:r>
      <w:r w:rsidRPr="00FF3102">
        <w:rPr>
          <w:rFonts w:ascii="Simplified Arabic" w:eastAsiaTheme="minorEastAsia" w:hAnsi="Simplified Arabic" w:cs="Simplified Arabic"/>
          <w:rtl/>
        </w:rPr>
        <w:t xml:space="preserve"> والذي يُرجَّح بقاؤه </w:t>
      </w:r>
      <w:r w:rsidRPr="00FF3102">
        <w:rPr>
          <w:rFonts w:ascii="Simplified Arabic" w:eastAsiaTheme="minorEastAsia" w:hAnsi="Simplified Arabic" w:cs="Simplified Arabic"/>
          <w:spacing w:val="0"/>
          <w:rtl/>
        </w:rPr>
        <w:t>دون تغيير في المدى المتوسط. وبالإضافة إلى ذلك، تعتزم الحكومة استبدال ضريبة المبيعات بنظام لضريبة القيمة المضافة يستوفي المعايير الدولية. ويجري العمل على إعداد نظام ضريبي مبسَّط للمشروعات الصغيرة والمتوسطة، وكذلك تحسين نظم الرقابة والال</w:t>
      </w:r>
      <w:r w:rsidR="000C04A8">
        <w:rPr>
          <w:rFonts w:ascii="Simplified Arabic" w:eastAsiaTheme="minorEastAsia" w:hAnsi="Simplified Arabic" w:cs="Simplified Arabic" w:hint="cs"/>
          <w:spacing w:val="0"/>
          <w:rtl/>
        </w:rPr>
        <w:t>تزام</w:t>
      </w:r>
      <w:r w:rsidRPr="00FF3102">
        <w:rPr>
          <w:rFonts w:ascii="Simplified Arabic" w:eastAsiaTheme="minorEastAsia" w:hAnsi="Simplified Arabic" w:cs="Simplified Arabic"/>
          <w:spacing w:val="0"/>
          <w:rtl/>
        </w:rPr>
        <w:t xml:space="preserve"> الضريبي. وتعتزم الحكومة أيضا زيادة تحصيل الإيرادات غير الضريبية بالقيام مؤخرا بسن قانون جديد للتعدين، وبإصدار رخصة الجيل الرابع للهاتف المحمول، وأيضا من خلال تحسين مستوى مراقبة وأداء الهيئات الاقتصادية وجهات القطاع العام. وأدت هذه الإصلاحات إلى قيام مؤسسة فيتش برفع التصنيف السيادي في ديسمبر 2014،</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 xml:space="preserve">وتُصنَّف النظرة المستقبلية لمصر حاليا بأنها </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مستقرة</w:t>
      </w:r>
      <w:r w:rsidRPr="00FF3102">
        <w:rPr>
          <w:rFonts w:ascii="Simplified Arabic" w:eastAsiaTheme="minorEastAsia" w:hAnsi="Simplified Arabic" w:cs="Simplified Arabic"/>
          <w:rtl/>
        </w:rPr>
        <w:t>" من جانب كلٍ من</w:t>
      </w:r>
      <w:r w:rsidRPr="00FF3102">
        <w:rPr>
          <w:rFonts w:ascii="Simplified Arabic" w:eastAsiaTheme="minorEastAsia" w:hAnsi="Simplified Arabic" w:cs="Simplified Arabic"/>
          <w:spacing w:val="0"/>
          <w:rtl/>
        </w:rPr>
        <w:t xml:space="preserve"> مؤسسات فيتش </w:t>
      </w:r>
      <w:r w:rsidRPr="00FF3102">
        <w:rPr>
          <w:rFonts w:ascii="Simplified Arabic" w:eastAsiaTheme="minorEastAsia" w:hAnsi="Simplified Arabic" w:cs="Simplified Arabic"/>
          <w:rtl/>
        </w:rPr>
        <w:t>وستاندارد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آند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بور ومودي.</w:t>
      </w:r>
      <w:r w:rsidRPr="00FF3102">
        <w:rPr>
          <w:rFonts w:ascii="Simplified Arabic" w:eastAsiaTheme="minorEastAsia" w:hAnsi="Simplified Arabic" w:cs="Simplified Arabic"/>
          <w:spacing w:val="0"/>
          <w:rtl/>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510" w:name="OLE_LINK554"/>
      <w:bookmarkStart w:id="511" w:name="OLE_LINK555"/>
      <w:bookmarkStart w:id="512" w:name="OLE_LINK556"/>
      <w:bookmarkStart w:id="513" w:name="OLE_LINK557"/>
      <w:bookmarkStart w:id="514" w:name="OLE_LINK558"/>
      <w:bookmarkStart w:id="515" w:name="OLE_LINK559"/>
      <w:bookmarkStart w:id="516" w:name="OLE_LINK560"/>
      <w:bookmarkStart w:id="517" w:name="OLE_LINK561"/>
      <w:bookmarkStart w:id="518" w:name="OLE_LINK562"/>
      <w:bookmarkStart w:id="519" w:name="OLE_LINK563"/>
      <w:bookmarkStart w:id="520" w:name="OLE_LINK564"/>
      <w:bookmarkStart w:id="521" w:name="OLE_LINK565"/>
      <w:bookmarkStart w:id="522" w:name="OLE_LINK566"/>
      <w:bookmarkStart w:id="523" w:name="OLE_LINK567"/>
      <w:bookmarkStart w:id="524" w:name="OLE_LINK568"/>
      <w:bookmarkStart w:id="525" w:name="OLE_LINK569"/>
      <w:bookmarkStart w:id="526" w:name="OLE_LINK570"/>
      <w:bookmarkStart w:id="527" w:name="OLE_LINK571"/>
      <w:bookmarkStart w:id="528" w:name="OLE_LINK574"/>
      <w:bookmarkStart w:id="529" w:name="OLE_LINK575"/>
      <w:bookmarkStart w:id="530" w:name="OLE_LINK572"/>
      <w:bookmarkStart w:id="531" w:name="OLE_LINK573"/>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r w:rsidRPr="00FF3102">
        <w:rPr>
          <w:rFonts w:ascii="Simplified Arabic" w:eastAsiaTheme="minorEastAsia" w:hAnsi="Simplified Arabic" w:cs="Simplified Arabic"/>
          <w:bCs/>
          <w:iCs/>
          <w:spacing w:val="0"/>
          <w:rtl/>
        </w:rPr>
        <w:t>على جانب الإنفاق، تعتزم الحكومة المصرية الحد من الإنفاق في المجالات التي لا تحظى بأولوية.</w:t>
      </w:r>
      <w:r w:rsidRPr="00FF3102">
        <w:rPr>
          <w:rFonts w:ascii="Simplified Arabic" w:eastAsiaTheme="minorEastAsia" w:hAnsi="Simplified Arabic" w:cs="Simplified Arabic"/>
          <w:spacing w:val="0"/>
          <w:rtl/>
        </w:rPr>
        <w:t xml:space="preserve"> وفرضت الحكومة حدا أقصى لقيمة العلاوات والمكافآت في السنة المالية 2016 كما وضعت إجراءات لمنع الزيادة التلقائية في فاتورة الأجور بفصل المدفوعات المتغيرة عن الراتب الأساسي.</w:t>
      </w:r>
      <w:r w:rsidRPr="00FF3102">
        <w:rPr>
          <w:rFonts w:ascii="Simplified Arabic" w:eastAsiaTheme="minorEastAsia" w:hAnsi="Simplified Arabic" w:cs="Simplified Arabic"/>
          <w:b/>
          <w:spacing w:val="0"/>
        </w:rPr>
        <w:t xml:space="preserve"> </w:t>
      </w:r>
      <w:r w:rsidRPr="00FF3102">
        <w:rPr>
          <w:rFonts w:ascii="Simplified Arabic" w:eastAsiaTheme="minorEastAsia" w:hAnsi="Simplified Arabic" w:cs="Simplified Arabic"/>
          <w:spacing w:val="0"/>
          <w:rtl/>
        </w:rPr>
        <w:t>ونشرت الحكومة "موازنة المواطن" وتعمل على اعتماد ونشر إستراتيجية متوسطة الأجل للدين العام. ويؤدي عدم وجود إجراءات رشيدة لإدارة الاستثمارات العامة والمشتريات إلى تقويض المساهمة المحتملة لهذه الاستثمارات العامة في تحقيق نمو مستدام.</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وتحتاج مصر إلى وضع نظام فاعل وموحد يقوم على تحديد الأولويات وتحليل التكاليف والمنافع واستقرار التمويل والمراعاة الكافية للالتزامات المتعلقة بأعمال الصيانة، بالإضافة إلى وضع إجراءات صارمة للمشتريات.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532" w:name="OLE_LINK576"/>
      <w:bookmarkStart w:id="533" w:name="OLE_LINK577"/>
      <w:bookmarkStart w:id="534" w:name="OLE_LINK578"/>
      <w:bookmarkStart w:id="535" w:name="OLE_LINK579"/>
      <w:bookmarkStart w:id="536" w:name="OLE_LINK580"/>
      <w:bookmarkStart w:id="537" w:name="OLE_LINK581"/>
      <w:bookmarkStart w:id="538" w:name="OLE_LINK582"/>
      <w:bookmarkStart w:id="539" w:name="OLE_LINK583"/>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r w:rsidRPr="00FF3102">
        <w:rPr>
          <w:rFonts w:ascii="Simplified Arabic" w:eastAsiaTheme="minorEastAsia" w:hAnsi="Simplified Arabic" w:cs="Simplified Arabic"/>
          <w:bCs/>
          <w:iCs/>
          <w:spacing w:val="0"/>
          <w:rtl/>
        </w:rPr>
        <w:t>حددت الحكومة المصرية سقفا مستهدفا لعجز الموازنة العامة بنسبة تتراوح بين 8 و 8.5 في المائة من إجمالي الناتج المحلي في المدى المتوسط، وهو ما يُعد هدفا طموحا لكنه ضروري.</w:t>
      </w:r>
      <w:r w:rsidRPr="00FF3102">
        <w:rPr>
          <w:rFonts w:ascii="Simplified Arabic" w:eastAsiaTheme="minorEastAsia" w:hAnsi="Simplified Arabic" w:cs="Simplified Arabic"/>
          <w:spacing w:val="0"/>
          <w:rtl/>
        </w:rPr>
        <w:t xml:space="preserve"> ويواجه تحقيق هذا الهدف عددا من المخاطر من بينها الحاجة إلى تنفيذ إجراءات معيَّنة في الوقت المحدد، مثل نظام ضريبة القيمة المضافة وترشيد دعم الطاقة، واحتمال التأخير في مواصلة تنفيذ إصلاحات المالية العامة الأخرى، وتجاوز التكاليف المحددة في الاستثمارات العامة الكبيرة في البنية التحتية، والهبوط غير المتوقع في أداء المؤسسات المملوكة للدولة. وأخيراً وهو الأهم، يلزم تحسين حوكمة القطاع العام من أجل الحد من خطر</w:t>
      </w:r>
      <w:r w:rsidRPr="00FF3102">
        <w:rPr>
          <w:rFonts w:ascii="Simplified Arabic" w:eastAsiaTheme="minorEastAsia" w:hAnsi="Simplified Arabic" w:cs="Simplified Arabic"/>
          <w:rtl/>
        </w:rPr>
        <w:t xml:space="preserve"> تفاوت</w:t>
      </w:r>
      <w:r w:rsidRPr="00FF3102">
        <w:rPr>
          <w:rFonts w:ascii="Simplified Arabic" w:eastAsiaTheme="minorEastAsia" w:hAnsi="Simplified Arabic" w:cs="Simplified Arabic"/>
          <w:spacing w:val="0"/>
          <w:rtl/>
        </w:rPr>
        <w:t xml:space="preserve"> تنفيذ </w:t>
      </w:r>
      <w:r w:rsidRPr="00FF3102">
        <w:rPr>
          <w:rFonts w:ascii="Simplified Arabic" w:eastAsiaTheme="minorEastAsia" w:hAnsi="Simplified Arabic" w:cs="Simplified Arabic"/>
          <w:rtl/>
        </w:rPr>
        <w:t>ا</w:t>
      </w:r>
      <w:r w:rsidRPr="00FF3102">
        <w:rPr>
          <w:rFonts w:ascii="Simplified Arabic" w:eastAsiaTheme="minorEastAsia" w:hAnsi="Simplified Arabic" w:cs="Simplified Arabic"/>
          <w:spacing w:val="0"/>
          <w:rtl/>
        </w:rPr>
        <w:t>لإجراءات المقترحة.</w:t>
      </w:r>
    </w:p>
    <w:bookmarkEnd w:id="532"/>
    <w:bookmarkEnd w:id="533"/>
    <w:bookmarkEnd w:id="534"/>
    <w:bookmarkEnd w:id="535"/>
    <w:bookmarkEnd w:id="536"/>
    <w:bookmarkEnd w:id="537"/>
    <w:bookmarkEnd w:id="538"/>
    <w:bookmarkEnd w:id="539"/>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إصلاحات دعم الطاقة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540" w:name="OLE_LINK588"/>
      <w:bookmarkStart w:id="541" w:name="OLE_LINK589"/>
      <w:bookmarkStart w:id="542" w:name="OLE_LINK590"/>
      <w:bookmarkStart w:id="543" w:name="OLE_LINK591"/>
      <w:bookmarkStart w:id="544" w:name="OLE_LINK592"/>
      <w:bookmarkStart w:id="545" w:name="OLE_LINK593"/>
      <w:bookmarkStart w:id="546" w:name="OLE_LINK594"/>
      <w:bookmarkStart w:id="547" w:name="OLE_LINK595"/>
      <w:bookmarkStart w:id="548" w:name="OLE_LINK596"/>
      <w:bookmarkStart w:id="549" w:name="OLE_LINK597"/>
      <w:bookmarkStart w:id="550" w:name="OLE_LINK598"/>
      <w:bookmarkStart w:id="551" w:name="OLE_LINK599"/>
      <w:bookmarkStart w:id="552" w:name="OLE_LINK600"/>
      <w:bookmarkStart w:id="553" w:name="OLE_LINK601"/>
      <w:bookmarkStart w:id="554" w:name="OLE_LINK602"/>
      <w:bookmarkStart w:id="555" w:name="OLE_LINK603"/>
      <w:bookmarkStart w:id="556" w:name="OLE_LINK610"/>
      <w:bookmarkStart w:id="557" w:name="OLE_LINK611"/>
      <w:bookmarkStart w:id="558" w:name="OLE_LINK604"/>
      <w:bookmarkStart w:id="559" w:name="OLE_LINK605"/>
      <w:bookmarkStart w:id="560" w:name="OLE_LINK606"/>
      <w:bookmarkStart w:id="561" w:name="OLE_LINK607"/>
      <w:bookmarkStart w:id="562" w:name="OLE_LINK608"/>
      <w:bookmarkStart w:id="563" w:name="OLE_LINK609"/>
      <w:bookmarkStart w:id="564" w:name="OLE_LINK612"/>
      <w:bookmarkStart w:id="565" w:name="OLE_LINK613"/>
      <w:bookmarkStart w:id="566" w:name="OLE_LINK614"/>
      <w:bookmarkStart w:id="567" w:name="OLE_LINK615"/>
      <w:bookmarkStart w:id="568" w:name="OLE_LINK616"/>
      <w:bookmarkStart w:id="569" w:name="OLE_LINK617"/>
      <w:bookmarkStart w:id="570" w:name="OLE_LINK618"/>
      <w:bookmarkStart w:id="571" w:name="OLE_LINK619"/>
      <w:bookmarkStart w:id="572" w:name="OLE_LINK620"/>
      <w:bookmarkStart w:id="573" w:name="OLE_LINK621"/>
      <w:bookmarkStart w:id="574" w:name="OLE_LINK622"/>
      <w:bookmarkStart w:id="575" w:name="OLE_LINK623"/>
      <w:bookmarkStart w:id="576" w:name="OLE_LINK624"/>
      <w:bookmarkStart w:id="577" w:name="OLE_LINK625"/>
      <w:bookmarkStart w:id="578" w:name="OLE_LINK626"/>
      <w:bookmarkStart w:id="579" w:name="OLE_LINK627"/>
      <w:bookmarkStart w:id="580" w:name="OLE_LINK628"/>
      <w:r w:rsidRPr="00FF3102">
        <w:rPr>
          <w:rFonts w:ascii="Simplified Arabic" w:eastAsiaTheme="minorEastAsia" w:hAnsi="Simplified Arabic" w:cs="Simplified Arabic"/>
          <w:bCs/>
          <w:iCs/>
          <w:spacing w:val="-2"/>
          <w:rtl/>
        </w:rPr>
        <w:t xml:space="preserve">يُعد دعم الطاقة الشامل مكلفا للغاية ومصدرا رئيسيا للتشوهات في الاقتصاد المصري. </w:t>
      </w:r>
      <w:r w:rsidRPr="00FF3102">
        <w:rPr>
          <w:rFonts w:ascii="Simplified Arabic" w:eastAsiaTheme="minorEastAsia" w:hAnsi="Simplified Arabic" w:cs="Simplified Arabic"/>
          <w:spacing w:val="-2"/>
          <w:rtl/>
        </w:rPr>
        <w:t>ويتجاوز هذا الدعم، الذي وصل في السنة المالية 2013 إلى نحو 7 في المائة من إجمالي الناتج المحلي وإلى أكثر من 20 في المائة من إنفاق الحكومة المصرية، مجمل الإنفاق على قطاعي الصحة والتعليم كما بلغ مؤخراً ضعف مستوى الاستثمار العام. ويحصل الأربعون في المائة الأعلى دخلا من السكان على أكثر من نصف هذا الدعم وبالتالي فإنه يضر بالعقد الاجتماعي. وبالإضافة إلى ذلك، يصب الدعم في مصلحة الصناعات كثيفة الاستهلاك للطاقة ويُعزى إليه جزئيا تراجع الاستثمارات في مختلف مراحل سلسلة التوريد، بما في ذلك استكشاف وإنتاج النفط والغاز. ويؤدي الدعم أيضا إلى الإفراط في استهلاك الطاقة ووارداتها، وبالتالي أسهم في حدوث نقص الطاقة الحالي والاختناقات على جانب العرض: في الأعوام الثلاثة الماضية، شهدت البلاد لأول مرة منذ عقود تكرار انقطاع التيار الكهربي. وعلاوة على ذلك، فلدعم الطاقة أيضا آثار سلبية غير مباشرة على قطاعي النقل والمياه. إذ أدى انخفاض أسعار البنزين والديزل إلى نمو قطاع النقل البري بسرعة، وهو ما نتج عنه حدوث تلوث شديد للهواء وزحام في المدن الكبرى مثل القاهرة. وفي قطاع المياه، تشجع أسعار الديزل الرخيصة على الإفراط في ضخ المياه الجوفية والري في الزراعة بالإضافة إلى تفضيل زراعة المحاصيل كثيفة الاستخدام للمياه، مما يسهم في استنزافها. وتبلغ نسبة المياه المسحوبة إلى المتوفرة (الموارد المائية المتجددة) حوالي 100 في المائة في مصر. وتعود جميع عواقب دعم الطاقة هذه بالضرر على الجهود الرامية إلى تحقيق نمو مستدام والحد من الفقر.</w:t>
      </w:r>
      <w:r w:rsidRPr="00FF3102">
        <w:rPr>
          <w:rFonts w:ascii="Simplified Arabic" w:eastAsiaTheme="minorEastAsia" w:hAnsi="Simplified Arabic" w:cs="Simplified Arabic"/>
          <w:spacing w:val="-2"/>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581" w:name="OLE_LINK633"/>
      <w:bookmarkStart w:id="582" w:name="OLE_LINK634"/>
      <w:bookmarkStart w:id="583" w:name="OLE_LINK635"/>
      <w:bookmarkStart w:id="584" w:name="OLE_LINK636"/>
      <w:bookmarkStart w:id="585" w:name="OLE_LINK637"/>
      <w:bookmarkStart w:id="586" w:name="OLE_LINK638"/>
      <w:bookmarkStart w:id="587" w:name="OLE_LINK639"/>
      <w:bookmarkStart w:id="588" w:name="OLE_LINK640"/>
      <w:bookmarkStart w:id="589" w:name="OLE_LINK641"/>
      <w:bookmarkStart w:id="590" w:name="OLE_LINK642"/>
      <w:bookmarkStart w:id="591" w:name="OLE_LINK643"/>
      <w:bookmarkStart w:id="592" w:name="OLE_LINK644"/>
      <w:bookmarkStart w:id="593" w:name="OLE_LINK645"/>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r w:rsidRPr="00FF3102">
        <w:rPr>
          <w:rFonts w:ascii="Simplified Arabic" w:eastAsiaTheme="minorEastAsia" w:hAnsi="Simplified Arabic" w:cs="Simplified Arabic"/>
          <w:bCs/>
          <w:iCs/>
          <w:spacing w:val="0"/>
          <w:rtl/>
        </w:rPr>
        <w:t>في عام 2014، اتخذت الحكومة المصرية خطوة أولى شديدة الأهمية طال انتظارها لخفض هذا الدعم.</w:t>
      </w:r>
      <w:r w:rsidRPr="00FF3102">
        <w:rPr>
          <w:rFonts w:ascii="Simplified Arabic" w:eastAsiaTheme="minorEastAsia" w:hAnsi="Simplified Arabic" w:cs="Simplified Arabic"/>
          <w:spacing w:val="0"/>
          <w:rtl/>
        </w:rPr>
        <w:t xml:space="preserve"> وطبقت الحكومة زيادات شاملة للأسعار بنسبة تتراوح من 40 إلى 80 في المائة بالنسبة للوقود الأحفوري و 20 في المائة بالنسبة للكهرباء، كما أعلنت عن تخصيص 27 مليار جنيه مصري من إجمالي وفورات المالية العامة البالغة 50 مليار جنيه مصري (2 في المائة من إجمالي الناتج المحلي المتوقع) لصالح قطاعي الرعاية الصحية والتعليم وبرامج الحماية الاجتماعية، لاسيما توسيع نطاق برنامج التحويلات النقدية. وأدى التراجع الذي طرأ مؤخراً على أسعار النفط العالمية إلى زيادة خفض قيمة الدعم</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حيث هبط إلى نحو 3.3 في المائة من إجمالي الناتج المحلي في السنة المالية 2015 (مقابل 6.6 في المائة في السنة المالية 2013). وأعلنت الحكومة في أغسطس 2015 عن زيادات أخرى في أسعار الوقود والكهرباء بنسبة تتراوح من 3 إلى 65 في المائة خلال السنة المالية 2016 وكذلك عن مسار مدته خمس سنوات لإلغاء دعم الكهرباء.</w:t>
      </w:r>
      <w:r w:rsidR="002A2E25" w:rsidRPr="00FF3102">
        <w:rPr>
          <w:rStyle w:val="FootnoteReference"/>
          <w:rFonts w:ascii="Simplified Arabic" w:eastAsiaTheme="minorEastAsia" w:hAnsi="Simplified Arabic" w:cs="Simplified Arabic"/>
          <w:spacing w:val="0"/>
          <w:rtl/>
        </w:rPr>
        <w:footnoteReference w:id="10"/>
      </w:r>
      <w:r w:rsidRPr="00FF3102">
        <w:rPr>
          <w:rFonts w:ascii="Simplified Arabic" w:eastAsiaTheme="minorEastAsia" w:hAnsi="Simplified Arabic" w:cs="Simplified Arabic"/>
          <w:spacing w:val="0"/>
          <w:rtl/>
        </w:rPr>
        <w:t xml:space="preserve"> ومن الضروري في المرحلة المقبلة مواصلة</w:t>
      </w:r>
      <w:r w:rsidRPr="00FF3102">
        <w:rPr>
          <w:rFonts w:ascii="Simplified Arabic" w:eastAsiaTheme="minorEastAsia" w:hAnsi="Simplified Arabic" w:cs="Simplified Arabic"/>
          <w:rtl/>
        </w:rPr>
        <w:t xml:space="preserve"> إصلاح</w:t>
      </w:r>
      <w:r w:rsidRPr="00FF3102">
        <w:rPr>
          <w:rFonts w:ascii="Simplified Arabic" w:eastAsiaTheme="minorEastAsia" w:hAnsi="Simplified Arabic" w:cs="Simplified Arabic"/>
          <w:spacing w:val="0"/>
          <w:rtl/>
        </w:rPr>
        <w:t xml:space="preserve"> دعم الطاقة لتوفير حيز بالموازنة العامة لرفع مستويات الاستثمارات في قطاعي الرعاية الصحية والتعليم وفي مجال البحث والتطوير كما نُصَّ عليه في الدستور الجديد. وفي الوقت ذاته، فمن أجل تحقيق العدالة وتقبل الجمهور لهذه الإصلاحات، يلزم إنشاء شبكة أمان اجتماعي فاعلة للتعويض عن الأثر الواقع على الفئات الفقيرة والمهمشة من جراء زيادة أسعار الطاقة.</w:t>
      </w:r>
      <w:r w:rsidRPr="00FF3102">
        <w:rPr>
          <w:rFonts w:ascii="Simplified Arabic" w:eastAsiaTheme="minorEastAsia" w:hAnsi="Simplified Arabic" w:cs="Simplified Arabic"/>
          <w:spacing w:val="0"/>
        </w:rPr>
        <w:t xml:space="preserve"> </w:t>
      </w:r>
    </w:p>
    <w:bookmarkEnd w:id="581"/>
    <w:bookmarkEnd w:id="582"/>
    <w:bookmarkEnd w:id="583"/>
    <w:bookmarkEnd w:id="584"/>
    <w:bookmarkEnd w:id="585"/>
    <w:bookmarkEnd w:id="586"/>
    <w:bookmarkEnd w:id="587"/>
    <w:bookmarkEnd w:id="588"/>
    <w:bookmarkEnd w:id="589"/>
    <w:bookmarkEnd w:id="590"/>
    <w:bookmarkEnd w:id="591"/>
    <w:bookmarkEnd w:id="592"/>
    <w:bookmarkEnd w:id="593"/>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تحسين نظام الإدارة العامة والحوكمة</w:t>
      </w:r>
    </w:p>
    <w:p w:rsidR="00810BAC" w:rsidRPr="00FF3102" w:rsidRDefault="00810BAC" w:rsidP="00E43588">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594" w:name="OLE_LINK646"/>
      <w:bookmarkStart w:id="595" w:name="OLE_LINK285"/>
      <w:bookmarkStart w:id="596" w:name="OLE_LINK286"/>
      <w:bookmarkStart w:id="597" w:name="OLE_LINK293"/>
      <w:bookmarkStart w:id="598" w:name="OLE_LINK294"/>
      <w:bookmarkStart w:id="599" w:name="OLE_LINK295"/>
      <w:bookmarkStart w:id="600" w:name="OLE_LINK296"/>
      <w:bookmarkStart w:id="601" w:name="OLE_LINK437"/>
      <w:bookmarkStart w:id="602" w:name="OLE_LINK441"/>
      <w:bookmarkStart w:id="603" w:name="OLE_LINK442"/>
      <w:bookmarkStart w:id="604" w:name="OLE_LINK463"/>
      <w:bookmarkStart w:id="605" w:name="OLE_LINK464"/>
      <w:bookmarkStart w:id="606" w:name="OLE_LINK469"/>
      <w:bookmarkStart w:id="607" w:name="OLE_LINK485"/>
      <w:bookmarkStart w:id="608" w:name="OLE_LINK486"/>
      <w:bookmarkStart w:id="609" w:name="OLE_LINK550"/>
      <w:bookmarkStart w:id="610" w:name="OLE_LINK551"/>
      <w:bookmarkStart w:id="611" w:name="OLE_LINK552"/>
      <w:bookmarkStart w:id="612" w:name="OLE_LINK553"/>
      <w:r w:rsidRPr="00FF3102">
        <w:rPr>
          <w:rFonts w:ascii="Simplified Arabic" w:eastAsiaTheme="minorEastAsia" w:hAnsi="Simplified Arabic" w:cs="Simplified Arabic"/>
          <w:bCs/>
          <w:iCs/>
          <w:spacing w:val="-2"/>
          <w:rtl/>
        </w:rPr>
        <w:t>إن تحسين نظام الإدارة العامة والحوكمة أمر بالغ الأهمية سواء لتقوية علاقة الدولة بمواطنيها أو لتحقيق النمو المستدام والحد من الفقر. وفي حين اتخذت الحكومة المصرية عددا من الخطوات</w:t>
      </w:r>
      <w:r w:rsidR="00E43588">
        <w:rPr>
          <w:rFonts w:ascii="Simplified Arabic" w:eastAsiaTheme="minorEastAsia" w:hAnsi="Simplified Arabic" w:cs="Simplified Arabic" w:hint="cs"/>
          <w:bCs/>
          <w:iCs/>
          <w:spacing w:val="-2"/>
          <w:rtl/>
        </w:rPr>
        <w:t xml:space="preserve"> فى إتجاه </w:t>
      </w:r>
      <w:r w:rsidRPr="00FF3102">
        <w:rPr>
          <w:rFonts w:ascii="Simplified Arabic" w:eastAsiaTheme="minorEastAsia" w:hAnsi="Simplified Arabic" w:cs="Simplified Arabic"/>
          <w:bCs/>
          <w:iCs/>
          <w:spacing w:val="-2"/>
          <w:rtl/>
        </w:rPr>
        <w:t>معالجة ا</w:t>
      </w:r>
      <w:r w:rsidR="00E43588">
        <w:rPr>
          <w:rFonts w:ascii="Simplified Arabic" w:eastAsiaTheme="minorEastAsia" w:hAnsi="Simplified Arabic" w:cs="Simplified Arabic" w:hint="cs"/>
          <w:bCs/>
          <w:iCs/>
          <w:spacing w:val="-2"/>
          <w:rtl/>
        </w:rPr>
        <w:t>لمسائل</w:t>
      </w:r>
      <w:r w:rsidRPr="00FF3102">
        <w:rPr>
          <w:rFonts w:ascii="Simplified Arabic" w:eastAsiaTheme="minorEastAsia" w:hAnsi="Simplified Arabic" w:cs="Simplified Arabic"/>
          <w:bCs/>
          <w:iCs/>
          <w:spacing w:val="-2"/>
          <w:rtl/>
        </w:rPr>
        <w:t xml:space="preserve"> المتعلقة بنظام الإدارة العامة والحوكمة، فإنه مازال هناك الكثير مما </w:t>
      </w:r>
      <w:r w:rsidR="002450BE">
        <w:rPr>
          <w:rFonts w:ascii="Simplified Arabic" w:eastAsiaTheme="minorEastAsia" w:hAnsi="Simplified Arabic" w:cs="Simplified Arabic" w:hint="cs"/>
          <w:bCs/>
          <w:iCs/>
          <w:spacing w:val="-2"/>
          <w:rtl/>
        </w:rPr>
        <w:t>ينبغي</w:t>
      </w:r>
      <w:r w:rsidRPr="00FF3102">
        <w:rPr>
          <w:rFonts w:ascii="Simplified Arabic" w:eastAsiaTheme="minorEastAsia" w:hAnsi="Simplified Arabic" w:cs="Simplified Arabic"/>
          <w:bCs/>
          <w:iCs/>
          <w:spacing w:val="-2"/>
          <w:rtl/>
        </w:rPr>
        <w:t xml:space="preserve"> عمله.</w:t>
      </w:r>
      <w:r w:rsidRPr="00FF3102">
        <w:rPr>
          <w:rFonts w:ascii="Simplified Arabic" w:eastAsiaTheme="minorEastAsia" w:hAnsi="Simplified Arabic" w:cs="Simplified Arabic"/>
          <w:b/>
          <w:i/>
          <w:spacing w:val="-2"/>
        </w:rPr>
        <w:t xml:space="preserve"> </w:t>
      </w:r>
      <w:r w:rsidRPr="00FF3102">
        <w:rPr>
          <w:rFonts w:ascii="Simplified Arabic" w:eastAsiaTheme="minorEastAsia" w:hAnsi="Simplified Arabic" w:cs="Simplified Arabic"/>
          <w:spacing w:val="-2"/>
          <w:rtl/>
        </w:rPr>
        <w:t>وبإجراء إصلاحات تستهدف تعزيز سبل الحصول على المعلومات ومشاركة المواطنين في معظم مجالات نشاط القطاع العام، ستتم تقوية الصلة بين الحكومة والمواطنين وتقليل الشعور بالاغتراب والإحباط من الدولة، ومن ثم تقليل احتمال حدوث اضطرابات أهلية. وبالإضافة إلى ذلك، تظهر الدراسات التجريبية وجود ارتباط كبير بين تحسين نظام الإدارة العامة والحوكمة من ناحية والأداء الاقتصادي من ناحية أخرى، كما يسهم تحسين هذا النظام في فاعلية تقديم سلع النفع العام التي تكون ضرورية لمؤسسات الأعمال والمواطنين على حد سواء.</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وتمثل هذه الإصلاحات أيضا عنصرا أساسيا في إستراتيجية المنطقة بشأن تجديد العقد الاجتماعي الذي يركز على إقامة دولة تتسم بالكفاءة واحتواء كافة فئات المجتمع واقتصاد يقوده القطاع الخاص. ومازال إنجاز الحكومة الرئيسي في هذا المجال هو إقرار قانون ينظم قضايا تعارض المصالح في القطاع العام. ومن المقرر إدخال تعديلات على قانون الخدمة المدنية عقب إجراء الانتخابات البرلمانية. ورغم ذلك، مازالت مصر تواجه تحديات كبيرة لتحسين نظام الإدارة العامة والحوكمة: يتدنى ترتيب مصر على عدد من المؤشرات العالمية لأنظمة الإدارة العامة والحوكمة، مثل الإنفاذ الفاعل للوائح الحكومية (مشروع العدالة العالمية، 2012 ومؤشرات النزاهة العالمية، 2010).</w:t>
      </w:r>
    </w:p>
    <w:p w:rsidR="00810BAC" w:rsidRPr="00FF3102" w:rsidRDefault="00810BAC" w:rsidP="002450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13" w:name="OLE_LINK651"/>
      <w:bookmarkStart w:id="614" w:name="OLE_LINK652"/>
      <w:bookmarkStart w:id="615" w:name="OLE_LINK653"/>
      <w:bookmarkStart w:id="616" w:name="OLE_LINK654"/>
      <w:bookmarkStart w:id="617" w:name="OLE_LINK655"/>
      <w:bookmarkStart w:id="618" w:name="OLE_LINK656"/>
      <w:bookmarkStart w:id="619" w:name="OLE_LINK663"/>
      <w:bookmarkStart w:id="620" w:name="OLE_LINK657"/>
      <w:bookmarkStart w:id="621" w:name="OLE_LINK658"/>
      <w:bookmarkStart w:id="622" w:name="OLE_LINK659"/>
      <w:bookmarkStart w:id="623" w:name="OLE_LINK660"/>
      <w:bookmarkStart w:id="624" w:name="OLE_LINK661"/>
      <w:bookmarkStart w:id="625" w:name="OLE_LINK662"/>
      <w:bookmarkStart w:id="626" w:name="OLE_LINK664"/>
      <w:bookmarkStart w:id="627" w:name="OLE_LINK665"/>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FF3102">
        <w:rPr>
          <w:rFonts w:ascii="Simplified Arabic" w:eastAsiaTheme="minorEastAsia" w:hAnsi="Simplified Arabic" w:cs="Simplified Arabic"/>
          <w:bCs/>
          <w:iCs/>
          <w:spacing w:val="0"/>
          <w:rtl/>
        </w:rPr>
        <w:t>يجب على الحكومة المصرية تدعيم مستوى الشفافية والمساءلة ومعالجة أوجه القصور في أنظمة إنفاذ القوانين واللوائح والسياسات، وضعف الحوافز، وعدم وجود عقوبات مما يصعب على المواطنين ومؤسسات الأعمال فرص الحصول على الخدمات الحكومية أو مساءلة الموظفين العموميين.</w:t>
      </w:r>
      <w:r w:rsidRPr="00FF3102">
        <w:rPr>
          <w:rFonts w:ascii="Simplified Arabic" w:eastAsiaTheme="minorEastAsia" w:hAnsi="Simplified Arabic" w:cs="Simplified Arabic"/>
          <w:spacing w:val="0"/>
          <w:rtl/>
        </w:rPr>
        <w:t xml:space="preserve"> ومن شأن زيادة الشفافية ونشر القوانين واللوائح للجمهور المساعدة في ضمان تنفيذها بإنصاف أكبر، في حين ستؤدي زيادة شفافية الإنفاق العام على خدمات محددة، مثل شبكات الأمان الاجتماعي والتعليم من المستوى المركزي إلى أدنى مستوى محلي، إلى زيادة المساءلة. ويمكن زيادة تأييد المواطنين للإصلاحات من خلال نشر بيانات عن </w:t>
      </w:r>
      <w:r w:rsidRPr="00FF3102">
        <w:rPr>
          <w:rFonts w:ascii="Simplified Arabic" w:eastAsiaTheme="minorEastAsia" w:hAnsi="Simplified Arabic" w:cs="Simplified Arabic"/>
          <w:rtl/>
        </w:rPr>
        <w:t>قضايا</w:t>
      </w:r>
      <w:r w:rsidRPr="00FF3102">
        <w:rPr>
          <w:rFonts w:ascii="Simplified Arabic" w:eastAsiaTheme="minorEastAsia" w:hAnsi="Simplified Arabic" w:cs="Simplified Arabic"/>
          <w:spacing w:val="0"/>
          <w:rtl/>
        </w:rPr>
        <w:t xml:space="preserve"> مثل تأثير التدهور البيئي على الصحة</w:t>
      </w:r>
      <w:r w:rsidRPr="00FF3102">
        <w:rPr>
          <w:rFonts w:ascii="Simplified Arabic" w:eastAsiaTheme="minorEastAsia" w:hAnsi="Simplified Arabic" w:cs="Simplified Arabic"/>
          <w:rtl/>
        </w:rPr>
        <w:t xml:space="preserve"> وتكلفته الاقتصادية، </w:t>
      </w:r>
      <w:r w:rsidRPr="00FF3102">
        <w:rPr>
          <w:rFonts w:ascii="Simplified Arabic" w:eastAsiaTheme="minorEastAsia" w:hAnsi="Simplified Arabic" w:cs="Simplified Arabic"/>
          <w:spacing w:val="0"/>
          <w:rtl/>
        </w:rPr>
        <w:t xml:space="preserve">واستخدام هذه البيانات في إجراء مناقشات ومناظرات بشأن السياسات. وبتطبيق وتدعيم آليات استطلاع آراء المواطنين عن مستوى تقديم الخدمات، سيتم أيضا تعزيز مساءلة الهيئات العامة وموظفي الخدمة المدنية واستعادة ثقة المواطنين في قدرة الدولة على تقديم خدمات ذات جودة. أحد الأمثلة على ذلك، إن غياب التقليد المتبع بتكوين مجالس للآباء في المدارس الحكومية، مقترناً بضعف الرقابة من جانب المشرفين، يعني أن المعلمين في مصر، باعتبارهم من بين موظفي الخدمة المدنية، بمأمن من الفصل أو التأديب بأي وجه آخر على سوء الأداء، وهو ما ينتج عنه تغيُّبهم باستمرار وتدني مستوى </w:t>
      </w:r>
      <w:r w:rsidR="002450BE">
        <w:rPr>
          <w:rFonts w:ascii="Simplified Arabic" w:eastAsiaTheme="minorEastAsia" w:hAnsi="Simplified Arabic" w:cs="Simplified Arabic" w:hint="cs"/>
          <w:spacing w:val="0"/>
          <w:rtl/>
        </w:rPr>
        <w:t>و</w:t>
      </w:r>
      <w:r w:rsidRPr="00FF3102">
        <w:rPr>
          <w:rFonts w:ascii="Simplified Arabic" w:eastAsiaTheme="minorEastAsia" w:hAnsi="Simplified Arabic" w:cs="Simplified Arabic"/>
          <w:spacing w:val="0"/>
          <w:rtl/>
        </w:rPr>
        <w:t xml:space="preserve">وقت التدريس في الفصل وسوء </w:t>
      </w:r>
      <w:r w:rsidR="002450BE">
        <w:rPr>
          <w:rFonts w:ascii="Simplified Arabic" w:eastAsiaTheme="minorEastAsia" w:hAnsi="Simplified Arabic" w:cs="Simplified Arabic" w:hint="cs"/>
          <w:spacing w:val="0"/>
          <w:rtl/>
        </w:rPr>
        <w:t>نتائج</w:t>
      </w:r>
      <w:r w:rsidRPr="00FF3102">
        <w:rPr>
          <w:rFonts w:ascii="Simplified Arabic" w:eastAsiaTheme="minorEastAsia" w:hAnsi="Simplified Arabic" w:cs="Simplified Arabic"/>
          <w:spacing w:val="0"/>
          <w:rtl/>
        </w:rPr>
        <w:t xml:space="preserve"> تعلُّم الطلاب.</w:t>
      </w:r>
      <w:r w:rsidR="002A2E25" w:rsidRPr="00FF3102">
        <w:rPr>
          <w:rStyle w:val="FootnoteReference"/>
          <w:rFonts w:ascii="Simplified Arabic" w:eastAsiaTheme="minorEastAsia" w:hAnsi="Simplified Arabic" w:cs="Simplified Arabic"/>
          <w:spacing w:val="0"/>
          <w:rtl/>
        </w:rPr>
        <w:footnoteReference w:id="11"/>
      </w:r>
      <w:r w:rsidR="002A2E25" w:rsidRPr="00FF3102">
        <w:rPr>
          <w:rFonts w:ascii="Simplified Arabic" w:eastAsiaTheme="minorEastAsia" w:hAnsi="Simplified Arabic" w:cs="Simplified Arabic"/>
          <w:spacing w:val="0"/>
          <w:rtl/>
        </w:rPr>
        <w:t xml:space="preserve"> </w:t>
      </w:r>
    </w:p>
    <w:p w:rsidR="00810BAC" w:rsidRPr="00FF3102" w:rsidRDefault="00810BAC" w:rsidP="002450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bookmarkStart w:id="628" w:name="OLE_LINK666"/>
      <w:bookmarkStart w:id="629" w:name="OLE_LINK667"/>
      <w:bookmarkStart w:id="630" w:name="OLE_LINK668"/>
      <w:bookmarkStart w:id="631" w:name="OLE_LINK669"/>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FF3102">
        <w:rPr>
          <w:rFonts w:ascii="Simplified Arabic" w:eastAsiaTheme="minorEastAsia" w:hAnsi="Simplified Arabic" w:cs="Simplified Arabic"/>
          <w:bCs/>
          <w:iCs/>
          <w:spacing w:val="0"/>
          <w:rtl/>
        </w:rPr>
        <w:t>يُعد حجم القطاع العام في مصر كبيراً، وبالتالي فإن هناك أهمية خاصة لمعالجة القضايا المتعلقة بتحسين نظام الإدارة العامة والحوكمة.</w:t>
      </w:r>
      <w:r w:rsidRPr="00FF3102">
        <w:rPr>
          <w:rFonts w:ascii="Simplified Arabic" w:eastAsiaTheme="minorEastAsia" w:hAnsi="Simplified Arabic" w:cs="Simplified Arabic"/>
          <w:spacing w:val="0"/>
          <w:rtl/>
        </w:rPr>
        <w:t xml:space="preserve"> وفي عام 2013/2014، شكل القطاع العام 39 في المائة من إجمالي الناتج المحلي، ورغم تطبيق برنامج للخصخصة في السنوات العشر الماضية، فإن المؤسسات المملوكة للدولة لا تزال تسيطر على حصة رئيسية من أصول قطاعي البنوك والتأمينات. ورغم الدور الكبير للقطاع العام، فإنه لم يستطع القيام بشيئين تمس حاجة المصريين إليهما، وهما توفير فرص عمل جيدة وخدمات عامة ذات جودة. ، ف</w:t>
      </w:r>
      <w:r w:rsidR="002450BE">
        <w:rPr>
          <w:rFonts w:ascii="Simplified Arabic" w:eastAsiaTheme="minorEastAsia" w:hAnsi="Simplified Arabic" w:cs="Simplified Arabic" w:hint="cs"/>
          <w:spacing w:val="0"/>
          <w:rtl/>
        </w:rPr>
        <w:t xml:space="preserve">إنه </w:t>
      </w:r>
      <w:r w:rsidRPr="00FF3102">
        <w:rPr>
          <w:rFonts w:ascii="Simplified Arabic" w:eastAsiaTheme="minorEastAsia" w:hAnsi="Simplified Arabic" w:cs="Simplified Arabic"/>
          <w:spacing w:val="0"/>
          <w:rtl/>
        </w:rPr>
        <w:t xml:space="preserve">من </w:t>
      </w:r>
      <w:r w:rsidR="002450BE">
        <w:rPr>
          <w:rFonts w:ascii="Simplified Arabic" w:eastAsiaTheme="minorEastAsia" w:hAnsi="Simplified Arabic" w:cs="Simplified Arabic" w:hint="cs"/>
          <w:spacing w:val="0"/>
          <w:rtl/>
        </w:rPr>
        <w:t>الأهمية بما كان</w:t>
      </w:r>
      <w:r w:rsidRPr="00FF3102">
        <w:rPr>
          <w:rFonts w:ascii="Simplified Arabic" w:eastAsiaTheme="minorEastAsia" w:hAnsi="Simplified Arabic" w:cs="Simplified Arabic"/>
          <w:spacing w:val="0"/>
          <w:rtl/>
        </w:rPr>
        <w:t xml:space="preserve"> إجراء إصلاحات لنظام الإدارة العامة والحوكمة</w:t>
      </w:r>
      <w:r w:rsidR="002450BE">
        <w:rPr>
          <w:rFonts w:ascii="Simplified Arabic" w:eastAsiaTheme="minorEastAsia" w:hAnsi="Simplified Arabic" w:cs="Simplified Arabic" w:hint="cs"/>
          <w:spacing w:val="0"/>
          <w:rtl/>
        </w:rPr>
        <w:t xml:space="preserve">، </w:t>
      </w:r>
      <w:r w:rsidR="002450BE" w:rsidRPr="00FF3102">
        <w:rPr>
          <w:rFonts w:ascii="Simplified Arabic" w:eastAsiaTheme="minorEastAsia" w:hAnsi="Simplified Arabic" w:cs="Simplified Arabic"/>
          <w:spacing w:val="0"/>
          <w:rtl/>
        </w:rPr>
        <w:t>وتلبية مطالب المواطنين المصريين</w:t>
      </w:r>
      <w:r w:rsidR="002450BE">
        <w:rPr>
          <w:rFonts w:ascii="Simplified Arabic" w:eastAsiaTheme="minorEastAsia" w:hAnsi="Simplified Arabic" w:cs="Simplified Arabic" w:hint="cs"/>
          <w:spacing w:val="0"/>
          <w:rtl/>
        </w:rPr>
        <w:t>.</w:t>
      </w:r>
    </w:p>
    <w:p w:rsidR="00810BAC" w:rsidRPr="00FF3102" w:rsidRDefault="00810BAC" w:rsidP="002A2E25">
      <w:pPr>
        <w:pStyle w:val="Heading4"/>
        <w:bidi/>
        <w:jc w:val="center"/>
        <w:rPr>
          <w:rFonts w:ascii="Simplified Arabic" w:eastAsiaTheme="minorEastAsia" w:hAnsi="Simplified Arabic" w:cs="Simplified Arabic"/>
          <w:b w:val="0"/>
          <w:sz w:val="24"/>
          <w:szCs w:val="24"/>
          <w:rtl/>
          <w:lang w:bidi="ar-EG"/>
        </w:rPr>
      </w:pPr>
      <w:bookmarkStart w:id="632" w:name="OLE_LINK670"/>
      <w:bookmarkStart w:id="633" w:name="OLE_LINK671"/>
      <w:bookmarkStart w:id="634" w:name="OLE_LINK672"/>
      <w:bookmarkStart w:id="635" w:name="OLE_LINK673"/>
      <w:bookmarkEnd w:id="628"/>
      <w:bookmarkEnd w:id="629"/>
      <w:bookmarkEnd w:id="630"/>
      <w:bookmarkEnd w:id="631"/>
      <w:r w:rsidRPr="00FF3102">
        <w:rPr>
          <w:rFonts w:ascii="Simplified Arabic" w:eastAsiaTheme="minorEastAsia" w:hAnsi="Simplified Arabic" w:cs="Simplified Arabic"/>
          <w:b w:val="0"/>
          <w:iCs/>
          <w:sz w:val="24"/>
          <w:szCs w:val="24"/>
          <w:rtl/>
        </w:rPr>
        <w:t>المحرك الرئيسي الأول في الدراسة التشخيصية المنهجية الخاصة بمصر:</w:t>
      </w:r>
      <w:r w:rsidRPr="00FF3102">
        <w:rPr>
          <w:rFonts w:ascii="Simplified Arabic" w:eastAsiaTheme="minorEastAsia" w:hAnsi="Simplified Arabic" w:cs="Simplified Arabic"/>
          <w:b w:val="0"/>
          <w:sz w:val="24"/>
          <w:szCs w:val="24"/>
          <w:rtl/>
        </w:rPr>
        <w:t xml:space="preserve"> </w:t>
      </w:r>
      <w:r w:rsidRPr="00FF3102">
        <w:rPr>
          <w:rFonts w:ascii="Simplified Arabic" w:eastAsiaTheme="minorEastAsia" w:hAnsi="Simplified Arabic" w:cs="Simplified Arabic"/>
          <w:b w:val="0"/>
          <w:iCs/>
          <w:sz w:val="24"/>
          <w:szCs w:val="24"/>
          <w:rtl/>
        </w:rPr>
        <w:t>تعزيز خلق فرص العمل بقيادة القطاع الخاص</w:t>
      </w:r>
    </w:p>
    <w:p w:rsidR="00810BAC" w:rsidRPr="00FF3102" w:rsidRDefault="00810BAC" w:rsidP="001E71BE">
      <w:pPr>
        <w:pStyle w:val="MainParanoChapter"/>
        <w:numPr>
          <w:ilvl w:val="0"/>
          <w:numId w:val="22"/>
        </w:numPr>
        <w:tabs>
          <w:tab w:val="clear" w:pos="1440"/>
          <w:tab w:val="num" w:pos="0"/>
          <w:tab w:val="left" w:pos="540"/>
        </w:tabs>
        <w:bidi/>
        <w:spacing w:after="0"/>
        <w:ind w:left="0" w:firstLine="0"/>
        <w:rPr>
          <w:rStyle w:val="tw4winMark"/>
          <w:rFonts w:ascii="Simplified Arabic" w:eastAsiaTheme="minorEastAsia" w:hAnsi="Simplified Arabic" w:cs="Simplified Arabic"/>
          <w:vanish w:val="0"/>
          <w:color w:val="auto"/>
          <w:vertAlign w:val="baseline"/>
        </w:rPr>
      </w:pPr>
      <w:bookmarkStart w:id="636" w:name="OLE_LINK680"/>
      <w:bookmarkStart w:id="637" w:name="OLE_LINK681"/>
      <w:bookmarkStart w:id="638" w:name="OLE_LINK682"/>
      <w:bookmarkStart w:id="639" w:name="OLE_LINK683"/>
      <w:bookmarkStart w:id="640" w:name="OLE_LINK684"/>
      <w:bookmarkStart w:id="641" w:name="OLE_LINK685"/>
      <w:bookmarkStart w:id="642" w:name="OLE_LINK686"/>
      <w:bookmarkStart w:id="643" w:name="OLE_LINK687"/>
      <w:bookmarkEnd w:id="632"/>
      <w:bookmarkEnd w:id="633"/>
      <w:bookmarkEnd w:id="634"/>
      <w:bookmarkEnd w:id="635"/>
      <w:r w:rsidRPr="00FF3102">
        <w:rPr>
          <w:rFonts w:ascii="Simplified Arabic" w:eastAsiaTheme="minorEastAsia" w:hAnsi="Simplified Arabic" w:cs="Simplified Arabic"/>
          <w:bCs/>
          <w:iCs/>
          <w:spacing w:val="-4"/>
          <w:rtl/>
        </w:rPr>
        <w:t xml:space="preserve">رغم الجهود المبذولة على مدار السنوات الماضية لتحسين البيئة التنظيمية وتهيئة مناخ أكثر جذبا للقطاع الخاص، فقد توقف نمو خلق فرص العمل في القطاع الخاص الرسمي. </w:t>
      </w:r>
      <w:r w:rsidRPr="00FF3102">
        <w:rPr>
          <w:rFonts w:ascii="Simplified Arabic" w:eastAsiaTheme="minorEastAsia" w:hAnsi="Simplified Arabic" w:cs="Simplified Arabic"/>
          <w:spacing w:val="-4"/>
          <w:rtl/>
        </w:rPr>
        <w:t>وفي الفترة بين عامي 1998 و 2012، لم تتغيّر نسبة الأيدي العاملة في شركات القطاع الخاص الرسمي، في حين قلت هذه النسبة في القطاع العام، وزادت من نحو 30 إلى 40 في المائة بالقطاع غير الرسمي، لاسيما في المشروعات متناهية الصغر حيث تكون الأجور منخفضة وتقل المزايا أو تنعدم، ولا تتوفر فرص عمل مستقرة. وكان هذا الوضع شديد الصعوبة خاصةً بالنسبة للنساء: ونظراً لصعوبات العمل في القطاع غير الرسمي، فقد خرج كثير من النساء المتعلمات من القوى العاملة تماماً، كما تقل نسبة النساء في الشريحة العمرية 15 - 64 عاما اللائي يعملن في القطاع الخاص الرسمي عن 2 في المائة. وفي ظل الارتفاع الكبير الذي طرأ مؤخراً على معدلات النمو السكاني (الفقرة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20)، فإن ضخامة الجيل التالي من الشباب (</w:t>
      </w:r>
      <w:r w:rsidRPr="00FF3102">
        <w:rPr>
          <w:rFonts w:ascii="Simplified Arabic" w:eastAsiaTheme="minorEastAsia" w:hAnsi="Simplified Arabic" w:cs="Simplified Arabic"/>
        </w:rPr>
        <w:t>echo generation</w:t>
      </w:r>
      <w:r w:rsidRPr="00FF3102">
        <w:rPr>
          <w:rFonts w:ascii="Simplified Arabic" w:eastAsiaTheme="minorEastAsia" w:hAnsi="Simplified Arabic" w:cs="Simplified Arabic"/>
          <w:spacing w:val="-4"/>
          <w:rtl/>
        </w:rPr>
        <w:t>) ستضع ضغوطا متزايدة على سوق العمل في مصر، بل سيكون الطلب على فرص العمل أعلى بكثير عما هو عليه الآن.</w:t>
      </w:r>
      <w:bookmarkEnd w:id="636"/>
      <w:bookmarkEnd w:id="637"/>
      <w:bookmarkEnd w:id="638"/>
      <w:bookmarkEnd w:id="639"/>
      <w:bookmarkEnd w:id="640"/>
      <w:bookmarkEnd w:id="641"/>
      <w:bookmarkEnd w:id="642"/>
      <w:bookmarkEnd w:id="643"/>
    </w:p>
    <w:p w:rsidR="00810BAC" w:rsidRPr="00FF3102" w:rsidRDefault="00810BAC" w:rsidP="00810BAC">
      <w:pPr>
        <w:bidi/>
        <w:rPr>
          <w:rFonts w:ascii="Simplified Arabic" w:hAnsi="Simplified Arabic" w:cs="Simplified Arabic"/>
          <w:highlight w:val="yellow"/>
          <w:rtl/>
        </w:rPr>
      </w:pP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44" w:name="OLE_LINK36"/>
      <w:bookmarkStart w:id="645" w:name="OLE_LINK37"/>
      <w:bookmarkStart w:id="646" w:name="OLE_LINK38"/>
      <w:bookmarkStart w:id="647" w:name="OLE_LINK32"/>
      <w:bookmarkStart w:id="648" w:name="OLE_LINK33"/>
      <w:bookmarkStart w:id="649" w:name="OLE_LINK7"/>
      <w:bookmarkStart w:id="650" w:name="OLE_LINK8"/>
      <w:bookmarkStart w:id="651" w:name="_Hlk436991031"/>
      <w:bookmarkStart w:id="652" w:name="OLE_LINK9"/>
      <w:r w:rsidRPr="00FF3102">
        <w:rPr>
          <w:rFonts w:ascii="Simplified Arabic" w:eastAsiaTheme="minorEastAsia" w:hAnsi="Simplified Arabic" w:cs="Simplified Arabic"/>
          <w:bCs/>
          <w:iCs/>
          <w:spacing w:val="0"/>
          <w:rtl/>
        </w:rPr>
        <w:t>يفتقر القطاع الخاص في مصر إلى الديناميكية:</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bCs/>
          <w:iCs/>
          <w:spacing w:val="0"/>
          <w:rtl/>
        </w:rPr>
        <w:t>فمن حيث زيادة معدلات الإنتاجية ومعدلات دخول الشركات الجديدة ونمو الشركات القائمة (لاسيما الشركات المتوسطة والكبيرة)، فإن مصر تتأخر كثيرا عن مثيلاتها من البلدان.</w:t>
      </w:r>
      <w:r w:rsidRPr="00FF3102">
        <w:rPr>
          <w:rFonts w:ascii="Simplified Arabic" w:eastAsiaTheme="minorEastAsia" w:hAnsi="Simplified Arabic" w:cs="Simplified Arabic"/>
          <w:spacing w:val="0"/>
          <w:rtl/>
        </w:rPr>
        <w:t xml:space="preserve"> وقد حالت تشوهات السياسات وعدم كفاءة الحوافز دون وجود منافسة فاعلة.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كما أن الامتيازات في تملُّك الأراضي (ومن ثم أخذ قروض من البنوك بضمان هذه الأراضي) وغيرها من الموارد، ووجود نظام معقد وتقديري لإصدار التراخيص والتصاريح</w:t>
      </w:r>
      <w:r w:rsidRPr="00FF3102">
        <w:rPr>
          <w:rFonts w:ascii="Simplified Arabic" w:eastAsiaTheme="minorEastAsia" w:hAnsi="Simplified Arabic" w:cs="Simplified Arabic"/>
          <w:rtl/>
        </w:rPr>
        <w:t xml:space="preserve"> يحابي</w:t>
      </w:r>
      <w:r w:rsidRPr="00FF3102">
        <w:rPr>
          <w:rFonts w:ascii="Simplified Arabic" w:eastAsiaTheme="minorEastAsia" w:hAnsi="Simplified Arabic" w:cs="Simplified Arabic"/>
          <w:spacing w:val="0"/>
          <w:rtl/>
        </w:rPr>
        <w:t xml:space="preserve"> رجال الأعمال ممن يتمتعون بارتباطات مع أجهزة الدولة، ودعم الطاقة الكبير الذي شجَّع الاستثمارات كثيفة الاستخدام لرأس المال </w:t>
      </w:r>
      <w:r w:rsidRPr="00FF3102">
        <w:rPr>
          <w:rFonts w:ascii="Simplified Arabic" w:eastAsiaTheme="minorEastAsia" w:hAnsi="Simplified Arabic" w:cs="Simplified Arabic"/>
          <w:rtl/>
        </w:rPr>
        <w:t>قد أسهمت جميعها</w:t>
      </w:r>
      <w:r w:rsidRPr="00FF3102">
        <w:rPr>
          <w:rFonts w:ascii="Simplified Arabic" w:eastAsiaTheme="minorEastAsia" w:hAnsi="Simplified Arabic" w:cs="Simplified Arabic"/>
          <w:spacing w:val="0"/>
          <w:rtl/>
        </w:rPr>
        <w:t xml:space="preserve"> في استمرار الهياكل السوقية الاحتكارية في كثير من القطاعات،</w:t>
      </w:r>
      <w:r w:rsidRPr="00FF3102">
        <w:rPr>
          <w:rFonts w:ascii="Simplified Arabic" w:eastAsiaTheme="minorEastAsia" w:hAnsi="Simplified Arabic" w:cs="Simplified Arabic"/>
          <w:rtl/>
        </w:rPr>
        <w:t xml:space="preserve"> مع </w:t>
      </w:r>
      <w:r w:rsidRPr="00FF3102">
        <w:rPr>
          <w:rFonts w:ascii="Simplified Arabic" w:eastAsiaTheme="minorEastAsia" w:hAnsi="Simplified Arabic" w:cs="Simplified Arabic"/>
          <w:spacing w:val="0"/>
          <w:rtl/>
        </w:rPr>
        <w:t>محدودية قدرة جهاز حماية المنافسة ومنع الممارسات الاحتكارية على معالجة هذه القضايا.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rtl/>
        </w:rPr>
        <w:t xml:space="preserve">ولا شك أن وجود قطاع خاص أقوى يستطيع توفير الوظائف والفرص للشباب </w:t>
      </w:r>
      <w:r w:rsidRPr="00FF3102">
        <w:rPr>
          <w:rFonts w:ascii="Simplified Arabic" w:eastAsiaTheme="minorEastAsia" w:hAnsi="Simplified Arabic" w:cs="Simplified Arabic"/>
          <w:spacing w:val="0"/>
          <w:rtl/>
        </w:rPr>
        <w:t>في منطقة الشرق الأوسط وشمال أفريقيا</w:t>
      </w:r>
      <w:r w:rsidRPr="00FF3102">
        <w:rPr>
          <w:rFonts w:ascii="Simplified Arabic" w:eastAsiaTheme="minorEastAsia" w:hAnsi="Simplified Arabic" w:cs="Simplified Arabic"/>
          <w:rtl/>
        </w:rPr>
        <w:t xml:space="preserve"> سيؤدي إلى تحسين </w:t>
      </w:r>
      <w:r w:rsidRPr="00FF3102">
        <w:rPr>
          <w:rFonts w:ascii="Simplified Arabic" w:eastAsiaTheme="minorEastAsia" w:hAnsi="Simplified Arabic" w:cs="Simplified Arabic"/>
          <w:spacing w:val="0"/>
          <w:rtl/>
        </w:rPr>
        <w:t xml:space="preserve">سبل كسب الرزق/الفرص الاقتصادية وإرساء الأسس </w:t>
      </w:r>
      <w:r w:rsidRPr="00FF3102">
        <w:rPr>
          <w:rFonts w:ascii="Simplified Arabic" w:eastAsiaTheme="minorEastAsia" w:hAnsi="Simplified Arabic" w:cs="Simplified Arabic"/>
          <w:rtl/>
        </w:rPr>
        <w:t>لاستدامة التعافي الاقتصادي.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53" w:name="OLE_LINK42"/>
      <w:bookmarkStart w:id="654" w:name="OLE_LINK43"/>
      <w:bookmarkStart w:id="655" w:name="OLE_LINK44"/>
      <w:bookmarkStart w:id="656" w:name="OLE_LINK45"/>
      <w:bookmarkStart w:id="657" w:name="OLE_LINK46"/>
      <w:bookmarkStart w:id="658" w:name="OLE_LINK47"/>
      <w:bookmarkStart w:id="659" w:name="OLE_LINK48"/>
      <w:bookmarkStart w:id="660" w:name="OLE_LINK49"/>
      <w:bookmarkStart w:id="661" w:name="OLE_LINK50"/>
      <w:bookmarkStart w:id="662" w:name="OLE_LINK51"/>
      <w:bookmarkStart w:id="663" w:name="OLE_LINK52"/>
      <w:bookmarkStart w:id="664" w:name="OLE_LINK53"/>
      <w:bookmarkStart w:id="665" w:name="OLE_LINK54"/>
      <w:bookmarkStart w:id="666" w:name="OLE_LINK55"/>
      <w:bookmarkStart w:id="667" w:name="OLE_LINK56"/>
      <w:bookmarkStart w:id="668" w:name="OLE_LINK57"/>
      <w:bookmarkStart w:id="669" w:name="OLE_LINK58"/>
      <w:bookmarkStart w:id="670" w:name="OLE_LINK59"/>
      <w:bookmarkEnd w:id="644"/>
      <w:bookmarkEnd w:id="645"/>
      <w:bookmarkEnd w:id="646"/>
      <w:bookmarkEnd w:id="647"/>
      <w:bookmarkEnd w:id="648"/>
      <w:bookmarkEnd w:id="649"/>
      <w:bookmarkEnd w:id="650"/>
      <w:bookmarkEnd w:id="651"/>
      <w:bookmarkEnd w:id="652"/>
      <w:r w:rsidRPr="00FF3102">
        <w:rPr>
          <w:rFonts w:ascii="Simplified Arabic" w:eastAsiaTheme="minorEastAsia" w:hAnsi="Simplified Arabic" w:cs="Simplified Arabic"/>
          <w:bCs/>
          <w:iCs/>
          <w:spacing w:val="0"/>
          <w:rtl/>
        </w:rPr>
        <w:t>طبقت الحكومة المصرية إصلاحات تنظيمية لتحسين بيئة ممارسة الأعمال الخاصة، لكن تفاوت التنفيذ وغياب تكافؤ الفرص أمام شركات القطاع الخاص يسهمان في تهيئة مناخ غير مواتٍ للاستثمار.</w:t>
      </w:r>
      <w:r w:rsidRPr="00FF3102">
        <w:rPr>
          <w:rFonts w:ascii="Simplified Arabic" w:eastAsiaTheme="minorEastAsia" w:hAnsi="Simplified Arabic" w:cs="Simplified Arabic"/>
          <w:spacing w:val="0"/>
          <w:rtl/>
        </w:rPr>
        <w:t xml:space="preserve"> وقد قامت الحكومة </w:t>
      </w:r>
      <w:r w:rsidRPr="00FF3102">
        <w:rPr>
          <w:rFonts w:ascii="Simplified Arabic" w:eastAsiaTheme="minorEastAsia" w:hAnsi="Simplified Arabic" w:cs="Simplified Arabic"/>
          <w:rtl/>
        </w:rPr>
        <w:t>بالعديد</w:t>
      </w:r>
      <w:r w:rsidRPr="00FF3102">
        <w:rPr>
          <w:rFonts w:ascii="Simplified Arabic" w:eastAsiaTheme="minorEastAsia" w:hAnsi="Simplified Arabic" w:cs="Simplified Arabic"/>
          <w:spacing w:val="0"/>
          <w:rtl/>
        </w:rPr>
        <w:t xml:space="preserve"> من الإصلاحات</w:t>
      </w:r>
      <w:r w:rsidRPr="00FF3102">
        <w:rPr>
          <w:rFonts w:ascii="Simplified Arabic" w:eastAsiaTheme="minorEastAsia" w:hAnsi="Simplified Arabic" w:cs="Simplified Arabic"/>
          <w:rtl/>
        </w:rPr>
        <w:t xml:space="preserve"> لتبسيط</w:t>
      </w:r>
      <w:r w:rsidRPr="00FF3102">
        <w:rPr>
          <w:rFonts w:ascii="Simplified Arabic" w:eastAsiaTheme="minorEastAsia" w:hAnsi="Simplified Arabic" w:cs="Simplified Arabic"/>
          <w:spacing w:val="0"/>
          <w:rtl/>
        </w:rPr>
        <w:t xml:space="preserve"> إجراءات تأسيس الشركات وبدء نشاط تجاري وتقليص التكاليف المصاحبة من الناحية النظرية، لكن تنفيذ هذه الإصلاحات مازال مشكلة في الواقع العملي. وتختلف فترات الانتظار اللازمة لاستخراج تراخيص التشغيل ومزاولة العمل، لاسيما التراخيص الصناعية، وتصاريح البناء وإنهاء إجراءات التخليص الجمركي اختلافا كبيرا فيما بين الشركات العاملة في الصناعة ومن مدينة لأخرى. وبالإضافة إلى ذلك، فإن 85 في المائة من الشركات في مصر تعتبر الفساد مشكلة خطيرة. وتعوق هذه العوامل دخول شركات جديدة ونمو الشركات القائمة، كما أنها حالت دون قيام القطاع الخاص الرسمي بتوفير فرص عمل منتجة للأيدي العاملة الآخذة في النمو.</w:t>
      </w:r>
      <w:r w:rsidRPr="00FF3102">
        <w:rPr>
          <w:rFonts w:ascii="Simplified Arabic" w:eastAsiaTheme="minorEastAsia" w:hAnsi="Simplified Arabic" w:cs="Simplified Arabic"/>
          <w:spacing w:val="0"/>
        </w:rPr>
        <w:t xml:space="preserve"> </w:t>
      </w:r>
    </w:p>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إن أولوية السياسات بالنسبة لمصر هي إطلاق العنان لإمكانات القطاع الخاص كي يتمكن من توفير مجموعة كبيرة ومتنوعة من الوظائف، وإزالة القيود التنظيمية التي تحول دون مشاركة القطاع الخاص في قطاعات البنية التحتية والقطاعات الاجتماعية الأساسية.</w:t>
      </w:r>
      <w:r w:rsidRPr="00FF3102">
        <w:rPr>
          <w:rFonts w:ascii="Simplified Arabic" w:eastAsiaTheme="minorEastAsia" w:hAnsi="Simplified Arabic" w:cs="Simplified Arabic"/>
          <w:spacing w:val="0"/>
          <w:rtl/>
        </w:rPr>
        <w:t xml:space="preserve"> وهناك مجال </w:t>
      </w:r>
      <w:r w:rsidRPr="00FF3102">
        <w:rPr>
          <w:rFonts w:ascii="Simplified Arabic" w:eastAsiaTheme="minorEastAsia" w:hAnsi="Simplified Arabic" w:cs="Simplified Arabic"/>
          <w:rtl/>
        </w:rPr>
        <w:t>رحب</w:t>
      </w:r>
      <w:r w:rsidRPr="00FF3102">
        <w:rPr>
          <w:rFonts w:ascii="Simplified Arabic" w:eastAsiaTheme="minorEastAsia" w:hAnsi="Simplified Arabic" w:cs="Simplified Arabic"/>
          <w:spacing w:val="0"/>
          <w:rtl/>
        </w:rPr>
        <w:t xml:space="preserve"> أمام مستثمري القطاع الخاص كي يسهموا برؤوس الأموال والمعارف التقنية والمهارات الإدارية في تنمية قطاع الطاقة، ومرافق البنية التحتية الأخرى، وقطاع الزراعة، وتكنولوجيا المعلومات، ودعم الشركات الناشئة، وقطاعات الإسكان والتعليم والصحة.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وتستطيع الحكومة المصرية تحفيز مثل هذه الاستثمارات بتنفيذ استثمارات عامة في البنية التحتية والمؤسسات المساندة لأنشطة الأعمال وبإجراء إصلاحات قطاعية مشتركة.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وستشتمل الإصلاحات اللازمة لمعالجة مناخ الأعمال على تهيئة بيئة تنظيمية</w:t>
      </w:r>
      <w:r w:rsidRPr="00FF3102">
        <w:rPr>
          <w:rFonts w:ascii="Simplified Arabic" w:eastAsiaTheme="minorEastAsia" w:hAnsi="Simplified Arabic" w:cs="Simplified Arabic"/>
          <w:rtl/>
        </w:rPr>
        <w:t xml:space="preserve"> واضحة و</w:t>
      </w:r>
      <w:r w:rsidRPr="00FF3102">
        <w:rPr>
          <w:rFonts w:ascii="Simplified Arabic" w:eastAsiaTheme="minorEastAsia" w:hAnsi="Simplified Arabic" w:cs="Simplified Arabic"/>
          <w:spacing w:val="0"/>
          <w:rtl/>
        </w:rPr>
        <w:t>عادلة</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 xml:space="preserve">تستند إلى قواعد </w:t>
      </w:r>
      <w:r w:rsidRPr="00FF3102">
        <w:rPr>
          <w:rFonts w:ascii="Simplified Arabic" w:eastAsiaTheme="minorEastAsia" w:hAnsi="Simplified Arabic" w:cs="Simplified Arabic"/>
          <w:rtl/>
        </w:rPr>
        <w:t>جليَّة</w:t>
      </w:r>
      <w:r w:rsidRPr="00FF3102">
        <w:rPr>
          <w:rFonts w:ascii="Simplified Arabic" w:eastAsiaTheme="minorEastAsia" w:hAnsi="Simplified Arabic" w:cs="Simplified Arabic"/>
          <w:spacing w:val="0"/>
          <w:rtl/>
        </w:rPr>
        <w:t xml:space="preserve"> ومطبَّقة على نحو منصف. فمن</w:t>
      </w:r>
      <w:r w:rsidRPr="00FF3102">
        <w:rPr>
          <w:rFonts w:ascii="Simplified Arabic" w:eastAsiaTheme="minorEastAsia" w:hAnsi="Simplified Arabic" w:cs="Simplified Arabic"/>
          <w:rtl/>
        </w:rPr>
        <w:t xml:space="preserve"> خلال </w:t>
      </w:r>
      <w:r w:rsidRPr="00FF3102">
        <w:rPr>
          <w:rFonts w:ascii="Simplified Arabic" w:eastAsiaTheme="minorEastAsia" w:hAnsi="Simplified Arabic" w:cs="Simplified Arabic"/>
          <w:spacing w:val="0"/>
          <w:rtl/>
        </w:rPr>
        <w:t xml:space="preserve">تسهيل الحصول على الأراضي وتصاريح البناء وتقليل السلطة التقديرية في هذا الشأن، وتحسين </w:t>
      </w:r>
      <w:r w:rsidRPr="00FF3102">
        <w:rPr>
          <w:rFonts w:ascii="Simplified Arabic" w:eastAsiaTheme="minorEastAsia" w:hAnsi="Simplified Arabic" w:cs="Simplified Arabic"/>
          <w:rtl/>
        </w:rPr>
        <w:t>إنفاذ</w:t>
      </w:r>
      <w:r w:rsidRPr="00FF3102">
        <w:rPr>
          <w:rFonts w:ascii="Simplified Arabic" w:eastAsiaTheme="minorEastAsia" w:hAnsi="Simplified Arabic" w:cs="Simplified Arabic"/>
          <w:spacing w:val="0"/>
          <w:rtl/>
        </w:rPr>
        <w:t xml:space="preserve"> العقود، وإزالة الإجراءات التنظيمية غير الضرورية، وتبسيط التصاريح والتراخيص اللازمة</w:t>
      </w:r>
      <w:r w:rsidRPr="00FF3102">
        <w:rPr>
          <w:rFonts w:ascii="Simplified Arabic" w:eastAsiaTheme="minorEastAsia" w:hAnsi="Simplified Arabic" w:cs="Simplified Arabic"/>
          <w:rtl/>
        </w:rPr>
        <w:t>، سيتم</w:t>
      </w:r>
      <w:r w:rsidRPr="00FF3102">
        <w:rPr>
          <w:rFonts w:ascii="Simplified Arabic" w:eastAsiaTheme="minorEastAsia" w:hAnsi="Simplified Arabic" w:cs="Simplified Arabic"/>
          <w:spacing w:val="0"/>
          <w:rtl/>
        </w:rPr>
        <w:t xml:space="preserve"> تجديد العقد الاجتماعي بين الدولة ومواطنيها.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ويُعد تدعيم </w:t>
      </w:r>
      <w:r w:rsidRPr="00FF3102">
        <w:rPr>
          <w:rFonts w:ascii="Simplified Arabic" w:eastAsiaTheme="minorEastAsia" w:hAnsi="Simplified Arabic" w:cs="Simplified Arabic"/>
          <w:rtl/>
        </w:rPr>
        <w:t>جهاز حماية المنافسة ومنع الممارسات الاحتكارية عنصرا أساسيا في إزالة الحواجز أمام المنافسة في جميع القطاعات.</w:t>
      </w:r>
      <w:r w:rsidRPr="00FF3102">
        <w:rPr>
          <w:rFonts w:ascii="Simplified Arabic" w:eastAsiaTheme="minorEastAsia" w:hAnsi="Simplified Arabic" w:cs="Simplified Arabic"/>
          <w:spacing w:val="0"/>
          <w:rtl/>
        </w:rPr>
        <w:t xml:space="preserve"> وستستفيد المشروعات الصغيرة والمتوسطة </w:t>
      </w:r>
      <w:r w:rsidRPr="00FF3102">
        <w:rPr>
          <w:rFonts w:ascii="Simplified Arabic" w:eastAsiaTheme="minorEastAsia" w:hAnsi="Simplified Arabic" w:cs="Simplified Arabic"/>
          <w:rtl/>
        </w:rPr>
        <w:t>بوجه خاص</w:t>
      </w:r>
      <w:r w:rsidRPr="00FF3102">
        <w:rPr>
          <w:rFonts w:ascii="Simplified Arabic" w:eastAsiaTheme="minorEastAsia" w:hAnsi="Simplified Arabic" w:cs="Simplified Arabic"/>
          <w:spacing w:val="0"/>
          <w:rtl/>
        </w:rPr>
        <w:t xml:space="preserve"> من تحسين البنية التحتية للقطاع المالي من خلال توسيع نطاق تغطية مكتب الاستعلام الائتماني وإنشاء سجلات للضمانات، وتطبيق إطار الإقراض الآمن، وتبسيط إطار إجراءات إشهار الإفلاس.</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وأعربت الحكومة عن وجود إرادة سياسية لديها لتنفيذ جوانب من هذه الأجندة في إطار الشراكة مع مجموعة البنك الدولي، لكن تحقيق نتائج سيتطلب بذل جهود متواصلة لمعالجة هذه القضايا وللتغلب على أية مقاومة.</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يُعد إصلاح دعم الطاقة الذي بدأ في عام 2014 واستمر مؤخرا خطوة رئيسية نحو تحقيق تكافؤ الفرص في القطاع الخاص، غير أنه يلزم إجراء إصلاحات أكثر وأعمق من بينها إصلاح سياسات الطاقة على نحو عام وتنفيذ استثمارات لمعالجة الاختناقات وتحسين تنويع مصادر الطاقة.</w:t>
      </w:r>
      <w:r w:rsidRPr="00FF3102">
        <w:rPr>
          <w:rFonts w:ascii="Simplified Arabic" w:eastAsiaTheme="minorEastAsia" w:hAnsi="Simplified Arabic" w:cs="Simplified Arabic"/>
          <w:rtl/>
        </w:rPr>
        <w:t xml:space="preserve"> وفي عام 2013، تم تصنيف مصر في المرتبة التاسعة والتسعين عالمياً من حيث انتظام إمدادات الكهرباء، وأفادت تقارير بأن قطاع الصناعة يعمل بطاقة إنتاجية تتراوح من 60 إلى 70 في المائة بسبب نقص الكهرباء والغاز.</w:t>
      </w:r>
      <w:r w:rsidR="002A2E25" w:rsidRPr="00FF3102">
        <w:rPr>
          <w:rStyle w:val="FootnoteReference"/>
          <w:rFonts w:ascii="Simplified Arabic" w:eastAsiaTheme="minorEastAsia" w:hAnsi="Simplified Arabic" w:cs="Simplified Arabic"/>
          <w:rtl/>
        </w:rPr>
        <w:footnoteReference w:id="12"/>
      </w:r>
      <w:r w:rsidR="003A1252">
        <w:rPr>
          <w:rFonts w:ascii="Simplified Arabic" w:eastAsiaTheme="minorEastAsia" w:hAnsi="Simplified Arabic" w:cs="Simplified Arabic"/>
          <w:rtl/>
        </w:rPr>
        <w:t xml:space="preserve"> </w:t>
      </w:r>
      <w:r w:rsidRPr="00FF3102">
        <w:rPr>
          <w:rFonts w:ascii="Simplified Arabic" w:eastAsiaTheme="minorEastAsia" w:hAnsi="Simplified Arabic" w:cs="Simplified Arabic"/>
          <w:rtl/>
        </w:rPr>
        <w:t>كما تجاوز نمو الطلب على الكهرباء في مصر معدل النمو الاقتصادي الذي تحقق خلال السنوات العشر الماضية.</w:t>
      </w:r>
      <w:r w:rsidRPr="00FF3102">
        <w:rPr>
          <w:rFonts w:ascii="Simplified Arabic" w:eastAsiaTheme="minorEastAsia" w:hAnsi="Simplified Arabic" w:cs="Simplified Arabic"/>
          <w:spacing w:val="0"/>
          <w:rtl/>
        </w:rPr>
        <w:t xml:space="preserve"> وإذا استمر الطلب على مساره الحالي، </w:t>
      </w:r>
      <w:r w:rsidRPr="00FF3102">
        <w:rPr>
          <w:rFonts w:ascii="Simplified Arabic" w:eastAsiaTheme="minorEastAsia" w:hAnsi="Simplified Arabic" w:cs="Simplified Arabic"/>
          <w:rtl/>
        </w:rPr>
        <w:t xml:space="preserve">فإنه بحلول عام 2020 </w:t>
      </w:r>
      <w:r w:rsidRPr="00FF3102">
        <w:rPr>
          <w:rFonts w:ascii="Simplified Arabic" w:eastAsiaTheme="minorEastAsia" w:hAnsi="Simplified Arabic" w:cs="Simplified Arabic"/>
          <w:spacing w:val="0"/>
          <w:rtl/>
        </w:rPr>
        <w:t xml:space="preserve">سيلزم زيادة طاقة التوليد بأكثر من ضعف مستواها عام 2010 لتلبية هذا الطلب على نحو يمكن الاعتماد عليه. ويُعد تحسين مستويات الخدمة، أو على الأقل منع تدهورها، أمرا بالغ الأهمية لضمان أن تحظى إصلاحات هيكل الأسعار بالقبول من الناحية السياسية. وتشمل الإجراءات اللازمة للتصدي لهذه التحديات تطبيق إصلاحات نظام الإدارة العامة والحوكمة لتعزيز المساءلة والشفافية، وتعزيز مشاركة القطاع الخاص </w:t>
      </w:r>
      <w:r w:rsidRPr="00FF3102">
        <w:rPr>
          <w:rFonts w:ascii="Simplified Arabic" w:eastAsiaTheme="minorEastAsia" w:hAnsi="Simplified Arabic" w:cs="Simplified Arabic"/>
          <w:rtl/>
        </w:rPr>
        <w:t>تحديداً</w:t>
      </w:r>
      <w:r w:rsidRPr="00FF3102">
        <w:rPr>
          <w:rFonts w:ascii="Simplified Arabic" w:eastAsiaTheme="minorEastAsia" w:hAnsi="Simplified Arabic" w:cs="Simplified Arabic"/>
          <w:spacing w:val="0"/>
          <w:rtl/>
        </w:rPr>
        <w:t xml:space="preserve"> للتصدي لتحدي تمويل الاستثمارات في مجال توليد الكهرباء، ومواصلة إصلاحات تسعير الطاقة بما في ذلك تعريفة الكهرباء ودعم الوقود، واستغلال إمكانات مصادر الطاقة المتجددة – حيث حققت مصر دفعة كبيرة في مجال الطاقة المتجددة- وتقديم حوافز لزيادة كفاءة استخدام الطاقة.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وبالتوازي مع ذلك، تعمل مصر على زيادة توفر الغاز من خلال زيادة عمليات الاستكشاف والإنتاج وربما الواردات لأن الغاز مازال يمثل الوقود الرئيسي (82 في المائة) في توليد الكهرباء. </w:t>
      </w:r>
    </w:p>
    <w:p w:rsidR="00810BAC" w:rsidRPr="00FF3102" w:rsidRDefault="00810BAC" w:rsidP="00E43588">
      <w:pPr>
        <w:pStyle w:val="Heading4"/>
        <w:bidi/>
        <w:rPr>
          <w:rFonts w:ascii="Simplified Arabic" w:eastAsiaTheme="minorEastAsia" w:hAnsi="Simplified Arabic" w:cs="Simplified Arabic"/>
          <w:bCs w:val="0"/>
          <w:i w:val="0"/>
          <w:sz w:val="24"/>
          <w:szCs w:val="24"/>
          <w:rtl/>
          <w:lang w:bidi="ar-EG"/>
        </w:rPr>
      </w:pPr>
      <w:bookmarkStart w:id="671" w:name="OLE_LINK115"/>
      <w:bookmarkStart w:id="672" w:name="OLE_LINK116"/>
      <w:bookmarkStart w:id="673" w:name="OLE_LINK117"/>
      <w:bookmarkStart w:id="674" w:name="OLE_LINK118"/>
      <w:r w:rsidRPr="00FF3102">
        <w:rPr>
          <w:rFonts w:ascii="Simplified Arabic" w:eastAsiaTheme="minorEastAsia" w:hAnsi="Simplified Arabic" w:cs="Simplified Arabic"/>
          <w:i w:val="0"/>
          <w:sz w:val="24"/>
          <w:szCs w:val="24"/>
          <w:rtl/>
        </w:rPr>
        <w:t>المحرك</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الرئيسي</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الثاني</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في</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الدراسة</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التشخيصية</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المنهجية</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الخاصة</w:t>
      </w:r>
      <w:r w:rsidRPr="00FF3102">
        <w:rPr>
          <w:rFonts w:ascii="Simplified Arabic" w:eastAsiaTheme="minorEastAsia" w:hAnsi="Simplified Arabic" w:cs="Simplified Arabic"/>
          <w:i w:val="0"/>
          <w:sz w:val="24"/>
          <w:szCs w:val="24"/>
        </w:rPr>
        <w:t xml:space="preserve"> </w:t>
      </w:r>
      <w:r w:rsidRPr="00FF3102">
        <w:rPr>
          <w:rFonts w:ascii="Simplified Arabic" w:eastAsiaTheme="minorEastAsia" w:hAnsi="Simplified Arabic" w:cs="Simplified Arabic"/>
          <w:i w:val="0"/>
          <w:sz w:val="24"/>
          <w:szCs w:val="24"/>
          <w:rtl/>
        </w:rPr>
        <w:t>بمصر: تعزيز التنمية ال</w:t>
      </w:r>
      <w:r w:rsidR="00E43588">
        <w:rPr>
          <w:rFonts w:ascii="Simplified Arabic" w:eastAsiaTheme="minorEastAsia" w:hAnsi="Simplified Arabic" w:cs="Simplified Arabic" w:hint="cs"/>
          <w:i w:val="0"/>
          <w:sz w:val="24"/>
          <w:szCs w:val="24"/>
          <w:rtl/>
        </w:rPr>
        <w:t>جغراف</w:t>
      </w:r>
      <w:r w:rsidRPr="00FF3102">
        <w:rPr>
          <w:rFonts w:ascii="Simplified Arabic" w:eastAsiaTheme="minorEastAsia" w:hAnsi="Simplified Arabic" w:cs="Simplified Arabic"/>
          <w:i w:val="0"/>
          <w:sz w:val="24"/>
          <w:szCs w:val="24"/>
          <w:rtl/>
        </w:rPr>
        <w:t>ية</w:t>
      </w:r>
    </w:p>
    <w:bookmarkEnd w:id="671"/>
    <w:bookmarkEnd w:id="672"/>
    <w:bookmarkEnd w:id="673"/>
    <w:bookmarkEnd w:id="674"/>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يمكن للتحسينات في البنية التحتية أن تؤدي إلى زيادة إنتاجية الشركات بالمدن الكبرى، والمساعدة في توسيع النشاط الاقتصادي خارج هذه المدن، وتحسين إمكانية حصول العمال على وظائف منتجة.</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 xml:space="preserve">وأكثر من 50 في المائة من وظائف القطاع الخاص الرسمي في </w:t>
      </w:r>
      <w:r w:rsidRPr="00FF3102">
        <w:rPr>
          <w:rFonts w:ascii="Simplified Arabic" w:eastAsiaTheme="minorEastAsia" w:hAnsi="Simplified Arabic" w:cs="Simplified Arabic"/>
          <w:rtl/>
        </w:rPr>
        <w:t>المدن</w:t>
      </w:r>
      <w:r w:rsidRPr="00FF3102">
        <w:rPr>
          <w:rFonts w:ascii="Simplified Arabic" w:eastAsiaTheme="minorEastAsia" w:hAnsi="Simplified Arabic" w:cs="Simplified Arabic"/>
          <w:spacing w:val="0"/>
          <w:rtl/>
        </w:rPr>
        <w:t xml:space="preserve"> الكبرى، وليس بالصعيد سوى 5 في المائة من هذه الوظائف.</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وتُصنَّف البنية التحتية بمصر في المرتبة 118 من بين 148 بلدا (مع تصنيف الطرق في المرتبة 122).</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ويمكن تقليل </w:t>
      </w:r>
      <w:r w:rsidRPr="00FF3102">
        <w:rPr>
          <w:rFonts w:ascii="Simplified Arabic" w:eastAsiaTheme="minorEastAsia" w:hAnsi="Simplified Arabic" w:cs="Simplified Arabic"/>
          <w:rtl/>
        </w:rPr>
        <w:t>الفاقد</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بنسبة تصل</w:t>
      </w:r>
      <w:r w:rsidRPr="00FF3102">
        <w:rPr>
          <w:rFonts w:ascii="Simplified Arabic" w:eastAsiaTheme="minorEastAsia" w:hAnsi="Simplified Arabic" w:cs="Simplified Arabic"/>
          <w:spacing w:val="0"/>
          <w:rtl/>
        </w:rPr>
        <w:t xml:space="preserve"> إلى 40 في المائة) في قيمة المنتجات الزراعية المنقولة من الصعيد إلى تجار الجملة</w:t>
      </w:r>
      <w:r w:rsidRPr="00FF3102">
        <w:rPr>
          <w:rFonts w:ascii="Simplified Arabic" w:eastAsiaTheme="minorEastAsia" w:hAnsi="Simplified Arabic" w:cs="Simplified Arabic"/>
          <w:rtl/>
        </w:rPr>
        <w:t xml:space="preserve"> بدرجة كبيرة، </w:t>
      </w:r>
      <w:r w:rsidRPr="00FF3102">
        <w:rPr>
          <w:rFonts w:ascii="Simplified Arabic" w:eastAsiaTheme="minorEastAsia" w:hAnsi="Simplified Arabic" w:cs="Simplified Arabic"/>
          <w:spacing w:val="0"/>
          <w:rtl/>
        </w:rPr>
        <w:t>وذلك من خلال الاستثمار في توفير وسائل نقل وخدمات لوجستية ملائمة. ويمكن أيضا تسهيل انتقال العمال إلى المدن الكبرى من خلال تحسين البنية التحتية وتقليل الازدحام، وهو</w:t>
      </w:r>
      <w:r w:rsidRPr="00FF3102">
        <w:rPr>
          <w:rFonts w:ascii="Simplified Arabic" w:eastAsiaTheme="minorEastAsia" w:hAnsi="Simplified Arabic" w:cs="Simplified Arabic"/>
          <w:rtl/>
        </w:rPr>
        <w:t xml:space="preserve"> ما</w:t>
      </w:r>
      <w:r w:rsidRPr="00FF3102">
        <w:rPr>
          <w:rFonts w:ascii="Simplified Arabic" w:eastAsiaTheme="minorEastAsia" w:hAnsi="Simplified Arabic" w:cs="Simplified Arabic"/>
          <w:spacing w:val="0"/>
          <w:rtl/>
        </w:rPr>
        <w:t xml:space="preserve"> سيعود بالنفع على النساء بوجه خاص اللاتي يعانين من محدودية الانتقال بسبب الأعراف الاجتماعية وتفضيل قرب أماكن العمل وعدم الاضطرار للانتقال لمسافات بعيدة. وتُعد اختناقات البنية التحتية على الأرجح أحد أسباب الانخفاض القياسي لمعدل مشاركة الشابات في القوى العاملة (رغم أن انخفاض هذه المعدلات بين أوساط النساء يُعزى إلى وجود تداخل معقد بين عوامل أخرى كذلك). والتحسينات</w:t>
      </w:r>
      <w:r w:rsidRPr="00FF3102">
        <w:rPr>
          <w:rFonts w:ascii="Simplified Arabic" w:eastAsiaTheme="minorEastAsia" w:hAnsi="Simplified Arabic" w:cs="Simplified Arabic"/>
          <w:rtl/>
        </w:rPr>
        <w:t xml:space="preserve"> يجب أن تشمل</w:t>
      </w:r>
      <w:r w:rsidRPr="00FF3102">
        <w:rPr>
          <w:rFonts w:ascii="Simplified Arabic" w:eastAsiaTheme="minorEastAsia" w:hAnsi="Simplified Arabic" w:cs="Simplified Arabic"/>
          <w:spacing w:val="0"/>
          <w:rtl/>
        </w:rPr>
        <w:t xml:space="preserve"> تحسين الحركة المرورية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وإعطاء أولوية لوسائل النقل العام على الطرق</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والتوسع في شبكات النقل الجماعي التي يمكن التعويل عليها</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واتخاذ إجراءات مؤسسية وتنظيمية ملائمة. وسيساعد إصلاح دعم الوقود أيضا في تقليل الكثافة المرورية على الطرق. ويلزم أيضا تدعيم الخدمات اللوجستية للتجارة في الموانئ وطرق النقل البري.</w:t>
      </w:r>
    </w:p>
    <w:p w:rsidR="00810BAC" w:rsidRPr="00FF3102" w:rsidRDefault="00810BAC" w:rsidP="00906316">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75" w:name="OLE_LINK39"/>
      <w:bookmarkStart w:id="676" w:name="OLE_LINK40"/>
      <w:bookmarkStart w:id="677" w:name="OLE_LINK41"/>
      <w:bookmarkStart w:id="678" w:name="OLE_LINK60"/>
      <w:bookmarkStart w:id="679" w:name="OLE_LINK61"/>
      <w:bookmarkStart w:id="680" w:name="OLE_LINK119"/>
      <w:bookmarkStart w:id="681" w:name="OLE_LINK120"/>
      <w:r w:rsidRPr="00FF3102">
        <w:rPr>
          <w:rFonts w:ascii="Simplified Arabic" w:eastAsiaTheme="minorEastAsia" w:hAnsi="Simplified Arabic" w:cs="Simplified Arabic"/>
          <w:bCs/>
          <w:iCs/>
          <w:spacing w:val="0"/>
          <w:rtl/>
        </w:rPr>
        <w:t>يحتاج تخطيط استخدامات الأراضي وإدارتها في مصر إلى تبني رؤية عامة للتخطيط العمراني وتبسيط القوانين واللوائح.</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وسيؤدي ت</w:t>
      </w:r>
      <w:r w:rsidR="00906316">
        <w:rPr>
          <w:rFonts w:ascii="Simplified Arabic" w:eastAsiaTheme="minorEastAsia" w:hAnsi="Simplified Arabic" w:cs="Simplified Arabic" w:hint="cs"/>
          <w:spacing w:val="0"/>
          <w:rtl/>
        </w:rPr>
        <w:t>نسيق</w:t>
      </w:r>
      <w:r w:rsidRPr="00FF3102">
        <w:rPr>
          <w:rFonts w:ascii="Simplified Arabic" w:eastAsiaTheme="minorEastAsia" w:hAnsi="Simplified Arabic" w:cs="Simplified Arabic"/>
          <w:spacing w:val="0"/>
          <w:rtl/>
        </w:rPr>
        <w:t xml:space="preserve"> نظام إدارة استخدامات الأراضي وتقليل الانقسامات ب</w:t>
      </w:r>
      <w:r w:rsidR="00906316">
        <w:rPr>
          <w:rFonts w:ascii="Simplified Arabic" w:eastAsiaTheme="minorEastAsia" w:hAnsi="Simplified Arabic" w:cs="Simplified Arabic"/>
          <w:spacing w:val="0"/>
          <w:rtl/>
        </w:rPr>
        <w:t>ين الهيئات الحكومية المتعددة في</w:t>
      </w:r>
      <w:r w:rsidR="00906316">
        <w:rPr>
          <w:rFonts w:ascii="Simplified Arabic" w:eastAsiaTheme="minorEastAsia" w:hAnsi="Simplified Arabic" w:cs="Simplified Arabic" w:hint="cs"/>
          <w:spacing w:val="0"/>
          <w:rtl/>
        </w:rPr>
        <w:t>ما يتعلق بالقواعد المنظمة</w:t>
      </w:r>
      <w:r w:rsidRPr="00FF3102">
        <w:rPr>
          <w:rFonts w:ascii="Simplified Arabic" w:eastAsiaTheme="minorEastAsia" w:hAnsi="Simplified Arabic" w:cs="Simplified Arabic"/>
          <w:spacing w:val="0"/>
          <w:rtl/>
        </w:rPr>
        <w:t xml:space="preserve"> إلى زيادة شفافية </w:t>
      </w:r>
      <w:r w:rsidR="00906316">
        <w:rPr>
          <w:rFonts w:ascii="Simplified Arabic" w:eastAsiaTheme="minorEastAsia" w:hAnsi="Simplified Arabic" w:cs="Simplified Arabic" w:hint="cs"/>
          <w:spacing w:val="0"/>
          <w:rtl/>
        </w:rPr>
        <w:t>التسعير</w:t>
      </w:r>
      <w:r w:rsidRPr="00FF3102">
        <w:rPr>
          <w:rFonts w:ascii="Simplified Arabic" w:eastAsiaTheme="minorEastAsia" w:hAnsi="Simplified Arabic" w:cs="Simplified Arabic"/>
          <w:spacing w:val="0"/>
          <w:rtl/>
        </w:rPr>
        <w:t>.</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كما ستؤدي زيادة المعروض من المساكن في المدن، وهو ما تم تقييده بسياسات تنظيم الإيجار والقيود المفروضة على ارتفاعات المباني، إلى الحد من الزحف العمراني. ومن خلال تبسيط نظام تسجيل الأراضي والممتلكات، ستتم زيادة تأمين حقوق الملكية وتحسين إتاحة التمويل العقاري،</w:t>
      </w:r>
      <w:r w:rsidRPr="00FF3102">
        <w:rPr>
          <w:rFonts w:ascii="Simplified Arabic" w:eastAsiaTheme="minorEastAsia" w:hAnsi="Simplified Arabic" w:cs="Simplified Arabic"/>
          <w:rtl/>
        </w:rPr>
        <w:t xml:space="preserve"> ومن شأن</w:t>
      </w:r>
      <w:r w:rsidRPr="00FF3102">
        <w:rPr>
          <w:rFonts w:ascii="Simplified Arabic" w:eastAsiaTheme="minorEastAsia" w:hAnsi="Simplified Arabic" w:cs="Simplified Arabic"/>
          <w:spacing w:val="0"/>
          <w:rtl/>
        </w:rPr>
        <w:t xml:space="preserve"> السماح للقطاع الخاص بتقديم خدمات الإسكان المساعدة في خفض التكاليف وزيادة الكفاءة.</w:t>
      </w:r>
    </w:p>
    <w:bookmarkEnd w:id="675"/>
    <w:bookmarkEnd w:id="676"/>
    <w:bookmarkEnd w:id="677"/>
    <w:bookmarkEnd w:id="678"/>
    <w:bookmarkEnd w:id="679"/>
    <w:bookmarkEnd w:id="680"/>
    <w:bookmarkEnd w:id="681"/>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يمكن تعزيز الإنتاجية الزراعية وفرص العمل غير الزراعية من خلال</w:t>
      </w:r>
      <w:r w:rsidRPr="00FF3102">
        <w:rPr>
          <w:rFonts w:ascii="Simplified Arabic" w:eastAsiaTheme="minorEastAsia" w:hAnsi="Simplified Arabic" w:cs="Simplified Arabic"/>
          <w:bCs/>
          <w:iCs/>
          <w:rtl/>
        </w:rPr>
        <w:t xml:space="preserve"> إجراء</w:t>
      </w:r>
      <w:r w:rsidRPr="00FF3102">
        <w:rPr>
          <w:rFonts w:ascii="Simplified Arabic" w:eastAsiaTheme="minorEastAsia" w:hAnsi="Simplified Arabic" w:cs="Simplified Arabic"/>
          <w:bCs/>
          <w:iCs/>
          <w:spacing w:val="0"/>
          <w:rtl/>
        </w:rPr>
        <w:t xml:space="preserve"> إصلاحات للسياسات</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وتحسين البنية التحتية التي تربط بين المناطق</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وزيادة كفاءة شبكات توزيع المياه</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وتحسين النظم اللوجستية للأنشطة الزراعية والصناعية الزراعية.</w:t>
      </w:r>
      <w:r w:rsidRPr="00FF3102">
        <w:rPr>
          <w:rFonts w:ascii="Simplified Arabic" w:eastAsiaTheme="minorEastAsia" w:hAnsi="Simplified Arabic" w:cs="Simplified Arabic"/>
          <w:spacing w:val="0"/>
          <w:rtl/>
        </w:rPr>
        <w:t xml:space="preserve"> ولا يزال يعمل بقطاع الزراعة نحو 9 في المائة من القوى العاملة،</w:t>
      </w:r>
      <w:r w:rsidRPr="00FF3102">
        <w:rPr>
          <w:rFonts w:ascii="Simplified Arabic" w:eastAsiaTheme="minorEastAsia" w:hAnsi="Simplified Arabic" w:cs="Simplified Arabic"/>
          <w:rtl/>
        </w:rPr>
        <w:t xml:space="preserve"> وهي نسبة تزيد عن نسبة الأيدي العاملة في أي قطاع آخر.</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ويمتلك غالبية المزارعين أقل من فدانين (الفدان الواحد = 0.4 هكتار</w:t>
      </w:r>
      <w:r w:rsidRPr="00FF3102">
        <w:rPr>
          <w:rFonts w:ascii="Simplified Arabic" w:eastAsiaTheme="minorEastAsia" w:hAnsi="Simplified Arabic" w:cs="Simplified Arabic"/>
          <w:rtl/>
        </w:rPr>
        <w:t xml:space="preserve"> أو</w:t>
      </w:r>
      <w:r w:rsidRPr="00FF3102">
        <w:rPr>
          <w:rFonts w:ascii="Simplified Arabic" w:eastAsiaTheme="minorEastAsia" w:hAnsi="Simplified Arabic" w:cs="Simplified Arabic"/>
          <w:spacing w:val="0"/>
          <w:rtl/>
        </w:rPr>
        <w:t xml:space="preserve"> 1.04 أكر)</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وهي مساحة لا تكفي لإعالة أسرة </w:t>
      </w:r>
      <w:r w:rsidRPr="00FF3102">
        <w:rPr>
          <w:rFonts w:ascii="Simplified Arabic" w:eastAsiaTheme="minorEastAsia" w:hAnsi="Simplified Arabic" w:cs="Simplified Arabic"/>
          <w:rtl/>
        </w:rPr>
        <w:t xml:space="preserve">مكونة </w:t>
      </w:r>
      <w:r w:rsidRPr="00FF3102">
        <w:rPr>
          <w:rFonts w:ascii="Simplified Arabic" w:eastAsiaTheme="minorEastAsia" w:hAnsi="Simplified Arabic" w:cs="Simplified Arabic"/>
          <w:spacing w:val="0"/>
          <w:rtl/>
        </w:rPr>
        <w:t>من ستة أفراد بدون إضافة دخل من العمل</w:t>
      </w:r>
      <w:r w:rsidRPr="00FF3102">
        <w:rPr>
          <w:rFonts w:ascii="Simplified Arabic" w:eastAsiaTheme="minorEastAsia" w:hAnsi="Simplified Arabic" w:cs="Simplified Arabic"/>
          <w:rtl/>
        </w:rPr>
        <w:t xml:space="preserve"> خارج قطاع الزراعة.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وتعاني البنية التحتية للري والصرف في مصر من ارتفاع نسبة الملوحة، ولا تتجاوز نسبتا الكفاءة واسترداد </w:t>
      </w:r>
      <w:r w:rsidRPr="00FF3102">
        <w:rPr>
          <w:rFonts w:ascii="Simplified Arabic" w:eastAsiaTheme="minorEastAsia" w:hAnsi="Simplified Arabic" w:cs="Simplified Arabic"/>
          <w:rtl/>
        </w:rPr>
        <w:t>التكلفة</w:t>
      </w:r>
      <w:r w:rsidRPr="00FF3102">
        <w:rPr>
          <w:rFonts w:ascii="Simplified Arabic" w:eastAsiaTheme="minorEastAsia" w:hAnsi="Simplified Arabic" w:cs="Simplified Arabic"/>
          <w:spacing w:val="0"/>
          <w:rtl/>
        </w:rPr>
        <w:t xml:space="preserve"> لشبكة إمدادات المياه 50 في المائة و 40 في المائة على التوالي، وهما من أدنى النسب في المنطقة والعالم. ويجب على الحكومة المصرية إصلاح شبكة توزيع المياه وتحسين كفاءة شبكة الري والصرف بأكملها، بما في ذلك زيادة كفاءة الري بالمزارع. وقامت الحكومة بإعداد مشروع قانون جديد يسمح بمزيد من المرونة وتقليل سيطرة الحكومة على التعاونيات الزراعية والذي سيتم</w:t>
      </w:r>
      <w:r w:rsidRPr="00FF3102">
        <w:rPr>
          <w:rFonts w:ascii="Simplified Arabic" w:eastAsiaTheme="minorEastAsia" w:hAnsi="Simplified Arabic" w:cs="Simplified Arabic"/>
          <w:rtl/>
        </w:rPr>
        <w:t xml:space="preserve"> إصداره</w:t>
      </w:r>
      <w:r w:rsidRPr="00FF3102">
        <w:rPr>
          <w:rFonts w:ascii="Simplified Arabic" w:eastAsiaTheme="minorEastAsia" w:hAnsi="Simplified Arabic" w:cs="Simplified Arabic"/>
          <w:spacing w:val="0"/>
          <w:rtl/>
        </w:rPr>
        <w:t xml:space="preserve"> بعد الانتخابات البرلمانية. ومن المفترض أن يؤدي ذلك إلى تسهيل الزراعة التعاقدية وإتاحة الحصول على السلف والائتمان. وتقوم الحكومة أيضا بإعادة النظر في البيئة التنظيمية لتشجيع إقامة شراكات بين القطاعين العام والخاص في مجال البنية التحتية والنظم اللوجستية للأنشطة الزراعية، مثل أسواق الجملة ومخازن التبريد، لاسيما في الصعيد.</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وقد يساعد إجراء المزيد من الإصلاحات للحد من تشوهات أسعار مستلزمات الإنتاج والمنتجات، والسماح بقدر أكبر من الحرية لجمعيات مستخدمي المياه (قانون الترع الفرعية)، وتشجيع منافسة القطاع الخاص في خدمات النقل بعيد المسافة، في زيادة الإنتاجية الزراعية.</w:t>
      </w:r>
    </w:p>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المحرك</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الرئيسي</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الثالث</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في</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الدراسة</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التشخيصية</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المنهجية</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الخاصة</w:t>
      </w:r>
      <w:r w:rsidRPr="00FF3102">
        <w:rPr>
          <w:rFonts w:ascii="Simplified Arabic" w:eastAsiaTheme="minorEastAsia" w:hAnsi="Simplified Arabic" w:cs="Simplified Arabic"/>
          <w:i w:val="0"/>
          <w:iCs/>
          <w:sz w:val="24"/>
          <w:szCs w:val="24"/>
        </w:rPr>
        <w:t xml:space="preserve"> </w:t>
      </w:r>
      <w:r w:rsidRPr="00FF3102">
        <w:rPr>
          <w:rFonts w:ascii="Simplified Arabic" w:eastAsiaTheme="minorEastAsia" w:hAnsi="Simplified Arabic" w:cs="Simplified Arabic"/>
          <w:iCs/>
          <w:sz w:val="24"/>
          <w:szCs w:val="24"/>
          <w:rtl/>
        </w:rPr>
        <w:t>بمصر:</w:t>
      </w:r>
      <w:r w:rsidRPr="00FF3102">
        <w:rPr>
          <w:rFonts w:ascii="Simplified Arabic" w:eastAsiaTheme="minorEastAsia" w:hAnsi="Simplified Arabic" w:cs="Simplified Arabic"/>
          <w:bCs w:val="0"/>
          <w:sz w:val="24"/>
          <w:szCs w:val="24"/>
        </w:rPr>
        <w:t xml:space="preserve"> </w:t>
      </w:r>
      <w:r w:rsidRPr="00FF3102">
        <w:rPr>
          <w:rFonts w:ascii="Simplified Arabic" w:eastAsiaTheme="minorEastAsia" w:hAnsi="Simplified Arabic" w:cs="Simplified Arabic"/>
          <w:iCs/>
          <w:sz w:val="24"/>
          <w:szCs w:val="24"/>
          <w:rtl/>
        </w:rPr>
        <w:t>الاحتواء الاجتماعي</w:t>
      </w:r>
    </w:p>
    <w:p w:rsidR="00810BAC" w:rsidRPr="00FF3102" w:rsidRDefault="00810BAC" w:rsidP="00616D05">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حققت مصر إنجازات تعليمية كبرى في تعميم الالتحاق بالتعليم الابتدائي</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وزيادة معدلات الالتحاق بالتعليم الثانوي</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وتحسين معدلات الإلمام بالقراءة والكتابة</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وتقليص الفجوات بين الجنسين، لكن مازالت أمامها تحديات كبيرة.</w:t>
      </w:r>
      <w:r w:rsidRPr="00FF3102">
        <w:rPr>
          <w:rFonts w:ascii="Simplified Arabic" w:eastAsiaTheme="minorEastAsia" w:hAnsi="Simplified Arabic" w:cs="Simplified Arabic"/>
          <w:spacing w:val="0"/>
          <w:rtl/>
        </w:rPr>
        <w:t xml:space="preserve"> وسيستمر</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الطلب على التعليم</w:t>
      </w:r>
      <w:r w:rsidRPr="00FF3102">
        <w:rPr>
          <w:rFonts w:ascii="Simplified Arabic" w:eastAsiaTheme="minorEastAsia" w:hAnsi="Simplified Arabic" w:cs="Simplified Arabic"/>
          <w:rtl/>
        </w:rPr>
        <w:t xml:space="preserve"> في الارتفاع</w:t>
      </w:r>
      <w:r w:rsidRPr="00FF3102">
        <w:rPr>
          <w:rFonts w:ascii="Simplified Arabic" w:eastAsiaTheme="minorEastAsia" w:hAnsi="Simplified Arabic" w:cs="Simplified Arabic"/>
          <w:spacing w:val="0"/>
          <w:rtl/>
        </w:rPr>
        <w:t xml:space="preserve"> نظراً للزيادة الأخيرة في النمو السكاني (الفقرة 20). ويتسم نظام التعليم بالتجزؤ في سياسة التعليم وتمويله وإدارته، وضعف نظام الإدارة العامة مع قلة العقوبات المفروضة على سوء أداء المعلمين وغياب الرقابة المحلية من خلال مجالس الآباء وأولياء الأمور، والتباين بين المستلزمات المدرسية التي تخصصها الأجهزة الحكومية المحلية وما يصل بالفعل إلى المدارس المحلية، والتفاوت الجغرافي في التحصيل الدراسي. ورغم تنامي عدد الشباب المتعلمين، فإن نسبة البطالة آخذة في الارتفاع بين من هم في الشريحة العمرية 15-29 عاما، لاسيما النساء منهم. وبالرغم من أن نقص الوظائف يمثل المشكلة الرئيسية، فإن المفارقة تكمن في أن أصحاب العمل لا يجدون شبابا يتمتعون بالمهارات الفنية أو الشخصية المطلوبة، مما يزيد من تنامي أعداد العاطلين عن العمل من المتعلمين. وبإجراء إصلاحات لنظام التعليم، يمكن سد الفجوة بين المهارات التي يحتاجها سوق العمل وتلك التي يوفرها نظام التعليم والتدريب. و</w:t>
      </w:r>
      <w:r w:rsidRPr="00FF3102">
        <w:rPr>
          <w:rFonts w:ascii="Simplified Arabic" w:eastAsiaTheme="minorEastAsia" w:hAnsi="Simplified Arabic" w:cs="Simplified Arabic"/>
          <w:rtl/>
        </w:rPr>
        <w:t xml:space="preserve">لا يزال </w:t>
      </w:r>
      <w:r w:rsidRPr="00FF3102">
        <w:rPr>
          <w:rFonts w:ascii="Simplified Arabic" w:eastAsiaTheme="minorEastAsia" w:hAnsi="Simplified Arabic" w:cs="Simplified Arabic"/>
          <w:spacing w:val="0"/>
          <w:rtl/>
        </w:rPr>
        <w:t>إطار الحكومة</w:t>
      </w:r>
      <w:r w:rsidRPr="00FF3102">
        <w:rPr>
          <w:rFonts w:ascii="Simplified Arabic" w:eastAsiaTheme="minorEastAsia" w:hAnsi="Simplified Arabic" w:cs="Simplified Arabic"/>
          <w:rtl/>
        </w:rPr>
        <w:t xml:space="preserve"> المصرية</w:t>
      </w:r>
      <w:r w:rsidRPr="00FF3102">
        <w:rPr>
          <w:rFonts w:ascii="Simplified Arabic" w:eastAsiaTheme="minorEastAsia" w:hAnsi="Simplified Arabic" w:cs="Simplified Arabic"/>
          <w:spacing w:val="0"/>
          <w:rtl/>
        </w:rPr>
        <w:t xml:space="preserve"> الخاص بتطوير القوى العاملة من خلال التعليم</w:t>
      </w:r>
      <w:r w:rsidRPr="00FF3102">
        <w:rPr>
          <w:rFonts w:ascii="Simplified Arabic" w:eastAsiaTheme="minorEastAsia" w:hAnsi="Simplified Arabic" w:cs="Simplified Arabic"/>
          <w:rtl/>
        </w:rPr>
        <w:t xml:space="preserve"> قيد التحديث ويشوبه الغموض حتى الآن.</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ويجب أن يقوم النظام بتعزيز المساءلة عن الن</w:t>
      </w:r>
      <w:r w:rsidR="00616D05">
        <w:rPr>
          <w:rFonts w:ascii="Simplified Arabic" w:eastAsiaTheme="minorEastAsia" w:hAnsi="Simplified Arabic" w:cs="Simplified Arabic" w:hint="cs"/>
          <w:spacing w:val="0"/>
          <w:rtl/>
        </w:rPr>
        <w:t>تائج</w:t>
      </w:r>
      <w:r w:rsidRPr="00FF3102">
        <w:rPr>
          <w:rFonts w:ascii="Simplified Arabic" w:eastAsiaTheme="minorEastAsia" w:hAnsi="Simplified Arabic" w:cs="Simplified Arabic"/>
          <w:spacing w:val="0"/>
          <w:rtl/>
        </w:rPr>
        <w:t xml:space="preserve"> وأن تتوفر به بيانات أفضل لتحديد مجالات الإصلاح ذات الأولوية.</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ومن الضروري إصلاح اللوائح التنظيمية للسماح</w:t>
      </w:r>
      <w:r w:rsidRPr="00FF3102">
        <w:rPr>
          <w:rFonts w:ascii="Simplified Arabic" w:eastAsiaTheme="minorEastAsia" w:hAnsi="Simplified Arabic" w:cs="Simplified Arabic"/>
          <w:rtl/>
        </w:rPr>
        <w:t xml:space="preserve"> للقطاع الخاص أو تشجيعه على الاستثمار</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 xml:space="preserve">في </w:t>
      </w:r>
      <w:r w:rsidRPr="00FF3102">
        <w:rPr>
          <w:rFonts w:ascii="Simplified Arabic" w:eastAsiaTheme="minorEastAsia" w:hAnsi="Simplified Arabic" w:cs="Simplified Arabic"/>
          <w:spacing w:val="0"/>
          <w:rtl/>
        </w:rPr>
        <w:t>التعليم المهني وما بعد الثانوي</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b/>
          <w:spacing w:val="0"/>
        </w:rPr>
        <w:t xml:space="preserve"> </w:t>
      </w:r>
      <w:r w:rsidRPr="00FF3102">
        <w:rPr>
          <w:rFonts w:ascii="Simplified Arabic" w:eastAsiaTheme="minorEastAsia" w:hAnsi="Simplified Arabic" w:cs="Simplified Arabic"/>
          <w:spacing w:val="0"/>
          <w:rtl/>
        </w:rPr>
        <w:t xml:space="preserve">وتعتزم الحكومة المصرية معالجة أوجه التفاوت في الإنفاق العام بزيادة عدد الفصول الدراسية بنسبة 12 في المائة مع التركيز بوجه خاص على الصعيد، وتوسيع نطاق مشروعات محو الأمية وتعليم الكبار، وتحسين التدريب المهني، والارتقاء بمستوى الجامعات الحكومية. ولابد أن تقترن هذه الإجراءات بالتركيز على نواتج التعلُّم.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لقد قطعت مصر شوطا كبيرا </w:t>
      </w:r>
      <w:r w:rsidRPr="00FF3102">
        <w:rPr>
          <w:rFonts w:ascii="Simplified Arabic" w:eastAsiaTheme="minorEastAsia" w:hAnsi="Simplified Arabic" w:cs="Simplified Arabic"/>
          <w:bCs/>
          <w:iCs/>
          <w:rtl/>
        </w:rPr>
        <w:t>على صعيد</w:t>
      </w:r>
      <w:r w:rsidRPr="00FF3102">
        <w:rPr>
          <w:rFonts w:ascii="Simplified Arabic" w:eastAsiaTheme="minorEastAsia" w:hAnsi="Simplified Arabic" w:cs="Simplified Arabic"/>
          <w:bCs/>
          <w:iCs/>
          <w:spacing w:val="0"/>
          <w:rtl/>
        </w:rPr>
        <w:t xml:space="preserve"> تحسين نواتج الرعاية الصحية، بما في ذلك حدوث انخفاض كبير في معدلات وفيات الأطفال والأمهات- ويُرجح بلوغها الغايات ذات الصلة من الأهداف الإنمائية للألفية في هذين المجالين بحلول عام 2015- واستطاعت زيادة متوسط العمر المتوقع عند الولادة مع تمكين أكثر من نصف عدد السكان من الحصول على تأمين صحي، لكنه يلزم إجراء إصلاحات تستهدف تحسين حوكمة هذا القطاع. </w:t>
      </w:r>
      <w:r w:rsidRPr="00FF3102">
        <w:rPr>
          <w:rFonts w:ascii="Simplified Arabic" w:eastAsiaTheme="minorEastAsia" w:hAnsi="Simplified Arabic" w:cs="Simplified Arabic"/>
          <w:rtl/>
        </w:rPr>
        <w:t>وتتسم</w:t>
      </w:r>
      <w:r w:rsidRPr="00FF3102">
        <w:rPr>
          <w:rFonts w:ascii="Simplified Arabic" w:eastAsiaTheme="minorEastAsia" w:hAnsi="Simplified Arabic" w:cs="Simplified Arabic"/>
          <w:spacing w:val="0"/>
          <w:rtl/>
        </w:rPr>
        <w:t xml:space="preserve"> خدمات الرعاية الصحية بالتجزؤ فيما بين عدد من المؤسسات، ويشوبها أوجه قصور كبيرة في تخصيص الموارد واستخدامها</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وانخفاض مساهمة الحكومة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وتزايد </w:t>
      </w:r>
      <w:r w:rsidRPr="00FF3102">
        <w:rPr>
          <w:rFonts w:ascii="Simplified Arabic" w:eastAsiaTheme="minorEastAsia" w:hAnsi="Simplified Arabic" w:cs="Simplified Arabic"/>
          <w:color w:val="000000"/>
          <w:spacing w:val="0"/>
          <w:rtl/>
        </w:rPr>
        <w:t xml:space="preserve">نفقات العلاج الباهظة </w:t>
      </w:r>
      <w:r w:rsidRPr="00FF3102">
        <w:rPr>
          <w:rFonts w:ascii="Simplified Arabic" w:eastAsiaTheme="minorEastAsia" w:hAnsi="Simplified Arabic" w:cs="Simplified Arabic"/>
          <w:color w:val="000000"/>
          <w:rtl/>
        </w:rPr>
        <w:t>التي يتحملها الأفراد من أموالهم الخاصة</w:t>
      </w:r>
      <w:r w:rsidRPr="00FF3102">
        <w:rPr>
          <w:rFonts w:ascii="Simplified Arabic" w:eastAsiaTheme="minorEastAsia" w:hAnsi="Simplified Arabic" w:cs="Simplified Arabic"/>
          <w:spacing w:val="0"/>
          <w:rtl/>
        </w:rPr>
        <w:t>.</w:t>
      </w:r>
      <w:r w:rsidRPr="00FF3102">
        <w:rPr>
          <w:rFonts w:ascii="Simplified Arabic" w:eastAsiaTheme="minorEastAsia" w:hAnsi="Simplified Arabic" w:cs="Simplified Arabic"/>
          <w:color w:val="000000"/>
          <w:spacing w:val="0"/>
          <w:rtl/>
        </w:rPr>
        <w:t xml:space="preserve"> </w:t>
      </w:r>
      <w:r w:rsidRPr="00FF3102">
        <w:rPr>
          <w:rFonts w:ascii="Simplified Arabic" w:eastAsiaTheme="minorEastAsia" w:hAnsi="Simplified Arabic" w:cs="Simplified Arabic"/>
          <w:spacing w:val="0"/>
          <w:rtl/>
        </w:rPr>
        <w:t>وتنفق مصر على قطاع الصحة حوالي 5.1 في المائة من إجمالي الناتج المحلي (بما في ذلك النفقات الخاصة)</w:t>
      </w:r>
      <w:r w:rsidRPr="00FF3102">
        <w:rPr>
          <w:rFonts w:ascii="Simplified Arabic" w:eastAsiaTheme="minorEastAsia" w:hAnsi="Simplified Arabic" w:cs="Simplified Arabic"/>
          <w:rtl/>
        </w:rPr>
        <w:t xml:space="preserve"> وبها إحدى أدنى </w:t>
      </w:r>
      <w:r w:rsidRPr="00FF3102">
        <w:rPr>
          <w:rFonts w:ascii="Simplified Arabic" w:eastAsiaTheme="minorEastAsia" w:hAnsi="Simplified Arabic" w:cs="Simplified Arabic"/>
          <w:spacing w:val="0"/>
          <w:rtl/>
        </w:rPr>
        <w:t>نسب الإنفاق الصحي العام إلى إجمالي الإنفاق على الرعاية الصحية (21 في المائة) في المنطقة.</w:t>
      </w:r>
      <w:r w:rsidRPr="00FF3102">
        <w:rPr>
          <w:rFonts w:ascii="Simplified Arabic" w:eastAsiaTheme="minorEastAsia" w:hAnsi="Simplified Arabic" w:cs="Simplified Arabic"/>
          <w:color w:val="000000"/>
          <w:spacing w:val="0"/>
          <w:rtl/>
        </w:rPr>
        <w:t xml:space="preserve"> ويلزم تحسين سبل الحصول على خدمات تنظيم الأسرة للتصدي للزيادة غير المتوقعة التي طرأت مؤخرا على النمو السكاني. </w:t>
      </w:r>
      <w:r w:rsidRPr="00FF3102">
        <w:rPr>
          <w:rFonts w:ascii="Simplified Arabic" w:eastAsiaTheme="minorEastAsia" w:hAnsi="Simplified Arabic" w:cs="Simplified Arabic"/>
          <w:spacing w:val="0"/>
          <w:rtl/>
        </w:rPr>
        <w:t>ويتسم النظام أيضا بالمشاركة المحدودة للمواطنين وضعف مشاركتهم في مراقبة جودة تقديم خدمات الرعاية الصحية.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color w:val="000000"/>
          <w:spacing w:val="0"/>
          <w:rtl/>
        </w:rPr>
        <w:t xml:space="preserve">ويتعرض حوالي 7 في المائة من المصريين سنويا للسقوط في براثن الفقر بسبب نفقات العلاج الباهظة </w:t>
      </w:r>
      <w:r w:rsidRPr="00FF3102">
        <w:rPr>
          <w:rFonts w:ascii="Simplified Arabic" w:eastAsiaTheme="minorEastAsia" w:hAnsi="Simplified Arabic" w:cs="Simplified Arabic"/>
          <w:color w:val="000000"/>
          <w:rtl/>
        </w:rPr>
        <w:t>التي يتحملها الأفراد من أموالهم الخاصة</w:t>
      </w:r>
      <w:r w:rsidRPr="00FF3102">
        <w:rPr>
          <w:rFonts w:ascii="Simplified Arabic" w:eastAsiaTheme="minorEastAsia" w:hAnsi="Simplified Arabic" w:cs="Simplified Arabic"/>
          <w:color w:val="000000"/>
          <w:spacing w:val="0"/>
          <w:rtl/>
        </w:rPr>
        <w:t>.</w:t>
      </w:r>
      <w:r w:rsidRPr="00FF3102">
        <w:rPr>
          <w:rFonts w:ascii="Simplified Arabic" w:eastAsiaTheme="minorEastAsia" w:hAnsi="Simplified Arabic" w:cs="Simplified Arabic"/>
          <w:color w:val="000000"/>
          <w:spacing w:val="0"/>
        </w:rPr>
        <w:t xml:space="preserve"> </w:t>
      </w:r>
      <w:r w:rsidRPr="00FF3102">
        <w:rPr>
          <w:rFonts w:ascii="Simplified Arabic" w:eastAsiaTheme="minorEastAsia" w:hAnsi="Simplified Arabic" w:cs="Simplified Arabic"/>
          <w:spacing w:val="0"/>
          <w:rtl/>
        </w:rPr>
        <w:t>ورغم توزيع منشآت الرعاية الصحية الأولية على نحو متساوٍ في مصر، فإن المنشآت القائمة بالمناطق الريفية تعاني من نقص الموازنات والعاملين المؤهلين.</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i/>
        </w:rPr>
      </w:pPr>
      <w:r w:rsidRPr="00FF3102">
        <w:rPr>
          <w:rFonts w:ascii="Simplified Arabic" w:eastAsiaTheme="minorEastAsia" w:hAnsi="Simplified Arabic" w:cs="Simplified Arabic"/>
          <w:bCs/>
          <w:iCs/>
          <w:spacing w:val="0"/>
          <w:rtl/>
        </w:rPr>
        <w:t>لدى مصر عدد من برامج الحماية الاجتماعية، لكن يلزم تبسيط إجراءاتها وأن تقدم حماية أفضل للفقراء. إذ إن لديها نظاما معقدا للحماية الاجتماعية يشمل خدمات التوظيف والتأمين الاجتماعي (الرعاية الصحية والمعاشات والبطالة) والمساعدات الاجتماعية (التحويلات النقدية) بالإضافة إلى دعم الوقود والمواد الغذائية.</w:t>
      </w:r>
      <w:r w:rsidRPr="00FF3102">
        <w:rPr>
          <w:rFonts w:ascii="Simplified Arabic" w:eastAsiaTheme="minorEastAsia" w:hAnsi="Simplified Arabic" w:cs="Simplified Arabic"/>
          <w:i/>
          <w:color w:val="000000"/>
          <w:spacing w:val="0"/>
        </w:rPr>
        <w:t xml:space="preserve"> </w:t>
      </w:r>
      <w:r w:rsidRPr="00FF3102">
        <w:rPr>
          <w:rFonts w:ascii="Simplified Arabic" w:eastAsiaTheme="minorEastAsia" w:hAnsi="Simplified Arabic" w:cs="Simplified Arabic"/>
          <w:i/>
          <w:color w:val="000000"/>
          <w:spacing w:val="0"/>
          <w:rtl/>
        </w:rPr>
        <w:t xml:space="preserve">ويذهب معظم الإنفاق على هذا النظام إلى الدعم الشامل الذي يفيد الأغنياء أكثر مما يفيد الفقراء: </w:t>
      </w:r>
      <w:r w:rsidRPr="00FF3102">
        <w:rPr>
          <w:rFonts w:ascii="Simplified Arabic" w:eastAsiaTheme="minorEastAsia" w:hAnsi="Simplified Arabic" w:cs="Simplified Arabic"/>
          <w:i/>
          <w:color w:val="000000"/>
          <w:rtl/>
        </w:rPr>
        <w:t>وقد ارتفع دعم الطاقة ليصل إلى نسبة تتراوح من 6 إلى 8 في المائة من إجمالي الناتج المحلي -على الرغم من أنه يُتوقع في ظل إصلاحات الدعم الأخيرة أن يبلغ حوالي 3.3 في المائة خلال السنة المالية 2015-ويستفيد منه على نحو غير متناسب الأربعون في المائة الأعلى دخلا من السكان .</w:t>
      </w:r>
      <w:r w:rsidRPr="00FF3102">
        <w:rPr>
          <w:rFonts w:ascii="Simplified Arabic" w:eastAsiaTheme="minorEastAsia" w:hAnsi="Simplified Arabic" w:cs="Simplified Arabic"/>
          <w:i/>
          <w:color w:val="000000"/>
          <w:spacing w:val="0"/>
        </w:rPr>
        <w:t xml:space="preserve"> </w:t>
      </w:r>
      <w:r w:rsidRPr="00FF3102">
        <w:rPr>
          <w:rFonts w:ascii="Simplified Arabic" w:eastAsiaTheme="minorEastAsia" w:hAnsi="Simplified Arabic" w:cs="Simplified Arabic"/>
          <w:i/>
          <w:color w:val="000000"/>
          <w:spacing w:val="0"/>
          <w:rtl/>
        </w:rPr>
        <w:t xml:space="preserve">ويغطي معاش الضمان الاجتماعي، وهو برنامج التحويلات النقدية </w:t>
      </w:r>
      <w:r w:rsidRPr="00FF3102">
        <w:rPr>
          <w:rFonts w:ascii="Simplified Arabic" w:eastAsiaTheme="minorEastAsia" w:hAnsi="Simplified Arabic" w:cs="Simplified Arabic"/>
          <w:i/>
          <w:color w:val="000000"/>
          <w:rtl/>
        </w:rPr>
        <w:t>الأساسي</w:t>
      </w:r>
      <w:r w:rsidRPr="00FF3102">
        <w:rPr>
          <w:rFonts w:ascii="Simplified Arabic" w:eastAsiaTheme="minorEastAsia" w:hAnsi="Simplified Arabic" w:cs="Simplified Arabic"/>
          <w:i/>
          <w:color w:val="000000"/>
          <w:spacing w:val="0"/>
          <w:rtl/>
        </w:rPr>
        <w:t xml:space="preserve"> في مصر، أقل من 10 في المائة من خمس السكان الأشد فقرا</w:t>
      </w:r>
      <w:r w:rsidRPr="00FF3102">
        <w:rPr>
          <w:rFonts w:ascii="Simplified Arabic" w:eastAsiaTheme="minorEastAsia" w:hAnsi="Simplified Arabic" w:cs="Simplified Arabic"/>
          <w:i/>
          <w:color w:val="000000"/>
          <w:rtl/>
        </w:rPr>
        <w:t>، ويوجَّه إلى هذا الخمس أقل من ربع موارد البرنامج</w:t>
      </w:r>
      <w:r w:rsidRPr="00FF3102">
        <w:rPr>
          <w:rFonts w:ascii="Simplified Arabic" w:eastAsiaTheme="minorEastAsia" w:hAnsi="Simplified Arabic" w:cs="Simplified Arabic"/>
          <w:i/>
          <w:color w:val="000000"/>
          <w:spacing w:val="0"/>
          <w:rtl/>
        </w:rPr>
        <w:t>.</w:t>
      </w:r>
      <w:r w:rsidRPr="00FF3102">
        <w:rPr>
          <w:rFonts w:ascii="Simplified Arabic" w:eastAsiaTheme="minorEastAsia" w:hAnsi="Simplified Arabic" w:cs="Simplified Arabic"/>
          <w:i/>
          <w:color w:val="000000"/>
          <w:spacing w:val="0"/>
        </w:rPr>
        <w:t xml:space="preserve"> </w:t>
      </w:r>
      <w:r w:rsidRPr="00FF3102">
        <w:rPr>
          <w:rFonts w:ascii="Simplified Arabic" w:eastAsiaTheme="minorEastAsia" w:hAnsi="Simplified Arabic" w:cs="Simplified Arabic"/>
          <w:i/>
          <w:color w:val="000000"/>
          <w:spacing w:val="0"/>
          <w:rtl/>
        </w:rPr>
        <w:t xml:space="preserve">وتحتاج مصر إلى تحسين توجيه الدعم إلى المستحقين، وتحديد من هم الفقراء على نحو أفضل، وتحسين إجراءات عمل شبكة الأمان الاجتماعي بما في ذلك إجراءات التسجيل وأداء المدفوعات وآليات التظلم والإنصاف.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قضايا المساواة بين الجنسين تحظى باهتمام خاص.</w:t>
      </w:r>
      <w:r w:rsidRPr="00FF3102">
        <w:rPr>
          <w:rFonts w:ascii="Simplified Arabic" w:eastAsiaTheme="minorEastAsia" w:hAnsi="Simplified Arabic" w:cs="Simplified Arabic"/>
          <w:spacing w:val="0"/>
          <w:rtl/>
        </w:rPr>
        <w:t xml:space="preserve"> تتأثر قدرة النساء على إيجاد فرص عمل منتجة بعدد من العوامل من بينها انخفاض مستويات التعليم، والحواجز الاجتماعية والثقافية، والتمييز في الأجور، وسوء البنية التحتية. وتواجه النساء تكلفة أعلى في الانتقال بسبب الأعراف الاجتماعية والمخاوف المتعلقة بالسلامة وعدم مرونة مواعيد العمل من جراء الانتقال لمسافات بعيدة. وتواجه أيضا قيودا أكبر في الحصول على الائتمان والتدريب لاكتساب المهارات الملائمة. ويُعد تأمين الحصول على الخدمات وفرص العمل أمرا بالغ الأهمية خاصةً للنساء.</w:t>
      </w:r>
    </w:p>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ضمان الاستدامة البيئية هو تحدٍ طويل الأمد.</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spacing w:val="0"/>
          <w:rtl/>
        </w:rPr>
        <w:t>لقد صاحب التوسع الاقتصادي في مصر تزايد الطلب على الموارد الطبيعية الشحيحة والمتدهورة غالباً، مما نتج عنه تدني نوعية الهواء، وتدهور التربة، وتناقص كميات المياه المتوفرة وجودتها، واستنزاف المواد الهيدروكربونية. وستؤدي الزيادة التي طرأت مؤخراً على النمو السكاني على الأرجح إلى وضع مزيد من الضغوط على الموارد الطبيعية لمصر في المستقبل القريب</w:t>
      </w:r>
      <w:r w:rsidRPr="00FF3102">
        <w:rPr>
          <w:rFonts w:ascii="Simplified Arabic" w:eastAsiaTheme="minorEastAsia" w:hAnsi="Simplified Arabic" w:cs="Simplified Arabic"/>
          <w:spacing w:val="0"/>
          <w:rtl/>
        </w:rPr>
        <w:t>. ويؤثر التدهور</w:t>
      </w:r>
      <w:r w:rsidRPr="00FF3102">
        <w:rPr>
          <w:rFonts w:ascii="Simplified Arabic" w:eastAsiaTheme="minorEastAsia" w:hAnsi="Simplified Arabic" w:cs="Simplified Arabic"/>
          <w:rtl/>
        </w:rPr>
        <w:t xml:space="preserve"> البيئي سلباً في أوضاع الصحة وكذلك آفاق تحقيق نمو اقتصادي مستقبلاً. وفي عام 2002، قُدِّرت تكلفة التدهور البيئي في مصر بنحو 5.6 في المائة من إجمالي الناتج المحلي ويُرجح أنها أعلى كثيراً الآن في ظل تلوث الهواء والمياه والتربة باعتبارها أكبر ثلاثة مسببات للأضرار البيئية.</w:t>
      </w:r>
      <w:r w:rsidR="002A2E25" w:rsidRPr="00FF3102">
        <w:rPr>
          <w:rStyle w:val="FootnoteReference"/>
          <w:rFonts w:ascii="Simplified Arabic" w:eastAsiaTheme="minorEastAsia" w:hAnsi="Simplified Arabic" w:cs="Simplified Arabic"/>
          <w:rtl/>
        </w:rPr>
        <w:footnoteReference w:id="13"/>
      </w:r>
      <w:r w:rsidR="002A2E25"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rtl/>
        </w:rPr>
        <w:t>ويتجسد تدهور المياه والتربة على نحو رئيسي في المناطق الريفية ويشكل أكثر من 55 في المائة من تكلفة التدهور البيئي، في حين يشكل تلوث الهواء بالمناطق الحضرية أكثر من 40 في المائة.</w:t>
      </w:r>
      <w:r w:rsidRPr="00FF3102">
        <w:rPr>
          <w:rFonts w:ascii="Simplified Arabic" w:eastAsiaTheme="minorEastAsia" w:hAnsi="Simplified Arabic" w:cs="Simplified Arabic"/>
          <w:spacing w:val="0"/>
          <w:rtl/>
        </w:rPr>
        <w:t xml:space="preserve"> ونظرا لتركُّز الفقر في المناطق الريفية، فإن التدهور البيئي يؤثر غالبا في الفقراء أكثر من غيرهم. وستؤدي التغيُّرات المناخية إلى تفاقم أوضاع قاعدة الموارد الطبيعية الهشة بالفعل.</w:t>
      </w:r>
      <w:r w:rsidRPr="00FF3102">
        <w:rPr>
          <w:rFonts w:ascii="Simplified Arabic" w:eastAsiaTheme="minorEastAsia" w:hAnsi="Simplified Arabic" w:cs="Simplified Arabic"/>
          <w:spacing w:val="0"/>
        </w:rPr>
        <w:t xml:space="preserve"> </w:t>
      </w:r>
      <w:r w:rsidR="002A2E25" w:rsidRPr="00FF3102">
        <w:rPr>
          <w:rStyle w:val="FootnoteReference"/>
          <w:rFonts w:ascii="Simplified Arabic" w:eastAsiaTheme="minorEastAsia" w:hAnsi="Simplified Arabic" w:cs="Simplified Arabic"/>
          <w:spacing w:val="0"/>
        </w:rPr>
        <w:footnoteReference w:id="14"/>
      </w:r>
      <w:r w:rsidR="002A2E25" w:rsidRPr="00FF3102">
        <w:rPr>
          <w:rFonts w:ascii="Simplified Arabic" w:eastAsiaTheme="minorEastAsia" w:hAnsi="Simplified Arabic" w:cs="Simplified Arabic"/>
          <w:spacing w:val="0"/>
          <w:rtl/>
        </w:rPr>
        <w:t xml:space="preserve"> </w:t>
      </w:r>
    </w:p>
    <w:p w:rsidR="00810BAC" w:rsidRPr="00FF3102" w:rsidRDefault="00810BAC" w:rsidP="00616D05">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تدهورت نوعية الهواء بالمناطق الحضرية إلى مستويات تثير قلقا شديدا بشأن تأثيراتها على الصحة العامة والبيئة والاقتصاد.</w:t>
      </w:r>
      <w:r w:rsidRPr="00FF3102">
        <w:rPr>
          <w:rFonts w:ascii="Simplified Arabic" w:eastAsiaTheme="minorEastAsia" w:hAnsi="Simplified Arabic" w:cs="Simplified Arabic"/>
          <w:spacing w:val="0"/>
          <w:rtl/>
        </w:rPr>
        <w:t xml:space="preserve"> وارتفعت تكلفة التدهور المرتبط بتلوث الهواء في منطقة القاهرة الكبرى </w:t>
      </w:r>
      <w:r w:rsidRPr="00FF3102">
        <w:rPr>
          <w:rFonts w:ascii="Simplified Arabic" w:eastAsiaTheme="minorEastAsia" w:hAnsi="Simplified Arabic" w:cs="Simplified Arabic"/>
          <w:rtl/>
        </w:rPr>
        <w:t>ارتفاعا كبيرا</w:t>
      </w:r>
      <w:r w:rsidRPr="00FF3102">
        <w:rPr>
          <w:rFonts w:ascii="Simplified Arabic" w:eastAsiaTheme="minorEastAsia" w:hAnsi="Simplified Arabic" w:cs="Simplified Arabic"/>
          <w:spacing w:val="0"/>
          <w:rtl/>
        </w:rPr>
        <w:t xml:space="preserve"> بين عامي 1999 و 2009 وتُقدَّر بنحو واحد في المائة من إجمالي الناتج المحلي، شاملةً الوفيات المبكرة والإصابة بالأمراض من جراء الالتهاب الشعبي المزمن والأعراض التنفسية. </w:t>
      </w:r>
      <w:r w:rsidRPr="00FF3102">
        <w:rPr>
          <w:rFonts w:ascii="Simplified Arabic" w:eastAsiaTheme="minorEastAsia" w:hAnsi="Simplified Arabic" w:cs="Simplified Arabic"/>
          <w:rtl/>
        </w:rPr>
        <w:t>ويتمثل العاملان</w:t>
      </w:r>
      <w:r w:rsidRPr="00FF3102">
        <w:rPr>
          <w:rFonts w:ascii="Simplified Arabic" w:eastAsiaTheme="minorEastAsia" w:hAnsi="Simplified Arabic" w:cs="Simplified Arabic"/>
          <w:spacing w:val="0"/>
          <w:rtl/>
        </w:rPr>
        <w:t xml:space="preserve"> الرئيسيان المساهمان في تلوث الهواء في وسائل النقل وحرق المخلفات الزراعية في الهواء الطلق. وستسهم إصلاحات دعم الوقود المطبَّقة مؤخرا،</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مقترنةً باتخاذ إجراءات لتحسين النقل العام بالمناطق الحضرية، في تخفيف حدة تلوث الهواء داخل القاهرة الكبرى.</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rtl/>
        </w:rPr>
        <w:t>و</w:t>
      </w:r>
      <w:r w:rsidR="00616D05">
        <w:rPr>
          <w:rFonts w:ascii="Simplified Arabic" w:eastAsiaTheme="minorEastAsia" w:hAnsi="Simplified Arabic" w:cs="Simplified Arabic" w:hint="cs"/>
          <w:rtl/>
        </w:rPr>
        <w:t>ما زالت هناك حاجة</w:t>
      </w:r>
      <w:r w:rsidRPr="00FF3102">
        <w:rPr>
          <w:rFonts w:ascii="Simplified Arabic" w:eastAsiaTheme="minorEastAsia" w:hAnsi="Simplified Arabic" w:cs="Simplified Arabic"/>
          <w:rtl/>
        </w:rPr>
        <w:t xml:space="preserve"> </w:t>
      </w:r>
      <w:r w:rsidR="00616D05">
        <w:rPr>
          <w:rFonts w:ascii="Simplified Arabic" w:eastAsiaTheme="minorEastAsia" w:hAnsi="Simplified Arabic" w:cs="Simplified Arabic" w:hint="cs"/>
          <w:rtl/>
        </w:rPr>
        <w:t>لإ</w:t>
      </w:r>
      <w:r w:rsidRPr="00FF3102">
        <w:rPr>
          <w:rFonts w:ascii="Simplified Arabic" w:eastAsiaTheme="minorEastAsia" w:hAnsi="Simplified Arabic" w:cs="Simplified Arabic"/>
          <w:spacing w:val="0"/>
          <w:rtl/>
        </w:rPr>
        <w:t>يجاد حلول عملية للمشكلة المعقدة المتعلقة بحرق النفايات الزراعية الذي قد يتطلب حلولا متعددة القطاعات.</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color w:val="000000"/>
          <w:spacing w:val="0"/>
          <w:rtl/>
        </w:rPr>
        <w:t>يُعزى تراجع كميات المياه العذبة المتوفرة إلى تلوث المياه الناجم بالأساس عن النفايات الزراعية والصرف الصحي في المناطق الريفية.</w:t>
      </w:r>
      <w:r w:rsidRPr="00FF3102">
        <w:rPr>
          <w:rFonts w:ascii="Simplified Arabic" w:eastAsiaTheme="minorEastAsia" w:hAnsi="Simplified Arabic" w:cs="Simplified Arabic"/>
          <w:color w:val="000000"/>
          <w:spacing w:val="0"/>
          <w:rtl/>
        </w:rPr>
        <w:t xml:space="preserve"> ويضيف تدهور جودة المياه أعباء صحية واقتصادية إلى محدودية الموارد المائية.</w:t>
      </w:r>
      <w:r w:rsidRPr="00FF3102">
        <w:rPr>
          <w:rFonts w:ascii="Simplified Arabic" w:eastAsiaTheme="minorEastAsia" w:hAnsi="Simplified Arabic" w:cs="Simplified Arabic"/>
          <w:color w:val="000000"/>
          <w:spacing w:val="0"/>
        </w:rPr>
        <w:t xml:space="preserve"> </w:t>
      </w:r>
      <w:r w:rsidRPr="00FF3102">
        <w:rPr>
          <w:rFonts w:ascii="Simplified Arabic" w:eastAsiaTheme="minorEastAsia" w:hAnsi="Simplified Arabic" w:cs="Simplified Arabic"/>
          <w:spacing w:val="0"/>
          <w:rtl/>
        </w:rPr>
        <w:t xml:space="preserve">إذ شهدت كميات المياه العذبة المتوفرة تراجعا في مصر خلال الخمسين عاما الماضية وهي الآن أقل من الحد الأدنى لندرة المياه. </w:t>
      </w:r>
      <w:r w:rsidRPr="00FF3102">
        <w:rPr>
          <w:rFonts w:ascii="Simplified Arabic" w:eastAsiaTheme="minorEastAsia" w:hAnsi="Simplified Arabic" w:cs="Simplified Arabic"/>
          <w:rtl/>
        </w:rPr>
        <w:t>وينجم التلوث والتدهور عن تصريف مياه المجاري غير المعالجة والنفايات الصناعية السائلة والجريان السطحي من النفايات الزراعية (المحمَّلة بالأسمدة والمبيدات والمواد العضوية) غالباً في نهر النيل، في حين تتلوث قنوات الصرف بشدة بسبب إلقاء النفايات والقمامة بصورة غير قانونية فضلا عن عدم كفاية شبكات الصرف الصحي.</w:t>
      </w:r>
      <w:r w:rsidRPr="00FF3102">
        <w:rPr>
          <w:rFonts w:ascii="Simplified Arabic" w:eastAsiaTheme="minorEastAsia" w:hAnsi="Simplified Arabic" w:cs="Simplified Arabic"/>
          <w:color w:val="000000"/>
          <w:spacing w:val="0"/>
          <w:rtl/>
        </w:rPr>
        <w:t xml:space="preserve"> وتتلوث خزانات المياه الجوفية المستخدمة لأغراض الشرب والري أيضا بسبب سوء الممارسات الزراعية وتسرُّب مخلفات الماشية والنفايات الريفية. وللأمراض المنقولة عن طريق المياه والمخاوف بشأن سلامة المحاصيل الغذائية المزروعة بمياه النيل الجوفية، لاسيما في منطقة الدلتا، آثار صحية واقتصادية كبيرة.</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spacing w:val="0"/>
          <w:rtl/>
        </w:rPr>
        <w:t>وبلغت تقديرات التكاليف المتعلقة بتدني جودة المياه نحو 3.2 في المائة من إجمالي الناتج المحلي عام 2003.</w:t>
      </w:r>
      <w:r w:rsidR="002A2E25" w:rsidRPr="00FF3102">
        <w:rPr>
          <w:rStyle w:val="FootnoteReference"/>
          <w:rFonts w:ascii="Simplified Arabic" w:eastAsiaTheme="minorEastAsia" w:hAnsi="Simplified Arabic" w:cs="Simplified Arabic"/>
          <w:spacing w:val="0"/>
          <w:rtl/>
        </w:rPr>
        <w:footnoteReference w:id="15"/>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ولتجنب حدوث أزمة حادة في الموارد المائية، فإنه يلزم إجراء معالجة حاسمة لأوجه القصور في استخدام المياه ومصادر تلوثها، على أن يشمل ذلك التخلص من النفايات الصلبة والصرف الصحي في المناطق الريفية وتحسين التخطيط العمراني للحد من الزحف العمراني.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color w:val="000000"/>
          <w:spacing w:val="0"/>
          <w:rtl/>
        </w:rPr>
        <w:t xml:space="preserve">تحتل مصر المرتبة الأولى عالميا في معدل التصحر، ويمثل تدهور الأراضي أيضا مشكلة خطيرة. </w:t>
      </w:r>
      <w:r w:rsidRPr="00FF3102">
        <w:rPr>
          <w:rFonts w:ascii="Simplified Arabic" w:eastAsiaTheme="minorEastAsia" w:hAnsi="Simplified Arabic" w:cs="Simplified Arabic"/>
          <w:color w:val="000000"/>
          <w:spacing w:val="0"/>
          <w:rtl/>
        </w:rPr>
        <w:t>وقد أدى الزحف العمراني والزراعة</w:t>
      </w:r>
      <w:r w:rsidRPr="00FF3102">
        <w:rPr>
          <w:rFonts w:ascii="Simplified Arabic" w:eastAsiaTheme="minorEastAsia" w:hAnsi="Simplified Arabic" w:cs="Simplified Arabic"/>
          <w:color w:val="000000"/>
          <w:rtl/>
        </w:rPr>
        <w:t xml:space="preserve"> المكثفة</w:t>
      </w:r>
      <w:r w:rsidRPr="00FF3102">
        <w:rPr>
          <w:rFonts w:ascii="Simplified Arabic" w:eastAsiaTheme="minorEastAsia" w:hAnsi="Simplified Arabic" w:cs="Simplified Arabic"/>
          <w:color w:val="000000"/>
          <w:spacing w:val="0"/>
          <w:rtl/>
        </w:rPr>
        <w:t xml:space="preserve"> مجتمعَين إلى حدوث تناقص سريع فيما هو</w:t>
      </w:r>
      <w:r w:rsidRPr="00FF3102">
        <w:rPr>
          <w:rFonts w:ascii="Simplified Arabic" w:eastAsiaTheme="minorEastAsia" w:hAnsi="Simplified Arabic" w:cs="Simplified Arabic"/>
          <w:color w:val="000000"/>
          <w:rtl/>
        </w:rPr>
        <w:t xml:space="preserve"> متاح من</w:t>
      </w:r>
      <w:r w:rsidRPr="00FF3102">
        <w:rPr>
          <w:rFonts w:ascii="Simplified Arabic" w:eastAsiaTheme="minorEastAsia" w:hAnsi="Simplified Arabic" w:cs="Simplified Arabic"/>
          <w:color w:val="000000"/>
          <w:spacing w:val="0"/>
          <w:rtl/>
        </w:rPr>
        <w:t xml:space="preserve"> الأراضي الزراعية جيدة النوعية. </w:t>
      </w:r>
      <w:r w:rsidRPr="00FF3102">
        <w:rPr>
          <w:rFonts w:ascii="Simplified Arabic" w:eastAsiaTheme="minorEastAsia" w:hAnsi="Simplified Arabic" w:cs="Simplified Arabic"/>
          <w:spacing w:val="0"/>
          <w:rtl/>
        </w:rPr>
        <w:t>ويمكن المساعدة في معالجة هذه القضايا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من خلال تحسين التخطيط العمراني (الفقرة 37)</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color w:val="000000"/>
          <w:spacing w:val="0"/>
          <w:rtl/>
        </w:rPr>
        <w:t>وتحسين السياسات الزراعية (الفقرة 38).</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رغم أن مصر تُعد حالياً أحد البلدان منخفضة الانبعاثات الكربونية نسبياً، فإنها تحتاج إلى الاستثمار في مصادر الطاقة المتجددة وتحسين كفاءة استخدام الطاقة للحد من الانبعاثات واستهلاك </w:t>
      </w:r>
      <w:r w:rsidRPr="00FF3102">
        <w:rPr>
          <w:rFonts w:ascii="Simplified Arabic" w:eastAsiaTheme="minorEastAsia" w:hAnsi="Simplified Arabic" w:cs="Simplified Arabic"/>
          <w:bCs/>
          <w:iCs/>
          <w:rtl/>
        </w:rPr>
        <w:t>ا</w:t>
      </w:r>
      <w:r w:rsidRPr="00FF3102">
        <w:rPr>
          <w:rFonts w:ascii="Simplified Arabic" w:eastAsiaTheme="minorEastAsia" w:hAnsi="Simplified Arabic" w:cs="Simplified Arabic"/>
          <w:bCs/>
          <w:iCs/>
          <w:spacing w:val="0"/>
          <w:rtl/>
        </w:rPr>
        <w:t xml:space="preserve">لطاقة </w:t>
      </w:r>
      <w:r w:rsidRPr="00FF3102">
        <w:rPr>
          <w:rFonts w:ascii="Simplified Arabic" w:eastAsiaTheme="minorEastAsia" w:hAnsi="Simplified Arabic" w:cs="Simplified Arabic"/>
          <w:bCs/>
          <w:iCs/>
          <w:rtl/>
        </w:rPr>
        <w:t>مقارنةً</w:t>
      </w:r>
      <w:r w:rsidRPr="00FF3102">
        <w:rPr>
          <w:rFonts w:ascii="Simplified Arabic" w:eastAsiaTheme="minorEastAsia" w:hAnsi="Simplified Arabic" w:cs="Simplified Arabic"/>
          <w:bCs/>
          <w:iCs/>
          <w:spacing w:val="0"/>
          <w:rtl/>
        </w:rPr>
        <w:t xml:space="preserve"> بإجمالي الناتج المحلي.</w:t>
      </w:r>
      <w:r w:rsidRPr="00FF3102">
        <w:rPr>
          <w:rFonts w:ascii="Simplified Arabic" w:eastAsiaTheme="minorEastAsia" w:hAnsi="Simplified Arabic" w:cs="Simplified Arabic"/>
          <w:rtl/>
        </w:rPr>
        <w:t xml:space="preserve"> وتُعد نسبة </w:t>
      </w:r>
      <w:r w:rsidRPr="00FF3102">
        <w:rPr>
          <w:rFonts w:ascii="Simplified Arabic" w:eastAsiaTheme="minorEastAsia" w:hAnsi="Simplified Arabic" w:cs="Simplified Arabic"/>
          <w:spacing w:val="0"/>
          <w:rtl/>
        </w:rPr>
        <w:t>الانبعاثات الكربونية إلى إجمالي الناتج المحلي و</w:t>
      </w:r>
      <w:r w:rsidRPr="00FF3102">
        <w:rPr>
          <w:rFonts w:ascii="Simplified Arabic" w:eastAsiaTheme="minorEastAsia" w:hAnsi="Simplified Arabic" w:cs="Simplified Arabic"/>
          <w:rtl/>
        </w:rPr>
        <w:t xml:space="preserve">نسبة </w:t>
      </w:r>
      <w:r w:rsidRPr="00FF3102">
        <w:rPr>
          <w:rFonts w:ascii="Simplified Arabic" w:eastAsiaTheme="minorEastAsia" w:hAnsi="Simplified Arabic" w:cs="Simplified Arabic"/>
          <w:spacing w:val="0"/>
          <w:rtl/>
        </w:rPr>
        <w:t>استهلاك الطاقة إلى إجمالي الناتج المحلي</w:t>
      </w:r>
      <w:r w:rsidRPr="00FF3102">
        <w:rPr>
          <w:rFonts w:ascii="Simplified Arabic" w:eastAsiaTheme="minorEastAsia" w:hAnsi="Simplified Arabic" w:cs="Simplified Arabic"/>
          <w:rtl/>
        </w:rPr>
        <w:t xml:space="preserve"> في مصر ضمن أعلى النسب في المنطقة وتعادل </w:t>
      </w:r>
      <w:r w:rsidRPr="00FF3102">
        <w:rPr>
          <w:rFonts w:ascii="Simplified Arabic" w:eastAsiaTheme="minorEastAsia" w:hAnsi="Simplified Arabic" w:cs="Simplified Arabic"/>
          <w:spacing w:val="0"/>
          <w:rtl/>
        </w:rPr>
        <w:t>ضعف المتوسط العالمي</w:t>
      </w:r>
      <w:r w:rsidRPr="00FF3102">
        <w:rPr>
          <w:rFonts w:ascii="Simplified Arabic" w:eastAsiaTheme="minorEastAsia" w:hAnsi="Simplified Arabic" w:cs="Simplified Arabic"/>
          <w:rtl/>
        </w:rPr>
        <w:t xml:space="preserve"> تقريباً</w:t>
      </w:r>
      <w:r w:rsidRPr="00FF3102">
        <w:rPr>
          <w:rFonts w:ascii="Simplified Arabic" w:eastAsiaTheme="minorEastAsia" w:hAnsi="Simplified Arabic" w:cs="Simplified Arabic"/>
          <w:spacing w:val="0"/>
          <w:rtl/>
        </w:rPr>
        <w:t xml:space="preserve"> على كلا المقياسين، وهو ما يُعزى بدرجة كبيرة إلى ارتفاع دعم الطاقة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وتساعد إصلاحات أسعار الطاقة في مصر وتسريع وتيرة الاستثمارات في مجال الطاقة المتجددة على ضمان استمرارية عملية الإصلاح. ونظراً لصرامة تطبيق الضوابط على تسرب الوقود وتهريبه، فقد انخفضت كثافة استهلاك الديزل لكل وحدة من إجمالي الناتج المحلي من مستوياتها في عام 2014 على الرغم من ارتفاع معدل نمو إجمالي الناتج المحلي</w:t>
      </w:r>
      <w:r w:rsidRPr="00FF3102">
        <w:rPr>
          <w:rFonts w:ascii="Simplified Arabic" w:eastAsiaTheme="minorEastAsia" w:hAnsi="Simplified Arabic" w:cs="Simplified Arabic"/>
          <w:rtl/>
        </w:rPr>
        <w:t xml:space="preserve"> في الآونة الأخيرة.</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وتُقدَّر تكلفة احتياجات التكيُّف بنحو 7.6 مليار دولار، مع توجيه معظم الاستثمارات إلى البنية التحتية بالمناطق الساحلية.</w:t>
      </w:r>
      <w:r w:rsidR="002A2E25" w:rsidRPr="00FF3102">
        <w:rPr>
          <w:rStyle w:val="FootnoteReference"/>
          <w:rFonts w:ascii="Simplified Arabic" w:eastAsiaTheme="minorEastAsia" w:hAnsi="Simplified Arabic" w:cs="Simplified Arabic"/>
          <w:rtl/>
        </w:rPr>
        <w:footnoteReference w:id="16"/>
      </w:r>
      <w:r w:rsidR="002A2E25" w:rsidRPr="00FF3102">
        <w:rPr>
          <w:rFonts w:ascii="Simplified Arabic" w:eastAsiaTheme="minorEastAsia" w:hAnsi="Simplified Arabic" w:cs="Simplified Arabic"/>
          <w:rtl/>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b/>
          <w:i/>
        </w:rPr>
      </w:pPr>
      <w:r w:rsidRPr="00FF3102">
        <w:rPr>
          <w:rFonts w:ascii="Simplified Arabic" w:eastAsiaTheme="minorEastAsia" w:hAnsi="Simplified Arabic" w:cs="Simplified Arabic"/>
          <w:bCs/>
          <w:iCs/>
          <w:spacing w:val="0"/>
          <w:rtl/>
        </w:rPr>
        <w:t>تستطيع مصر تقليل مخاطر التدهور البيئي عن طريق تحسين نظام الإدارة العامة والحوكمة لاسيما إطارها المؤسسي وقدرتها على الإنفاذ، وكذلك عن طريق تشجيع تبني نهج أكثر استدامة لاستخدام الطاقة والمياه.</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 xml:space="preserve">ورغم تقادم </w:t>
      </w:r>
      <w:r w:rsidRPr="00FF3102">
        <w:rPr>
          <w:rFonts w:ascii="Simplified Arabic" w:eastAsiaTheme="minorEastAsia" w:hAnsi="Simplified Arabic" w:cs="Simplified Arabic"/>
          <w:spacing w:val="0"/>
          <w:rtl/>
        </w:rPr>
        <w:t>القوانين البيئية لمصر</w:t>
      </w:r>
      <w:r w:rsidRPr="00FF3102">
        <w:rPr>
          <w:rFonts w:ascii="Simplified Arabic" w:eastAsiaTheme="minorEastAsia" w:hAnsi="Simplified Arabic" w:cs="Simplified Arabic"/>
          <w:rtl/>
        </w:rPr>
        <w:t xml:space="preserve"> وحاجتها إلى التنقيح،</w:t>
      </w:r>
      <w:r w:rsidRPr="00FF3102">
        <w:rPr>
          <w:rFonts w:ascii="Simplified Arabic" w:eastAsiaTheme="minorEastAsia" w:hAnsi="Simplified Arabic" w:cs="Simplified Arabic"/>
          <w:spacing w:val="0"/>
          <w:rtl/>
        </w:rPr>
        <w:t xml:space="preserve"> فإن العائق الأكبر أمام نجاح السياسة البيئية يكمن في سو</w:t>
      </w:r>
      <w:r w:rsidRPr="00FF3102">
        <w:rPr>
          <w:rFonts w:ascii="Simplified Arabic" w:eastAsiaTheme="minorEastAsia" w:hAnsi="Simplified Arabic" w:cs="Simplified Arabic"/>
          <w:rtl/>
        </w:rPr>
        <w:t>ء</w:t>
      </w:r>
      <w:r w:rsidRPr="00FF3102">
        <w:rPr>
          <w:rFonts w:ascii="Simplified Arabic" w:eastAsiaTheme="minorEastAsia" w:hAnsi="Simplified Arabic" w:cs="Simplified Arabic"/>
          <w:spacing w:val="0"/>
          <w:rtl/>
        </w:rPr>
        <w:t xml:space="preserve"> تنفيذ هذه القوانين وإنفاذها. فنقص البيانات وتعدد الهيئات وتداخلها وقصور الموارد البشرية يجعل من اليسير تفادي القوانين البيئية. وستتطلب معالجة هذه القضايا </w:t>
      </w:r>
      <w:r w:rsidRPr="00FF3102">
        <w:rPr>
          <w:rFonts w:ascii="Simplified Arabic" w:eastAsiaTheme="minorEastAsia" w:hAnsi="Simplified Arabic" w:cs="Simplified Arabic"/>
          <w:rtl/>
        </w:rPr>
        <w:t>دعما</w:t>
      </w:r>
      <w:r w:rsidRPr="00FF3102">
        <w:rPr>
          <w:rFonts w:ascii="Simplified Arabic" w:eastAsiaTheme="minorEastAsia" w:hAnsi="Simplified Arabic" w:cs="Simplified Arabic"/>
          <w:spacing w:val="0"/>
          <w:rtl/>
        </w:rPr>
        <w:t xml:space="preserve"> من المجتمع المدني، وقد يساعد نشر المعلومات والمخاطر البيئية للجمهور في </w:t>
      </w:r>
      <w:r w:rsidRPr="00FF3102">
        <w:rPr>
          <w:rFonts w:ascii="Simplified Arabic" w:eastAsiaTheme="minorEastAsia" w:hAnsi="Simplified Arabic" w:cs="Simplified Arabic"/>
          <w:rtl/>
        </w:rPr>
        <w:t>اكتساب هذا الدعم والتأييد</w:t>
      </w:r>
      <w:r w:rsidRPr="00FF3102">
        <w:rPr>
          <w:rFonts w:ascii="Simplified Arabic" w:eastAsiaTheme="minorEastAsia" w:hAnsi="Simplified Arabic" w:cs="Simplified Arabic"/>
          <w:spacing w:val="0"/>
          <w:rtl/>
        </w:rPr>
        <w:t>. كما أن تحديث الدراسات التشخيصية البيئية يمكن أن يساعد في تحديد الأولويات. وخلاصة القول، تحتاج مصر إلى تبني نهج إنمائي قائم على مجابهة الأزمات يستند إلى فهم لمواطن الضعف والمخاطر.</w:t>
      </w:r>
    </w:p>
    <w:p w:rsidR="00810BAC" w:rsidRPr="00FF3102" w:rsidRDefault="00810BAC" w:rsidP="00906316">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 xml:space="preserve">ترتيب أولويات </w:t>
      </w:r>
      <w:r w:rsidR="00906316">
        <w:rPr>
          <w:rFonts w:ascii="Simplified Arabic" w:eastAsiaTheme="minorEastAsia" w:hAnsi="Simplified Arabic" w:cs="Simplified Arabic" w:hint="cs"/>
          <w:iCs/>
          <w:sz w:val="24"/>
          <w:szCs w:val="24"/>
          <w:rtl/>
        </w:rPr>
        <w:t>إسهامات البنك الدولي وفقا</w:t>
      </w:r>
      <w:r w:rsidRPr="00FF3102">
        <w:rPr>
          <w:rFonts w:ascii="Simplified Arabic" w:eastAsiaTheme="minorEastAsia" w:hAnsi="Simplified Arabic" w:cs="Simplified Arabic"/>
          <w:iCs/>
          <w:sz w:val="24"/>
          <w:szCs w:val="24"/>
          <w:rtl/>
        </w:rPr>
        <w:t xml:space="preserve"> </w:t>
      </w:r>
      <w:r w:rsidR="00906316">
        <w:rPr>
          <w:rFonts w:ascii="Simplified Arabic" w:eastAsiaTheme="minorEastAsia" w:hAnsi="Simplified Arabic" w:cs="Simplified Arabic" w:hint="cs"/>
          <w:iCs/>
          <w:sz w:val="24"/>
          <w:szCs w:val="24"/>
          <w:rtl/>
        </w:rPr>
        <w:t>ل</w:t>
      </w:r>
      <w:r w:rsidRPr="00FF3102">
        <w:rPr>
          <w:rFonts w:ascii="Simplified Arabic" w:eastAsiaTheme="minorEastAsia" w:hAnsi="Simplified Arabic" w:cs="Simplified Arabic"/>
          <w:iCs/>
          <w:sz w:val="24"/>
          <w:szCs w:val="24"/>
          <w:rtl/>
        </w:rPr>
        <w:t>إطار الشراكة الإستراتيجية</w:t>
      </w:r>
    </w:p>
    <w:p w:rsidR="00810BAC" w:rsidRPr="00FF3102" w:rsidRDefault="00B14B82" w:rsidP="00E56237">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Pr>
          <w:rFonts w:ascii="Simplified Arabic" w:eastAsiaTheme="minorEastAsia" w:hAnsi="Simplified Arabic" w:cs="Simplified Arabic" w:hint="cs"/>
          <w:bCs/>
          <w:iCs/>
          <w:spacing w:val="0"/>
          <w:rtl/>
          <w:lang w:bidi="ar-EG"/>
        </w:rPr>
        <w:t>تتوقف</w:t>
      </w:r>
      <w:r w:rsidR="00810BAC" w:rsidRPr="00FF3102">
        <w:rPr>
          <w:rFonts w:ascii="Simplified Arabic" w:eastAsiaTheme="minorEastAsia" w:hAnsi="Simplified Arabic" w:cs="Simplified Arabic"/>
          <w:bCs/>
          <w:iCs/>
          <w:spacing w:val="0"/>
          <w:rtl/>
        </w:rPr>
        <w:t xml:space="preserve"> </w:t>
      </w:r>
      <w:r w:rsidR="00906316">
        <w:rPr>
          <w:rFonts w:ascii="Simplified Arabic" w:eastAsiaTheme="minorEastAsia" w:hAnsi="Simplified Arabic" w:cs="Simplified Arabic" w:hint="cs"/>
          <w:bCs/>
          <w:iCs/>
          <w:spacing w:val="0"/>
          <w:rtl/>
        </w:rPr>
        <w:t>إسهامات البنك</w:t>
      </w:r>
      <w:r w:rsidR="00810BAC" w:rsidRPr="00FF3102">
        <w:rPr>
          <w:rFonts w:ascii="Simplified Arabic" w:eastAsiaTheme="minorEastAsia" w:hAnsi="Simplified Arabic" w:cs="Simplified Arabic"/>
          <w:bCs/>
          <w:iCs/>
          <w:spacing w:val="0"/>
          <w:rtl/>
        </w:rPr>
        <w:t xml:space="preserve"> التي</w:t>
      </w:r>
      <w:r>
        <w:rPr>
          <w:rFonts w:ascii="Simplified Arabic" w:eastAsiaTheme="minorEastAsia" w:hAnsi="Simplified Arabic" w:cs="Simplified Arabic" w:hint="cs"/>
          <w:bCs/>
          <w:iCs/>
          <w:spacing w:val="0"/>
          <w:rtl/>
        </w:rPr>
        <w:t xml:space="preserve"> وقع عليها الإختيار في</w:t>
      </w:r>
      <w:r w:rsidR="00810BAC" w:rsidRPr="00FF3102">
        <w:rPr>
          <w:rFonts w:ascii="Simplified Arabic" w:eastAsiaTheme="minorEastAsia" w:hAnsi="Simplified Arabic" w:cs="Simplified Arabic"/>
          <w:bCs/>
          <w:iCs/>
          <w:spacing w:val="0"/>
          <w:rtl/>
        </w:rPr>
        <w:t xml:space="preserve"> إطار الشراكة الإستراتيجية خلال فترة السنوات المالية 2015-2019</w:t>
      </w:r>
      <w:r>
        <w:rPr>
          <w:rFonts w:ascii="Simplified Arabic" w:eastAsiaTheme="minorEastAsia" w:hAnsi="Simplified Arabic" w:cs="Simplified Arabic" w:hint="cs"/>
          <w:bCs/>
          <w:iCs/>
          <w:spacing w:val="0"/>
          <w:rtl/>
        </w:rPr>
        <w:t xml:space="preserve"> علي توافر</w:t>
      </w:r>
      <w:r w:rsidR="00810BAC" w:rsidRPr="00FF3102">
        <w:rPr>
          <w:rFonts w:ascii="Simplified Arabic" w:eastAsiaTheme="minorEastAsia" w:hAnsi="Simplified Arabic" w:cs="Simplified Arabic"/>
          <w:bCs/>
          <w:iCs/>
          <w:spacing w:val="0"/>
          <w:rtl/>
        </w:rPr>
        <w:t xml:space="preserve"> </w:t>
      </w:r>
      <w:r w:rsidR="00810BAC" w:rsidRPr="00FF3102">
        <w:rPr>
          <w:rFonts w:ascii="Simplified Arabic" w:eastAsiaTheme="minorEastAsia" w:hAnsi="Simplified Arabic" w:cs="Simplified Arabic"/>
          <w:bCs/>
          <w:iCs/>
          <w:spacing w:val="0"/>
          <w:u w:val="single"/>
          <w:rtl/>
        </w:rPr>
        <w:t xml:space="preserve">أي ثلاثة من </w:t>
      </w:r>
      <w:r>
        <w:rPr>
          <w:rFonts w:ascii="Simplified Arabic" w:eastAsiaTheme="minorEastAsia" w:hAnsi="Simplified Arabic" w:cs="Simplified Arabic" w:hint="cs"/>
          <w:bCs/>
          <w:iCs/>
          <w:spacing w:val="0"/>
          <w:u w:val="single"/>
          <w:rtl/>
        </w:rPr>
        <w:t>ال</w:t>
      </w:r>
      <w:r w:rsidR="00810BAC" w:rsidRPr="00FF3102">
        <w:rPr>
          <w:rFonts w:ascii="Simplified Arabic" w:eastAsiaTheme="minorEastAsia" w:hAnsi="Simplified Arabic" w:cs="Simplified Arabic"/>
          <w:bCs/>
          <w:iCs/>
          <w:spacing w:val="0"/>
          <w:u w:val="single"/>
          <w:rtl/>
        </w:rPr>
        <w:t>معايير</w:t>
      </w:r>
      <w:r>
        <w:rPr>
          <w:rFonts w:ascii="Simplified Arabic" w:eastAsiaTheme="minorEastAsia" w:hAnsi="Simplified Arabic" w:cs="Simplified Arabic" w:hint="cs"/>
          <w:bCs/>
          <w:iCs/>
          <w:spacing w:val="0"/>
          <w:u w:val="single"/>
          <w:rtl/>
        </w:rPr>
        <w:t xml:space="preserve"> ا</w:t>
      </w:r>
      <w:r w:rsidR="00810BAC" w:rsidRPr="00FF3102">
        <w:rPr>
          <w:rFonts w:ascii="Simplified Arabic" w:eastAsiaTheme="minorEastAsia" w:hAnsi="Simplified Arabic" w:cs="Simplified Arabic"/>
          <w:bCs/>
          <w:iCs/>
          <w:spacing w:val="0"/>
          <w:u w:val="single"/>
          <w:rtl/>
        </w:rPr>
        <w:t>لأربعة</w:t>
      </w:r>
      <w:r w:rsidR="00810BAC" w:rsidRPr="00FF3102">
        <w:rPr>
          <w:rFonts w:ascii="Simplified Arabic" w:eastAsiaTheme="minorEastAsia" w:hAnsi="Simplified Arabic" w:cs="Simplified Arabic"/>
          <w:bCs/>
          <w:iCs/>
          <w:spacing w:val="0"/>
          <w:rtl/>
        </w:rPr>
        <w:t xml:space="preserve"> الواردة في </w:t>
      </w:r>
      <w:r w:rsidR="00810BAC" w:rsidRPr="00FF3102">
        <w:rPr>
          <w:rFonts w:ascii="Simplified Arabic" w:eastAsiaTheme="minorEastAsia" w:hAnsi="Simplified Arabic" w:cs="Simplified Arabic"/>
          <w:bCs/>
          <w:iCs/>
          <w:rtl/>
        </w:rPr>
        <w:t>الدراسة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التشخيصية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المنهجية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الخاصة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بمصر</w:t>
      </w:r>
      <w:r w:rsidR="00810BAC" w:rsidRPr="00FF3102">
        <w:rPr>
          <w:rFonts w:ascii="Simplified Arabic" w:eastAsiaTheme="minorEastAsia" w:hAnsi="Simplified Arabic" w:cs="Simplified Arabic"/>
          <w:bCs/>
          <w:iCs/>
          <w:spacing w:val="0"/>
          <w:rtl/>
        </w:rPr>
        <w:t xml:space="preserve">. </w:t>
      </w:r>
      <w:r w:rsidR="00810BAC" w:rsidRPr="00FF3102">
        <w:rPr>
          <w:rFonts w:ascii="Simplified Arabic" w:eastAsiaTheme="minorEastAsia" w:hAnsi="Simplified Arabic" w:cs="Simplified Arabic"/>
          <w:spacing w:val="0"/>
          <w:rtl/>
        </w:rPr>
        <w:t xml:space="preserve">وكانت هذه المعايير الأربعة: </w:t>
      </w:r>
      <w:r w:rsidR="00810BAC" w:rsidRPr="00FF3102">
        <w:rPr>
          <w:rFonts w:ascii="Simplified Arabic" w:eastAsiaTheme="minorEastAsia" w:hAnsi="Simplified Arabic" w:cs="Simplified Arabic"/>
          <w:rtl/>
        </w:rPr>
        <w:t xml:space="preserve">(أ) </w:t>
      </w:r>
      <w:r w:rsidR="00810BAC" w:rsidRPr="00FF3102">
        <w:rPr>
          <w:rFonts w:ascii="Simplified Arabic" w:eastAsiaTheme="minorEastAsia" w:hAnsi="Simplified Arabic" w:cs="Simplified Arabic"/>
          <w:u w:val="single"/>
          <w:rtl/>
        </w:rPr>
        <w:t>تحسين نظام الإدارة العامة والحوكمة</w:t>
      </w:r>
      <w:r w:rsidR="00810BAC" w:rsidRPr="00FF3102">
        <w:rPr>
          <w:rFonts w:ascii="Simplified Arabic" w:eastAsiaTheme="minorEastAsia" w:hAnsi="Simplified Arabic" w:cs="Simplified Arabic"/>
          <w:rtl/>
        </w:rPr>
        <w:t xml:space="preserve"> من خلال تناول محاور بناء القدرات المؤسسية والشفافية والمساءلة في جميع جوانب الاستثمارات العامة وتقديم الخدمات؛ (ب) </w:t>
      </w:r>
      <w:r w:rsidR="00810BAC" w:rsidRPr="00FF3102">
        <w:rPr>
          <w:rFonts w:ascii="Simplified Arabic" w:eastAsiaTheme="minorEastAsia" w:hAnsi="Simplified Arabic" w:cs="Simplified Arabic"/>
          <w:u w:val="single"/>
          <w:rtl/>
        </w:rPr>
        <w:t>إحداث تأثير مباشر - وليس غير مباشر - على هدفي</w:t>
      </w:r>
      <w:r w:rsidR="00810BAC" w:rsidRPr="00FF3102">
        <w:rPr>
          <w:rFonts w:ascii="Simplified Arabic" w:eastAsiaTheme="minorEastAsia" w:hAnsi="Simplified Arabic" w:cs="Simplified Arabic"/>
          <w:rtl/>
        </w:rPr>
        <w:t xml:space="preserve"> إنهاء الفقر وزيادة مستوى الدخل لدى أفقر 40 في المائة من السكان على نحو قابل للاستمرار؛ (ج) </w:t>
      </w:r>
      <w:r w:rsidR="00810BAC" w:rsidRPr="00FF3102">
        <w:rPr>
          <w:rFonts w:ascii="Simplified Arabic" w:eastAsiaTheme="minorEastAsia" w:hAnsi="Simplified Arabic" w:cs="Simplified Arabic"/>
          <w:u w:val="single"/>
          <w:rtl/>
        </w:rPr>
        <w:t>معالجة الأهداف من أكثر من بُعد واحد</w:t>
      </w:r>
      <w:r w:rsidR="00810BAC" w:rsidRPr="00FF3102">
        <w:rPr>
          <w:rFonts w:ascii="Simplified Arabic" w:eastAsiaTheme="minorEastAsia" w:hAnsi="Simplified Arabic" w:cs="Simplified Arabic"/>
          <w:rtl/>
        </w:rPr>
        <w:t>.</w:t>
      </w:r>
      <w:r w:rsidR="00810BAC" w:rsidRPr="00FF3102">
        <w:rPr>
          <w:rFonts w:ascii="Simplified Arabic" w:eastAsiaTheme="minorEastAsia" w:hAnsi="Simplified Arabic" w:cs="Simplified Arabic"/>
          <w:spacing w:val="0"/>
          <w:rtl/>
        </w:rPr>
        <w:t xml:space="preserve"> فعلى سبيل المثال، قد تؤثر الإصلاحات الزراعية في رفاهة المزارعين وكذلك زيادة كفاءة استخدام المياه والبيئة من خلال الحد من تلوث المياه وربما الهواء. (د) </w:t>
      </w:r>
      <w:r w:rsidR="00810BAC" w:rsidRPr="00FF3102">
        <w:rPr>
          <w:rFonts w:ascii="Simplified Arabic" w:eastAsiaTheme="minorEastAsia" w:hAnsi="Simplified Arabic" w:cs="Simplified Arabic"/>
          <w:spacing w:val="0"/>
          <w:u w:val="single"/>
          <w:rtl/>
        </w:rPr>
        <w:t xml:space="preserve">احتمال تحقيق مكاسب سريعة، والتي تُعد ضرورية لتكوين حلقة </w:t>
      </w:r>
      <w:r w:rsidR="00616D05">
        <w:rPr>
          <w:rFonts w:ascii="Simplified Arabic" w:eastAsiaTheme="minorEastAsia" w:hAnsi="Simplified Arabic" w:cs="Simplified Arabic" w:hint="cs"/>
          <w:spacing w:val="0"/>
          <w:u w:val="single"/>
          <w:rtl/>
        </w:rPr>
        <w:t>جي</w:t>
      </w:r>
      <w:r w:rsidR="00810BAC" w:rsidRPr="00FF3102">
        <w:rPr>
          <w:rFonts w:ascii="Simplified Arabic" w:eastAsiaTheme="minorEastAsia" w:hAnsi="Simplified Arabic" w:cs="Simplified Arabic"/>
          <w:spacing w:val="0"/>
          <w:u w:val="single"/>
          <w:rtl/>
        </w:rPr>
        <w:t>دة من التغيير وتعزيز الد</w:t>
      </w:r>
      <w:r w:rsidR="00E56237">
        <w:rPr>
          <w:rFonts w:ascii="Simplified Arabic" w:eastAsiaTheme="minorEastAsia" w:hAnsi="Simplified Arabic" w:cs="Simplified Arabic" w:hint="cs"/>
          <w:spacing w:val="0"/>
          <w:u w:val="single"/>
          <w:rtl/>
        </w:rPr>
        <w:t>عم</w:t>
      </w:r>
      <w:r w:rsidR="00810BAC" w:rsidRPr="00FF3102">
        <w:rPr>
          <w:rFonts w:ascii="Simplified Arabic" w:eastAsiaTheme="minorEastAsia" w:hAnsi="Simplified Arabic" w:cs="Simplified Arabic"/>
          <w:spacing w:val="0"/>
          <w:u w:val="single"/>
          <w:rtl/>
        </w:rPr>
        <w:t xml:space="preserve"> السياسي</w:t>
      </w:r>
      <w:r w:rsidR="00810BAC" w:rsidRPr="00FF3102">
        <w:rPr>
          <w:rFonts w:ascii="Simplified Arabic" w:eastAsiaTheme="minorEastAsia" w:hAnsi="Simplified Arabic" w:cs="Simplified Arabic"/>
          <w:spacing w:val="0"/>
          <w:rtl/>
        </w:rPr>
        <w:t>.</w:t>
      </w:r>
      <w:r w:rsidR="00810BAC" w:rsidRPr="00FF3102">
        <w:rPr>
          <w:rFonts w:ascii="Simplified Arabic" w:eastAsiaTheme="minorEastAsia" w:hAnsi="Simplified Arabic" w:cs="Simplified Arabic"/>
          <w:spacing w:val="0"/>
        </w:rPr>
        <w:t xml:space="preserve"> </w:t>
      </w:r>
      <w:r w:rsidR="00810BAC" w:rsidRPr="00FF3102">
        <w:rPr>
          <w:rFonts w:ascii="Simplified Arabic" w:eastAsiaTheme="minorEastAsia" w:hAnsi="Simplified Arabic" w:cs="Simplified Arabic"/>
          <w:spacing w:val="0"/>
          <w:rtl/>
        </w:rPr>
        <w:t xml:space="preserve">ويشتمل إطار الشراكة الإستراتيجية أيضا على مشروعات جاري تنفيذها نظرا لأن بعض النتائج المتوقع تحقيقها في السنوات القليلة القادمة نتيجة لقروض البنك ستتأتى بالدرجة الأولى من هذه العمليات الجارية، وإن كان بعض هذه المشروعات القديمة لا يتناسب مع أولويات </w:t>
      </w:r>
      <w:r w:rsidR="00810BAC" w:rsidRPr="00FF3102">
        <w:rPr>
          <w:rFonts w:ascii="Simplified Arabic" w:eastAsiaTheme="minorEastAsia" w:hAnsi="Simplified Arabic" w:cs="Simplified Arabic"/>
          <w:rtl/>
        </w:rPr>
        <w:t>الدراسة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التشخيصية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المنهجية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الخاصة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بمصر</w:t>
      </w:r>
      <w:r w:rsidR="00810BAC" w:rsidRPr="00FF3102">
        <w:rPr>
          <w:rFonts w:ascii="Simplified Arabic" w:eastAsiaTheme="minorEastAsia" w:hAnsi="Simplified Arabic" w:cs="Simplified Arabic"/>
          <w:spacing w:val="0"/>
          <w:rtl/>
        </w:rPr>
        <w:t xml:space="preserve">. وتشمل هذه المشروعات، على سبيل المثال، المطارات وتوليد الطاقة. وتتسق </w:t>
      </w:r>
      <w:r w:rsidR="00E56237">
        <w:rPr>
          <w:rFonts w:ascii="Simplified Arabic" w:eastAsiaTheme="minorEastAsia" w:hAnsi="Simplified Arabic" w:cs="Simplified Arabic" w:hint="cs"/>
          <w:spacing w:val="0"/>
          <w:rtl/>
        </w:rPr>
        <w:t>الإسهامات المرتقبة</w:t>
      </w:r>
      <w:r w:rsidR="00810BAC" w:rsidRPr="00FF3102">
        <w:rPr>
          <w:rFonts w:ascii="Simplified Arabic" w:eastAsiaTheme="minorEastAsia" w:hAnsi="Simplified Arabic" w:cs="Simplified Arabic"/>
          <w:spacing w:val="0"/>
          <w:rtl/>
        </w:rPr>
        <w:t xml:space="preserve"> التي سيجري </w:t>
      </w:r>
      <w:r w:rsidR="00810BAC" w:rsidRPr="00FF3102">
        <w:rPr>
          <w:rFonts w:ascii="Simplified Arabic" w:eastAsiaTheme="minorEastAsia" w:hAnsi="Simplified Arabic" w:cs="Simplified Arabic"/>
          <w:iCs/>
          <w:spacing w:val="0"/>
          <w:rtl/>
        </w:rPr>
        <w:t>تنفيذها</w:t>
      </w:r>
      <w:r w:rsidR="00E56237">
        <w:rPr>
          <w:rFonts w:ascii="Simplified Arabic" w:eastAsiaTheme="minorEastAsia" w:hAnsi="Simplified Arabic" w:cs="Simplified Arabic"/>
          <w:spacing w:val="0"/>
          <w:rtl/>
        </w:rPr>
        <w:t xml:space="preserve"> مع</w:t>
      </w:r>
      <w:r w:rsidR="00E56237">
        <w:rPr>
          <w:rFonts w:ascii="Simplified Arabic" w:eastAsiaTheme="minorEastAsia" w:hAnsi="Simplified Arabic" w:cs="Simplified Arabic" w:hint="cs"/>
          <w:spacing w:val="0"/>
          <w:rtl/>
        </w:rPr>
        <w:t xml:space="preserve"> </w:t>
      </w:r>
      <w:r w:rsidR="00810BAC" w:rsidRPr="00FF3102">
        <w:rPr>
          <w:rFonts w:ascii="Simplified Arabic" w:eastAsiaTheme="minorEastAsia" w:hAnsi="Simplified Arabic" w:cs="Simplified Arabic"/>
          <w:spacing w:val="0"/>
          <w:rtl/>
        </w:rPr>
        <w:t>محرك</w:t>
      </w:r>
      <w:r w:rsidR="00E56237">
        <w:rPr>
          <w:rFonts w:ascii="Simplified Arabic" w:eastAsiaTheme="minorEastAsia" w:hAnsi="Simplified Arabic" w:cs="Simplified Arabic" w:hint="cs"/>
          <w:spacing w:val="0"/>
          <w:rtl/>
        </w:rPr>
        <w:t>ات ومعايير</w:t>
      </w:r>
      <w:r w:rsidR="00810BAC" w:rsidRPr="00FF3102">
        <w:rPr>
          <w:rFonts w:ascii="Simplified Arabic" w:eastAsiaTheme="minorEastAsia" w:hAnsi="Simplified Arabic" w:cs="Simplified Arabic"/>
          <w:spacing w:val="0"/>
          <w:rtl/>
        </w:rPr>
        <w:t xml:space="preserve"> </w:t>
      </w:r>
      <w:r w:rsidR="00E56237">
        <w:rPr>
          <w:rFonts w:ascii="Simplified Arabic" w:eastAsiaTheme="minorEastAsia" w:hAnsi="Simplified Arabic" w:cs="Simplified Arabic" w:hint="cs"/>
          <w:spacing w:val="0"/>
          <w:rtl/>
        </w:rPr>
        <w:t>ا</w:t>
      </w:r>
      <w:r w:rsidR="00E56237">
        <w:rPr>
          <w:rFonts w:ascii="Simplified Arabic" w:eastAsiaTheme="minorEastAsia" w:hAnsi="Simplified Arabic" w:cs="Simplified Arabic"/>
          <w:spacing w:val="0"/>
          <w:rtl/>
        </w:rPr>
        <w:t>لدراسة التشخيصية</w:t>
      </w:r>
      <w:r w:rsidR="00810BAC" w:rsidRPr="00FF3102">
        <w:rPr>
          <w:rFonts w:ascii="Simplified Arabic" w:eastAsiaTheme="minorEastAsia" w:hAnsi="Simplified Arabic" w:cs="Simplified Arabic"/>
          <w:spacing w:val="0"/>
          <w:rtl/>
        </w:rPr>
        <w:t>.</w:t>
      </w:r>
    </w:p>
    <w:p w:rsidR="00810BAC" w:rsidRPr="00FF3102" w:rsidRDefault="002A2E25" w:rsidP="00D23C58">
      <w:pPr>
        <w:pStyle w:val="Head1"/>
        <w:rPr>
          <w:szCs w:val="24"/>
        </w:rPr>
      </w:pPr>
      <w:bookmarkStart w:id="682" w:name="_Toc439184542"/>
      <w:r w:rsidRPr="00FF3102">
        <w:rPr>
          <w:rtl/>
        </w:rPr>
        <w:t xml:space="preserve">رابعا. </w:t>
      </w:r>
      <w:r w:rsidR="00810BAC" w:rsidRPr="00FF3102">
        <w:rPr>
          <w:rtl/>
        </w:rPr>
        <w:t>إستراتيجية الحكومة</w:t>
      </w:r>
      <w:r w:rsidRPr="00FF3102">
        <w:rPr>
          <w:rStyle w:val="FootnoteReference"/>
          <w:rFonts w:cs="Simplified Arabic"/>
          <w:iCs w:val="0"/>
          <w:rtl/>
        </w:rPr>
        <w:footnoteReference w:id="17"/>
      </w:r>
      <w:bookmarkEnd w:id="682"/>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طرحت الحكومة المصرية مؤخرا إستراتيجيتها الإنمائية طويلة الأمد حتى عام 2030، ويمكن تجميع ركائزها الاثنتي عشرة في ثلاثة مجالات رئيسية: استعادة استقرار الاقتصاد الكلي، وتحسين تقديم خدمات القطاع العام، وتعزيز العدالة الاجتماعية والاحتواء الاجتماعي. </w:t>
      </w:r>
      <w:r w:rsidRPr="00FF3102">
        <w:rPr>
          <w:rFonts w:ascii="Simplified Arabic" w:eastAsiaTheme="minorEastAsia" w:hAnsi="Simplified Arabic" w:cs="Simplified Arabic"/>
          <w:spacing w:val="0"/>
          <w:rtl/>
        </w:rPr>
        <w:t>وقد أُعدِّت هذه الإستراتيجية باستخدام نهج تشاركي</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 xml:space="preserve">حيث جرى التشاور مع المجتمع المدني والقطاع الخاص والشباب المصري وشركاء التنمية الدوليين. وتتمثل </w:t>
      </w:r>
      <w:r w:rsidRPr="00FF3102">
        <w:rPr>
          <w:rFonts w:ascii="Simplified Arabic" w:eastAsiaTheme="minorEastAsia" w:hAnsi="Simplified Arabic" w:cs="Simplified Arabic"/>
          <w:rtl/>
        </w:rPr>
        <w:t xml:space="preserve">أبرز سمات </w:t>
      </w:r>
      <w:r w:rsidRPr="00FF3102">
        <w:rPr>
          <w:rFonts w:ascii="Simplified Arabic" w:eastAsiaTheme="minorEastAsia" w:hAnsi="Simplified Arabic" w:cs="Simplified Arabic"/>
          <w:spacing w:val="0"/>
          <w:rtl/>
        </w:rPr>
        <w:t>هذه الإستراتيجية في التركيز على الدور القيادي المتوقع أن يلعبه القطاع الخاص في التنمية الاقتصادية، والتأكيد على الحاجة إلى تعزيز الشفافية والمساءلة في القطاع العام، والتأكيد على احتواء الجميع في مجال العدالة الاجتماعية. و</w:t>
      </w:r>
      <w:r w:rsidRPr="00FF3102">
        <w:rPr>
          <w:rFonts w:ascii="Simplified Arabic" w:eastAsiaTheme="minorEastAsia" w:hAnsi="Simplified Arabic" w:cs="Simplified Arabic"/>
          <w:rtl/>
        </w:rPr>
        <w:t>توضح</w:t>
      </w:r>
      <w:r w:rsidRPr="00FF3102">
        <w:rPr>
          <w:rFonts w:ascii="Simplified Arabic" w:eastAsiaTheme="minorEastAsia" w:hAnsi="Simplified Arabic" w:cs="Simplified Arabic"/>
          <w:spacing w:val="0"/>
          <w:rtl/>
        </w:rPr>
        <w:t xml:space="preserve"> الفقرات التالية </w:t>
      </w:r>
      <w:r w:rsidRPr="00FF3102">
        <w:rPr>
          <w:rFonts w:ascii="Simplified Arabic" w:eastAsiaTheme="minorEastAsia" w:hAnsi="Simplified Arabic" w:cs="Simplified Arabic"/>
          <w:rtl/>
        </w:rPr>
        <w:t>ا</w:t>
      </w:r>
      <w:r w:rsidRPr="00FF3102">
        <w:rPr>
          <w:rFonts w:ascii="Simplified Arabic" w:eastAsiaTheme="minorEastAsia" w:hAnsi="Simplified Arabic" w:cs="Simplified Arabic"/>
          <w:spacing w:val="0"/>
          <w:rtl/>
        </w:rPr>
        <w:t xml:space="preserve">لركائز الأساسية لإستراتيجية التنمية الخاصة بالحكومة المصرية. وكما هو الحال مع جميع الإستراتيجيات، </w:t>
      </w:r>
      <w:r w:rsidRPr="00FF3102">
        <w:rPr>
          <w:rFonts w:ascii="Simplified Arabic" w:eastAsiaTheme="minorEastAsia" w:hAnsi="Simplified Arabic" w:cs="Simplified Arabic"/>
          <w:rtl/>
        </w:rPr>
        <w:t>فإن النجاح سيتوقف على نحو رئيسي على جودة تنفيذ المبادرات الإستراتيجية.</w:t>
      </w:r>
    </w:p>
    <w:p w:rsidR="00810BAC" w:rsidRPr="00FF3102" w:rsidRDefault="00810BAC" w:rsidP="001E71BE">
      <w:pPr>
        <w:pStyle w:val="Heading4"/>
        <w:numPr>
          <w:ilvl w:val="6"/>
          <w:numId w:val="9"/>
        </w:numPr>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bCs w:val="0"/>
          <w:sz w:val="24"/>
          <w:szCs w:val="24"/>
        </w:rPr>
        <w:t xml:space="preserve"> </w:t>
      </w:r>
      <w:r w:rsidRPr="00FF3102">
        <w:rPr>
          <w:rFonts w:ascii="Simplified Arabic" w:eastAsiaTheme="minorEastAsia" w:hAnsi="Simplified Arabic" w:cs="Simplified Arabic"/>
          <w:iCs/>
          <w:sz w:val="24"/>
          <w:szCs w:val="24"/>
          <w:rtl/>
        </w:rPr>
        <w:t>استعادة استقرار الاقتصاد الكلي وتحقيق النمو الاقتصادي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تسعى الحكومة المصرية إلى تنفيذ خطة طموحة لضبط أوضاع المالية العامة تستهدف خفض عجز الموازنة العامة إلى ما يتراوح بين 8 و 8.5 في المائة من إجمالي الناتج المحلي مقابل 13 في المائة خلال السنة المالية 2013، وكذلك خفض الدين العام إلى 85 في المائة من إجمالي الناتج المحلي بنهاية السنة المالية 2019، مقابل 91 في المائة من إجمالي الناتج المحلي في السنة المالية 2015.</w:t>
      </w:r>
      <w:r w:rsidRPr="00FF3102">
        <w:rPr>
          <w:rFonts w:ascii="Simplified Arabic" w:eastAsiaTheme="minorEastAsia" w:hAnsi="Simplified Arabic" w:cs="Simplified Arabic"/>
          <w:bCs/>
          <w:iCs/>
          <w:spacing w:val="0"/>
          <w:rtl/>
        </w:rPr>
        <w:t xml:space="preserve"> </w:t>
      </w:r>
      <w:r w:rsidRPr="00FF3102">
        <w:rPr>
          <w:rFonts w:ascii="Simplified Arabic" w:eastAsiaTheme="minorEastAsia" w:hAnsi="Simplified Arabic" w:cs="Simplified Arabic"/>
          <w:spacing w:val="0"/>
          <w:rtl/>
        </w:rPr>
        <w:t xml:space="preserve">وسيشمل ذلك، على جانب الإيرادات، توسيع الوعاء الضريبي ومكافحة التهرب الضريبي وتجنب دفع الضرائب. </w:t>
      </w:r>
      <w:r w:rsidRPr="00FF3102">
        <w:rPr>
          <w:rFonts w:ascii="Simplified Arabic" w:eastAsiaTheme="minorEastAsia" w:hAnsi="Simplified Arabic" w:cs="Simplified Arabic"/>
          <w:rtl/>
        </w:rPr>
        <w:t>وعلى جانب الإنفاق، تعتزم الحكومة مواصلة خفض دعم الوقود مع تخصيص جزء من الموارد الإضافية لصالح قطاعات الصحة والتعليم والبحث العلمي واستثمارات البنية التحتية.</w:t>
      </w:r>
      <w:r w:rsidRPr="00FF3102">
        <w:rPr>
          <w:rFonts w:ascii="Simplified Arabic" w:eastAsiaTheme="minorEastAsia" w:hAnsi="Simplified Arabic" w:cs="Simplified Arabic"/>
          <w:spacing w:val="0"/>
          <w:rtl/>
        </w:rPr>
        <w:t xml:space="preserve"> وفي السنة المالية 2015، بلغ إجمالي عجز الموازنة العامة 11.5 في المائة من إجمالي الناتج المحلي، منخفضاً عما كان عليه في السنة المالية 2014، وتستهدف موازنة السنة المالية 2016 الوصول بهذا العجز إلى 9 في المائة من إجمالي الناتج المحلي.</w:t>
      </w:r>
      <w:r w:rsidR="002A2E25" w:rsidRPr="00FF3102">
        <w:rPr>
          <w:rStyle w:val="FootnoteReference"/>
          <w:rFonts w:ascii="Simplified Arabic" w:eastAsiaTheme="minorEastAsia" w:hAnsi="Simplified Arabic" w:cs="Simplified Arabic"/>
          <w:spacing w:val="0"/>
          <w:rtl/>
        </w:rPr>
        <w:footnoteReference w:id="18"/>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وسيتطلب ضبط أوضاع المالية العامة مواصلة الإصلاحات في ظل ارتفاع مدفوعات الفائدة، والحدود المستهدفة التي قررها الدستور للإنفاق على قطاعات الصحة والتعليم والبحث العلمي، وكذلك تبني برنامج طموح للاستثمارات العامة.</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الحكومة المصرية لديها أيضا إستراتيجية متوسطة الأمد لتلبية احتياجات البلاد المتنامية من الطاقة من خلال مواصلة إصلاح قطاع الطاقة.</w:t>
      </w:r>
      <w:r w:rsidRPr="00FF3102">
        <w:rPr>
          <w:rFonts w:ascii="Simplified Arabic" w:eastAsiaTheme="minorEastAsia" w:hAnsi="Simplified Arabic" w:cs="Simplified Arabic"/>
          <w:spacing w:val="0"/>
          <w:rtl/>
        </w:rPr>
        <w:t xml:space="preserve"> وتعتزم الحكومة تعزيز أمن الطاقة والاستدامة المالية طويلة الأمد لهذا القطاع، وهو ما سيتطلب تنفيذ برنامج إصلاح مستدام واستثمارات موجهة.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وتم سن قانون جديد للكهرباء لتعزيز دور القطاع الخاص في مجال الطاقة المتجددة وإنشاء هيئات تنظيمية مستقلة للغاز والكهرباء. وتخطط الحكومة لتنويع مزيج قدرات التوليد باستهداف إنتاج 20 في المائة من الطاقة من مصادر متجددة (من بينها </w:t>
      </w:r>
      <w:r w:rsidRPr="00FF3102">
        <w:rPr>
          <w:rFonts w:ascii="Simplified Arabic" w:eastAsiaTheme="minorEastAsia" w:hAnsi="Simplified Arabic" w:cs="Simplified Arabic"/>
          <w:rtl/>
        </w:rPr>
        <w:t>الطاقة الكهرومائية</w:t>
      </w:r>
      <w:r w:rsidRPr="00FF3102">
        <w:rPr>
          <w:rFonts w:ascii="Simplified Arabic" w:eastAsiaTheme="minorEastAsia" w:hAnsi="Simplified Arabic" w:cs="Simplified Arabic"/>
          <w:spacing w:val="0"/>
          <w:rtl/>
        </w:rPr>
        <w:t>) بحلول عام 2022. وقد طرحت الحكومة مناقصات وأصدر</w:t>
      </w:r>
      <w:r w:rsidRPr="00FF3102">
        <w:rPr>
          <w:rFonts w:ascii="Simplified Arabic" w:eastAsiaTheme="minorEastAsia" w:hAnsi="Simplified Arabic" w:cs="Simplified Arabic"/>
          <w:rtl/>
        </w:rPr>
        <w:t>ت</w:t>
      </w:r>
      <w:r w:rsidRPr="00FF3102">
        <w:rPr>
          <w:rFonts w:ascii="Simplified Arabic" w:eastAsiaTheme="minorEastAsia" w:hAnsi="Simplified Arabic" w:cs="Simplified Arabic"/>
          <w:spacing w:val="0"/>
          <w:rtl/>
        </w:rPr>
        <w:t xml:space="preserve"> لائحة جديدة للتعريفة المفروضة على إمدادات الطاقة بهدف جذب استثمارات خاصة لإنتاج ما يصل </w:t>
      </w:r>
      <w:r w:rsidRPr="00FF3102">
        <w:rPr>
          <w:rFonts w:ascii="Simplified Arabic" w:eastAsiaTheme="minorEastAsia" w:hAnsi="Simplified Arabic" w:cs="Simplified Arabic"/>
          <w:rtl/>
        </w:rPr>
        <w:t>إلى</w:t>
      </w:r>
      <w:r w:rsidRPr="00FF3102">
        <w:rPr>
          <w:rFonts w:ascii="Simplified Arabic" w:eastAsiaTheme="minorEastAsia" w:hAnsi="Simplified Arabic" w:cs="Simplified Arabic"/>
          <w:spacing w:val="0"/>
          <w:rtl/>
        </w:rPr>
        <w:t xml:space="preserve"> 4300 ميجاوات من طاقة التوليد الجديدة (2300 من الطاقة الشمسية و2000 من طاقة الرياح).</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وستقوم الحكومة أيضا بإدخال الفحم ضمن أنواع الوقود المستخدمة في توليد الكهرباء من أجل تخفيف الطلب على الغاز الطبيعي. وفي الوقت ذاته، تتوقع الحكومة استيراد غاز طبيعي وكهرباء- على الأقل في المدى القصير- لمواجهة عجز الطاقة الحالي، كما ستوجّه استثمارات لتحسين انتظام الشبكات ومستوى تقديم الخدمات. وسيتعيَّن على الحكومة أيضا الاستمرار في خفض دعم الطاقة، وإحداث تحسُّن كبير في الأرصدة النقدية لمؤسسات الأعمال المملوكة للدولة، وتحديث حوكمة هذا القطاع.</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كما سيتعيَّن على الحكومة مواصلة خفض دعم الطاقة، وتحسين الأرصدة النقدية لمؤسسات الأعمال المملوكة للدولة، ومراجعة سياسات قطاع النفط والغاز لمعالجة قضايا التسعير بدءاً من </w:t>
      </w:r>
      <w:r w:rsidRPr="00FF3102">
        <w:rPr>
          <w:rFonts w:ascii="Simplified Arabic" w:eastAsiaTheme="minorEastAsia" w:hAnsi="Simplified Arabic" w:cs="Simplified Arabic"/>
          <w:rtl/>
        </w:rPr>
        <w:t>المراحل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الأولى</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للإنتاج وصولاً إلى المدفوعات المتأخرة، وتحديث </w:t>
      </w:r>
      <w:r w:rsidRPr="00FF3102">
        <w:rPr>
          <w:rFonts w:ascii="Simplified Arabic" w:eastAsiaTheme="minorEastAsia" w:hAnsi="Simplified Arabic" w:cs="Simplified Arabic"/>
          <w:spacing w:val="0"/>
          <w:rtl/>
        </w:rPr>
        <w:t xml:space="preserve">حوكمة </w:t>
      </w:r>
      <w:r w:rsidRPr="00FF3102">
        <w:rPr>
          <w:rFonts w:ascii="Simplified Arabic" w:eastAsiaTheme="minorEastAsia" w:hAnsi="Simplified Arabic" w:cs="Simplified Arabic"/>
          <w:rtl/>
        </w:rPr>
        <w:t>القطاع.</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في إطار خطتها لتلبية احتياجات الطاقة، </w:t>
      </w:r>
      <w:r w:rsidRPr="00FF3102">
        <w:rPr>
          <w:rFonts w:ascii="Simplified Arabic" w:eastAsiaTheme="minorEastAsia" w:hAnsi="Simplified Arabic" w:cs="Simplified Arabic"/>
          <w:bCs/>
          <w:iCs/>
          <w:rtl/>
        </w:rPr>
        <w:t>شرعت</w:t>
      </w:r>
      <w:r w:rsidRPr="00FF3102">
        <w:rPr>
          <w:rFonts w:ascii="Simplified Arabic" w:eastAsiaTheme="minorEastAsia" w:hAnsi="Simplified Arabic" w:cs="Simplified Arabic"/>
          <w:bCs/>
          <w:iCs/>
          <w:spacing w:val="0"/>
          <w:rtl/>
        </w:rPr>
        <w:t xml:space="preserve"> الحكومة في خفض دعم الطاقة</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spacing w:val="0"/>
          <w:rtl/>
        </w:rPr>
        <w:t>ففي نوفمبر 2012، رفعت الحكومة أسعار الطاقة بالنسبة للصناعات كثيفة الاستهلاك للطاقة، واستُحدثت آلية لتعويض الشركة القابضة لكهرباء مصر عن زيادة تكلفة الكهرباء.</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وفي يوليو 2014، أعلنت الحكومة عن زيادات شاملة أخرى للأسعار تتراوح من 41 في المائة لبنزين 92 و 67 في المائة لوقود الديزل، إلى 77 في المائة لبنزين 80، وزيادة في سعر الكهرباء بنسبة 25 في المائة في المتوسط. ورغم ذلك، سيكون ضروريا إجراء زيادات كبيرة أخرى على الأسعار لإلغاء دعم الوقود بالكامل: وستتعيَّن زيادة أسعار وقود الديزل بواقع أربعة أضعاف من 0.25 دولار للتر إلى نحو دولار واحد للتر. وأصدرت الحكومة قرارا</w:t>
      </w:r>
      <w:r w:rsidRPr="00FF3102">
        <w:rPr>
          <w:rFonts w:ascii="Simplified Arabic" w:eastAsiaTheme="minorEastAsia" w:hAnsi="Simplified Arabic" w:cs="Simplified Arabic"/>
          <w:rtl/>
        </w:rPr>
        <w:t xml:space="preserve"> يقضي</w:t>
      </w:r>
      <w:r w:rsidRPr="00FF3102">
        <w:rPr>
          <w:rFonts w:ascii="Simplified Arabic" w:eastAsiaTheme="minorEastAsia" w:hAnsi="Simplified Arabic" w:cs="Simplified Arabic"/>
          <w:spacing w:val="0"/>
          <w:rtl/>
        </w:rPr>
        <w:t xml:space="preserve"> بزيادة الأسعار تدريجياً بهدف رفع الدعم عن</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الكهرباء بالكامل- باستثناء دعم محدود للأسر الفقيرة- خلال خمسة أعوام. وحتى الآن، ظل سعر غاز البترول المسال، الذي تستهلكه الأسر محدودة الدخل بكثافة أكبر نسبياً، دون تغيير إلى حين يتم التوسع في توصيل الغاز الطبيعي إلى المنازل.</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أكدت الحكومة المصرية على الدور الرائد الذي يجب أن يقوم به القطاع الخاص في استعادة النمو وتوفير فرص العمل على نحو قابل للاستمرار.</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وتعمل الحكومة على ثلاثة أصعدة لاستعادة ثقة المستثمرين: (أ) دعم المؤسسات القائمة/المستثمرين الحاليين. ويشمل ذلك دفع المتأخرات إلى شركات البناء وشركات النفط والغاز، وتحسين آليات تسوية المنازعات عن طريق تسوية المنازعات مع مستثمري القطاع الخاص خارج قاعات المحاكم من أجل استعادة الثقة وتجنب دفع أتعاب التحكيم باهظة التكلفة، ومساندة الشركات المفلسة لتمكينها من استئناف أعمالها، وتسوية المنازعات الضريبية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وإعادة جدولة المستحقات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وطرح أسعار جديدة للأراضي؛ (ب) تحسين سبل الوصول إلى الأسواق وتوسيع الفرص المتاحة أمام القطاع الخاص من خلال استكشاف إمكانية إنشاء منطقتين اقتصاديتين حرتين للمستثمرين الروس والخليجيين، وربط تشجيع الصادرات بتحقيق قيمة مضافة ودخول أسواق واعدة جديدة، والسماح لمستثمري القطاع الخاص بالمشاركة في مجالات توليد الكهرباء والطاقة المتجددة والتعدين</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وإصدار اتفاقيات امتياز جديدة لاستكشاف النفط والغاز وكذلك الصناعات الأخرى؛ (ج) تحسين البيئة القانونية والتنظيمية لأنشطة الأعمال من خلال إجراء إصلاحات تشريعية، والتركيز على نحو خاص على حماية المستثمرين، وتبسيط إجراءات إصدار التصاريح والتراخيص، وتسهيل تملُّك الأراضي وإصدار تصاريح البناء، وتبسيط إجراءات التصفية، وتحسين نظم اللوائح التنظيمية، وتحسين سبل حصول المشروعات المتوسطة والصغيرة ومتناهية الصغر على التمويل، بما في ذلك التمويل متناهي الصغر. وتركز الحكومة أيضاً – بمشاركة القطاع الخاص- على تحسين إمدادات الطاقة (بما فيها الطاقة المتجددة) والبنية التحتية وتزويد العمالة بالمهارات التي تحتاجها سوق العمل، وذلك لتلبية احتياجات الشركات الخاصة.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تستهدف الحكومة المصرية تحقيق معدل نمو حقيقي بنسبة 5 في المائة في السنة المالية 2016</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مقارنةً بمعدل نمو إجمالي الناتج المحلي الحقيقي </w:t>
      </w:r>
      <w:r w:rsidRPr="00FF3102">
        <w:rPr>
          <w:rFonts w:ascii="Simplified Arabic" w:eastAsiaTheme="minorEastAsia" w:hAnsi="Simplified Arabic" w:cs="Simplified Arabic"/>
          <w:bCs/>
          <w:iCs/>
          <w:rtl/>
        </w:rPr>
        <w:t>المقدَّر</w:t>
      </w:r>
      <w:r w:rsidRPr="00FF3102">
        <w:rPr>
          <w:rFonts w:ascii="Simplified Arabic" w:eastAsiaTheme="minorEastAsia" w:hAnsi="Simplified Arabic" w:cs="Simplified Arabic"/>
          <w:bCs/>
          <w:iCs/>
          <w:spacing w:val="0"/>
          <w:rtl/>
        </w:rPr>
        <w:t xml:space="preserve"> بنحو 4.2 في المائة في السنة المالية 2015، بارتفاعٍ عن معدل النمو السنوي البالغ 2 في المائة منذ السنة المالية 2011. </w:t>
      </w:r>
      <w:r w:rsidRPr="00FF3102">
        <w:rPr>
          <w:rFonts w:ascii="Simplified Arabic" w:eastAsiaTheme="minorEastAsia" w:hAnsi="Simplified Arabic" w:cs="Simplified Arabic"/>
          <w:spacing w:val="0"/>
          <w:rtl/>
        </w:rPr>
        <w:t>ويُتوقع تحقيق ذلك نتيجة زيادة الطلب المحلي في أعقاب انتعاش الأنشطة الاقتصادية بما في ذلك تعافي قطاع السياحة جزئياً، واستقرار التحويلات، وارتفاع الاستثمارات العامة في قطاعات النقل والصناعات التحويلية والاتصالات والسياحة والإسكان. وتعتزم الحكومة تنفيذ ستة مشروعات عملاقة تتضمن في منطقة قناة السويس: (أ) مشروع تنمية محور قناة السويس</w:t>
      </w:r>
      <w:r w:rsidR="002A2E25" w:rsidRPr="00FF3102">
        <w:rPr>
          <w:rStyle w:val="FootnoteReference"/>
          <w:rFonts w:ascii="Simplified Arabic" w:eastAsiaTheme="minorEastAsia" w:hAnsi="Simplified Arabic" w:cs="Simplified Arabic"/>
          <w:spacing w:val="0"/>
          <w:rtl/>
        </w:rPr>
        <w:footnoteReference w:id="19"/>
      </w:r>
      <w:r w:rsidRPr="00FF3102">
        <w:rPr>
          <w:rFonts w:ascii="Simplified Arabic" w:eastAsiaTheme="minorEastAsia" w:hAnsi="Simplified Arabic" w:cs="Simplified Arabic"/>
          <w:spacing w:val="0"/>
          <w:rtl/>
        </w:rPr>
        <w:t xml:space="preserve"> الذي يتألف من أربعة موانئ جديدة ومنطقة صناعية ووادٍ للتكنولوجيا في محافظة الإسماعلية وبرنامج للإسكان الميسَّر؛ (ب) مضاعفة الطاقة الاستيعابية لقناة السويس؛ (ج) تحسين شبكات الطرق وربط مناطق قناة السويس وسيناء.</w:t>
      </w:r>
      <w:r w:rsidR="002A2E25" w:rsidRPr="00FF3102">
        <w:rPr>
          <w:rStyle w:val="FootnoteReference"/>
          <w:rFonts w:ascii="Simplified Arabic" w:eastAsiaTheme="minorEastAsia" w:hAnsi="Simplified Arabic" w:cs="Simplified Arabic"/>
          <w:spacing w:val="0"/>
          <w:rtl/>
        </w:rPr>
        <w:footnoteReference w:id="20"/>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وتشمل المشروعات العملاقة الأخرى إنشاء 4800 كم من الطرق الجديدة، ومشروعا لاستصلاح الأراضي يشمل 4 ملايين فدان، ومشروع تنمية الساحل الشمالي الغربي، وتنمية المثلث الذهبي للتعدين.</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لكنه بدون إجراء تقييم متعمق للعائد على الاستثمار، فإن جميع هذه المشروعات العملاقة تنطوي على مخاطر اقتصادية وكذلك مخاطر محتملة على الموازنة العامة من جراء الالتزامات الطارئة.</w:t>
      </w:r>
    </w:p>
    <w:p w:rsidR="00810BAC" w:rsidRPr="00FF3102" w:rsidRDefault="00810BAC" w:rsidP="009B5FA7">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bCs w:val="0"/>
          <w:iCs/>
          <w:noProof/>
          <w:sz w:val="24"/>
          <w:szCs w:val="24"/>
          <w:rtl/>
        </w:rPr>
        <w:t>2</w:t>
      </w:r>
      <w:r w:rsidR="009B5FA7">
        <w:rPr>
          <w:rFonts w:ascii="Simplified Arabic" w:eastAsiaTheme="minorEastAsia" w:hAnsi="Simplified Arabic" w:cs="Simplified Arabic" w:hint="cs"/>
          <w:bCs w:val="0"/>
          <w:iCs/>
          <w:noProof/>
          <w:sz w:val="24"/>
          <w:szCs w:val="24"/>
          <w:rtl/>
        </w:rPr>
        <w:t xml:space="preserve">. </w:t>
      </w:r>
      <w:r w:rsidRPr="00FF3102">
        <w:rPr>
          <w:rFonts w:ascii="Simplified Arabic" w:eastAsiaTheme="minorEastAsia" w:hAnsi="Simplified Arabic" w:cs="Simplified Arabic"/>
          <w:bCs w:val="0"/>
          <w:sz w:val="24"/>
          <w:szCs w:val="24"/>
        </w:rPr>
        <w:t xml:space="preserve"> </w:t>
      </w:r>
      <w:r w:rsidRPr="00FF3102">
        <w:rPr>
          <w:rFonts w:ascii="Simplified Arabic" w:eastAsiaTheme="minorEastAsia" w:hAnsi="Simplified Arabic" w:cs="Simplified Arabic"/>
          <w:iCs/>
          <w:sz w:val="24"/>
          <w:szCs w:val="24"/>
          <w:rtl/>
        </w:rPr>
        <w:t>تحسين تقديم خدمات القطاع العام</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قامت وزارة التخطيط والمتابعة والإصلاح الإداري بإعداد خطة للإصلاحات الإدارية تمتد لثلاث سنوات بهدف الحد من الفساد وتطبيق اللامركزية لتحسين جودة وكفاءة الخدمات العامة.</w:t>
      </w:r>
      <w:r w:rsidRPr="00FF3102">
        <w:rPr>
          <w:rFonts w:ascii="Simplified Arabic" w:eastAsiaTheme="minorEastAsia" w:hAnsi="Simplified Arabic" w:cs="Simplified Arabic"/>
          <w:spacing w:val="0"/>
          <w:rtl/>
        </w:rPr>
        <w:t xml:space="preserve"> وتهدف هذه الخطة إلى: (أ) تبسيط الإطار القانوني لجميع وحدات/هيئات الإدارة العامة؛ (ب) تحسين فاعلية وكفاءة الهيئات الإدارية العامة وجودة الخدمات العامة؛ (ج) تعزيز قدرات موظفي جهاز الخدمة المدنية؛ (د) تعزيز الإنصاف والشفافية في تقديم الخدمات العامة؛ (ه) تدعيم المساءلة ومشاركة المواطنين؛ (و) ضمان كفاءة إدارة الأصول والمباني العامة بإنشاء قاعدة بيانات موحدة (سجل الأصول الثابتة).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وفي عام 2015، بدأت وزارة المالية في </w:t>
      </w:r>
      <w:r w:rsidRPr="00FF3102">
        <w:rPr>
          <w:rFonts w:ascii="Simplified Arabic" w:eastAsiaTheme="minorEastAsia" w:hAnsi="Simplified Arabic" w:cs="Simplified Arabic"/>
          <w:rtl/>
        </w:rPr>
        <w:t>إعداد</w:t>
      </w:r>
      <w:r w:rsidRPr="00FF3102">
        <w:rPr>
          <w:rFonts w:ascii="Simplified Arabic" w:eastAsiaTheme="minorEastAsia" w:hAnsi="Simplified Arabic" w:cs="Simplified Arabic"/>
          <w:spacing w:val="0"/>
          <w:rtl/>
        </w:rPr>
        <w:t xml:space="preserve"> إستراتيجية جديدة لإدارة شؤون المالية العامة </w:t>
      </w:r>
      <w:r w:rsidRPr="00FF3102">
        <w:rPr>
          <w:rFonts w:ascii="Simplified Arabic" w:eastAsiaTheme="minorEastAsia" w:hAnsi="Simplified Arabic" w:cs="Simplified Arabic"/>
          <w:rtl/>
        </w:rPr>
        <w:t xml:space="preserve">بغية </w:t>
      </w:r>
      <w:r w:rsidRPr="00FF3102">
        <w:rPr>
          <w:rFonts w:ascii="Simplified Arabic" w:eastAsiaTheme="minorEastAsia" w:hAnsi="Simplified Arabic" w:cs="Simplified Arabic"/>
          <w:spacing w:val="0"/>
          <w:rtl/>
        </w:rPr>
        <w:t>تحسين وضع موازنة الدولة وتنفيذها ورفع التقارير بشأنها، وإدارة مخاطر المالية العامة، وشفافية المالية العامة والمساءلة.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وتُعد هذه الإصلاحات مهمة وتساندها مجموعة البنك الدولي على نحو كامل، وإن كانت هناك قضايا أخرى تتعلق بنظام الإدارة العامة والحوكمة بحاجةٍ إلى إصلاحات، ومن بينها تحسين صياغة السياسات وتنفيذ استثمارات قطاعية وكذلك تحسين الأنظمة القانونية والقضائية. </w:t>
      </w:r>
    </w:p>
    <w:p w:rsidR="00810BAC" w:rsidRPr="00FF3102" w:rsidRDefault="00810BAC" w:rsidP="00810BAC">
      <w:pPr>
        <w:pStyle w:val="Heading4"/>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bCs w:val="0"/>
          <w:sz w:val="24"/>
          <w:szCs w:val="24"/>
          <w:rtl/>
        </w:rPr>
        <w:t>3.</w:t>
      </w:r>
      <w:r w:rsidRPr="00FF3102">
        <w:rPr>
          <w:rFonts w:ascii="Simplified Arabic" w:eastAsiaTheme="minorEastAsia" w:hAnsi="Simplified Arabic" w:cs="Simplified Arabic"/>
          <w:bCs w:val="0"/>
          <w:sz w:val="24"/>
          <w:szCs w:val="24"/>
        </w:rPr>
        <w:t xml:space="preserve"> </w:t>
      </w:r>
      <w:r w:rsidRPr="00FF3102">
        <w:rPr>
          <w:rFonts w:ascii="Simplified Arabic" w:eastAsiaTheme="minorEastAsia" w:hAnsi="Simplified Arabic" w:cs="Simplified Arabic"/>
          <w:iCs/>
          <w:sz w:val="24"/>
          <w:szCs w:val="24"/>
          <w:rtl/>
        </w:rPr>
        <w:t>تعزيز العدالة الاجتماعية والاحتواء الاجتماعي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تعتزم الحكومة المصرية تحسين توجيه الدعم بحيث يصل إلى مستحقيه، وتوسيع نطاق شبكة الأمان الاجتماعي، وزيادة الإنفاق على قطاعي الصحة والتعليم، وتحسين جودة التعليم، وزيادة الخدمات الاجتماعية وتحسين توجيهها، وتعزيز المساواة بين الجنسين.</w:t>
      </w:r>
      <w:r w:rsidRPr="00FF3102">
        <w:rPr>
          <w:rFonts w:ascii="Simplified Arabic" w:eastAsiaTheme="minorEastAsia" w:hAnsi="Simplified Arabic" w:cs="Simplified Arabic"/>
          <w:spacing w:val="0"/>
          <w:rtl/>
        </w:rPr>
        <w:t xml:space="preserve"> وزادت الحكومة مخصصات الموازنة لبرامج التحويلات النقدية من أجل توسيع نطاق تغطيتها بإضافة 0.8 مليون أسرة في المناطق الأشد فقرا من البلاد (مقابل 1.5 مليون مستفيد من المعاشات الاجتماعية حالياً). وتجرِّب الحكومة تنفيذ برنامج جديد للتحويلات النقدية (تكافل وكرامة) في قرى مختارة من الصعيد بها أعلى معدلات للفقر، كما تُعِد منهجية للاستهداف وسجلا قوميا موحدا لرصد الأسر الأفقر.</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وتقوم الحكومة أيضا بتطبيق إجراءات لتحسين توجيه المواد الغذائية التي تستهلكها الفئات السكانية الأفقر، وقصر </w:t>
      </w:r>
      <w:r w:rsidRPr="00FF3102">
        <w:rPr>
          <w:rFonts w:ascii="Simplified Arabic" w:eastAsiaTheme="minorEastAsia" w:hAnsi="Simplified Arabic" w:cs="Simplified Arabic"/>
          <w:rtl/>
        </w:rPr>
        <w:t>الاستفادة من بطاقات الدعم الغذائي/التموين الجديدة على المواطنين الذين تقل رواتبهم الشهرية عن 1500 جنيه مصري (210 دولارات). كما قامت الحكومة بزيادة عدد السلع الغذائية (من 7 إلى 20) التي يمكن شراؤها بأسعار مخفضة من خلال بطاقة التموين والمنافذ الحكومية، وتطبيق نظام نقاط جديد لبطاقات الأسرة الذكية يسمح للمواطنين باستبدال الخبز البلدي غير المستهلك بسلع أخرى، وذلك لتشجيع الأسر على تخفيض الاستهلاك المفرط للخبز المدعم.</w:t>
      </w:r>
      <w:r w:rsidRPr="00FF3102">
        <w:rPr>
          <w:rFonts w:ascii="Simplified Arabic" w:eastAsiaTheme="minorEastAsia" w:hAnsi="Simplified Arabic" w:cs="Simplified Arabic"/>
          <w:spacing w:val="0"/>
          <w:rtl/>
        </w:rPr>
        <w:t xml:space="preserve"> وتتصدى الحكومة أيضا للتسربات في منظومة دعم الخبز البلدي من خلال دعم المنتج النهائي (عدد الأرغفة المبيعة) </w:t>
      </w:r>
      <w:r w:rsidRPr="00FF3102">
        <w:rPr>
          <w:rFonts w:ascii="Simplified Arabic" w:eastAsiaTheme="minorEastAsia" w:hAnsi="Simplified Arabic" w:cs="Simplified Arabic"/>
          <w:rtl/>
        </w:rPr>
        <w:t>بدلا من</w:t>
      </w:r>
      <w:r w:rsidRPr="00FF3102">
        <w:rPr>
          <w:rFonts w:ascii="Simplified Arabic" w:eastAsiaTheme="minorEastAsia" w:hAnsi="Simplified Arabic" w:cs="Simplified Arabic"/>
          <w:spacing w:val="0"/>
          <w:rtl/>
        </w:rPr>
        <w:t xml:space="preserve"> مستلزمات إنتاجه.</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أعلنت الحكومة المصرية أنه سيتم توجيه أكثر من نصف وفورات الموازنة العامة الناتجة عن خفض دعم الطاقة إلى زيادة الإنفاق على القطاعات الاجتماعية واستثمارات البنية التحتية الموجّهة على نحو أفضل.</w:t>
      </w:r>
      <w:r w:rsidRPr="00FF3102">
        <w:rPr>
          <w:rFonts w:ascii="Simplified Arabic" w:eastAsiaTheme="minorEastAsia" w:hAnsi="Simplified Arabic" w:cs="Simplified Arabic"/>
          <w:spacing w:val="0"/>
          <w:rtl/>
        </w:rPr>
        <w:t xml:space="preserve"> ومن المزمع زيادة مخصصات الموازنة لقطاع الصحة إلى 3 في المائة من إجمالي الناتج المحلي والإنفاق على التعليم إلى 6 في المائة من إجمالي الناتج المحلي، وذلك للالتزام بما قرره الدستور بشأن الإنفاق على قطاعي الصحة والتعليم، مع توجيه نحو ربع الاستثمارات إلى محافظات الصعيد في السنة المالية 2015 لاستهداف أفقر ألف قرية هناك (من إجمالي 5 آلاف قرية تقريبا).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وتعطي الحكومة أيضا أولوية لتحسين جودة نظام التعليم وضمان توفيره للمهارات التي تتطلبها سوق العمل. وتبذل الحكومة جهودا لاعتماد إجراءات للإنفاق الرأسمالي أكثر احتواء وشفافية وتوازنا من الناحية الجغرافية، وإن كانت تفاصيل هذه الإجراءات لم يتم بعد الإفصاح عنها على نحو كامل، لاسيما فيما يتعلق بزيادة مخصصات الموازنة لقطاعي التعليم والصحة. </w:t>
      </w:r>
    </w:p>
    <w:p w:rsidR="00810BAC" w:rsidRPr="00FF3102" w:rsidRDefault="0058653D" w:rsidP="00D23C58">
      <w:pPr>
        <w:pStyle w:val="Head1"/>
        <w:rPr>
          <w:szCs w:val="24"/>
        </w:rPr>
      </w:pPr>
      <w:bookmarkStart w:id="683" w:name="_Toc439184543"/>
      <w:r w:rsidRPr="00FF3102">
        <w:rPr>
          <w:rtl/>
        </w:rPr>
        <w:t>خامسا</w:t>
      </w:r>
      <w:r w:rsidR="002A2E25" w:rsidRPr="00FF3102">
        <w:rPr>
          <w:rtl/>
        </w:rPr>
        <w:t xml:space="preserve">. </w:t>
      </w:r>
      <w:r w:rsidR="00810BAC" w:rsidRPr="00FF3102">
        <w:rPr>
          <w:rtl/>
        </w:rPr>
        <w:t>إستراتيجية الشراكة المقترحة من مجموعة البنك الدولي</w:t>
      </w:r>
      <w:bookmarkEnd w:id="683"/>
    </w:p>
    <w:p w:rsidR="00810BAC" w:rsidRPr="00FF3102" w:rsidRDefault="002A2E25" w:rsidP="00D23C58">
      <w:pPr>
        <w:pStyle w:val="Head2"/>
        <w:rPr>
          <w:rStyle w:val="tw4winMark"/>
          <w:rFonts w:ascii="Simplified Arabic" w:hAnsi="Simplified Arabic"/>
          <w:vanish w:val="0"/>
          <w:color w:val="auto"/>
          <w:vertAlign w:val="baseline"/>
        </w:rPr>
      </w:pPr>
      <w:bookmarkStart w:id="684" w:name="_Toc439184544"/>
      <w:r w:rsidRPr="00FF3102">
        <w:rPr>
          <w:rtl/>
        </w:rPr>
        <w:t>أ</w:t>
      </w:r>
      <w:r w:rsidR="00810BAC" w:rsidRPr="00FF3102">
        <w:rPr>
          <w:rtl/>
        </w:rPr>
        <w:t>. الدروس المستفادة من استعراض الإنجاز والتعلُّم لإستراتيجية المساعدة الخاصة بمصر، والتقييمات المستقلة، والمشاورات مع أصحاب المصلحة</w:t>
      </w:r>
      <w:bookmarkEnd w:id="684"/>
    </w:p>
    <w:p w:rsidR="00810BAC" w:rsidRPr="00FF3102" w:rsidRDefault="00810BAC" w:rsidP="00810BAC">
      <w:pPr>
        <w:pStyle w:val="MainParanoChapter"/>
        <w:numPr>
          <w:ilvl w:val="0"/>
          <w:numId w:val="0"/>
        </w:numPr>
        <w:tabs>
          <w:tab w:val="clear" w:pos="1440"/>
          <w:tab w:val="left" w:pos="540"/>
        </w:tabs>
        <w:bidi/>
        <w:ind w:left="270"/>
        <w:rPr>
          <w:rStyle w:val="tw4winMark"/>
          <w:rFonts w:ascii="Simplified Arabic" w:eastAsiaTheme="minorEastAsia" w:hAnsi="Simplified Arabic" w:cs="Simplified Arabic"/>
          <w:vanish w:val="0"/>
          <w:color w:val="auto"/>
          <w:vertAlign w:val="baseline"/>
        </w:rPr>
      </w:pPr>
    </w:p>
    <w:p w:rsidR="00810BAC" w:rsidRPr="00FF3102" w:rsidRDefault="00810BAC" w:rsidP="00C861F4">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توصل التقييم الذي أجرته مجموعة التقييم المستقلة للمساعدات التي قدمتها مجموعة البنك الدولي في فترة السنوات المالية 1999-2007 وكذلك استعراض الإنجاز والتعلُّم الذي يغطي فترة السنوات المالية 2006-2014 إلى أن مجموعة البنك الدولي حققت أهدافا مهمة فيما يتعلق بإصلاحات السياسات والمؤسسات.</w:t>
      </w:r>
      <w:r w:rsidRPr="00FF3102">
        <w:rPr>
          <w:rFonts w:ascii="Simplified Arabic" w:eastAsiaTheme="minorEastAsia" w:hAnsi="Simplified Arabic" w:cs="Simplified Arabic"/>
          <w:spacing w:val="0"/>
          <w:rtl/>
        </w:rPr>
        <w:t xml:space="preserve"> ورغم صعوبة </w:t>
      </w:r>
      <w:r w:rsidRPr="00FF3102">
        <w:rPr>
          <w:rFonts w:ascii="Simplified Arabic" w:eastAsiaTheme="minorEastAsia" w:hAnsi="Simplified Arabic" w:cs="Simplified Arabic"/>
          <w:rtl/>
        </w:rPr>
        <w:t>الأوضاع</w:t>
      </w:r>
      <w:r w:rsidRPr="00FF3102">
        <w:rPr>
          <w:rFonts w:ascii="Simplified Arabic" w:eastAsiaTheme="minorEastAsia" w:hAnsi="Simplified Arabic" w:cs="Simplified Arabic"/>
          <w:spacing w:val="0"/>
          <w:rtl/>
        </w:rPr>
        <w:t xml:space="preserve"> في مصر سواء قبل الثورة أو منذ قيامها،</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فإن مجموعة البنك الدولي أحرزت قدرا من النجاح في مساندة الإصلاحات في القطاع المالي وتنفيذ برنامج الخصخصة ونظام المعاشات وتنمية القطاع الخاص، كما أجرت حوارا مثمرا في قطاع الصحة. لكن المجموعة أحرزت نجاحا أقل في مساندة الجهود الرامية إلى الحد من الفساد، أو إصلاح نظام التعليم، أو إدخال تحسينات على شبكة الأمان الاجتماعي. وقد بدأ الحوار القطاعي، الذي أُجري مؤخراً بشأن إصلاحات البنية التحتية وقطاع الطاقة، يؤتي ثماره.</w:t>
      </w:r>
    </w:p>
    <w:p w:rsidR="00810BAC" w:rsidRPr="00FF3102" w:rsidRDefault="00810BAC" w:rsidP="00E56237">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خلصت التقييمات إلى أن المرونة وكذلك التركيز على الإصلاحات المؤسسية هما مفتاح تحقيق الأهداف الإستراتيجية. </w:t>
      </w:r>
      <w:r w:rsidRPr="00FF3102">
        <w:rPr>
          <w:rFonts w:ascii="Simplified Arabic" w:eastAsiaTheme="minorEastAsia" w:hAnsi="Simplified Arabic" w:cs="Simplified Arabic"/>
          <w:spacing w:val="0"/>
          <w:rtl/>
        </w:rPr>
        <w:t>فعلى سبيل المثال واستجابةً لأحداث عام 2011، ركزت مجموعة البنك الدولي على الاحتياجات العاجلة لمصر وشكَّلت فريقا متعدد القطاعات لدفع</w:t>
      </w:r>
      <w:r w:rsidRPr="00FF3102">
        <w:rPr>
          <w:rFonts w:ascii="Simplified Arabic" w:eastAsiaTheme="minorEastAsia" w:hAnsi="Simplified Arabic" w:cs="Simplified Arabic"/>
          <w:rtl/>
        </w:rPr>
        <w:t xml:space="preserve"> مسيرة</w:t>
      </w:r>
      <w:r w:rsidRPr="00FF3102">
        <w:rPr>
          <w:rFonts w:ascii="Simplified Arabic" w:eastAsiaTheme="minorEastAsia" w:hAnsi="Simplified Arabic" w:cs="Simplified Arabic"/>
          <w:spacing w:val="0"/>
          <w:rtl/>
        </w:rPr>
        <w:t xml:space="preserve"> الحوار بشأن دعم الطاقة والإصلاحات القطاعية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وقدمت مؤسسة التمويل الدولية إلى القطاع الخاص مساندة لمواجهة التقلبات الدورية وتعزيز الثقة من أجل ضمان استمرارية المشروعات التي بدأت قبل عام 2011 والحفاظ على الوظائف وتقديم </w:t>
      </w:r>
      <w:r w:rsidR="00E56237">
        <w:rPr>
          <w:rFonts w:ascii="Simplified Arabic" w:eastAsiaTheme="minorEastAsia" w:hAnsi="Simplified Arabic" w:cs="Simplified Arabic" w:hint="cs"/>
          <w:spacing w:val="0"/>
          <w:rtl/>
        </w:rPr>
        <w:t xml:space="preserve">قدر من </w:t>
      </w:r>
      <w:r w:rsidRPr="00FF3102">
        <w:rPr>
          <w:rFonts w:ascii="Simplified Arabic" w:eastAsiaTheme="minorEastAsia" w:hAnsi="Simplified Arabic" w:cs="Simplified Arabic"/>
          <w:spacing w:val="0"/>
          <w:rtl/>
        </w:rPr>
        <w:t>التمويل</w:t>
      </w:r>
      <w:r w:rsidR="00E56237">
        <w:rPr>
          <w:rFonts w:ascii="Simplified Arabic" w:eastAsiaTheme="minorEastAsia" w:hAnsi="Simplified Arabic" w:cs="Simplified Arabic" w:hint="cs"/>
          <w:spacing w:val="0"/>
          <w:rtl/>
        </w:rPr>
        <w:t xml:space="preserve"> المطلوب</w:t>
      </w:r>
      <w:r w:rsidRPr="00FF3102">
        <w:rPr>
          <w:rFonts w:ascii="Simplified Arabic" w:eastAsiaTheme="minorEastAsia" w:hAnsi="Simplified Arabic" w:cs="Simplified Arabic"/>
          <w:spacing w:val="0"/>
          <w:rtl/>
        </w:rPr>
        <w:t xml:space="preserve"> للمستثمرين الذين لديهم رغبة في تحمل مخاطر مرتفعة. وقدمت </w:t>
      </w:r>
      <w:r w:rsidRPr="00FF3102">
        <w:rPr>
          <w:rFonts w:ascii="Simplified Arabic" w:eastAsiaTheme="minorEastAsia" w:hAnsi="Simplified Arabic" w:cs="Simplified Arabic"/>
          <w:rtl/>
        </w:rPr>
        <w:t>الوكالة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الدولية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لضمان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الاستثمار خدمة إعادة التأمين إلى مؤسسة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الاستثمار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الخاص</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الخارجي (أوبيك) لإقامة مشروع للنفط والغاز.</w:t>
      </w:r>
      <w:r w:rsidRPr="00FF3102">
        <w:rPr>
          <w:rFonts w:ascii="Simplified Arabic" w:eastAsiaTheme="minorEastAsia" w:hAnsi="Simplified Arabic" w:cs="Simplified Arabic"/>
          <w:spacing w:val="0"/>
          <w:rtl/>
        </w:rPr>
        <w:t xml:space="preserve"> وفي الوقت ذاته، وفي إطار التزامه بإستراتيجية مساعداته، استجاب البنك لبعض طلبات الحكومة المصرية للحصول على التمويل. ويجب أن تركز مجموعة البنك الدولي مساندتها في المرحلة المقبلة على المبادرات التي تقودها الحكومة وتتبنى إجراء إصلاحات جوهرية للسياسات أو المؤسسات كما تعالج العوامل الرئيسية المحركة للحد من الفقر وتعزيز الرخاء المشترك.</w:t>
      </w:r>
    </w:p>
    <w:p w:rsidR="00810BAC" w:rsidRPr="00FF3102" w:rsidRDefault="00810BAC" w:rsidP="00E0405C">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نظرا لأهمية الحاجة إلى تحسين نظام الإدارة العامة والحوكمة، فإن</w:t>
      </w:r>
      <w:r w:rsidR="00E0405C">
        <w:rPr>
          <w:rFonts w:ascii="Simplified Arabic" w:eastAsiaTheme="minorEastAsia" w:hAnsi="Simplified Arabic" w:cs="Simplified Arabic" w:hint="cs"/>
          <w:bCs/>
          <w:iCs/>
          <w:spacing w:val="0"/>
          <w:rtl/>
        </w:rPr>
        <w:t>ه يمكن</w:t>
      </w:r>
      <w:r w:rsidRPr="00FF3102">
        <w:rPr>
          <w:rFonts w:ascii="Simplified Arabic" w:eastAsiaTheme="minorEastAsia" w:hAnsi="Simplified Arabic" w:cs="Simplified Arabic"/>
          <w:bCs/>
          <w:iCs/>
          <w:spacing w:val="0"/>
          <w:rtl/>
        </w:rPr>
        <w:t xml:space="preserve"> </w:t>
      </w:r>
      <w:r w:rsidR="00E0405C">
        <w:rPr>
          <w:rFonts w:ascii="Simplified Arabic" w:eastAsiaTheme="minorEastAsia" w:hAnsi="Simplified Arabic" w:cs="Simplified Arabic" w:hint="cs"/>
          <w:bCs/>
          <w:iCs/>
          <w:spacing w:val="0"/>
          <w:rtl/>
        </w:rPr>
        <w:t>ل</w:t>
      </w:r>
      <w:r w:rsidRPr="00FF3102">
        <w:rPr>
          <w:rFonts w:ascii="Simplified Arabic" w:eastAsiaTheme="minorEastAsia" w:hAnsi="Simplified Arabic" w:cs="Simplified Arabic"/>
          <w:bCs/>
          <w:iCs/>
          <w:spacing w:val="0"/>
          <w:rtl/>
        </w:rPr>
        <w:t>برنامج مجموعة البنك الدولي مساندة مشروعات البنية التحتية الكبيرة شريطة استخدامها أداةً لإجراء إصلاح مؤسسي وتعبئة الموارد من الشركاء.</w:t>
      </w:r>
      <w:r w:rsidRPr="00FF3102">
        <w:rPr>
          <w:rFonts w:ascii="Simplified Arabic" w:eastAsiaTheme="minorEastAsia" w:hAnsi="Simplified Arabic" w:cs="Simplified Arabic"/>
          <w:spacing w:val="0"/>
          <w:rtl/>
        </w:rPr>
        <w:t xml:space="preserve"> وقد أظهرت مشاركة البنك في قطاع النقل أنه يمكن تضمين إجراءات، مثل عقود الإدارة لتعزيز كفاءة القطاع الخاص، في القروض الاستثمارية.</w:t>
      </w:r>
      <w:r w:rsidRPr="00FF3102">
        <w:rPr>
          <w:rFonts w:ascii="Simplified Arabic" w:eastAsiaTheme="minorEastAsia" w:hAnsi="Simplified Arabic" w:cs="Simplified Arabic"/>
          <w:color w:val="000000"/>
          <w:spacing w:val="0"/>
          <w:rtl/>
        </w:rPr>
        <w:t xml:space="preserve"> وفي قطاع الطاقة، يدمج مشروع محطة كهرباء جنوب حلوان التغيير المؤسسي في تصميم المشروع بما في ذلك آليات معالجة الشكاوى والمظالم، ويقوم مشروع توصيل الغاز إلى المنازل (السنة المالية 2015) بتعبئة حوالي 200 مليون دولار من موارد شركاء التنمية و480 مليون دولار من الحكومة المصرية. </w:t>
      </w:r>
      <w:r w:rsidRPr="00FF3102">
        <w:rPr>
          <w:rFonts w:ascii="Simplified Arabic" w:eastAsiaTheme="minorEastAsia" w:hAnsi="Simplified Arabic" w:cs="Simplified Arabic"/>
          <w:spacing w:val="0"/>
          <w:rtl/>
        </w:rPr>
        <w:t>ويجب تضمين بناء المؤسسات والقدرات في تصميم المشروعات في المرحلة المقبلة، كما يجب أن تستمر المشروعات في تعبئة التمويل من البنك الدولي للإنشاء والتعمير مع الحصول على موارد من الحكومة والهيئات الإنمائية الأخرى.</w:t>
      </w:r>
    </w:p>
    <w:p w:rsidR="00810BAC" w:rsidRPr="00FF3102" w:rsidRDefault="00810BAC" w:rsidP="00C861F4">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 xml:space="preserve">أوصت التقييمات أيضا بإحداث توازن بين المرونة من ناحية والانتقائية والتركيز على النتائج من ناحية أخرى. </w:t>
      </w:r>
      <w:r w:rsidRPr="00FF3102">
        <w:rPr>
          <w:rFonts w:ascii="Simplified Arabic" w:eastAsiaTheme="minorEastAsia" w:hAnsi="Simplified Arabic" w:cs="Simplified Arabic"/>
          <w:spacing w:val="0"/>
          <w:rtl/>
        </w:rPr>
        <w:t>وبعد عام 2011، ركزت مجموعة البنك الدولي على ما يمكنها تحقيقه في ظل وضع سياسي يكتنفه الغموض وخلال فترة زمنية محدودة، وذلك بالتركيز على ما كان بالفعل قيد التنفيذ، في حين أبقت الباب مفتوحا أمام طلب الحكومة المصرية للحصول على مساندة في مجالات مختارة مثل إصلاحات قطاع الطاقة وشبكة الأمان الاجتماعي.</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ومع ذلك، فإن جميع المؤشرات المأخوذة من أحدث وثيقة مذكرة للإستراتيجية المؤقتة لم يتم تحديدها على نحو جيد أو</w:t>
      </w:r>
      <w:r w:rsidR="00DA3631">
        <w:rPr>
          <w:rFonts w:ascii="Simplified Arabic" w:eastAsiaTheme="minorEastAsia" w:hAnsi="Simplified Arabic" w:cs="Simplified Arabic" w:hint="cs"/>
          <w:spacing w:val="0"/>
          <w:rtl/>
        </w:rPr>
        <w:t xml:space="preserve"> إنها قد</w:t>
      </w:r>
      <w:r w:rsidRPr="00FF3102">
        <w:rPr>
          <w:rFonts w:ascii="Simplified Arabic" w:eastAsiaTheme="minorEastAsia" w:hAnsi="Simplified Arabic" w:cs="Simplified Arabic"/>
          <w:spacing w:val="0"/>
          <w:rtl/>
        </w:rPr>
        <w:t xml:space="preserve"> تجاوزت نطاق مساندة مجموعة البنك الدولي، مثل تحسين إدارة الاقتصاد من خلال ضبط عجز الموازنة العامة وتعزيز شفافية عمليات الحكومة. ومن شأن إطار الشراكة الإستراتيجية أن يحسن هذا النهج، مع توقع تحقيق نتائج استنادا إلى الجهود الجارية واختيار المؤشرات بعناية.</w:t>
      </w:r>
    </w:p>
    <w:p w:rsidR="00810BAC" w:rsidRPr="00FF3102" w:rsidRDefault="00810BAC" w:rsidP="0071343F">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spacing w:val="0"/>
          <w:rtl/>
        </w:rPr>
        <w:t xml:space="preserve">أبرز </w:t>
      </w:r>
      <w:r w:rsidRPr="00FF3102">
        <w:rPr>
          <w:rFonts w:ascii="Simplified Arabic" w:eastAsiaTheme="minorEastAsia" w:hAnsi="Simplified Arabic" w:cs="Simplified Arabic"/>
          <w:bCs/>
          <w:iCs/>
          <w:spacing w:val="0"/>
          <w:rtl/>
        </w:rPr>
        <w:t xml:space="preserve">استعراض الإنجاز والتعلُّم بوجه خاص أهمية </w:t>
      </w:r>
      <w:r w:rsidRPr="00FF3102">
        <w:rPr>
          <w:rFonts w:ascii="Simplified Arabic" w:eastAsiaTheme="minorEastAsia" w:hAnsi="Simplified Arabic" w:cs="Simplified Arabic"/>
          <w:bCs/>
          <w:iCs/>
          <w:rtl/>
        </w:rPr>
        <w:t>الشراكات</w:t>
      </w:r>
      <w:r w:rsidRPr="00FF3102">
        <w:rPr>
          <w:rFonts w:ascii="Simplified Arabic" w:eastAsiaTheme="minorEastAsia" w:hAnsi="Simplified Arabic" w:cs="Simplified Arabic"/>
          <w:bCs/>
          <w:iCs/>
          <w:spacing w:val="0"/>
          <w:rtl/>
        </w:rPr>
        <w:t xml:space="preserve"> مع كلٍ من المجتمع المدني وشركاء التنمية العرب والتي شهدت نموا في مصر منذ عام 2011.  </w:t>
      </w:r>
      <w:r w:rsidR="0071343F">
        <w:rPr>
          <w:rFonts w:ascii="Simplified Arabic" w:eastAsiaTheme="minorEastAsia" w:hAnsi="Simplified Arabic" w:cs="Simplified Arabic" w:hint="cs"/>
          <w:bCs/>
          <w:iCs/>
          <w:spacing w:val="0"/>
          <w:rtl/>
        </w:rPr>
        <w:t xml:space="preserve">وقد </w:t>
      </w:r>
      <w:r w:rsidRPr="00FF3102">
        <w:rPr>
          <w:rFonts w:ascii="Simplified Arabic" w:eastAsiaTheme="minorEastAsia" w:hAnsi="Simplified Arabic" w:cs="Simplified Arabic"/>
          <w:bCs/>
          <w:iCs/>
          <w:spacing w:val="0"/>
          <w:rtl/>
        </w:rPr>
        <w:t xml:space="preserve">صار دمج آليات إبداء الرأي والمساءلة والتواصل مع </w:t>
      </w:r>
      <w:r w:rsidR="0071343F">
        <w:rPr>
          <w:rFonts w:ascii="Simplified Arabic" w:eastAsiaTheme="minorEastAsia" w:hAnsi="Simplified Arabic" w:cs="Simplified Arabic" w:hint="cs"/>
          <w:bCs/>
          <w:iCs/>
          <w:spacing w:val="0"/>
          <w:rtl/>
        </w:rPr>
        <w:t>الفئات المعني</w:t>
      </w:r>
      <w:r w:rsidRPr="00FF3102">
        <w:rPr>
          <w:rFonts w:ascii="Simplified Arabic" w:eastAsiaTheme="minorEastAsia" w:hAnsi="Simplified Arabic" w:cs="Simplified Arabic"/>
          <w:bCs/>
          <w:iCs/>
          <w:spacing w:val="0"/>
          <w:rtl/>
        </w:rPr>
        <w:t>ة</w:t>
      </w:r>
      <w:r w:rsidR="0071343F">
        <w:rPr>
          <w:rFonts w:ascii="Simplified Arabic" w:eastAsiaTheme="minorEastAsia" w:hAnsi="Simplified Arabic" w:cs="Simplified Arabic" w:hint="cs"/>
          <w:bCs/>
          <w:iCs/>
          <w:spacing w:val="0"/>
          <w:rtl/>
        </w:rPr>
        <w:t xml:space="preserve"> من</w:t>
      </w:r>
      <w:r w:rsidRPr="00FF3102">
        <w:rPr>
          <w:rFonts w:ascii="Simplified Arabic" w:eastAsiaTheme="minorEastAsia" w:hAnsi="Simplified Arabic" w:cs="Simplified Arabic"/>
          <w:bCs/>
          <w:iCs/>
          <w:spacing w:val="0"/>
          <w:rtl/>
        </w:rPr>
        <w:t xml:space="preserve"> غير الحكوميين</w:t>
      </w:r>
      <w:r w:rsidR="0071343F">
        <w:rPr>
          <w:rFonts w:ascii="Simplified Arabic" w:eastAsiaTheme="minorEastAsia" w:hAnsi="Simplified Arabic" w:cs="Simplified Arabic" w:hint="cs"/>
          <w:bCs/>
          <w:iCs/>
          <w:spacing w:val="0"/>
          <w:rtl/>
        </w:rPr>
        <w:t xml:space="preserve">، </w:t>
      </w:r>
      <w:r w:rsidR="0071343F" w:rsidRPr="00FF3102">
        <w:rPr>
          <w:rFonts w:ascii="Simplified Arabic" w:eastAsiaTheme="minorEastAsia" w:hAnsi="Simplified Arabic" w:cs="Simplified Arabic"/>
          <w:bCs/>
          <w:iCs/>
          <w:spacing w:val="0"/>
          <w:rtl/>
        </w:rPr>
        <w:t>وفي أعقاب أحداث عام 2011</w:t>
      </w:r>
      <w:r w:rsidR="0071343F">
        <w:rPr>
          <w:rFonts w:ascii="Simplified Arabic" w:eastAsiaTheme="minorEastAsia" w:hAnsi="Simplified Arabic" w:cs="Simplified Arabic" w:hint="cs"/>
          <w:bCs/>
          <w:iCs/>
          <w:spacing w:val="0"/>
          <w:rtl/>
        </w:rPr>
        <w:t xml:space="preserve">، </w:t>
      </w:r>
      <w:r w:rsidRPr="00FF3102">
        <w:rPr>
          <w:rFonts w:ascii="Simplified Arabic" w:eastAsiaTheme="minorEastAsia" w:hAnsi="Simplified Arabic" w:cs="Simplified Arabic"/>
          <w:bCs/>
          <w:iCs/>
          <w:spacing w:val="0"/>
          <w:rtl/>
        </w:rPr>
        <w:t xml:space="preserve"> من بين السمات الرئيسية لمساندة مجموعة البنك الدولي.</w:t>
      </w:r>
      <w:r w:rsidRPr="00FF3102">
        <w:rPr>
          <w:rFonts w:ascii="Simplified Arabic" w:eastAsiaTheme="minorEastAsia" w:hAnsi="Simplified Arabic" w:cs="Simplified Arabic"/>
          <w:spacing w:val="0"/>
          <w:rtl/>
        </w:rPr>
        <w:t xml:space="preserve"> </w:t>
      </w:r>
      <w:r w:rsidR="0071343F">
        <w:rPr>
          <w:rFonts w:ascii="Simplified Arabic" w:eastAsiaTheme="minorEastAsia" w:hAnsi="Simplified Arabic" w:cs="Simplified Arabic" w:hint="cs"/>
          <w:spacing w:val="0"/>
          <w:rtl/>
        </w:rPr>
        <w:t>ف</w:t>
      </w:r>
      <w:r w:rsidRPr="00FF3102">
        <w:rPr>
          <w:rFonts w:ascii="Simplified Arabic" w:eastAsiaTheme="minorEastAsia" w:hAnsi="Simplified Arabic" w:cs="Simplified Arabic"/>
          <w:spacing w:val="0"/>
          <w:rtl/>
        </w:rPr>
        <w:t xml:space="preserve">في قطاعي المياه والطاقة على سبيل المثال، أدى إشراك المجتمعات المحلية بقدر أكبر من الفاعلية إلى تحسين تنفيذ المشروعات. وتعزز المشاورات مع </w:t>
      </w:r>
      <w:r w:rsidR="0071343F">
        <w:rPr>
          <w:rFonts w:ascii="Simplified Arabic" w:eastAsiaTheme="minorEastAsia" w:hAnsi="Simplified Arabic" w:cs="Simplified Arabic" w:hint="cs"/>
          <w:spacing w:val="0"/>
          <w:rtl/>
        </w:rPr>
        <w:t>الفئات المعني</w:t>
      </w:r>
      <w:r w:rsidRPr="00FF3102">
        <w:rPr>
          <w:rFonts w:ascii="Simplified Arabic" w:eastAsiaTheme="minorEastAsia" w:hAnsi="Simplified Arabic" w:cs="Simplified Arabic"/>
          <w:spacing w:val="0"/>
          <w:rtl/>
        </w:rPr>
        <w:t>ة هذه الرسالة، مع الدعوة إلى زيادة المشاركة المدنية والشفافية في تقديم الخدمات الاجتماعية. وستظل المشاركة مع المجتمع المدني</w:t>
      </w:r>
      <w:r w:rsidRPr="00FF3102">
        <w:rPr>
          <w:rFonts w:ascii="Simplified Arabic" w:eastAsiaTheme="minorEastAsia" w:hAnsi="Simplified Arabic" w:cs="Simplified Arabic"/>
          <w:rtl/>
        </w:rPr>
        <w:t xml:space="preserve"> عنصرا</w:t>
      </w:r>
      <w:r w:rsidRPr="00FF3102">
        <w:rPr>
          <w:rFonts w:ascii="Simplified Arabic" w:eastAsiaTheme="minorEastAsia" w:hAnsi="Simplified Arabic" w:cs="Simplified Arabic"/>
          <w:spacing w:val="0"/>
          <w:rtl/>
        </w:rPr>
        <w:t xml:space="preserve"> بالغ الأهمية لسمعة البنك ومصداقيته وفاعليته. وبالإضافة إلى ذلك، تُعَد مساندة مجموعة البنك الدولي متواضعة بالنسبة لاحتياجات مصر، وبالتالي فمن الأهمية بمكان إقامة شراكات </w:t>
      </w:r>
      <w:r w:rsidRPr="00FF3102">
        <w:rPr>
          <w:rFonts w:ascii="Simplified Arabic" w:eastAsiaTheme="minorEastAsia" w:hAnsi="Simplified Arabic" w:cs="Simplified Arabic"/>
          <w:rtl/>
        </w:rPr>
        <w:t>تفاعلية</w:t>
      </w:r>
      <w:r w:rsidRPr="00FF3102">
        <w:rPr>
          <w:rFonts w:ascii="Simplified Arabic" w:eastAsiaTheme="minorEastAsia" w:hAnsi="Simplified Arabic" w:cs="Simplified Arabic"/>
          <w:spacing w:val="0"/>
          <w:rtl/>
        </w:rPr>
        <w:t xml:space="preserve"> مع مجتمع التنمية، لاسيما في القطاعات الاجتماعية حيث تحجم الحكومة المصرية عن الاقتراض من البنك الدولي للإنشاء والتعمير.</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وبالنظر إلى</w:t>
      </w:r>
      <w:r w:rsidRPr="00FF3102">
        <w:rPr>
          <w:rFonts w:ascii="Simplified Arabic" w:eastAsiaTheme="minorEastAsia" w:hAnsi="Simplified Arabic" w:cs="Simplified Arabic"/>
          <w:rtl/>
        </w:rPr>
        <w:t xml:space="preserve"> كِبر حجم</w:t>
      </w:r>
      <w:r w:rsidRPr="00FF3102">
        <w:rPr>
          <w:rFonts w:ascii="Simplified Arabic" w:eastAsiaTheme="minorEastAsia" w:hAnsi="Simplified Arabic" w:cs="Simplified Arabic"/>
          <w:spacing w:val="0"/>
          <w:rtl/>
        </w:rPr>
        <w:t xml:space="preserve"> التدفقات الواردة</w:t>
      </w:r>
      <w:r w:rsidRPr="00FF3102">
        <w:rPr>
          <w:rFonts w:ascii="Simplified Arabic" w:eastAsiaTheme="minorEastAsia" w:hAnsi="Simplified Arabic" w:cs="Simplified Arabic"/>
          <w:rtl/>
        </w:rPr>
        <w:t xml:space="preserve"> مؤخراً</w:t>
      </w:r>
      <w:r w:rsidRPr="00FF3102">
        <w:rPr>
          <w:rFonts w:ascii="Simplified Arabic" w:eastAsiaTheme="minorEastAsia" w:hAnsi="Simplified Arabic" w:cs="Simplified Arabic"/>
          <w:spacing w:val="0"/>
          <w:rtl/>
        </w:rPr>
        <w:t xml:space="preserve"> من دول مجلس التعاون الخليجي، فإن المشاركة التفاعلية مع الشركاء العرب ستكون لها أهمية خاصة.</w:t>
      </w:r>
    </w:p>
    <w:p w:rsidR="00810BAC" w:rsidRPr="00FF3102" w:rsidRDefault="00810BAC" w:rsidP="003D065E">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سيظل تقييم المخاطر وتخفيف حدتها أمرا مهما لمساندة مجموعة البنك الدولي </w:t>
      </w:r>
      <w:r w:rsidR="003D065E">
        <w:rPr>
          <w:rFonts w:ascii="Simplified Arabic" w:eastAsiaTheme="minorEastAsia" w:hAnsi="Simplified Arabic" w:cs="Simplified Arabic" w:hint="cs"/>
          <w:bCs/>
          <w:iCs/>
          <w:spacing w:val="0"/>
          <w:rtl/>
        </w:rPr>
        <w:t>ل</w:t>
      </w:r>
      <w:r w:rsidRPr="00FF3102">
        <w:rPr>
          <w:rFonts w:ascii="Simplified Arabic" w:eastAsiaTheme="minorEastAsia" w:hAnsi="Simplified Arabic" w:cs="Simplified Arabic"/>
          <w:bCs/>
          <w:iCs/>
          <w:spacing w:val="0"/>
          <w:rtl/>
        </w:rPr>
        <w:t xml:space="preserve">مصر. </w:t>
      </w:r>
      <w:r w:rsidRPr="00FF3102">
        <w:rPr>
          <w:rFonts w:ascii="Simplified Arabic" w:eastAsiaTheme="minorEastAsia" w:hAnsi="Simplified Arabic" w:cs="Simplified Arabic"/>
          <w:spacing w:val="0"/>
          <w:rtl/>
        </w:rPr>
        <w:t xml:space="preserve">وفي ظل ما شهدته الفترة الماضية من </w:t>
      </w:r>
      <w:r w:rsidR="003D065E">
        <w:rPr>
          <w:rFonts w:ascii="Simplified Arabic" w:eastAsiaTheme="minorEastAsia" w:hAnsi="Simplified Arabic" w:cs="Simplified Arabic" w:hint="cs"/>
          <w:spacing w:val="0"/>
          <w:rtl/>
        </w:rPr>
        <w:t>تكهنات</w:t>
      </w:r>
      <w:r w:rsidRPr="00FF3102">
        <w:rPr>
          <w:rFonts w:ascii="Simplified Arabic" w:eastAsiaTheme="minorEastAsia" w:hAnsi="Simplified Arabic" w:cs="Simplified Arabic"/>
          <w:spacing w:val="0"/>
          <w:rtl/>
        </w:rPr>
        <w:t xml:space="preserve"> بشأن رغبة الحكومة المصرية في إجراء إصلاحات، فقد</w:t>
      </w:r>
      <w:r w:rsidRPr="00FF3102">
        <w:rPr>
          <w:rFonts w:ascii="Simplified Arabic" w:eastAsiaTheme="minorEastAsia" w:hAnsi="Simplified Arabic" w:cs="Simplified Arabic"/>
          <w:rtl/>
        </w:rPr>
        <w:t xml:space="preserve"> أبلت </w:t>
      </w:r>
      <w:r w:rsidRPr="00FF3102">
        <w:rPr>
          <w:rFonts w:ascii="Simplified Arabic" w:eastAsiaTheme="minorEastAsia" w:hAnsi="Simplified Arabic" w:cs="Simplified Arabic"/>
          <w:spacing w:val="0"/>
          <w:rtl/>
        </w:rPr>
        <w:t>مجموعة البنك الدولي</w:t>
      </w:r>
      <w:r w:rsidRPr="00FF3102">
        <w:rPr>
          <w:rFonts w:ascii="Simplified Arabic" w:eastAsiaTheme="minorEastAsia" w:hAnsi="Simplified Arabic" w:cs="Simplified Arabic"/>
          <w:rtl/>
        </w:rPr>
        <w:t xml:space="preserve"> بلاء</w:t>
      </w:r>
      <w:r w:rsidR="003D065E">
        <w:rPr>
          <w:rFonts w:ascii="Simplified Arabic" w:eastAsiaTheme="minorEastAsia" w:hAnsi="Simplified Arabic" w:cs="Simplified Arabic" w:hint="cs"/>
          <w:rtl/>
        </w:rPr>
        <w:t>ا</w:t>
      </w:r>
      <w:r w:rsidRPr="00FF3102">
        <w:rPr>
          <w:rFonts w:ascii="Simplified Arabic" w:eastAsiaTheme="minorEastAsia" w:hAnsi="Simplified Arabic" w:cs="Simplified Arabic"/>
          <w:rtl/>
        </w:rPr>
        <w:t xml:space="preserve"> حسنا في </w:t>
      </w:r>
      <w:r w:rsidRPr="00FF3102">
        <w:rPr>
          <w:rFonts w:ascii="Simplified Arabic" w:eastAsiaTheme="minorEastAsia" w:hAnsi="Simplified Arabic" w:cs="Simplified Arabic"/>
          <w:spacing w:val="0"/>
          <w:rtl/>
        </w:rPr>
        <w:t>تقييمها للمخاطر وتخفيف حدتها.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وقبل عام 2011، ساند البنك تقديم قروض سريعة الدفع في مجالات</w:t>
      </w:r>
      <w:r w:rsidRPr="00FF3102">
        <w:rPr>
          <w:rFonts w:ascii="Simplified Arabic" w:eastAsiaTheme="minorEastAsia" w:hAnsi="Simplified Arabic" w:cs="Simplified Arabic"/>
          <w:rtl/>
        </w:rPr>
        <w:t xml:space="preserve"> كان هناك استعداد لإجراء إصلاحات بها،</w:t>
      </w:r>
      <w:r w:rsidRPr="00FF3102">
        <w:rPr>
          <w:rFonts w:ascii="Simplified Arabic" w:eastAsiaTheme="minorEastAsia" w:hAnsi="Simplified Arabic" w:cs="Simplified Arabic"/>
          <w:spacing w:val="0"/>
          <w:rtl/>
        </w:rPr>
        <w:t xml:space="preserve"> كما في القطاع المالي وقطاع الإسكان</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وقد صنفت مجموعة التقييم المستقلة القروض المقفلة في هذه المجالات بأنها مرضية. وبعد عام 2011، واجهت مجموعة البنك الدولي نوعا مختلفا من المخاطر المرتبطة بعدم استقرار الأوضاع السياسية. وتصدت المجموعة لهذا التحدي من خلال المشاركة المتعمقة مع الحكومة والمجتمع المدني وبالتعاون مع شركاء التنمية. ويجب عليها مواصلة تقييمها الصريح للمخاطر والمكاسب، بما في ذلك الدور الرئيسي لنظام الإدارة العامة والحوكمة. </w:t>
      </w:r>
    </w:p>
    <w:p w:rsidR="00810BAC" w:rsidRPr="00FF3102" w:rsidRDefault="002A2E25" w:rsidP="00D23C58">
      <w:pPr>
        <w:pStyle w:val="Head2"/>
        <w:rPr>
          <w:rtl/>
          <w:lang w:bidi="ar-EG"/>
        </w:rPr>
      </w:pPr>
      <w:bookmarkStart w:id="685" w:name="_Toc439184545"/>
      <w:r w:rsidRPr="00FF3102">
        <w:rPr>
          <w:rtl/>
        </w:rPr>
        <w:t>ب</w:t>
      </w:r>
      <w:r w:rsidR="00810BAC" w:rsidRPr="00FF3102">
        <w:rPr>
          <w:rtl/>
        </w:rPr>
        <w:t>. المشاورات مع أصحاب المصلحة</w:t>
      </w:r>
      <w:bookmarkEnd w:id="685"/>
    </w:p>
    <w:p w:rsidR="00810BAC" w:rsidRPr="00FF3102" w:rsidRDefault="00810BAC" w:rsidP="00C861F4">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استُخدِمت الأولويات، كما تم التعبير عنها من خلال مشاورات إطار الشراكة الإستراتيجية مع المواطنين ومجموعات مؤسسات الأعمال وشركاء التنمية، بوصفها مدخلات في إعداد إطار الشراكة الإستراتيجية.</w:t>
      </w:r>
      <w:r w:rsidRPr="00FF3102">
        <w:rPr>
          <w:rFonts w:ascii="Simplified Arabic" w:eastAsiaTheme="minorEastAsia" w:hAnsi="Simplified Arabic" w:cs="Simplified Arabic"/>
          <w:spacing w:val="0"/>
          <w:rtl/>
        </w:rPr>
        <w:t xml:space="preserve"> وأُجريت مرحلتان من المشاورات مع أصحاب المصلحة في القاهرة والأسكندرية وأسوان</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وبحضور مشاركين من القطاع الخاص والأوساط الأكاديمية والمجتمع المدني،</w:t>
      </w:r>
      <w:r w:rsidRPr="00FF3102">
        <w:rPr>
          <w:rFonts w:ascii="Simplified Arabic" w:eastAsiaTheme="minorEastAsia" w:hAnsi="Simplified Arabic" w:cs="Simplified Arabic"/>
          <w:rtl/>
        </w:rPr>
        <w:t xml:space="preserve"> بالإضافة إلى</w:t>
      </w:r>
      <w:r w:rsidRPr="00FF3102">
        <w:rPr>
          <w:rFonts w:ascii="Simplified Arabic" w:eastAsiaTheme="minorEastAsia" w:hAnsi="Simplified Arabic" w:cs="Simplified Arabic"/>
          <w:spacing w:val="0"/>
          <w:rtl/>
        </w:rPr>
        <w:t xml:space="preserve"> إجراء مشاورات عبر الإنترنت من خلال استقصاء مفتوح على الموقع</w:t>
      </w:r>
      <w:r w:rsidRPr="00FF3102">
        <w:rPr>
          <w:rFonts w:ascii="Simplified Arabic" w:eastAsiaTheme="minorEastAsia" w:hAnsi="Simplified Arabic" w:cs="Simplified Arabic"/>
          <w:rtl/>
        </w:rPr>
        <w:t xml:space="preserve"> الإلكتروني</w:t>
      </w:r>
      <w:r w:rsidRPr="00FF3102">
        <w:rPr>
          <w:rFonts w:ascii="Simplified Arabic" w:eastAsiaTheme="minorEastAsia" w:hAnsi="Simplified Arabic" w:cs="Simplified Arabic"/>
          <w:spacing w:val="0"/>
          <w:rtl/>
        </w:rPr>
        <w:t xml:space="preserve"> للبنك الدولي الخاص بمصر وكذلك المشاركة عبر وسائل التواصل الاجتماعي. وقُدِّمت مسودة الإطار إلى شركاء التنمية في أكتوبر 2015، وطُلِب منهم تقديم تعليقاتهم بشأن البرنامج المقترح من مجموعة البنك الدولي والفرص المتاحة للتعاون.</w:t>
      </w:r>
    </w:p>
    <w:p w:rsidR="00810BAC" w:rsidRPr="00FF3102" w:rsidRDefault="00810BAC" w:rsidP="00C861F4">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كانت أولى الأولويات التي تمخضت عنها المشاورات مع أصحاب المصلحة في المحافظات الثلاث هي الحاجة إلى تحسين نواتج التعليم</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ومناخ الأعمال</w:t>
      </w:r>
      <w:r w:rsidRPr="00FF3102">
        <w:rPr>
          <w:rFonts w:ascii="Simplified Arabic" w:eastAsiaTheme="minorEastAsia" w:hAnsi="Simplified Arabic" w:cs="Simplified Arabic"/>
          <w:bCs/>
          <w:iCs/>
          <w:rtl/>
        </w:rPr>
        <w:t>،</w:t>
      </w:r>
      <w:r w:rsidRPr="00FF3102">
        <w:rPr>
          <w:rFonts w:ascii="Simplified Arabic" w:eastAsiaTheme="minorEastAsia" w:hAnsi="Simplified Arabic" w:cs="Simplified Arabic"/>
          <w:bCs/>
          <w:iCs/>
          <w:spacing w:val="0"/>
          <w:rtl/>
        </w:rPr>
        <w:t xml:space="preserve"> وخدمات المياه والصرف الصحي. </w:t>
      </w:r>
      <w:r w:rsidRPr="00FF3102">
        <w:rPr>
          <w:rFonts w:ascii="Simplified Arabic" w:eastAsiaTheme="minorEastAsia" w:hAnsi="Simplified Arabic" w:cs="Simplified Arabic"/>
          <w:spacing w:val="0"/>
          <w:rtl/>
        </w:rPr>
        <w:t xml:space="preserve">وجرى التأكيد على خدمات التعليم العام والفني والمهني مع التركيز على تحسين مستوى المعلمين وجودة المحتوى التعليمي، وبشكل خاص ضمان توفير نظام التعليم للمهارات التي تتطلبها سوق العمل. وشددت </w:t>
      </w:r>
      <w:r w:rsidRPr="00FF3102">
        <w:rPr>
          <w:rFonts w:ascii="Simplified Arabic" w:eastAsiaTheme="minorEastAsia" w:hAnsi="Simplified Arabic" w:cs="Simplified Arabic"/>
          <w:rtl/>
        </w:rPr>
        <w:t>كافة</w:t>
      </w:r>
      <w:r w:rsidRPr="00FF3102">
        <w:rPr>
          <w:rFonts w:ascii="Simplified Arabic" w:eastAsiaTheme="minorEastAsia" w:hAnsi="Simplified Arabic" w:cs="Simplified Arabic"/>
          <w:spacing w:val="0"/>
          <w:rtl/>
        </w:rPr>
        <w:t xml:space="preserve"> المجموعات أيضا على أهمية تنمية القطاع الخاص</w:t>
      </w:r>
      <w:r w:rsidRPr="00FF3102">
        <w:rPr>
          <w:rFonts w:ascii="Simplified Arabic" w:eastAsiaTheme="minorEastAsia" w:hAnsi="Simplified Arabic" w:cs="Simplified Arabic"/>
          <w:rtl/>
        </w:rPr>
        <w:t>، وتحسين مناخ الأعمال، وتحسين البنية التحتية لتسهيل التجارة وتنمية أنشطة الأعمال.</w:t>
      </w:r>
      <w:r w:rsidRPr="00FF3102">
        <w:rPr>
          <w:rFonts w:ascii="Simplified Arabic" w:eastAsiaTheme="minorEastAsia" w:hAnsi="Simplified Arabic" w:cs="Simplified Arabic"/>
          <w:spacing w:val="0"/>
          <w:rtl/>
        </w:rPr>
        <w:t xml:space="preserve"> وخلصوا إلى أن تحسين خدمات الإمداد بالمياه، بما في ذلك جودة المياه وخدمات الصرف الصحي والصرف، يمثل أولوية عليا لضمان تحقيق التنمية الاقتصادية للمناطق المحلية، وإلى أن تحسين حوكمة قطاع الموارد المائية يشكل تحديا خاصا</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Pr>
        <w:t xml:space="preserve"> </w:t>
      </w:r>
    </w:p>
    <w:p w:rsidR="00810BAC" w:rsidRPr="00FF3102" w:rsidRDefault="00810BAC" w:rsidP="002C0589">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ركزت القضايا المشتركة على المجتمع المدني ومكافحة الفساد والمساواة بين الجنسين والإعاقة والاحتواء والإصلاح الإداري وتحسين نظام الإدارة العامة والحوكمة.</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و</w:t>
      </w:r>
      <w:r w:rsidR="00544D88">
        <w:rPr>
          <w:rFonts w:ascii="Simplified Arabic" w:eastAsiaTheme="minorEastAsia" w:hAnsi="Simplified Arabic" w:cs="Simplified Arabic" w:hint="cs"/>
          <w:spacing w:val="0"/>
          <w:rtl/>
        </w:rPr>
        <w:t xml:space="preserve"> قد </w:t>
      </w:r>
      <w:r w:rsidRPr="00FF3102">
        <w:rPr>
          <w:rFonts w:ascii="Simplified Arabic" w:eastAsiaTheme="minorEastAsia" w:hAnsi="Simplified Arabic" w:cs="Simplified Arabic"/>
          <w:spacing w:val="0"/>
          <w:rtl/>
        </w:rPr>
        <w:t>ركز</w:t>
      </w:r>
      <w:r w:rsidR="00544D88">
        <w:rPr>
          <w:rFonts w:ascii="Simplified Arabic" w:eastAsiaTheme="minorEastAsia" w:hAnsi="Simplified Arabic" w:cs="Simplified Arabic" w:hint="cs"/>
          <w:spacing w:val="0"/>
          <w:rtl/>
        </w:rPr>
        <w:t>ت</w:t>
      </w:r>
      <w:r w:rsidRPr="00FF3102">
        <w:rPr>
          <w:rFonts w:ascii="Simplified Arabic" w:eastAsiaTheme="minorEastAsia" w:hAnsi="Simplified Arabic" w:cs="Simplified Arabic"/>
          <w:spacing w:val="0"/>
          <w:rtl/>
        </w:rPr>
        <w:t xml:space="preserve"> </w:t>
      </w:r>
      <w:r w:rsidR="00544D88">
        <w:rPr>
          <w:rFonts w:ascii="Simplified Arabic" w:eastAsiaTheme="minorEastAsia" w:hAnsi="Simplified Arabic" w:cs="Simplified Arabic" w:hint="cs"/>
          <w:spacing w:val="0"/>
          <w:rtl/>
        </w:rPr>
        <w:t>الفئات المعنية</w:t>
      </w:r>
      <w:r w:rsidRPr="00FF3102">
        <w:rPr>
          <w:rFonts w:ascii="Simplified Arabic" w:eastAsiaTheme="minorEastAsia" w:hAnsi="Simplified Arabic" w:cs="Simplified Arabic"/>
          <w:spacing w:val="0"/>
          <w:rtl/>
        </w:rPr>
        <w:t xml:space="preserve"> بوجه خاص على ضرورة تحسين حوكمة قطاعي التعلي</w:t>
      </w:r>
      <w:r w:rsidR="00544D88">
        <w:rPr>
          <w:rFonts w:ascii="Simplified Arabic" w:eastAsiaTheme="minorEastAsia" w:hAnsi="Simplified Arabic" w:cs="Simplified Arabic"/>
          <w:spacing w:val="0"/>
          <w:rtl/>
        </w:rPr>
        <w:t>م والصحة وإدارة الموارد المائية</w:t>
      </w:r>
      <w:r w:rsidR="00544D88">
        <w:rPr>
          <w:rFonts w:ascii="Simplified Arabic" w:eastAsiaTheme="minorEastAsia" w:hAnsi="Simplified Arabic" w:cs="Simplified Arabic" w:hint="cs"/>
          <w:spacing w:val="0"/>
          <w:rtl/>
        </w:rPr>
        <w:t xml:space="preserve">. </w:t>
      </w:r>
      <w:r w:rsidR="002C0589">
        <w:rPr>
          <w:rFonts w:ascii="Simplified Arabic" w:eastAsiaTheme="minorEastAsia" w:hAnsi="Simplified Arabic" w:cs="Simplified Arabic" w:hint="cs"/>
          <w:spacing w:val="0"/>
          <w:rtl/>
        </w:rPr>
        <w:t xml:space="preserve">إلا أن </w:t>
      </w:r>
      <w:r w:rsidR="00544D88">
        <w:rPr>
          <w:rFonts w:ascii="Simplified Arabic" w:eastAsiaTheme="minorEastAsia" w:hAnsi="Simplified Arabic" w:cs="Simplified Arabic" w:hint="cs"/>
          <w:spacing w:val="0"/>
          <w:rtl/>
        </w:rPr>
        <w:t xml:space="preserve"> </w:t>
      </w:r>
      <w:r w:rsidRPr="00FF3102">
        <w:rPr>
          <w:rFonts w:ascii="Simplified Arabic" w:eastAsiaTheme="minorEastAsia" w:hAnsi="Simplified Arabic" w:cs="Simplified Arabic"/>
          <w:spacing w:val="0"/>
          <w:rtl/>
        </w:rPr>
        <w:t xml:space="preserve">القضايا ذات الصلة </w:t>
      </w:r>
      <w:r w:rsidR="002C0589">
        <w:rPr>
          <w:rFonts w:ascii="Simplified Arabic" w:eastAsiaTheme="minorEastAsia" w:hAnsi="Simplified Arabic" w:cs="Simplified Arabic" w:hint="cs"/>
          <w:spacing w:val="0"/>
          <w:rtl/>
        </w:rPr>
        <w:t xml:space="preserve"> قد شملت قوانين وتشريعات أكثر إتشاقا و</w:t>
      </w:r>
      <w:r w:rsidRPr="00FF3102">
        <w:rPr>
          <w:rFonts w:ascii="Simplified Arabic" w:eastAsiaTheme="minorEastAsia" w:hAnsi="Simplified Arabic" w:cs="Simplified Arabic"/>
          <w:spacing w:val="0"/>
          <w:rtl/>
        </w:rPr>
        <w:t>إنفاذ ال</w:t>
      </w:r>
      <w:r w:rsidR="002C0589">
        <w:rPr>
          <w:rFonts w:ascii="Simplified Arabic" w:eastAsiaTheme="minorEastAsia" w:hAnsi="Simplified Arabic" w:cs="Simplified Arabic" w:hint="cs"/>
          <w:spacing w:val="0"/>
          <w:rtl/>
        </w:rPr>
        <w:t>تشريعات</w:t>
      </w:r>
      <w:r w:rsidRPr="00FF3102">
        <w:rPr>
          <w:rFonts w:ascii="Simplified Arabic" w:eastAsiaTheme="minorEastAsia" w:hAnsi="Simplified Arabic" w:cs="Simplified Arabic"/>
          <w:spacing w:val="0"/>
          <w:rtl/>
        </w:rPr>
        <w:t xml:space="preserve"> التي تحكم </w:t>
      </w:r>
      <w:r w:rsidR="002C0589">
        <w:rPr>
          <w:rFonts w:ascii="Simplified Arabic" w:eastAsiaTheme="minorEastAsia" w:hAnsi="Simplified Arabic" w:cs="Simplified Arabic" w:hint="cs"/>
          <w:spacing w:val="0"/>
          <w:rtl/>
        </w:rPr>
        <w:t>ال</w:t>
      </w:r>
      <w:r w:rsidRPr="00FF3102">
        <w:rPr>
          <w:rFonts w:ascii="Simplified Arabic" w:eastAsiaTheme="minorEastAsia" w:hAnsi="Simplified Arabic" w:cs="Simplified Arabic"/>
          <w:spacing w:val="0"/>
          <w:rtl/>
        </w:rPr>
        <w:t>معاملات التجارية. وبالنسبة للمساواة بين الجنسين، انصب التركيز على اتخاذ إجراءات لزيادة مشاركة النساء في القوى العاملة لاسيما في القطاع الخاص. وأما بالنسبة للتعليم، فقد أُثيرت أيضا مسألة توفير مدارس بالقرب من المنازل في المناطق الريفية باعتبارها مهمة لضمان انتظام الفتيات في الدراسة.</w:t>
      </w:r>
    </w:p>
    <w:p w:rsidR="00810BAC" w:rsidRPr="00FF3102" w:rsidRDefault="00810BAC" w:rsidP="00544D88">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 xml:space="preserve">ألقت المرحلة الثانية من مشاورات المتابعة بشأن مسودة إطار الشراكة الإستراتيجية الضوء على المخاوف المتعلقة بمحدودية مساندة مجموعة البنك الدولي لقطاع التعليم والحاجة إلى ضمان توجيه اهتمام كافٍ لتحسين نظام الإدارة العامة والحوكمة ومشاركة المواطنين في جميع المبادرات التي تساندها مجموعة البنك الدولي. وتضمنت مرحلة ثالثة إجراء مشاورات مع شركاء التنمية. </w:t>
      </w:r>
      <w:r w:rsidR="00544D88">
        <w:rPr>
          <w:rFonts w:ascii="Simplified Arabic" w:eastAsiaTheme="minorEastAsia" w:hAnsi="Simplified Arabic" w:cs="Simplified Arabic"/>
          <w:spacing w:val="0"/>
          <w:rtl/>
        </w:rPr>
        <w:t>وشدد</w:t>
      </w:r>
      <w:r w:rsidR="00544D88">
        <w:rPr>
          <w:rFonts w:ascii="Simplified Arabic" w:eastAsiaTheme="minorEastAsia" w:hAnsi="Simplified Arabic" w:cs="Simplified Arabic" w:hint="cs"/>
          <w:spacing w:val="0"/>
          <w:rtl/>
        </w:rPr>
        <w:t>ت الفئات المعنية</w:t>
      </w:r>
      <w:r w:rsidRPr="00FF3102">
        <w:rPr>
          <w:rFonts w:ascii="Simplified Arabic" w:eastAsiaTheme="minorEastAsia" w:hAnsi="Simplified Arabic" w:cs="Simplified Arabic"/>
          <w:spacing w:val="0"/>
          <w:rtl/>
        </w:rPr>
        <w:t xml:space="preserve"> أيضا على أهمية الاهتمام بالصعيد. وفيما يُعَد نتيجة جزئية لهذه المخاوف وبعد إجراء مزيد من المناقشة مع الحكومة المصرية، قام إطار الشراكة الإستراتيجية بتدعيم المشاركة المقترحة لمجموعة البنك الدولي في قطاع التعليم. وخلصت مشاورات مؤسسة التمويل الدولية مع القطاع الخاص إلى موافقة مجتمع الأعمال على أولويات هذا الإطار</w:t>
      </w:r>
      <w:r w:rsidRPr="00FF3102">
        <w:rPr>
          <w:rFonts w:ascii="Simplified Arabic" w:eastAsiaTheme="minorEastAsia" w:hAnsi="Simplified Arabic" w:cs="Simplified Arabic"/>
          <w:rtl/>
        </w:rPr>
        <w:t xml:space="preserve"> </w:t>
      </w:r>
      <w:r w:rsidRPr="00FF3102">
        <w:rPr>
          <w:rFonts w:ascii="Simplified Arabic" w:eastAsiaTheme="minorEastAsia" w:hAnsi="Simplified Arabic" w:cs="Simplified Arabic"/>
          <w:spacing w:val="0"/>
          <w:rtl/>
        </w:rPr>
        <w:t xml:space="preserve">كما أعرب عن اهتمامه </w:t>
      </w:r>
      <w:r w:rsidRPr="00FF3102">
        <w:rPr>
          <w:rFonts w:ascii="Simplified Arabic" w:eastAsiaTheme="minorEastAsia" w:hAnsi="Simplified Arabic" w:cs="Simplified Arabic"/>
          <w:rtl/>
        </w:rPr>
        <w:t>بأن تقوم</w:t>
      </w:r>
      <w:r w:rsidRPr="00FF3102">
        <w:rPr>
          <w:rFonts w:ascii="Simplified Arabic" w:eastAsiaTheme="minorEastAsia" w:hAnsi="Simplified Arabic" w:cs="Simplified Arabic"/>
          <w:spacing w:val="0"/>
          <w:rtl/>
        </w:rPr>
        <w:t xml:space="preserve"> مجموعة البنك الدولي بتسهيل إجراء حوار بينه و</w:t>
      </w:r>
      <w:r w:rsidRPr="00FF3102">
        <w:rPr>
          <w:rFonts w:ascii="Simplified Arabic" w:eastAsiaTheme="minorEastAsia" w:hAnsi="Simplified Arabic" w:cs="Simplified Arabic"/>
          <w:rtl/>
        </w:rPr>
        <w:t xml:space="preserve">بين </w:t>
      </w:r>
      <w:r w:rsidRPr="00FF3102">
        <w:rPr>
          <w:rFonts w:ascii="Simplified Arabic" w:eastAsiaTheme="minorEastAsia" w:hAnsi="Simplified Arabic" w:cs="Simplified Arabic"/>
          <w:spacing w:val="0"/>
          <w:rtl/>
        </w:rPr>
        <w:t>الحكومة</w:t>
      </w:r>
      <w:r w:rsidRPr="00FF3102">
        <w:rPr>
          <w:rFonts w:ascii="Simplified Arabic" w:eastAsiaTheme="minorEastAsia" w:hAnsi="Simplified Arabic" w:cs="Simplified Arabic"/>
          <w:rtl/>
        </w:rPr>
        <w:t>، و</w:t>
      </w:r>
      <w:r w:rsidRPr="00FF3102">
        <w:rPr>
          <w:rFonts w:ascii="Simplified Arabic" w:eastAsiaTheme="minorEastAsia" w:hAnsi="Simplified Arabic" w:cs="Simplified Arabic"/>
          <w:spacing w:val="0"/>
          <w:rtl/>
        </w:rPr>
        <w:t>بمواصلة التواصل</w:t>
      </w:r>
      <w:r w:rsidRPr="00FF3102">
        <w:rPr>
          <w:rFonts w:ascii="Simplified Arabic" w:eastAsiaTheme="minorEastAsia" w:hAnsi="Simplified Arabic" w:cs="Simplified Arabic"/>
          <w:rtl/>
        </w:rPr>
        <w:t xml:space="preserve"> مع مؤسسة التمويل الدولية لاستكشاف فرص الاستثمار في قطاعات من بينها قطاعات الصحة والتعليم والإسكان لمحدودي الدخل</w:t>
      </w:r>
      <w:r w:rsidRPr="00FF3102">
        <w:rPr>
          <w:rFonts w:ascii="Simplified Arabic" w:eastAsiaTheme="minorEastAsia" w:hAnsi="Simplified Arabic" w:cs="Simplified Arabic"/>
          <w:spacing w:val="0"/>
          <w:rtl/>
        </w:rPr>
        <w:t>.</w:t>
      </w:r>
      <w:r w:rsidRPr="00FF3102">
        <w:rPr>
          <w:rFonts w:ascii="Simplified Arabic" w:eastAsiaTheme="minorEastAsia" w:hAnsi="Simplified Arabic" w:cs="Simplified Arabic"/>
          <w:spacing w:val="0"/>
        </w:rPr>
        <w:t xml:space="preserve"> </w:t>
      </w:r>
    </w:p>
    <w:p w:rsidR="00810BAC" w:rsidRPr="00FF3102" w:rsidRDefault="002A2E25" w:rsidP="00D23C58">
      <w:pPr>
        <w:pStyle w:val="Head2"/>
        <w:rPr>
          <w:rtl/>
          <w:lang w:bidi="ar-EG"/>
        </w:rPr>
      </w:pPr>
      <w:bookmarkStart w:id="686" w:name="_Toc439184546"/>
      <w:r w:rsidRPr="00FF3102">
        <w:rPr>
          <w:rtl/>
        </w:rPr>
        <w:t>ج</w:t>
      </w:r>
      <w:r w:rsidR="00810BAC" w:rsidRPr="00FF3102">
        <w:rPr>
          <w:rtl/>
        </w:rPr>
        <w:t>. عرض عام لإستراتيجية مجموعة البنك الدولي</w:t>
      </w:r>
      <w:bookmarkEnd w:id="686"/>
    </w:p>
    <w:p w:rsidR="00810BAC" w:rsidRPr="00FF3102" w:rsidRDefault="00810BAC" w:rsidP="007F19FA">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تمر مصر بمنعطف حرج في مسيرتها التنموية في ظل وجودها بمنطقة تشهد العديد من الاضطرابات وأعمال العنف وأزمة للاجئين هي الأسوأ منذ عقود. </w:t>
      </w:r>
      <w:r w:rsidRPr="00FF3102">
        <w:rPr>
          <w:rFonts w:ascii="Simplified Arabic" w:eastAsiaTheme="minorEastAsia" w:hAnsi="Simplified Arabic" w:cs="Simplified Arabic"/>
          <w:spacing w:val="0"/>
          <w:rtl/>
        </w:rPr>
        <w:t xml:space="preserve">ومازالت مخاطر عدم الاستقرار الاقتصادي والاحتجاجات المدنية قائمة، في حين </w:t>
      </w:r>
      <w:r w:rsidR="007F19FA">
        <w:rPr>
          <w:rFonts w:ascii="Simplified Arabic" w:eastAsiaTheme="minorEastAsia" w:hAnsi="Simplified Arabic" w:cs="Simplified Arabic" w:hint="cs"/>
          <w:spacing w:val="0"/>
          <w:rtl/>
        </w:rPr>
        <w:t>أن</w:t>
      </w:r>
      <w:r w:rsidRPr="00FF3102">
        <w:rPr>
          <w:rFonts w:ascii="Simplified Arabic" w:eastAsiaTheme="minorEastAsia" w:hAnsi="Simplified Arabic" w:cs="Simplified Arabic"/>
          <w:spacing w:val="0"/>
          <w:rtl/>
        </w:rPr>
        <w:t xml:space="preserve"> منافع تحقيق السلام والاستقرار والرخاء </w:t>
      </w:r>
      <w:r w:rsidR="007F19FA">
        <w:rPr>
          <w:rFonts w:ascii="Simplified Arabic" w:eastAsiaTheme="minorEastAsia" w:hAnsi="Simplified Arabic" w:cs="Simplified Arabic" w:hint="cs"/>
          <w:spacing w:val="0"/>
          <w:rtl/>
        </w:rPr>
        <w:t xml:space="preserve">سوف تتخطي </w:t>
      </w:r>
      <w:r w:rsidRPr="00FF3102">
        <w:rPr>
          <w:rFonts w:ascii="Simplified Arabic" w:eastAsiaTheme="minorEastAsia" w:hAnsi="Simplified Arabic" w:cs="Simplified Arabic"/>
          <w:spacing w:val="0"/>
          <w:rtl/>
        </w:rPr>
        <w:t xml:space="preserve">حدود مصر بكثير. ويؤيد المجتمع الدولي بقوة مساعدة الحكومة المصرية لتنفيذ إصلاحات بعيدة المدى. </w:t>
      </w:r>
      <w:r w:rsidRPr="00FF3102">
        <w:rPr>
          <w:rFonts w:ascii="Simplified Arabic" w:eastAsiaTheme="minorEastAsia" w:hAnsi="Simplified Arabic" w:cs="Simplified Arabic"/>
          <w:rtl/>
        </w:rPr>
        <w:t>ولا تزال</w:t>
      </w:r>
      <w:r w:rsidRPr="00FF3102">
        <w:rPr>
          <w:rFonts w:ascii="Simplified Arabic" w:eastAsiaTheme="minorEastAsia" w:hAnsi="Simplified Arabic" w:cs="Simplified Arabic"/>
          <w:spacing w:val="0"/>
          <w:rtl/>
        </w:rPr>
        <w:t xml:space="preserve"> مجموعة البنك الدولي شريكا ملتزما بتقديم مساندة مباشرة والقيام بتعبئة مجتمع شركاء التنمية، كما أنها ستعمل على نحو وثيق مع أنصار الإصلاح في الوزارات الرئيسية. و</w:t>
      </w:r>
      <w:r w:rsidRPr="00FF3102">
        <w:rPr>
          <w:rFonts w:ascii="Simplified Arabic" w:eastAsiaTheme="minorEastAsia" w:hAnsi="Simplified Arabic" w:cs="Simplified Arabic"/>
          <w:rtl/>
        </w:rPr>
        <w:t>ستقوم</w:t>
      </w:r>
      <w:r w:rsidRPr="00FF3102">
        <w:rPr>
          <w:rFonts w:ascii="Simplified Arabic" w:eastAsiaTheme="minorEastAsia" w:hAnsi="Simplified Arabic" w:cs="Simplified Arabic"/>
          <w:spacing w:val="0"/>
          <w:rtl/>
        </w:rPr>
        <w:t xml:space="preserve"> مساندة مجموعة البنك الدولي على أساس:</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(أ) الطلب في مصر، أي كل من طلبات الحكومة المصرية والأولويات التي ذكرها </w:t>
      </w:r>
      <w:r w:rsidR="00544D88">
        <w:rPr>
          <w:rFonts w:ascii="Simplified Arabic" w:eastAsiaTheme="minorEastAsia" w:hAnsi="Simplified Arabic" w:cs="Simplified Arabic" w:hint="cs"/>
          <w:spacing w:val="0"/>
          <w:rtl/>
        </w:rPr>
        <w:t>ممثلو الفئات المعنية</w:t>
      </w:r>
      <w:r w:rsidRPr="00FF3102">
        <w:rPr>
          <w:rFonts w:ascii="Simplified Arabic" w:eastAsiaTheme="minorEastAsia" w:hAnsi="Simplified Arabic" w:cs="Simplified Arabic"/>
          <w:spacing w:val="0"/>
          <w:rtl/>
        </w:rPr>
        <w:t xml:space="preserve">؛ (ب) الأولويات والعوامل الرئيسية المحركة التي حددتها </w:t>
      </w:r>
      <w:r w:rsidRPr="00FF3102">
        <w:rPr>
          <w:rFonts w:ascii="Simplified Arabic" w:eastAsiaTheme="minorEastAsia" w:hAnsi="Simplified Arabic" w:cs="Simplified Arabic"/>
          <w:rtl/>
        </w:rPr>
        <w:t>الدراسة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التشخيصية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المنهجية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الخاصة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بمصر</w:t>
      </w:r>
      <w:r w:rsidRPr="00FF3102">
        <w:rPr>
          <w:rFonts w:ascii="Simplified Arabic" w:eastAsiaTheme="minorEastAsia" w:hAnsi="Simplified Arabic" w:cs="Simplified Arabic"/>
          <w:spacing w:val="0"/>
          <w:rtl/>
        </w:rPr>
        <w:t xml:space="preserve"> لتحقيق هدفي إنهاء الفقر المدقع وتعزيز الرخاء المشترك على نحو قابل للاستمرار؛ (ج) الميزة النسبية لمجموعة البنك الدولي.</w:t>
      </w:r>
      <w:r w:rsidRPr="00FF3102">
        <w:rPr>
          <w:rFonts w:ascii="Simplified Arabic" w:eastAsiaTheme="minorEastAsia" w:hAnsi="Simplified Arabic" w:cs="Simplified Arabic"/>
          <w:spacing w:val="0"/>
        </w:rPr>
        <w:t xml:space="preserve"> </w:t>
      </w:r>
      <w:r w:rsidR="00544D88">
        <w:rPr>
          <w:rFonts w:ascii="Simplified Arabic" w:eastAsiaTheme="minorEastAsia" w:hAnsi="Simplified Arabic" w:cs="Simplified Arabic"/>
          <w:spacing w:val="0"/>
          <w:rtl/>
        </w:rPr>
        <w:t>وستعمل المجموعة</w:t>
      </w:r>
      <w:r w:rsidRPr="00FF3102">
        <w:rPr>
          <w:rFonts w:ascii="Simplified Arabic" w:eastAsiaTheme="minorEastAsia" w:hAnsi="Simplified Arabic" w:cs="Simplified Arabic"/>
          <w:spacing w:val="0"/>
          <w:rtl/>
        </w:rPr>
        <w:t xml:space="preserve"> </w:t>
      </w:r>
      <w:r w:rsidR="00544D88">
        <w:rPr>
          <w:rFonts w:ascii="Simplified Arabic" w:eastAsiaTheme="minorEastAsia" w:hAnsi="Simplified Arabic" w:cs="Simplified Arabic" w:hint="cs"/>
          <w:spacing w:val="0"/>
          <w:rtl/>
        </w:rPr>
        <w:t xml:space="preserve">أيضا </w:t>
      </w:r>
      <w:r w:rsidRPr="00FF3102">
        <w:rPr>
          <w:rFonts w:ascii="Simplified Arabic" w:eastAsiaTheme="minorEastAsia" w:hAnsi="Simplified Arabic" w:cs="Simplified Arabic"/>
          <w:spacing w:val="0"/>
          <w:rtl/>
        </w:rPr>
        <w:t>بأسلوب مختلف</w:t>
      </w:r>
      <w:r w:rsidR="00544D88">
        <w:rPr>
          <w:rFonts w:ascii="Simplified Arabic" w:eastAsiaTheme="minorEastAsia" w:hAnsi="Simplified Arabic" w:cs="Simplified Arabic" w:hint="cs"/>
          <w:spacing w:val="0"/>
          <w:rtl/>
        </w:rPr>
        <w:t xml:space="preserve"> </w:t>
      </w:r>
      <w:r w:rsidRPr="00FF3102">
        <w:rPr>
          <w:rFonts w:ascii="Simplified Arabic" w:eastAsiaTheme="minorEastAsia" w:hAnsi="Simplified Arabic" w:cs="Simplified Arabic"/>
          <w:spacing w:val="0"/>
          <w:rtl/>
        </w:rPr>
        <w:t xml:space="preserve"> بأن </w:t>
      </w:r>
      <w:r w:rsidR="00544D88">
        <w:rPr>
          <w:rFonts w:ascii="Simplified Arabic" w:eastAsiaTheme="minorEastAsia" w:hAnsi="Simplified Arabic" w:cs="Simplified Arabic" w:hint="cs"/>
          <w:spacing w:val="0"/>
          <w:rtl/>
        </w:rPr>
        <w:t>تظل</w:t>
      </w:r>
      <w:r w:rsidRPr="00FF3102">
        <w:rPr>
          <w:rFonts w:ascii="Simplified Arabic" w:eastAsiaTheme="minorEastAsia" w:hAnsi="Simplified Arabic" w:cs="Simplified Arabic"/>
          <w:spacing w:val="0"/>
          <w:rtl/>
        </w:rPr>
        <w:t xml:space="preserve"> محتفظة بمرونتها بحيث يمكنها الاستجابة </w:t>
      </w:r>
      <w:r w:rsidRPr="00FF3102">
        <w:rPr>
          <w:rFonts w:ascii="Simplified Arabic" w:eastAsiaTheme="minorEastAsia" w:hAnsi="Simplified Arabic" w:cs="Simplified Arabic"/>
          <w:rtl/>
        </w:rPr>
        <w:t>للأوضاع</w:t>
      </w:r>
      <w:r w:rsidRPr="00FF3102">
        <w:rPr>
          <w:rFonts w:ascii="Simplified Arabic" w:eastAsiaTheme="minorEastAsia" w:hAnsi="Simplified Arabic" w:cs="Simplified Arabic"/>
          <w:spacing w:val="0"/>
          <w:rtl/>
        </w:rPr>
        <w:t xml:space="preserve"> المتغيِّر</w:t>
      </w:r>
      <w:r w:rsidRPr="00FF3102">
        <w:rPr>
          <w:rFonts w:ascii="Simplified Arabic" w:eastAsiaTheme="minorEastAsia" w:hAnsi="Simplified Arabic" w:cs="Simplified Arabic"/>
          <w:rtl/>
        </w:rPr>
        <w:t>ة</w:t>
      </w:r>
      <w:r w:rsidRPr="00FF3102">
        <w:rPr>
          <w:rFonts w:ascii="Simplified Arabic" w:eastAsiaTheme="minorEastAsia" w:hAnsi="Simplified Arabic" w:cs="Simplified Arabic"/>
          <w:spacing w:val="0"/>
          <w:rtl/>
        </w:rPr>
        <w:t xml:space="preserve"> في مصر وتقديم حلول إنمائية متكاملة ومكيَّفة لتلائم الاحتياجات الخاصة لمصر</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مع تقد</w:t>
      </w:r>
      <w:r w:rsidRPr="00FF3102">
        <w:rPr>
          <w:rFonts w:ascii="Simplified Arabic" w:eastAsiaTheme="minorEastAsia" w:hAnsi="Simplified Arabic" w:cs="Simplified Arabic"/>
          <w:rtl/>
        </w:rPr>
        <w:t>يم</w:t>
      </w:r>
      <w:r w:rsidRPr="00FF3102">
        <w:rPr>
          <w:rFonts w:ascii="Simplified Arabic" w:eastAsiaTheme="minorEastAsia" w:hAnsi="Simplified Arabic" w:cs="Simplified Arabic"/>
          <w:spacing w:val="0"/>
          <w:rtl/>
        </w:rPr>
        <w:t xml:space="preserve"> خبرات عالمية.</w:t>
      </w:r>
    </w:p>
    <w:p w:rsidR="00810BAC" w:rsidRPr="00FF3102" w:rsidRDefault="00810BAC" w:rsidP="000E1C7B">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يقوم تحليل الدراسة التشخيصية المنهجية الخاصة بمصر بتحديد ملامح إستراتيجية مجموعة البنك الدولي التي تلتزم التزاما وثيقا بإستراتيجية التنمية طويلة الأمد للحكومة المصرية (الفقرات</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spacing w:val="0"/>
          <w:rtl/>
        </w:rPr>
        <w:t>50-58) وسيكون عنصرا مهما في إستراتيجية المجموعة الخاصة بمنطقة الشرق الأوسط وشمال أفريقيا.</w:t>
      </w:r>
      <w:r w:rsidR="002A2E25" w:rsidRPr="00FF3102">
        <w:rPr>
          <w:rStyle w:val="FootnoteReference"/>
          <w:rFonts w:ascii="Simplified Arabic" w:eastAsiaTheme="minorEastAsia" w:hAnsi="Simplified Arabic" w:cs="Simplified Arabic"/>
          <w:spacing w:val="0"/>
          <w:rtl/>
        </w:rPr>
        <w:footnoteReference w:id="21"/>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ومن خلال مجموعة من الخدمات التحليلية والاستشارية والشراكات، تخطط المجموعة للتركيز على ثلاثة مجالات يرتبط بعضها ببعض: (أ) تحسين نظام الإدارة العامة والحوكمة؛ (ب) تحسين فرص خلق الوظائف بالقطاع الخاص؛ (ج) الاحتواء الاجتماعي.</w:t>
      </w:r>
      <w:r w:rsidR="002A2E25" w:rsidRPr="00FF3102">
        <w:rPr>
          <w:rStyle w:val="FootnoteReference"/>
          <w:rFonts w:ascii="Simplified Arabic" w:eastAsiaTheme="minorEastAsia" w:hAnsi="Simplified Arabic" w:cs="Simplified Arabic"/>
          <w:spacing w:val="0"/>
          <w:rtl/>
        </w:rPr>
        <w:footnoteReference w:id="22"/>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وستساعد جميع مجالات التركيز الثلاثة في تجديد العقد الاجتماعي المبني على تعزيز ثقة المواطنين، وحماية الفقراء والضعفاء بقدر أكبر من الفاعلية، وتحقيق الشمولية والمساءلة في تقديم الخدمات، وإيجاد قطاع خاص أقوى يمكنه توفير الوظائف والفرص للشباب والنساء.</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انظر الجدولين 2 و3 أدناه للاطلاع على الركائز الثلاث لإطار الشراكة الإستراتيجية والمبادرات الفعلية والمقترحة لمجموعة البنك الدولي خلال فترة السنوات المالية 2015-2019. </w:t>
      </w:r>
    </w:p>
    <w:p w:rsidR="00810BAC" w:rsidRPr="00FF3102" w:rsidRDefault="00810BAC" w:rsidP="00810BAC">
      <w:pPr>
        <w:bidi/>
        <w:rPr>
          <w:rFonts w:ascii="Simplified Arabic" w:hAnsi="Simplified Arabic" w:cs="Simplified Arabic"/>
          <w:b/>
        </w:rPr>
      </w:pPr>
      <w:r w:rsidRPr="00FF3102">
        <w:rPr>
          <w:rFonts w:ascii="Simplified Arabic" w:hAnsi="Simplified Arabic" w:cs="Simplified Arabic"/>
        </w:rPr>
        <w:br w:type="page"/>
      </w:r>
    </w:p>
    <w:p w:rsidR="00810BAC" w:rsidRPr="00FF3102" w:rsidRDefault="00810BAC" w:rsidP="003612F4">
      <w:pPr>
        <w:pStyle w:val="Tables"/>
        <w:rPr>
          <w:rtl/>
          <w:lang w:bidi="ar-EG"/>
        </w:rPr>
      </w:pPr>
      <w:bookmarkStart w:id="687" w:name="_Toc439185208"/>
      <w:r w:rsidRPr="00FF3102">
        <w:rPr>
          <w:rtl/>
        </w:rPr>
        <w:t>الجدول 2. ركائز مجموعة البنك الدولي والإجراءات التدخلية الإقراضية المقترحة</w:t>
      </w:r>
      <w:bookmarkEnd w:id="687"/>
    </w:p>
    <w:tbl>
      <w:tblPr>
        <w:bidiVisual/>
        <w:tblW w:w="10405" w:type="dxa"/>
        <w:jc w:val="center"/>
        <w:tblLayout w:type="fixed"/>
        <w:tblLook w:val="04A0" w:firstRow="1" w:lastRow="0" w:firstColumn="1" w:lastColumn="0" w:noHBand="0" w:noVBand="1"/>
      </w:tblPr>
      <w:tblGrid>
        <w:gridCol w:w="3235"/>
        <w:gridCol w:w="960"/>
        <w:gridCol w:w="1380"/>
        <w:gridCol w:w="960"/>
        <w:gridCol w:w="720"/>
        <w:gridCol w:w="720"/>
        <w:gridCol w:w="720"/>
        <w:gridCol w:w="720"/>
        <w:gridCol w:w="30"/>
        <w:gridCol w:w="960"/>
      </w:tblGrid>
      <w:tr w:rsidR="00810BAC" w:rsidRPr="00FF3102">
        <w:trPr>
          <w:trHeight w:val="20"/>
          <w:jc w:val="center"/>
        </w:trPr>
        <w:tc>
          <w:tcPr>
            <w:tcW w:w="3235" w:type="dxa"/>
            <w:vMerge w:val="restart"/>
            <w:tcBorders>
              <w:top w:val="single" w:sz="4" w:space="0" w:color="auto"/>
              <w:left w:val="single" w:sz="4" w:space="0" w:color="auto"/>
              <w:right w:val="nil"/>
            </w:tcBorders>
            <w:tcMar>
              <w:left w:w="14" w:type="dxa"/>
              <w:right w:w="0" w:type="dxa"/>
            </w:tcMar>
            <w:vAlign w:val="center"/>
          </w:tcPr>
          <w:p w:rsidR="00810BAC" w:rsidRPr="00FF3102" w:rsidRDefault="00810BAC" w:rsidP="00810BAC">
            <w:pPr>
              <w:bidi/>
              <w:ind w:left="71"/>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اسم المشروع</w:t>
            </w:r>
          </w:p>
        </w:tc>
        <w:tc>
          <w:tcPr>
            <w:tcW w:w="3300" w:type="dxa"/>
            <w:gridSpan w:val="3"/>
            <w:tcBorders>
              <w:top w:val="single" w:sz="4" w:space="0" w:color="auto"/>
              <w:left w:val="single" w:sz="4" w:space="0" w:color="auto"/>
              <w:bottom w:val="single" w:sz="4" w:space="0" w:color="auto"/>
              <w:right w:val="single" w:sz="4" w:space="0" w:color="000000"/>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مجالات تركيز إطار الشراكة الإستراتيجية</w:t>
            </w:r>
          </w:p>
        </w:tc>
        <w:tc>
          <w:tcPr>
            <w:tcW w:w="720" w:type="dxa"/>
            <w:tcBorders>
              <w:top w:val="single" w:sz="4" w:space="0" w:color="auto"/>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السنوات المالية 2015-2019</w:t>
            </w:r>
          </w:p>
        </w:tc>
        <w:tc>
          <w:tcPr>
            <w:tcW w:w="720" w:type="dxa"/>
            <w:tcBorders>
              <w:top w:val="single" w:sz="4" w:space="0" w:color="auto"/>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السنة المالية 2015</w:t>
            </w:r>
          </w:p>
        </w:tc>
        <w:tc>
          <w:tcPr>
            <w:tcW w:w="720" w:type="dxa"/>
            <w:tcBorders>
              <w:top w:val="single" w:sz="4" w:space="0" w:color="auto"/>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السنة المالية 2016</w:t>
            </w:r>
          </w:p>
        </w:tc>
        <w:tc>
          <w:tcPr>
            <w:tcW w:w="750" w:type="dxa"/>
            <w:gridSpan w:val="2"/>
            <w:tcBorders>
              <w:top w:val="single" w:sz="4" w:space="0" w:color="auto"/>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السنة المالية 2017</w:t>
            </w:r>
          </w:p>
        </w:tc>
        <w:tc>
          <w:tcPr>
            <w:tcW w:w="960" w:type="dxa"/>
            <w:tcBorders>
              <w:top w:val="single" w:sz="4" w:space="0" w:color="auto"/>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السنة المالية 2018-السنة المالية 2019</w:t>
            </w:r>
          </w:p>
        </w:tc>
      </w:tr>
      <w:tr w:rsidR="00810BAC" w:rsidRPr="00FF3102">
        <w:trPr>
          <w:trHeight w:val="20"/>
          <w:jc w:val="center"/>
        </w:trPr>
        <w:tc>
          <w:tcPr>
            <w:tcW w:w="3235" w:type="dxa"/>
            <w:vMerge/>
            <w:tcBorders>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71"/>
              <w:jc w:val="center"/>
              <w:rPr>
                <w:rFonts w:ascii="Simplified Arabic" w:hAnsi="Simplified Arabic" w:cs="Simplified Arabic"/>
                <w:b/>
                <w:i/>
                <w:color w:val="000000"/>
                <w:sz w:val="20"/>
                <w:szCs w:val="20"/>
              </w:rPr>
            </w:pPr>
          </w:p>
        </w:tc>
        <w:tc>
          <w:tcPr>
            <w:tcW w:w="960" w:type="dxa"/>
            <w:tcBorders>
              <w:top w:val="nil"/>
              <w:left w:val="nil"/>
              <w:bottom w:val="single" w:sz="4" w:space="0" w:color="auto"/>
              <w:right w:val="nil"/>
            </w:tcBorders>
            <w:tcMar>
              <w:left w:w="14" w:type="dxa"/>
              <w:right w:w="0" w:type="dxa"/>
            </w:tcMar>
            <w:vAlign w:val="center"/>
          </w:tcPr>
          <w:p w:rsidR="00810BAC" w:rsidRPr="00FF3102" w:rsidRDefault="00810BAC" w:rsidP="00810BAC">
            <w:pPr>
              <w:tabs>
                <w:tab w:val="left" w:pos="3960"/>
                <w:tab w:val="left" w:pos="4680"/>
              </w:tabs>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تحسين نظام الإدارة العامة والحوكمة</w:t>
            </w:r>
          </w:p>
        </w:tc>
        <w:tc>
          <w:tcPr>
            <w:tcW w:w="1380" w:type="dxa"/>
            <w:tcBorders>
              <w:top w:val="nil"/>
              <w:left w:val="single" w:sz="4" w:space="0" w:color="auto"/>
              <w:bottom w:val="single" w:sz="4" w:space="0" w:color="auto"/>
              <w:right w:val="nil"/>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خلق فرص عمل بالقطاع الخاص</w:t>
            </w:r>
          </w:p>
        </w:tc>
        <w:tc>
          <w:tcPr>
            <w:tcW w:w="960" w:type="dxa"/>
            <w:tcBorders>
              <w:top w:val="nil"/>
              <w:left w:val="single" w:sz="4" w:space="0" w:color="auto"/>
              <w:bottom w:val="single" w:sz="4" w:space="0" w:color="auto"/>
              <w:right w:val="nil"/>
            </w:tcBorders>
            <w:tcMar>
              <w:left w:w="14" w:type="dxa"/>
              <w:right w:w="0" w:type="dxa"/>
            </w:tcMar>
            <w:vAlign w:val="center"/>
          </w:tcPr>
          <w:p w:rsidR="00810BAC" w:rsidRPr="00FF3102" w:rsidRDefault="00810BAC" w:rsidP="00810BAC">
            <w:pPr>
              <w:tabs>
                <w:tab w:val="left" w:pos="4410"/>
              </w:tabs>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الاحتواء الاجتماعي</w:t>
            </w:r>
          </w:p>
        </w:tc>
        <w:tc>
          <w:tcPr>
            <w:tcW w:w="720"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تقديري</w:t>
            </w:r>
          </w:p>
        </w:tc>
        <w:tc>
          <w:tcPr>
            <w:tcW w:w="72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فعلي</w:t>
            </w:r>
          </w:p>
        </w:tc>
        <w:tc>
          <w:tcPr>
            <w:tcW w:w="2430" w:type="dxa"/>
            <w:gridSpan w:val="4"/>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متوقع</w:t>
            </w: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برنامج</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التمويل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العقاري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الشامل</w:t>
            </w:r>
            <w:r w:rsidRPr="00FF3102">
              <w:rPr>
                <w:rFonts w:ascii="Simplified Arabic" w:eastAsiaTheme="minorEastAsia" w:hAnsi="Simplified Arabic" w:cs="Simplified Arabic"/>
                <w:color w:val="000000"/>
                <w:sz w:val="20"/>
                <w:szCs w:val="20"/>
                <w:rtl/>
              </w:rPr>
              <w:t xml:space="preserve"> (تمويل البرامج وفقا للنتائج)</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b/>
                <w:color w:val="000000"/>
                <w:sz w:val="20"/>
                <w:szCs w:val="20"/>
              </w:rPr>
            </w:pP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500 مليون دولار</w:t>
            </w:r>
          </w:p>
        </w:tc>
        <w:tc>
          <w:tcPr>
            <w:tcW w:w="720" w:type="dxa"/>
            <w:vMerge w:val="restart"/>
            <w:tcBorders>
              <w:top w:val="nil"/>
              <w:left w:val="single" w:sz="4" w:space="0" w:color="auto"/>
              <w:bottom w:val="single" w:sz="4" w:space="0" w:color="000000"/>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b/>
                <w:color w:val="000000"/>
                <w:sz w:val="20"/>
                <w:szCs w:val="20"/>
              </w:rPr>
            </w:pPr>
          </w:p>
        </w:tc>
        <w:tc>
          <w:tcPr>
            <w:tcW w:w="720" w:type="dxa"/>
            <w:vMerge w:val="restart"/>
            <w:tcBorders>
              <w:top w:val="nil"/>
              <w:left w:val="single" w:sz="4" w:space="0" w:color="auto"/>
              <w:bottom w:val="single" w:sz="4" w:space="0" w:color="000000"/>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90" w:type="dxa"/>
            <w:gridSpan w:val="2"/>
            <w:vMerge w:val="restart"/>
            <w:tcBorders>
              <w:top w:val="nil"/>
              <w:left w:val="single" w:sz="4" w:space="0" w:color="auto"/>
              <w:bottom w:val="single" w:sz="4" w:space="0" w:color="000000"/>
              <w:right w:val="single" w:sz="4" w:space="0" w:color="auto"/>
            </w:tcBorders>
            <w:noWrap/>
            <w:tcMar>
              <w:left w:w="14" w:type="dxa"/>
              <w:right w:w="0" w:type="dxa"/>
            </w:tcMar>
            <w:textDirection w:val="btL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sz w:val="20"/>
                <w:szCs w:val="20"/>
                <w:rtl/>
              </w:rPr>
              <w:t>مشروع توصيل الغاز إلى المنازل (تمويل البرامج وفقا للنتائج)</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500 مليون دولار</w:t>
            </w: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90" w:type="dxa"/>
            <w:gridSpan w:val="2"/>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sz w:val="20"/>
                <w:szCs w:val="20"/>
                <w:rtl/>
              </w:rPr>
              <w:t>مشروع دعم شبكات الأمان الاجتماعي</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
                <w:color w:val="000000"/>
                <w:sz w:val="20"/>
                <w:szCs w:val="20"/>
              </w:rPr>
              <w:t> </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400 مليون دولار</w:t>
            </w: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90" w:type="dxa"/>
            <w:gridSpan w:val="2"/>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خدمات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الصرف</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الصحي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المستدامة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بالمناطق</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الريفية</w:t>
            </w:r>
            <w:r w:rsidRPr="00FF3102">
              <w:rPr>
                <w:rFonts w:ascii="Simplified Arabic" w:eastAsiaTheme="minorEastAsia" w:hAnsi="Simplified Arabic" w:cs="Simplified Arabic"/>
                <w:color w:val="000000"/>
                <w:sz w:val="20"/>
                <w:szCs w:val="20"/>
                <w:rtl/>
              </w:rPr>
              <w:t xml:space="preserve"> (تمويل البرامج وفقا للنتائج)</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
                <w:color w:val="000000"/>
                <w:sz w:val="20"/>
                <w:szCs w:val="20"/>
              </w:rPr>
              <w:t> </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550 مليون دولار</w:t>
            </w: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90" w:type="dxa"/>
            <w:gridSpan w:val="2"/>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تكافؤ الفرص وتبسيط بيئة الاستثمار (</w:t>
            </w:r>
            <w:r w:rsidRPr="00FF3102">
              <w:rPr>
                <w:rFonts w:ascii="Simplified Arabic" w:eastAsiaTheme="minorEastAsia" w:hAnsi="Simplified Arabic" w:cs="Simplified Arabic"/>
                <w:color w:val="000000"/>
                <w:sz w:val="20"/>
                <w:szCs w:val="20"/>
              </w:rPr>
              <w:t>EASE</w:t>
            </w:r>
            <w:r w:rsidRPr="00FF3102">
              <w:rPr>
                <w:rFonts w:ascii="Simplified Arabic" w:eastAsiaTheme="minorEastAsia" w:hAnsi="Simplified Arabic" w:cs="Simplified Arabic"/>
                <w:color w:val="000000"/>
                <w:sz w:val="20"/>
                <w:szCs w:val="20"/>
                <w:rtl/>
              </w:rPr>
              <w:t>)</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Pr>
            </w:pPr>
            <w:r w:rsidRPr="00FF3102">
              <w:rPr>
                <w:rFonts w:ascii="Simplified Arabic" w:hAnsi="Simplified Arabic" w:cs="Simplified Arabic"/>
                <w:b/>
                <w:color w:val="000000"/>
                <w:sz w:val="20"/>
                <w:szCs w:val="20"/>
              </w:rPr>
              <w:t> </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 ملايين دولار</w:t>
            </w:r>
          </w:p>
        </w:tc>
        <w:tc>
          <w:tcPr>
            <w:tcW w:w="720" w:type="dxa"/>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b/>
                <w:color w:val="000000"/>
                <w:sz w:val="20"/>
                <w:szCs w:val="20"/>
              </w:rPr>
            </w:pPr>
          </w:p>
        </w:tc>
        <w:tc>
          <w:tcPr>
            <w:tcW w:w="990" w:type="dxa"/>
            <w:gridSpan w:val="2"/>
            <w:vMerge/>
            <w:tcBorders>
              <w:top w:val="nil"/>
              <w:left w:val="single" w:sz="4" w:space="0" w:color="auto"/>
              <w:bottom w:val="single" w:sz="4" w:space="0" w:color="000000"/>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sz w:val="20"/>
                <w:szCs w:val="20"/>
                <w:rtl/>
              </w:rPr>
              <w:t>مشروع التنمية المحلية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في صعيد مصر</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500 مليون دولار</w:t>
            </w:r>
          </w:p>
        </w:tc>
        <w:tc>
          <w:tcPr>
            <w:tcW w:w="990" w:type="dxa"/>
            <w:gridSpan w:val="2"/>
            <w:tcBorders>
              <w:top w:val="nil"/>
              <w:left w:val="nil"/>
              <w:bottom w:val="single" w:sz="4" w:space="0" w:color="auto"/>
              <w:right w:val="single" w:sz="4" w:space="0" w:color="auto"/>
            </w:tcBorders>
            <w:noWrap/>
            <w:tcMar>
              <w:left w:w="14" w:type="dxa"/>
              <w:right w:w="0" w:type="dxa"/>
            </w:tcMar>
            <w:textDirection w:val="btLr"/>
            <w:vAlign w:val="center"/>
          </w:tcPr>
          <w:p w:rsidR="00810BAC" w:rsidRPr="00FF3102" w:rsidRDefault="00810BAC" w:rsidP="00810BAC">
            <w:pPr>
              <w:bidi/>
              <w:jc w:val="center"/>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تثبيت أوضاع المالية العامة، والطاقة المستدامة، وزيادة القدرة التنافسية (تمويل سياسات التنمية)</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138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 xml:space="preserve"> مليار دولار</w:t>
            </w: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لم يُحدد بعد</w:t>
            </w:r>
          </w:p>
        </w:tc>
        <w:tc>
          <w:tcPr>
            <w:tcW w:w="990" w:type="dxa"/>
            <w:gridSpan w:val="2"/>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لم يُحدد بعد</w:t>
            </w: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ind w:left="161" w:hanging="90"/>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sz w:val="20"/>
                <w:szCs w:val="20"/>
                <w:rtl/>
              </w:rPr>
              <w:t>برنامج التنمية الزراعية المتكاملة في صعيد مصر</w:t>
            </w:r>
          </w:p>
        </w:tc>
        <w:tc>
          <w:tcPr>
            <w:tcW w:w="96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b/>
                <w:color w:val="000000"/>
                <w:sz w:val="20"/>
                <w:szCs w:val="20"/>
              </w:rPr>
            </w:pPr>
          </w:p>
        </w:tc>
        <w:tc>
          <w:tcPr>
            <w:tcW w:w="138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nil"/>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single" w:sz="4" w:space="0" w:color="auto"/>
              <w:bottom w:val="single" w:sz="4" w:space="0" w:color="000000"/>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500 مليون دولار</w:t>
            </w:r>
          </w:p>
        </w:tc>
        <w:tc>
          <w:tcPr>
            <w:tcW w:w="990" w:type="dxa"/>
            <w:gridSpan w:val="2"/>
            <w:tcBorders>
              <w:top w:val="nil"/>
              <w:left w:val="nil"/>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r>
      <w:tr w:rsidR="00810BAC" w:rsidRPr="00FF3102">
        <w:trPr>
          <w:trHeight w:val="20"/>
          <w:jc w:val="center"/>
        </w:trPr>
        <w:tc>
          <w:tcPr>
            <w:tcW w:w="3235" w:type="dxa"/>
            <w:tcBorders>
              <w:top w:val="nil"/>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ind w:left="71"/>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sz w:val="20"/>
                <w:szCs w:val="20"/>
                <w:rtl/>
              </w:rPr>
              <w:t>مشروع تحديث التعليم</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والمهارات</w:t>
            </w:r>
          </w:p>
        </w:tc>
        <w:tc>
          <w:tcPr>
            <w:tcW w:w="96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b/>
                <w:color w:val="000000"/>
                <w:sz w:val="20"/>
                <w:szCs w:val="20"/>
              </w:rPr>
            </w:pPr>
          </w:p>
        </w:tc>
        <w:tc>
          <w:tcPr>
            <w:tcW w:w="138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96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bCs/>
                <w:color w:val="000000"/>
                <w:sz w:val="20"/>
                <w:szCs w:val="20"/>
                <w:rtl/>
              </w:rPr>
              <w:t>x</w:t>
            </w:r>
          </w:p>
        </w:tc>
        <w:tc>
          <w:tcPr>
            <w:tcW w:w="720" w:type="dxa"/>
            <w:tcBorders>
              <w:top w:val="nil"/>
              <w:left w:val="nil"/>
              <w:bottom w:val="single" w:sz="4" w:space="0" w:color="auto"/>
              <w:right w:val="single" w:sz="4" w:space="0" w:color="auto"/>
            </w:tcBorders>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720" w:type="dxa"/>
            <w:tcBorders>
              <w:top w:val="nil"/>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hAnsi="Simplified Arabic" w:cs="Simplified Arabic"/>
                <w:color w:val="000000"/>
                <w:sz w:val="20"/>
                <w:szCs w:val="20"/>
              </w:rPr>
            </w:pPr>
          </w:p>
        </w:tc>
        <w:tc>
          <w:tcPr>
            <w:tcW w:w="720" w:type="dxa"/>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rPr>
                <w:rFonts w:ascii="Simplified Arabic" w:hAnsi="Simplified Arabic" w:cs="Simplified Arabic"/>
                <w:color w:val="000000"/>
                <w:sz w:val="20"/>
                <w:szCs w:val="20"/>
              </w:rPr>
            </w:pPr>
          </w:p>
        </w:tc>
        <w:tc>
          <w:tcPr>
            <w:tcW w:w="990" w:type="dxa"/>
            <w:gridSpan w:val="2"/>
            <w:tcBorders>
              <w:top w:val="nil"/>
              <w:left w:val="nil"/>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sz w:val="20"/>
                <w:szCs w:val="20"/>
                <w:rtl/>
              </w:rPr>
              <w:t>لم يُحدد بعد</w:t>
            </w:r>
          </w:p>
        </w:tc>
      </w:tr>
      <w:tr w:rsidR="00810BAC" w:rsidRPr="00FF3102">
        <w:trPr>
          <w:trHeight w:val="20"/>
          <w:jc w:val="center"/>
        </w:trPr>
        <w:tc>
          <w:tcPr>
            <w:tcW w:w="6535" w:type="dxa"/>
            <w:gridSpan w:val="4"/>
            <w:tcBorders>
              <w:top w:val="single" w:sz="4" w:space="0" w:color="auto"/>
              <w:left w:val="single" w:sz="4" w:space="0" w:color="auto"/>
              <w:bottom w:val="single" w:sz="4" w:space="0" w:color="auto"/>
              <w:right w:val="single" w:sz="4" w:space="0" w:color="auto"/>
            </w:tcBorders>
            <w:noWrap/>
            <w:tcMar>
              <w:left w:w="14" w:type="dxa"/>
              <w:right w:w="0" w:type="dxa"/>
            </w:tcMar>
            <w:vAlign w:val="bottom"/>
          </w:tcPr>
          <w:p w:rsidR="00810BAC" w:rsidRPr="00FF3102" w:rsidRDefault="00810BAC" w:rsidP="00810BAC">
            <w:pPr>
              <w:bidi/>
              <w:jc w:val="center"/>
              <w:rPr>
                <w:rFonts w:ascii="Simplified Arabic" w:hAnsi="Simplified Arabic" w:cs="Simplified Arabic"/>
                <w:sz w:val="20"/>
                <w:szCs w:val="20"/>
              </w:rPr>
            </w:pPr>
            <w:r w:rsidRPr="00FF3102">
              <w:rPr>
                <w:rFonts w:ascii="Simplified Arabic" w:hAnsi="Simplified Arabic" w:cs="Simplified Arabic"/>
                <w:color w:val="000000"/>
                <w:sz w:val="20"/>
                <w:szCs w:val="20"/>
              </w:rPr>
              <w:t> </w:t>
            </w:r>
          </w:p>
        </w:tc>
        <w:tc>
          <w:tcPr>
            <w:tcW w:w="720" w:type="dxa"/>
            <w:tcBorders>
              <w:top w:val="single" w:sz="4" w:space="0" w:color="auto"/>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color w:val="000000"/>
                <w:sz w:val="20"/>
                <w:szCs w:val="20"/>
                <w:rtl/>
              </w:rPr>
              <w:t>6 مليارات دولار</w:t>
            </w:r>
          </w:p>
        </w:tc>
        <w:tc>
          <w:tcPr>
            <w:tcW w:w="720" w:type="dxa"/>
            <w:tcBorders>
              <w:top w:val="single" w:sz="4" w:space="0" w:color="auto"/>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color w:val="000000"/>
                <w:sz w:val="20"/>
                <w:szCs w:val="20"/>
                <w:rtl/>
              </w:rPr>
              <w:t>1.4 مليار دولار</w:t>
            </w:r>
          </w:p>
        </w:tc>
        <w:tc>
          <w:tcPr>
            <w:tcW w:w="720" w:type="dxa"/>
            <w:tcBorders>
              <w:top w:val="single" w:sz="4" w:space="0" w:color="auto"/>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color w:val="000000"/>
                <w:sz w:val="20"/>
                <w:szCs w:val="20"/>
                <w:rtl/>
              </w:rPr>
              <w:t>1.55 مليار دولار</w:t>
            </w:r>
          </w:p>
        </w:tc>
        <w:tc>
          <w:tcPr>
            <w:tcW w:w="1710" w:type="dxa"/>
            <w:gridSpan w:val="3"/>
            <w:tcBorders>
              <w:top w:val="single" w:sz="4" w:space="0" w:color="auto"/>
              <w:left w:val="single" w:sz="4" w:space="0" w:color="auto"/>
              <w:bottom w:val="single" w:sz="4" w:space="0" w:color="auto"/>
              <w:right w:val="single" w:sz="4" w:space="0" w:color="auto"/>
            </w:tcBorders>
            <w:noWrap/>
            <w:tcMar>
              <w:left w:w="14" w:type="dxa"/>
              <w:right w:w="0" w:type="dxa"/>
            </w:tcMar>
            <w:vAlign w:val="center"/>
          </w:tcPr>
          <w:p w:rsidR="00810BAC" w:rsidRPr="00FF3102" w:rsidRDefault="00810BAC" w:rsidP="00810BAC">
            <w:pPr>
              <w:bidi/>
              <w:jc w:val="center"/>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b/>
                <w:color w:val="000000"/>
                <w:sz w:val="20"/>
                <w:szCs w:val="20"/>
              </w:rPr>
              <w:sym w:font="Wingdings" w:char="F0DF"/>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Cs/>
                <w:color w:val="000000"/>
                <w:sz w:val="20"/>
                <w:szCs w:val="20"/>
              </w:rPr>
              <w:sym w:font="Wingdings" w:char="F0E0"/>
            </w:r>
            <w:r w:rsidRPr="00FF3102">
              <w:rPr>
                <w:rFonts w:ascii="Simplified Arabic" w:eastAsiaTheme="minorEastAsia" w:hAnsi="Simplified Arabic" w:cs="Simplified Arabic"/>
                <w:bCs/>
                <w:color w:val="000000"/>
                <w:sz w:val="20"/>
                <w:szCs w:val="20"/>
                <w:rtl/>
              </w:rPr>
              <w:t>3.05 مليار</w:t>
            </w:r>
          </w:p>
        </w:tc>
      </w:tr>
    </w:tbl>
    <w:p w:rsidR="00810BAC" w:rsidRPr="00FF3102" w:rsidRDefault="00810BAC" w:rsidP="00810BAC">
      <w:pPr>
        <w:bidi/>
        <w:rPr>
          <w:rFonts w:ascii="Simplified Arabic" w:hAnsi="Simplified Arabic" w:cs="Simplified Arabic"/>
        </w:rPr>
      </w:pPr>
    </w:p>
    <w:p w:rsidR="00810BAC" w:rsidRPr="00FF3102" w:rsidRDefault="00810BAC" w:rsidP="003612F4">
      <w:pPr>
        <w:pStyle w:val="Tables"/>
        <w:rPr>
          <w:rtl/>
          <w:lang w:bidi="ar-EG"/>
        </w:rPr>
      </w:pPr>
      <w:bookmarkStart w:id="688" w:name="_Toc439185209"/>
      <w:r w:rsidRPr="00FF3102">
        <w:rPr>
          <w:rtl/>
        </w:rPr>
        <w:t>الجدول 3. ركائز مجموعة البنك الدولي وخدمات البنك التحليلية والاستشارية المقترحة، للسنتين الماليتين 2016-2017</w:t>
      </w:r>
      <w:bookmarkEnd w:id="688"/>
    </w:p>
    <w:tbl>
      <w:tblPr>
        <w:bidiVisual/>
        <w:tblW w:w="8740" w:type="dxa"/>
        <w:jc w:val="center"/>
        <w:tblLayout w:type="fixed"/>
        <w:tblCellMar>
          <w:left w:w="0" w:type="dxa"/>
          <w:right w:w="0" w:type="dxa"/>
        </w:tblCellMar>
        <w:tblLook w:val="0600" w:firstRow="0" w:lastRow="0" w:firstColumn="0" w:lastColumn="0" w:noHBand="1" w:noVBand="1"/>
      </w:tblPr>
      <w:tblGrid>
        <w:gridCol w:w="4315"/>
        <w:gridCol w:w="1475"/>
        <w:gridCol w:w="1475"/>
        <w:gridCol w:w="1475"/>
      </w:tblGrid>
      <w:tr w:rsidR="00810BAC" w:rsidRPr="00FF3102">
        <w:trPr>
          <w:trHeight w:val="20"/>
          <w:jc w:val="center"/>
        </w:trPr>
        <w:tc>
          <w:tcPr>
            <w:tcW w:w="4315" w:type="dxa"/>
            <w:vMerge w:val="restart"/>
            <w:tcBorders>
              <w:top w:val="single" w:sz="4" w:space="0" w:color="000000"/>
              <w:left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kern w:val="24"/>
                <w:sz w:val="20"/>
                <w:szCs w:val="20"/>
                <w:rtl/>
              </w:rPr>
              <w:t>اسم الخدمة التحليلية والاستشارية</w:t>
            </w:r>
          </w:p>
        </w:tc>
        <w:tc>
          <w:tcPr>
            <w:tcW w:w="4425" w:type="dxa"/>
            <w:gridSpan w:val="3"/>
            <w:tcBorders>
              <w:top w:val="single" w:sz="4" w:space="0" w:color="000000"/>
              <w:left w:val="single" w:sz="4" w:space="0" w:color="000000"/>
              <w:bottom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kern w:val="24"/>
                <w:sz w:val="20"/>
                <w:szCs w:val="20"/>
                <w:rtl/>
              </w:rPr>
              <w:t>مجالات تركيز إطار الشراكة الإستراتيجية</w:t>
            </w:r>
          </w:p>
        </w:tc>
      </w:tr>
      <w:tr w:rsidR="00810BAC" w:rsidRPr="00FF3102">
        <w:trPr>
          <w:trHeight w:val="20"/>
          <w:jc w:val="center"/>
        </w:trPr>
        <w:tc>
          <w:tcPr>
            <w:tcW w:w="4315" w:type="dxa"/>
            <w:vMerge/>
            <w:tcBorders>
              <w:left w:val="single" w:sz="4" w:space="0" w:color="000000"/>
              <w:bottom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hAnsi="Simplified Arabic" w:cs="Simplified Arabic"/>
                <w:i/>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kern w:val="24"/>
                <w:sz w:val="20"/>
                <w:szCs w:val="20"/>
                <w:rtl/>
              </w:rPr>
              <w:t>تحسين نظام الإدارة العامة والحوكمة</w:t>
            </w:r>
          </w:p>
        </w:tc>
        <w:tc>
          <w:tcPr>
            <w:tcW w:w="1475" w:type="dxa"/>
            <w:tcBorders>
              <w:top w:val="single" w:sz="4" w:space="0" w:color="000000"/>
              <w:left w:val="single" w:sz="4" w:space="0" w:color="000000"/>
              <w:bottom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kern w:val="24"/>
                <w:sz w:val="20"/>
                <w:szCs w:val="20"/>
                <w:rtl/>
              </w:rPr>
              <w:t>خلق فرص عمل بالقطاع الخاص</w:t>
            </w:r>
          </w:p>
        </w:tc>
        <w:tc>
          <w:tcPr>
            <w:tcW w:w="1475" w:type="dxa"/>
            <w:tcBorders>
              <w:top w:val="single" w:sz="4" w:space="0" w:color="000000"/>
              <w:left w:val="single" w:sz="4" w:space="0" w:color="000000"/>
              <w:bottom w:val="single" w:sz="4" w:space="0" w:color="000000"/>
              <w:right w:val="single" w:sz="4" w:space="0" w:color="000000"/>
            </w:tcBorders>
            <w:tcMar>
              <w:top w:w="10" w:type="dxa"/>
              <w:left w:w="0" w:type="dxa"/>
              <w:bottom w:w="0" w:type="dxa"/>
              <w:right w:w="0" w:type="dxa"/>
            </w:tcMar>
            <w:vAlign w:val="center"/>
          </w:tcPr>
          <w:p w:rsidR="00810BAC" w:rsidRPr="00FF3102" w:rsidRDefault="00810BAC" w:rsidP="00810BAC">
            <w:pPr>
              <w:bidi/>
              <w:jc w:val="center"/>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iCs/>
                <w:color w:val="000000"/>
                <w:sz w:val="20"/>
                <w:szCs w:val="20"/>
                <w:rtl/>
              </w:rPr>
              <w:t>الاحتواء الاجتماعي</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تقييم أوضاع الفقر</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إصلاح نظام تملُّك الأراضي والإصلاح المؤسسي</w:t>
            </w:r>
            <w:r w:rsidRPr="00FF3102">
              <w:rPr>
                <w:rFonts w:ascii="Simplified Arabic" w:eastAsiaTheme="minorEastAsia" w:hAnsi="Simplified Arabic" w:cs="Simplified Arabic"/>
                <w:color w:val="000000"/>
                <w:kern w:val="24"/>
                <w:sz w:val="20"/>
                <w:szCs w:val="20"/>
              </w:rPr>
              <w:t xml:space="preserve"> </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برامجية – إصلاح تمويل نظام التعليم وتحسين</w:t>
            </w:r>
            <w:r w:rsidRPr="00FF3102">
              <w:rPr>
                <w:rFonts w:ascii="Simplified Arabic" w:eastAsiaTheme="minorEastAsia" w:hAnsi="Simplified Arabic" w:cs="Simplified Arabic"/>
                <w:color w:val="000000"/>
                <w:kern w:val="24"/>
                <w:sz w:val="20"/>
                <w:szCs w:val="20"/>
              </w:rPr>
              <w:t xml:space="preserve"> </w:t>
            </w:r>
            <w:r w:rsidRPr="00FF3102">
              <w:rPr>
                <w:rFonts w:ascii="Simplified Arabic" w:eastAsiaTheme="minorEastAsia" w:hAnsi="Simplified Arabic" w:cs="Simplified Arabic"/>
                <w:color w:val="000000"/>
                <w:kern w:val="24"/>
                <w:sz w:val="20"/>
                <w:szCs w:val="20"/>
                <w:rtl/>
              </w:rPr>
              <w:t>المساءلة</w:t>
            </w:r>
          </w:p>
        </w:tc>
        <w:tc>
          <w:tcPr>
            <w:tcW w:w="1475" w:type="dxa"/>
            <w:tcBorders>
              <w:top w:val="single" w:sz="4" w:space="0" w:color="000000"/>
              <w:left w:val="single" w:sz="4" w:space="0" w:color="000000"/>
              <w:bottom w:val="single" w:sz="4" w:space="0" w:color="000000"/>
              <w:right w:val="single" w:sz="4" w:space="0" w:color="000000"/>
            </w:tcBorders>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برامجية – حوار بشأن قطاع الطاقة</w:t>
            </w:r>
          </w:p>
        </w:tc>
        <w:tc>
          <w:tcPr>
            <w:tcW w:w="1475" w:type="dxa"/>
            <w:tcBorders>
              <w:top w:val="single" w:sz="4" w:space="0" w:color="000000"/>
              <w:left w:val="single" w:sz="4" w:space="0" w:color="000000"/>
              <w:bottom w:val="single" w:sz="4" w:space="0" w:color="000000"/>
              <w:right w:val="single" w:sz="4" w:space="0" w:color="000000"/>
            </w:tcBorders>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تكلفة التدهور البيئي</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فيروس التهاب الكبد سي</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برامجية- إدارة الشؤون المالية العامة</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Pr>
            </w:pP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برامجية- إصلاحات القطاع العام</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تقييم محدَّث لحالة المساواة بين الجنسين</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النقل الحضري</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إدارة الاستثمارات العامة</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rPr>
            </w:pPr>
            <w:r w:rsidRPr="00FF3102">
              <w:rPr>
                <w:rFonts w:ascii="Simplified Arabic" w:eastAsiaTheme="minorEastAsia" w:hAnsi="Simplified Arabic" w:cs="Simplified Arabic"/>
                <w:color w:val="000000"/>
                <w:kern w:val="24"/>
                <w:sz w:val="20"/>
                <w:szCs w:val="20"/>
                <w:rtl/>
              </w:rPr>
              <w:t>مساعدة فنية- الحسابات القومية وتحليل السياسات</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r w:rsidRPr="00FF3102">
              <w:rPr>
                <w:rFonts w:ascii="Simplified Arabic" w:hAnsi="Simplified Arabic" w:cs="Simplified Arabic"/>
                <w:noProof/>
                <w:sz w:val="20"/>
                <w:szCs w:val="20"/>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textAlignment w:val="center"/>
              <w:rPr>
                <w:rFonts w:ascii="Simplified Arabic" w:hAnsi="Simplified Arabic" w:cs="Simplified Arabic"/>
                <w:sz w:val="20"/>
                <w:szCs w:val="20"/>
              </w:rPr>
            </w:pPr>
            <w:r w:rsidRPr="00FF3102">
              <w:rPr>
                <w:rFonts w:ascii="Simplified Arabic" w:hAnsi="Simplified Arabic" w:cs="Simplified Arabic"/>
                <w:noProof/>
                <w:sz w:val="20"/>
                <w:szCs w:val="20"/>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 xml:space="preserve">مساعدة فنية- سلاسل القيمة الزراعية </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المنافسة والإطار التنظيمي</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r w:rsidR="00810BAC" w:rsidRPr="00FF3102">
        <w:trPr>
          <w:trHeight w:val="20"/>
          <w:jc w:val="center"/>
        </w:trPr>
        <w:tc>
          <w:tcPr>
            <w:tcW w:w="431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ind w:left="165" w:hanging="90"/>
              <w:textAlignment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color w:val="000000"/>
                <w:kern w:val="24"/>
                <w:sz w:val="20"/>
                <w:szCs w:val="20"/>
                <w:rtl/>
              </w:rPr>
              <w:t>مساعدة فنية بشأن شبكات الأمان الاجتماعي/معاشات التقاعد</w:t>
            </w: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rPr>
                <w:rFonts w:ascii="Simplified Arabic" w:hAnsi="Simplified Arabic" w:cs="Simplified Arabic"/>
                <w:sz w:val="20"/>
                <w:szCs w:val="20"/>
              </w:rPr>
            </w:pPr>
          </w:p>
        </w:tc>
        <w:tc>
          <w:tcPr>
            <w:tcW w:w="1475" w:type="dxa"/>
            <w:tcBorders>
              <w:top w:val="single" w:sz="4" w:space="0" w:color="000000"/>
              <w:left w:val="single" w:sz="4" w:space="0" w:color="000000"/>
              <w:bottom w:val="single" w:sz="4" w:space="0" w:color="000000"/>
              <w:right w:val="single" w:sz="4" w:space="0" w:color="000000"/>
            </w:tcBorders>
            <w:tcMar>
              <w:top w:w="10" w:type="dxa"/>
              <w:left w:w="10" w:type="dxa"/>
              <w:bottom w:w="0" w:type="dxa"/>
              <w:right w:w="10" w:type="dxa"/>
            </w:tcMar>
            <w:vAlign w:val="center"/>
          </w:tcPr>
          <w:p w:rsidR="00810BAC" w:rsidRPr="00FF3102" w:rsidRDefault="00810BAC" w:rsidP="00810BAC">
            <w:pPr>
              <w:bidi/>
              <w:jc w:val="center"/>
              <w:textAlignment w:val="center"/>
              <w:rPr>
                <w:rFonts w:ascii="Simplified Arabic" w:hAnsi="Simplified Arabic" w:cs="Simplified Arabic"/>
                <w:sz w:val="20"/>
                <w:szCs w:val="20"/>
                <w:rtl/>
                <w:lang w:bidi="ar-EG"/>
              </w:rPr>
            </w:pPr>
            <w:r w:rsidRPr="00FF3102">
              <w:rPr>
                <w:rFonts w:ascii="Simplified Arabic" w:hAnsi="Simplified Arabic" w:cs="Simplified Arabic"/>
                <w:sz w:val="20"/>
                <w:szCs w:val="20"/>
                <w:rtl/>
              </w:rPr>
              <w:t>x</w:t>
            </w:r>
          </w:p>
        </w:tc>
      </w:tr>
    </w:tbl>
    <w:p w:rsidR="00810BAC" w:rsidRPr="00FF3102" w:rsidRDefault="00810BAC" w:rsidP="00810BAC">
      <w:pPr>
        <w:pStyle w:val="NoSpacing"/>
        <w:bidi/>
        <w:rPr>
          <w:rFonts w:ascii="Simplified Arabic" w:hAnsi="Simplified Arabic" w:cs="Simplified Arabic"/>
          <w:szCs w:val="24"/>
        </w:rPr>
      </w:pPr>
    </w:p>
    <w:p w:rsidR="00810BAC" w:rsidRPr="00FF3102" w:rsidRDefault="00810BAC" w:rsidP="003D744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يُعد برنامج الإقراض المقترح من البنك والخدمات التحليلية والاستشارية المقترحة أكثر تحديدا في السنوات الأولى عما هما عليه في السنوات الأخيرة.</w:t>
      </w:r>
      <w:r w:rsidRPr="00FF3102">
        <w:rPr>
          <w:rFonts w:ascii="Simplified Arabic" w:eastAsiaTheme="minorEastAsia" w:hAnsi="Simplified Arabic" w:cs="Simplified Arabic"/>
          <w:b/>
          <w:i/>
        </w:rPr>
        <w:t xml:space="preserve"> </w:t>
      </w:r>
      <w:r w:rsidRPr="00FF3102">
        <w:rPr>
          <w:rFonts w:ascii="Simplified Arabic" w:eastAsiaTheme="minorEastAsia" w:hAnsi="Simplified Arabic" w:cs="Simplified Arabic"/>
          <w:rtl/>
        </w:rPr>
        <w:t xml:space="preserve">ويرجع ذلك إلى أن برنامج الإقراض المقرر لآخر سنتين من الفترة التي يغطيها إطار الشراكة الإستراتيجية (السنتان الماليتان 2018-2019) يتألف من قرضين محتملين لسياسات التنمية يُعدان جديدين بالنسبة لمصر، كما أن نطاقهما وتوقيتهما مشروطان بقدرة الحكومة على وضع برنامج موثوق به لتحسين وضع الاقتصاد الكلي والتصدي لمخاطره، لاسيما لحل مشكلة النقد الأجنبي. وسيتطلب مشروع التعليم أيضا قدرا كبيرا من الخدمات التحليلية والاستشارية قبل أن يتسنى تحديد نطاق العملية وتوقيتها. وبالمثل، فإن الحوار مع الوزارات المختلفة بشأن السياسات آخذ في التطور، وقد يكون طلب الحكومة المصرية على خدمات البنك المعرفية متوقفاً على نتيجة الخدمات التحليلية والاستشارية الحالية والمقرر تقديمها. ومن المزمع إجراء تقييم محدَّث لوضع المساواة بين الجنسين، وهو ما سيساعد في إثراء حوار البنك وكذلك العمليات المستقبلية. وستتم مراجعة برنامج الإقراض والخدمات التحليلية والاستشارية في السنوات الأخيرة وتعديله حسبما يقتضي استعراض برنامج </w:t>
      </w:r>
      <w:r w:rsidR="003D7441">
        <w:rPr>
          <w:rFonts w:ascii="Simplified Arabic" w:eastAsiaTheme="minorEastAsia" w:hAnsi="Simplified Arabic" w:cs="Simplified Arabic" w:hint="cs"/>
          <w:rtl/>
        </w:rPr>
        <w:t xml:space="preserve">التقييم </w:t>
      </w:r>
      <w:r w:rsidRPr="00FF3102">
        <w:rPr>
          <w:rFonts w:ascii="Simplified Arabic" w:eastAsiaTheme="minorEastAsia" w:hAnsi="Simplified Arabic" w:cs="Simplified Arabic"/>
          <w:rtl/>
        </w:rPr>
        <w:t xml:space="preserve">والتعلُّم </w:t>
      </w:r>
      <w:r w:rsidR="003D7441">
        <w:rPr>
          <w:rFonts w:ascii="Simplified Arabic" w:eastAsiaTheme="minorEastAsia" w:hAnsi="Simplified Arabic" w:cs="Simplified Arabic" w:hint="cs"/>
          <w:rtl/>
        </w:rPr>
        <w:t>ل</w:t>
      </w:r>
      <w:r w:rsidRPr="00FF3102">
        <w:rPr>
          <w:rFonts w:ascii="Simplified Arabic" w:eastAsiaTheme="minorEastAsia" w:hAnsi="Simplified Arabic" w:cs="Simplified Arabic"/>
          <w:rtl/>
        </w:rPr>
        <w:t>لسنة المالية 2018.</w:t>
      </w:r>
    </w:p>
    <w:p w:rsidR="00810BAC" w:rsidRPr="00FF3102" w:rsidRDefault="00810BAC" w:rsidP="00D23C58">
      <w:pPr>
        <w:pStyle w:val="MainParanoChapter"/>
        <w:numPr>
          <w:ilvl w:val="0"/>
          <w:numId w:val="22"/>
        </w:numPr>
        <w:tabs>
          <w:tab w:val="clear" w:pos="1440"/>
        </w:tabs>
        <w:bidi/>
        <w:spacing w:after="120"/>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يقترح إطار الشراكة الإستراتيجية بعض التحولات الملحوظة عن نهج المساندة السابق وكذلك تحولات تدريجية داخل القطاعات خلال فترة السنوات المالية 2015-2019.</w:t>
      </w:r>
      <w:r w:rsidRPr="00FF3102">
        <w:rPr>
          <w:rFonts w:ascii="Simplified Arabic" w:eastAsiaTheme="minorEastAsia" w:hAnsi="Simplified Arabic" w:cs="Simplified Arabic"/>
          <w:spacing w:val="-4"/>
          <w:rtl/>
        </w:rPr>
        <w:t xml:space="preserve"> </w:t>
      </w:r>
      <w:r w:rsidRPr="00FF3102">
        <w:rPr>
          <w:rFonts w:ascii="Simplified Arabic" w:eastAsiaTheme="minorEastAsia" w:hAnsi="Simplified Arabic" w:cs="Simplified Arabic"/>
          <w:spacing w:val="0"/>
          <w:rtl/>
        </w:rPr>
        <w:t xml:space="preserve">وللاطلاع على جوانب التحول في الإستراتيجية عن </w:t>
      </w:r>
      <w:r w:rsidRPr="00FF3102">
        <w:rPr>
          <w:rFonts w:ascii="Simplified Arabic" w:eastAsiaTheme="minorEastAsia" w:hAnsi="Simplified Arabic" w:cs="Simplified Arabic"/>
          <w:rtl/>
        </w:rPr>
        <w:t>النهج السابق</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لمساندة</w:t>
      </w:r>
      <w:r w:rsidRPr="00FF3102">
        <w:rPr>
          <w:rFonts w:ascii="Simplified Arabic" w:eastAsiaTheme="minorEastAsia" w:hAnsi="Simplified Arabic" w:cs="Simplified Arabic"/>
          <w:spacing w:val="0"/>
          <w:rtl/>
        </w:rPr>
        <w:t xml:space="preserve"> مجموعة البنك الدولي لمصر، انظر الإطار 1 أدناه</w:t>
      </w:r>
      <w:r w:rsidRPr="00FF3102">
        <w:rPr>
          <w:rFonts w:ascii="Simplified Arabic" w:eastAsiaTheme="minorEastAsia" w:hAnsi="Simplified Arabic" w:cs="Simplified Arabic"/>
          <w:spacing w:val="-4"/>
          <w:rtl/>
        </w:rPr>
        <w:t xml:space="preserve">. </w:t>
      </w:r>
    </w:p>
    <w:tbl>
      <w:tblPr>
        <w:tblStyle w:val="TableGrid"/>
        <w:tblpPr w:leftFromText="180" w:rightFromText="180" w:vertAnchor="text" w:horzAnchor="page" w:tblpX="1549" w:tblpY="103"/>
        <w:bidiVisual/>
        <w:tblW w:w="0" w:type="auto"/>
        <w:tblLayout w:type="fixed"/>
        <w:tblLook w:val="04A0" w:firstRow="1" w:lastRow="0" w:firstColumn="1" w:lastColumn="0" w:noHBand="0" w:noVBand="1"/>
      </w:tblPr>
      <w:tblGrid>
        <w:gridCol w:w="9350"/>
      </w:tblGrid>
      <w:tr w:rsidR="00810BAC" w:rsidRPr="00FF3102" w:rsidTr="00685154">
        <w:trPr>
          <w:trHeight w:val="1884"/>
        </w:trPr>
        <w:tc>
          <w:tcPr>
            <w:tcW w:w="9350" w:type="dxa"/>
          </w:tcPr>
          <w:p w:rsidR="00810BAC" w:rsidRPr="00FF3102" w:rsidRDefault="00810BAC" w:rsidP="00942866">
            <w:pPr>
              <w:pStyle w:val="boxes"/>
              <w:framePr w:hSpace="0" w:wrap="auto" w:vAnchor="margin" w:hAnchor="text" w:xAlign="left" w:yAlign="inline"/>
              <w:rPr>
                <w:rtl/>
                <w:lang w:bidi="ar-EG"/>
              </w:rPr>
            </w:pPr>
            <w:bookmarkStart w:id="689" w:name="_Toc439185532"/>
            <w:r w:rsidRPr="00FF3102">
              <w:rPr>
                <w:rtl/>
              </w:rPr>
              <w:t>الإطار 1. مجموعة البنك الدولي: جوانب التحول عن نهج المساندة السابق</w:t>
            </w:r>
            <w:bookmarkEnd w:id="689"/>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تجديد العقد الاجتماعي لمصر</w:t>
            </w:r>
            <w:r w:rsidRPr="00FF3102">
              <w:rPr>
                <w:rFonts w:ascii="Simplified Arabic" w:eastAsiaTheme="minorEastAsia" w:hAnsi="Simplified Arabic" w:cs="Simplified Arabic"/>
                <w:sz w:val="24"/>
                <w:szCs w:val="24"/>
                <w:rtl/>
              </w:rPr>
              <w:t>- تعزيز ثقة المواطنين، وحماية الفقراء والضعفاء بفاعلية أكبر، وتحقيق الشمولية والمساءلة في تقديم الخدمات، وزيادة التركيز على تعزيز مناخ أفضل لأنشطة أعمال القطاع الخاص ليكون قادرا على توفير وظائف وفرص للشباب في مصر.</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ستكون القضايا المتعلقة بتحسين نظام الإدارة العامة والحوكمة جزءا لا يتجزأ من جميع مبادرات البنك</w:t>
            </w:r>
            <w:r w:rsidRPr="00FF3102">
              <w:rPr>
                <w:rFonts w:ascii="Simplified Arabic" w:eastAsiaTheme="minorEastAsia" w:hAnsi="Simplified Arabic" w:cs="Simplified Arabic"/>
                <w:sz w:val="24"/>
                <w:szCs w:val="24"/>
                <w:rtl/>
              </w:rPr>
              <w:t>، بما في ذلك التركيز على إصلاحات السياسات وبناء المؤسسات، وتدعيم الدور التنظيمي للحكومة المصرية، وتعزيز الشفافية والمساءلة على مستوى القطاعات.</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
                <w:iCs/>
                <w:sz w:val="24"/>
                <w:szCs w:val="24"/>
                <w:rtl/>
              </w:rPr>
              <w:t>زيادة الاهتمام بالصعيد</w:t>
            </w:r>
            <w:r w:rsidRPr="00FF3102">
              <w:rPr>
                <w:rFonts w:ascii="Simplified Arabic" w:eastAsiaTheme="minorEastAsia" w:hAnsi="Simplified Arabic" w:cs="Simplified Arabic"/>
                <w:sz w:val="24"/>
                <w:szCs w:val="24"/>
                <w:rtl/>
              </w:rPr>
              <w:t>، ويشمل ذلك خمسة مشروعات للبنك الدولي في السنتين الماليتين 2015-2016 والتي ستعود بالنفع على السكان الأفقر وبخاصة النساء (الصرف الصحي والزراعي بالمناطق الريفية، وتوصيل الغاز إلى المنازل، ودعم شبكات الأمان الاجتماعي، وتعزيز الإنتاجية الزراعية، ومشروع التنمية المحلية في صعيد مصر).</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زيادة التأكيد على الشراكات الإقليمية</w:t>
            </w:r>
            <w:r w:rsidRPr="00FF3102">
              <w:rPr>
                <w:rFonts w:ascii="Simplified Arabic" w:eastAsiaTheme="minorEastAsia" w:hAnsi="Simplified Arabic" w:cs="Simplified Arabic"/>
                <w:sz w:val="24"/>
                <w:szCs w:val="24"/>
                <w:rtl/>
              </w:rPr>
              <w:t xml:space="preserve"> بما في ذلك إقامة شراكات مع دول مجلس التعاون الخليجي وشركاء التنمية من الجهات الثنائية الإقليمية، وكذلك في قطاعات مختارة، مثل قطاعات الطاقة والمياه والتعليم.</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ففي قطاع الطاقة على سبيل المثال، تقيِّم مجموعة البنك الدولي إمكانية إنشاء سوق إقليمية للكهرباء في أعقاب مشروع للربط الكهربائي بين مصر والمملكة العربية السعودية.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وبالتعاون مع البنك الإسلامي للتنمية، تطلق مجموعة البنك الدولي مبادرة "التعليم من أجل تعزيز القدرة على المنافسة" (الفقرة 136).</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جهود مشتركة بين مؤسسة التمويل الدولية/البنك الدولي/الوكالة الدولية لضمان الاستثمار</w:t>
            </w:r>
            <w:r w:rsidRPr="00FF3102">
              <w:rPr>
                <w:rFonts w:ascii="Simplified Arabic" w:eastAsiaTheme="minorEastAsia" w:hAnsi="Simplified Arabic" w:cs="Simplified Arabic"/>
                <w:sz w:val="24"/>
                <w:szCs w:val="24"/>
                <w:rtl/>
              </w:rPr>
              <w:t xml:space="preserve"> تستهدف على نحو خاص قطاعي الطاقة والتعليم وتعزيز القدرة على المنافسة.</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توسيع نطاق المساندة البرامجية وتعزيزها:</w:t>
            </w:r>
            <w:r w:rsidRPr="00FF3102">
              <w:rPr>
                <w:rFonts w:ascii="Simplified Arabic" w:eastAsiaTheme="minorEastAsia" w:hAnsi="Simplified Arabic" w:cs="Simplified Arabic"/>
                <w:b/>
                <w:i/>
                <w:sz w:val="24"/>
                <w:szCs w:val="24"/>
              </w:rPr>
              <w:t xml:space="preserve"> </w:t>
            </w:r>
            <w:r w:rsidRPr="00FF3102">
              <w:rPr>
                <w:rFonts w:ascii="Simplified Arabic" w:eastAsiaTheme="minorEastAsia" w:hAnsi="Simplified Arabic" w:cs="Simplified Arabic"/>
                <w:sz w:val="24"/>
                <w:szCs w:val="24"/>
                <w:rtl/>
              </w:rPr>
              <w:t>زيادة متوسط مساندة البنك ومؤسسة التمويل الدولية بأكثر من الضعف، وزيادة التركيز على النُهج البرامجية.</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تنقية حافظة المشروعات</w:t>
            </w:r>
            <w:r w:rsidRPr="00FF3102">
              <w:rPr>
                <w:rFonts w:ascii="Simplified Arabic" w:eastAsiaTheme="minorEastAsia" w:hAnsi="Simplified Arabic" w:cs="Simplified Arabic"/>
                <w:sz w:val="24"/>
                <w:szCs w:val="24"/>
                <w:rtl/>
              </w:rPr>
              <w:t xml:space="preserve"> من خلال إعادة الهيكلة والتصفية والإلغاءات، أو أي منها، وتبني نهج أكثر تفاعلية في التنفيذ بما في ذلك عقد اجتماعات مع وحدات تنفيذ المشروعات لاستعراض الأمور المتعلقة بالتنفيذ.</w:t>
            </w:r>
          </w:p>
        </w:tc>
      </w:tr>
    </w:tbl>
    <w:p w:rsidR="00810BAC" w:rsidRPr="00FF3102" w:rsidRDefault="00810BAC" w:rsidP="00810BAC">
      <w:pPr>
        <w:pStyle w:val="NoSpacing"/>
        <w:bidi/>
        <w:rPr>
          <w:rFonts w:ascii="Simplified Arabic" w:hAnsi="Simplified Arabic" w:cs="Simplified Arabic"/>
          <w:b/>
          <w:i/>
          <w:szCs w:val="24"/>
        </w:rPr>
      </w:pPr>
    </w:p>
    <w:p w:rsidR="00810BAC" w:rsidRPr="00FF3102" w:rsidRDefault="00810BAC" w:rsidP="00D23C58">
      <w:pPr>
        <w:pStyle w:val="MainParanoChapter"/>
        <w:numPr>
          <w:ilvl w:val="0"/>
          <w:numId w:val="22"/>
        </w:numPr>
        <w:tabs>
          <w:tab w:val="clear" w:pos="1440"/>
          <w:tab w:val="left" w:pos="5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تشمل التحولات داخل القطاعات خلال الفترة التي يغطيها إطار الشراكة الإستراتيجية:</w:t>
      </w:r>
      <w:r w:rsidRPr="00FF3102">
        <w:rPr>
          <w:rFonts w:ascii="Simplified Arabic" w:eastAsiaTheme="minorEastAsia" w:hAnsi="Simplified Arabic" w:cs="Simplified Arabic"/>
          <w:b/>
          <w:i/>
          <w:spacing w:val="0"/>
        </w:rPr>
        <w:t xml:space="preserve"> </w:t>
      </w:r>
    </w:p>
    <w:p w:rsidR="00810BAC" w:rsidRPr="00FF3102" w:rsidRDefault="00810BAC" w:rsidP="00810BAC">
      <w:pPr>
        <w:pStyle w:val="Bullet3"/>
        <w:bidi/>
        <w:spacing w:after="0"/>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تعزيز القدرة على المنافسة: </w:t>
      </w:r>
      <w:r w:rsidRPr="00FF3102">
        <w:rPr>
          <w:rFonts w:ascii="Simplified Arabic" w:eastAsiaTheme="minorEastAsia" w:hAnsi="Simplified Arabic" w:cs="Simplified Arabic"/>
          <w:rtl/>
        </w:rPr>
        <w:t>مساندة إصلاحات الأنظمة التي تؤدي إلى تبسيط اللوائح وزيادة التنفيذ المتسق وإزالة الحواجز أمام المنافسة لاسيما على المستوى القطاعي، وتوفير استثمارات موجَّهة ومحفزة وتكميلية في مجال البنية التحتية والمؤسسات المساندة لاستثمارات القطاع الخاص. وستعود معظم الإجراءات المتعلقة ببيئة ممارسة الأعمال بالنفع خصيصاً على المشروعات الصغيرة والمتوسطة، ومن ثم تصب في صالح تحقيق احتواء اقتصادي أوسع نطاقا.</w:t>
      </w:r>
    </w:p>
    <w:p w:rsidR="00810BAC" w:rsidRPr="00FF3102" w:rsidRDefault="00810BAC" w:rsidP="00810BAC">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قطاع الطاقة:</w:t>
      </w:r>
      <w:r w:rsidRPr="00FF3102">
        <w:rPr>
          <w:rFonts w:ascii="Simplified Arabic" w:eastAsiaTheme="minorEastAsia" w:hAnsi="Simplified Arabic" w:cs="Simplified Arabic"/>
          <w:rtl/>
        </w:rPr>
        <w:t xml:space="preserve"> التحول من توليد الكهرباء بالطرق التقليدية وبتمويل حكومي إلى إشراك القطاع الخاص في ذلك وأيضاً في المراحل الأولى لإنتاج النفط والغاز، والتوليد الحراري للكهرباء، ومساندة تكوين مزيج من الاستثمارات العامة والخاصة في مجال الطاقة المتجددة وكفاءة استخدام الطاقة، ومساندة أمن الطاقة والاستدامة المالية في الأجل الطويل، وتحسين الأرصدة النقدية لمؤسسات الأعمال المملوكة للدولة، وإنشاء</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هيئات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تنظيمية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مستقلة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للغاز</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والكهرباء، واستغلال الفرص المتاحة لإنشاء أسواق إقليمية للطاقة. </w:t>
      </w:r>
    </w:p>
    <w:p w:rsidR="00810BAC" w:rsidRPr="00FF3102" w:rsidRDefault="00810BAC" w:rsidP="00810BAC">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الصحة والتغذية والسكان:</w:t>
      </w:r>
      <w:r w:rsidRPr="00FF3102">
        <w:rPr>
          <w:rFonts w:ascii="Simplified Arabic" w:eastAsiaTheme="minorEastAsia" w:hAnsi="Simplified Arabic" w:cs="Simplified Arabic"/>
          <w:rtl/>
        </w:rPr>
        <w:t xml:space="preserve"> التحول من التأمين الصحي إلى جودة خدمات الرعاية الصحية، مع التركيز على جوانب تحسين نظام الإدارة العامة والحوكمة، وتوسيع نطاق تقديم خدمات صحة الأسرة لأفقر 40 في المائة من السكان في أفقر عشر محافظات، وتقديم المساندة للتصدي لفيروس التهاب الكبد سي.</w:t>
      </w:r>
      <w:r w:rsidRPr="00FF3102">
        <w:rPr>
          <w:rFonts w:ascii="Simplified Arabic" w:eastAsiaTheme="minorEastAsia" w:hAnsi="Simplified Arabic" w:cs="Simplified Arabic"/>
        </w:rPr>
        <w:t xml:space="preserve"> </w:t>
      </w:r>
    </w:p>
    <w:p w:rsidR="00810BAC" w:rsidRPr="00FF3102" w:rsidRDefault="00810BAC" w:rsidP="00810BAC">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spacing w:val="-2"/>
          <w:rtl/>
        </w:rPr>
        <w:t>التعليم:</w:t>
      </w:r>
      <w:r w:rsidRPr="00FF3102">
        <w:rPr>
          <w:rFonts w:ascii="Simplified Arabic" w:eastAsiaTheme="minorEastAsia" w:hAnsi="Simplified Arabic" w:cs="Simplified Arabic"/>
          <w:spacing w:val="-2"/>
          <w:rtl/>
        </w:rPr>
        <w:t xml:space="preserve"> </w:t>
      </w:r>
      <w:r w:rsidRPr="00FF3102">
        <w:rPr>
          <w:rFonts w:ascii="Simplified Arabic" w:eastAsiaTheme="minorEastAsia" w:hAnsi="Simplified Arabic" w:cs="Simplified Arabic"/>
          <w:rtl/>
        </w:rPr>
        <w:t>استحداث تقديم مساندة تفاعلية لتحسين جودة وعدالة نظام التعليم، مع التركيز بقوة على قضايا تحسين نظام الإدارة العامة والحوكمة.</w:t>
      </w:r>
    </w:p>
    <w:p w:rsidR="00810BAC" w:rsidRPr="00FF3102" w:rsidRDefault="00810BAC" w:rsidP="00810BAC">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الحماية الاجتماعية</w:t>
      </w:r>
      <w:r w:rsidRPr="00FF3102">
        <w:rPr>
          <w:rFonts w:ascii="Simplified Arabic" w:eastAsiaTheme="minorEastAsia" w:hAnsi="Simplified Arabic" w:cs="Simplified Arabic"/>
          <w:rtl/>
        </w:rPr>
        <w:t>: التحول من مساندة برامج الحماية الاجتماعية المجزأة إلى اعتماد نهج متكامل لأنظمة الحماية الاجتماعية، وهو ما من شأنه تقديم الحماية للأسر الأشد فقراً وضعفاً إلى جانب تحسين حوكمة هذه المنظومة في مصر.</w:t>
      </w:r>
    </w:p>
    <w:p w:rsidR="00810BAC" w:rsidRPr="00FF3102" w:rsidRDefault="00810BAC" w:rsidP="003D7441">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الزراعة والمياه</w:t>
      </w:r>
      <w:r w:rsidRPr="00FF3102">
        <w:rPr>
          <w:rFonts w:ascii="Simplified Arabic" w:eastAsiaTheme="minorEastAsia" w:hAnsi="Simplified Arabic" w:cs="Simplified Arabic"/>
          <w:rtl/>
        </w:rPr>
        <w:t xml:space="preserve">: التعامل معهما على نحوٍ شامل وليس بوصفهما قطاعين منفصلين، والتحول من البنية التحتية للري والصرف إلى تحسين إنتاجية الزراعة كثيفة الاستخدام للأيدي العاملة من أجل توفير فرص عمل وتحسين مستويات دخل المزارعين والمجتمعات المحلية الريفية والتصدي </w:t>
      </w:r>
      <w:r w:rsidR="003D7441">
        <w:rPr>
          <w:rFonts w:ascii="Simplified Arabic" w:eastAsiaTheme="minorEastAsia" w:hAnsi="Simplified Arabic" w:cs="Simplified Arabic" w:hint="cs"/>
          <w:rtl/>
        </w:rPr>
        <w:t>للمحاذير</w:t>
      </w:r>
      <w:r w:rsidRPr="00FF3102">
        <w:rPr>
          <w:rFonts w:ascii="Simplified Arabic" w:eastAsiaTheme="minorEastAsia" w:hAnsi="Simplified Arabic" w:cs="Simplified Arabic"/>
          <w:rtl/>
        </w:rPr>
        <w:t xml:space="preserve"> المتعلقة بالأمن الغذائي. </w:t>
      </w:r>
    </w:p>
    <w:p w:rsidR="00810BAC" w:rsidRPr="00FF3102" w:rsidRDefault="00810BAC" w:rsidP="0068515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الصرف الصحي:</w:t>
      </w:r>
      <w:r w:rsidRPr="00FF3102">
        <w:rPr>
          <w:rFonts w:ascii="Simplified Arabic" w:eastAsiaTheme="minorEastAsia" w:hAnsi="Simplified Arabic" w:cs="Simplified Arabic"/>
          <w:rtl/>
        </w:rPr>
        <w:t xml:space="preserve"> التحول من مشروعات الصرف الصحي التقليدية إلى اعتماد نهج لامركزي بدرجة أكبر مع وضع معايير مرجعية محددة لقياس مدى التقدُّم في بناء القدرات المؤسسية والاستدامة ونقل المسؤوليات، وكذلك التقدُّم في توفير البنية التحتية.</w:t>
      </w:r>
    </w:p>
    <w:p w:rsidR="00810BAC" w:rsidRPr="00FF3102" w:rsidRDefault="00810BAC" w:rsidP="0068515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spacing w:val="-2"/>
          <w:rtl/>
        </w:rPr>
        <w:t>المناطق التي لم تأخذ نصيبها من التنمية</w:t>
      </w:r>
      <w:r w:rsidRPr="00FF3102">
        <w:rPr>
          <w:rFonts w:ascii="Simplified Arabic" w:eastAsiaTheme="minorEastAsia" w:hAnsi="Simplified Arabic" w:cs="Simplified Arabic"/>
          <w:spacing w:val="-2"/>
          <w:rtl/>
        </w:rPr>
        <w:t>. يعزز البنك اهتمامه بالمناطق الأشد فقراً مع استهداف الشباب والنساء.</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وستستفيد 1.5 مليون أسرة فقيرة، معظمها في محافظات أفقر بالوجه القبلي، من برنامج التحويلات النقدية الجديد المسمَّى "تكافل وكرامة".</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وسيستهدف برنامج التنمية الزراعية المتكاملة وبرنامج التنمية المحلية في صعيد مصر زيادة مستوى الدخل وتوفير فرص عمل في المناطق التي لم تأخذ نصيبها من التنمية.</w:t>
      </w:r>
    </w:p>
    <w:p w:rsidR="00810BAC" w:rsidRPr="00FF3102" w:rsidRDefault="00810BAC" w:rsidP="0068515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rtl/>
        </w:rPr>
        <w:t>إدماج الاعتبارات البيئية متى كان ذلك ملائماً.</w:t>
      </w:r>
      <w:r w:rsidRPr="00FF3102">
        <w:rPr>
          <w:rFonts w:ascii="Simplified Arabic" w:eastAsiaTheme="minorEastAsia" w:hAnsi="Simplified Arabic" w:cs="Simplified Arabic"/>
          <w:rtl/>
        </w:rPr>
        <w:t xml:space="preserve"> يتم تطبيق ذلك في قطاع الطاقة والزراعة ومشروعات الصرف الصحي بالمناطق الريفية.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ومن المتوقع أن يحدث برنامج الطاقة الذي يسانده تمويل سياسات التنمية تأثيرا إيجابيا على البيئة، حيث إنه يساند تعزيز إمدادات الطاقة المستدامة.</w:t>
      </w:r>
    </w:p>
    <w:p w:rsidR="00810BAC" w:rsidRPr="00FF3102" w:rsidRDefault="00810BAC" w:rsidP="003D7441">
      <w:pPr>
        <w:pStyle w:val="MainParanoChapter"/>
        <w:numPr>
          <w:ilvl w:val="0"/>
          <w:numId w:val="22"/>
        </w:numPr>
        <w:tabs>
          <w:tab w:val="clear" w:pos="1440"/>
        </w:tabs>
        <w:bidi/>
        <w:spacing w:before="240"/>
        <w:ind w:left="9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هناك طرق مهمة سيتم من خلالها تطبيق الانتقائية.</w:t>
      </w:r>
      <w:r w:rsidRPr="00FF3102">
        <w:rPr>
          <w:rFonts w:ascii="Simplified Arabic" w:eastAsiaTheme="minorEastAsia" w:hAnsi="Simplified Arabic" w:cs="Simplified Arabic"/>
          <w:spacing w:val="0"/>
          <w:rtl/>
        </w:rPr>
        <w:t xml:space="preserve"> أولاً، ستركز مجموعة البنك الدولي على المجالات ذات الأولوية التي حددتها الدراسة التشخيصية المنهجية الخاصة بمصر. وثانياً، ستقوم المجموعة بدور المؤيد والمناصر في المجالات التي تعزز تحقيق الرخاء المشترك لكن لا يوجد بشأنها طلب من البلاد على تلقي مساندة من المجموعة.</w:t>
      </w:r>
      <w:r w:rsidRPr="00FF3102">
        <w:rPr>
          <w:rFonts w:ascii="Simplified Arabic" w:eastAsiaTheme="minorEastAsia" w:hAnsi="Simplified Arabic" w:cs="Simplified Arabic"/>
          <w:spacing w:val="0"/>
        </w:rPr>
        <w:t xml:space="preserve"> </w:t>
      </w:r>
      <w:r w:rsidR="003D7441">
        <w:rPr>
          <w:rFonts w:ascii="Simplified Arabic" w:eastAsiaTheme="minorEastAsia" w:hAnsi="Simplified Arabic" w:cs="Simplified Arabic"/>
          <w:spacing w:val="0"/>
          <w:rtl/>
        </w:rPr>
        <w:t>وثالثاً، س</w:t>
      </w:r>
      <w:r w:rsidR="003D7441">
        <w:rPr>
          <w:rFonts w:ascii="Simplified Arabic" w:eastAsiaTheme="minorEastAsia" w:hAnsi="Simplified Arabic" w:cs="Simplified Arabic" w:hint="cs"/>
          <w:spacing w:val="0"/>
          <w:rtl/>
        </w:rPr>
        <w:t>وف يتوقف</w:t>
      </w:r>
      <w:r w:rsidRPr="00FF3102">
        <w:rPr>
          <w:rFonts w:ascii="Simplified Arabic" w:eastAsiaTheme="minorEastAsia" w:hAnsi="Simplified Arabic" w:cs="Simplified Arabic"/>
          <w:spacing w:val="0"/>
          <w:rtl/>
        </w:rPr>
        <w:t xml:space="preserve"> البنك عن الإقراض في المجالات التي يمكنها جذب استثمارات القطاع الخاص، ليتيح لمؤسسة التمويل الدولية والوكالة الدولية لضمان الاستثمار القيام بدور إقراضي/استثماري أكثر ملاءمة في القطاعات التي تتوفر رغبة واضحة للاستثمار فيها من جانب مستثمري القطاع الخاص. ورابعاً، سيركّز البنك على الإقراض في القطاعات التي تلتزم التزاما قويا بتدعيم المؤسسات وزيادة المساءلة أمام المواطنين.</w:t>
      </w:r>
    </w:p>
    <w:p w:rsidR="00810BAC" w:rsidRPr="00FF3102" w:rsidRDefault="00810BAC" w:rsidP="00B96D60">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تم وضع برامج لتحقيق نتائج قوية في ظل إطار الشراكة الإستراتيجية</w:t>
      </w:r>
      <w:r w:rsidRPr="00B96D60">
        <w:rPr>
          <w:rFonts w:ascii="Simplified Arabic" w:eastAsiaTheme="minorEastAsia" w:hAnsi="Simplified Arabic" w:cs="Simplified Arabic"/>
          <w:b/>
          <w:iCs/>
          <w:spacing w:val="0"/>
          <w:rtl/>
        </w:rPr>
        <w:t>.</w:t>
      </w:r>
      <w:r w:rsidR="00B96D60" w:rsidRPr="00B96D60">
        <w:rPr>
          <w:rFonts w:ascii="Simplified Arabic" w:eastAsiaTheme="minorEastAsia" w:hAnsi="Simplified Arabic" w:cs="Simplified Arabic" w:hint="cs"/>
          <w:b/>
          <w:iCs/>
          <w:spacing w:val="0"/>
          <w:rtl/>
        </w:rPr>
        <w:t xml:space="preserve"> </w:t>
      </w:r>
      <w:r w:rsidR="00B96D60" w:rsidRPr="00B96D60">
        <w:rPr>
          <w:rFonts w:ascii="Simplified Arabic" w:eastAsiaTheme="minorEastAsia" w:hAnsi="Simplified Arabic" w:cs="Simplified Arabic" w:hint="cs"/>
          <w:b/>
          <w:i/>
          <w:spacing w:val="0"/>
          <w:rtl/>
        </w:rPr>
        <w:t>سوف تؤدي</w:t>
      </w:r>
      <w:r w:rsidR="00B96D60">
        <w:rPr>
          <w:rFonts w:ascii="Simplified Arabic" w:eastAsiaTheme="minorEastAsia" w:hAnsi="Simplified Arabic" w:cs="Simplified Arabic" w:hint="cs"/>
          <w:bCs/>
          <w:iCs/>
          <w:spacing w:val="0"/>
          <w:rtl/>
        </w:rPr>
        <w:t xml:space="preserve"> </w:t>
      </w:r>
      <w:r w:rsidRPr="00FF3102">
        <w:rPr>
          <w:rFonts w:ascii="Simplified Arabic" w:eastAsiaTheme="minorEastAsia" w:hAnsi="Simplified Arabic" w:cs="Simplified Arabic"/>
          <w:bCs/>
          <w:iCs/>
          <w:spacing w:val="0"/>
          <w:rtl/>
        </w:rPr>
        <w:t xml:space="preserve"> </w:t>
      </w:r>
      <w:r w:rsidR="00B96D60">
        <w:rPr>
          <w:rFonts w:ascii="Simplified Arabic" w:eastAsiaTheme="minorEastAsia" w:hAnsi="Simplified Arabic" w:cs="Simplified Arabic" w:hint="cs"/>
          <w:spacing w:val="0"/>
          <w:rtl/>
        </w:rPr>
        <w:t>إ</w:t>
      </w:r>
      <w:r w:rsidRPr="00FF3102">
        <w:rPr>
          <w:rFonts w:ascii="Simplified Arabic" w:eastAsiaTheme="minorEastAsia" w:hAnsi="Simplified Arabic" w:cs="Simplified Arabic"/>
          <w:spacing w:val="0"/>
          <w:rtl/>
        </w:rPr>
        <w:t>صلاحات السياسات والمؤسسات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التي تساندها التنمية و</w:t>
      </w:r>
      <w:r w:rsidR="00B96D60">
        <w:rPr>
          <w:rFonts w:ascii="Simplified Arabic" w:eastAsiaTheme="minorEastAsia" w:hAnsi="Simplified Arabic" w:cs="Simplified Arabic" w:hint="cs"/>
          <w:spacing w:val="0"/>
          <w:rtl/>
        </w:rPr>
        <w:t>ما يعرف ب</w:t>
      </w:r>
      <w:r w:rsidRPr="00FF3102">
        <w:rPr>
          <w:rFonts w:ascii="Simplified Arabic" w:eastAsiaTheme="minorEastAsia" w:hAnsi="Simplified Arabic" w:cs="Simplified Arabic"/>
          <w:spacing w:val="0"/>
          <w:rtl/>
        </w:rPr>
        <w:t>تمويل البرامج وفقاً للنتائج</w:t>
      </w:r>
      <w:r w:rsidRPr="00FF3102">
        <w:rPr>
          <w:rFonts w:ascii="Simplified Arabic" w:eastAsiaTheme="minorEastAsia" w:hAnsi="Simplified Arabic" w:cs="Simplified Arabic"/>
          <w:rtl/>
        </w:rPr>
        <w:t>،</w:t>
      </w:r>
      <w:r w:rsidR="00B96D60">
        <w:rPr>
          <w:rFonts w:ascii="Simplified Arabic" w:eastAsiaTheme="minorEastAsia" w:hAnsi="Simplified Arabic" w:cs="Simplified Arabic" w:hint="cs"/>
          <w:spacing w:val="0"/>
          <w:rtl/>
        </w:rPr>
        <w:t xml:space="preserve"> </w:t>
      </w:r>
      <w:r w:rsidRPr="00FF3102">
        <w:rPr>
          <w:rFonts w:ascii="Simplified Arabic" w:eastAsiaTheme="minorEastAsia" w:hAnsi="Simplified Arabic" w:cs="Simplified Arabic"/>
          <w:spacing w:val="0"/>
          <w:rtl/>
        </w:rPr>
        <w:t xml:space="preserve">إلى تحسين الحوكمة وآفاق تجديد العقد الاجتماعي. ومن المرجح أن يؤدي تسريع وتيرة تنفيذ حافظة المشروعات الحالية وزيادة التفاعل الإيجابي إلى تحقيق نتائج ملموسة. </w:t>
      </w:r>
      <w:r w:rsidR="00B96D60">
        <w:rPr>
          <w:rFonts w:ascii="Simplified Arabic" w:eastAsiaTheme="minorEastAsia" w:hAnsi="Simplified Arabic" w:cs="Simplified Arabic" w:hint="cs"/>
          <w:spacing w:val="0"/>
          <w:rtl/>
        </w:rPr>
        <w:t>فإذا لم</w:t>
      </w:r>
      <w:r w:rsidRPr="00FF3102">
        <w:rPr>
          <w:rFonts w:ascii="Simplified Arabic" w:eastAsiaTheme="minorEastAsia" w:hAnsi="Simplified Arabic" w:cs="Simplified Arabic"/>
          <w:spacing w:val="0"/>
          <w:rtl/>
        </w:rPr>
        <w:t xml:space="preserve"> تعكس حافظة المشروعات الحالية الأولويات أو التحولات الواردة أعلاه، فإ</w:t>
      </w:r>
      <w:r w:rsidR="00B96D60">
        <w:rPr>
          <w:rFonts w:ascii="Simplified Arabic" w:eastAsiaTheme="minorEastAsia" w:hAnsi="Simplified Arabic" w:cs="Simplified Arabic"/>
          <w:spacing w:val="0"/>
          <w:rtl/>
        </w:rPr>
        <w:t>ن البنك س</w:t>
      </w:r>
      <w:r w:rsidR="00B96D60">
        <w:rPr>
          <w:rFonts w:ascii="Simplified Arabic" w:eastAsiaTheme="minorEastAsia" w:hAnsi="Simplified Arabic" w:cs="Simplified Arabic" w:hint="cs"/>
          <w:spacing w:val="0"/>
          <w:rtl/>
        </w:rPr>
        <w:t>وف يتوقف عن ال</w:t>
      </w:r>
      <w:r w:rsidRPr="00FF3102">
        <w:rPr>
          <w:rFonts w:ascii="Simplified Arabic" w:eastAsiaTheme="minorEastAsia" w:hAnsi="Simplified Arabic" w:cs="Simplified Arabic"/>
          <w:spacing w:val="0"/>
          <w:rtl/>
        </w:rPr>
        <w:t xml:space="preserve">عمل </w:t>
      </w:r>
      <w:r w:rsidRPr="00FF3102">
        <w:rPr>
          <w:rFonts w:ascii="Simplified Arabic" w:eastAsiaTheme="minorEastAsia" w:hAnsi="Simplified Arabic" w:cs="Simplified Arabic"/>
          <w:rtl/>
        </w:rPr>
        <w:t>بتلك</w:t>
      </w:r>
      <w:r w:rsidRPr="00FF3102">
        <w:rPr>
          <w:rFonts w:ascii="Simplified Arabic" w:eastAsiaTheme="minorEastAsia" w:hAnsi="Simplified Arabic" w:cs="Simplified Arabic"/>
          <w:spacing w:val="0"/>
          <w:rtl/>
        </w:rPr>
        <w:t xml:space="preserve"> المجالات مع </w:t>
      </w:r>
      <w:r w:rsidR="00B96D60">
        <w:rPr>
          <w:rFonts w:ascii="Simplified Arabic" w:eastAsiaTheme="minorEastAsia" w:hAnsi="Simplified Arabic" w:cs="Simplified Arabic" w:hint="cs"/>
          <w:spacing w:val="0"/>
          <w:rtl/>
        </w:rPr>
        <w:t>إنتهاء تلك</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المشروعات.</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w:t>
      </w:r>
      <w:r w:rsidRPr="00FF3102">
        <w:rPr>
          <w:rFonts w:ascii="Simplified Arabic" w:eastAsiaTheme="minorEastAsia" w:hAnsi="Simplified Arabic" w:cs="Simplified Arabic"/>
          <w:rtl/>
        </w:rPr>
        <w:t>بالنسبة</w:t>
      </w:r>
      <w:r w:rsidRPr="00FF3102">
        <w:rPr>
          <w:rFonts w:ascii="Simplified Arabic" w:eastAsiaTheme="minorEastAsia" w:hAnsi="Simplified Arabic" w:cs="Simplified Arabic"/>
          <w:spacing w:val="0"/>
          <w:rtl/>
        </w:rPr>
        <w:t xml:space="preserve"> للنتائج المتحققة من البرامج الجديدة الممولة </w:t>
      </w:r>
      <w:r w:rsidRPr="00FF3102">
        <w:rPr>
          <w:rFonts w:ascii="Simplified Arabic" w:eastAsiaTheme="minorEastAsia" w:hAnsi="Simplified Arabic" w:cs="Simplified Arabic"/>
          <w:rtl/>
        </w:rPr>
        <w:t>في ظل</w:t>
      </w:r>
      <w:r w:rsidRPr="00FF3102">
        <w:rPr>
          <w:rFonts w:ascii="Simplified Arabic" w:eastAsiaTheme="minorEastAsia" w:hAnsi="Simplified Arabic" w:cs="Simplified Arabic"/>
          <w:spacing w:val="0"/>
          <w:rtl/>
        </w:rPr>
        <w:t xml:space="preserve"> إطار الشراكة الإستراتيجية</w:t>
      </w:r>
      <w:r w:rsidRPr="00FF3102">
        <w:rPr>
          <w:rFonts w:ascii="Simplified Arabic" w:eastAsiaTheme="minorEastAsia" w:hAnsi="Simplified Arabic" w:cs="Simplified Arabic"/>
          <w:rtl/>
        </w:rPr>
        <w:t>، فإنه سيتم إبرازها</w:t>
      </w:r>
      <w:r w:rsidRPr="00FF3102">
        <w:rPr>
          <w:rFonts w:ascii="Simplified Arabic" w:eastAsiaTheme="minorEastAsia" w:hAnsi="Simplified Arabic" w:cs="Simplified Arabic"/>
          <w:spacing w:val="0"/>
          <w:rtl/>
        </w:rPr>
        <w:t xml:space="preserve"> في استعراض الأداء والتعلُّم في السنة المالية 2018.</w:t>
      </w:r>
    </w:p>
    <w:p w:rsidR="00810BAC" w:rsidRPr="00FF3102" w:rsidRDefault="007F19FA" w:rsidP="007F19FA">
      <w:pPr>
        <w:pStyle w:val="MainParanoChapter"/>
        <w:numPr>
          <w:ilvl w:val="0"/>
          <w:numId w:val="22"/>
        </w:numPr>
        <w:tabs>
          <w:tab w:val="clear" w:pos="1440"/>
        </w:tabs>
        <w:bidi/>
        <w:ind w:left="90" w:firstLine="0"/>
        <w:rPr>
          <w:rFonts w:ascii="Simplified Arabic" w:eastAsiaTheme="minorEastAsia" w:hAnsi="Simplified Arabic" w:cs="Simplified Arabic"/>
        </w:rPr>
      </w:pPr>
      <w:r w:rsidRPr="007F19FA">
        <w:rPr>
          <w:rFonts w:ascii="Simplified Arabic" w:eastAsiaTheme="minorEastAsia" w:hAnsi="Simplified Arabic" w:cs="Simplified Arabic" w:hint="cs"/>
          <w:bCs/>
          <w:iCs/>
          <w:spacing w:val="-2"/>
          <w:rtl/>
        </w:rPr>
        <w:t>إن العديد من القضايا التي تم تحديدها</w:t>
      </w:r>
      <w:r>
        <w:rPr>
          <w:rFonts w:ascii="Simplified Arabic" w:eastAsiaTheme="minorEastAsia" w:hAnsi="Simplified Arabic" w:cs="Simplified Arabic" w:hint="cs"/>
          <w:bCs/>
          <w:iCs/>
          <w:spacing w:val="-2"/>
          <w:u w:val="single"/>
          <w:rtl/>
        </w:rPr>
        <w:t xml:space="preserve"> </w:t>
      </w:r>
      <w:r w:rsidR="00810BAC" w:rsidRPr="00FF3102">
        <w:rPr>
          <w:rFonts w:ascii="Simplified Arabic" w:eastAsiaTheme="minorEastAsia" w:hAnsi="Simplified Arabic" w:cs="Simplified Arabic"/>
          <w:bCs/>
          <w:iCs/>
          <w:spacing w:val="-2"/>
          <w:rtl/>
        </w:rPr>
        <w:t xml:space="preserve"> في الدراسة </w:t>
      </w:r>
      <w:r w:rsidR="00810BAC" w:rsidRPr="00FF3102">
        <w:rPr>
          <w:rFonts w:ascii="Simplified Arabic" w:eastAsiaTheme="minorEastAsia" w:hAnsi="Simplified Arabic" w:cs="Simplified Arabic"/>
          <w:bCs/>
          <w:iCs/>
          <w:rtl/>
        </w:rPr>
        <w:t>التشخيصية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المنهجية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الخاصة</w:t>
      </w:r>
      <w:r w:rsidR="00810BAC" w:rsidRPr="00FF3102">
        <w:rPr>
          <w:rFonts w:ascii="Simplified Arabic" w:eastAsiaTheme="minorEastAsia" w:hAnsi="Simplified Arabic" w:cs="Simplified Arabic"/>
          <w:bCs/>
          <w:iCs/>
        </w:rPr>
        <w:t xml:space="preserve"> </w:t>
      </w:r>
      <w:r w:rsidR="00810BAC" w:rsidRPr="00FF3102">
        <w:rPr>
          <w:rFonts w:ascii="Simplified Arabic" w:eastAsiaTheme="minorEastAsia" w:hAnsi="Simplified Arabic" w:cs="Simplified Arabic"/>
          <w:bCs/>
          <w:iCs/>
          <w:rtl/>
        </w:rPr>
        <w:t xml:space="preserve">بمصر </w:t>
      </w:r>
      <w:r>
        <w:rPr>
          <w:rFonts w:ascii="Simplified Arabic" w:eastAsiaTheme="minorEastAsia" w:hAnsi="Simplified Arabic" w:cs="Simplified Arabic" w:hint="cs"/>
          <w:bCs/>
          <w:iCs/>
          <w:rtl/>
        </w:rPr>
        <w:t>لم يتم إستهدافها حاليا في إطار الشراكة القطرية</w:t>
      </w:r>
      <w:r w:rsidR="00810BAC" w:rsidRPr="00FF3102">
        <w:rPr>
          <w:rFonts w:ascii="Simplified Arabic" w:eastAsiaTheme="minorEastAsia" w:hAnsi="Simplified Arabic" w:cs="Simplified Arabic"/>
          <w:bCs/>
          <w:iCs/>
          <w:rtl/>
        </w:rPr>
        <w:t>.</w:t>
      </w:r>
      <w:r w:rsidR="00810BAC" w:rsidRPr="00FF3102">
        <w:rPr>
          <w:rFonts w:ascii="Simplified Arabic" w:eastAsiaTheme="minorEastAsia" w:hAnsi="Simplified Arabic" w:cs="Simplified Arabic"/>
          <w:spacing w:val="-2"/>
          <w:rtl/>
        </w:rPr>
        <w:t xml:space="preserve"> وهناك بعض القضايا، مثل التعاون بين وزارة المالية والبنك المركزي، تدخل ضمن نطاق اختصاص الحكومة بالكامل. لكن في مجالات أخرى، لم تطلب الحكومة مساندة من البنك، على سبيل المثال، لوضع سياسة وطنية لإتاحة تداول المعلومات وإنشاء هيئة مستقلة لمكافحة الفساد وإنشاء هيئة لمراقبة تعارض المصالح. وفي هذه المجالات، سيستمر البنك في القيام بدوره المساند. وبالإضافة إلى ذلك، تم رصد بعض الفجوات المعرفية التي حددتها الدراسة </w:t>
      </w:r>
      <w:r w:rsidR="00810BAC" w:rsidRPr="00FF3102">
        <w:rPr>
          <w:rFonts w:ascii="Simplified Arabic" w:eastAsiaTheme="minorEastAsia" w:hAnsi="Simplified Arabic" w:cs="Simplified Arabic"/>
          <w:rtl/>
        </w:rPr>
        <w:t>التشخيصية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المنهجية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الخاصة</w:t>
      </w:r>
      <w:r w:rsidR="00810BAC" w:rsidRPr="00FF3102">
        <w:rPr>
          <w:rFonts w:ascii="Simplified Arabic" w:eastAsiaTheme="minorEastAsia" w:hAnsi="Simplified Arabic" w:cs="Simplified Arabic"/>
        </w:rPr>
        <w:t xml:space="preserve"> </w:t>
      </w:r>
      <w:r w:rsidR="00810BAC" w:rsidRPr="00FF3102">
        <w:rPr>
          <w:rFonts w:ascii="Simplified Arabic" w:eastAsiaTheme="minorEastAsia" w:hAnsi="Simplified Arabic" w:cs="Simplified Arabic"/>
          <w:rtl/>
        </w:rPr>
        <w:t>بمصر، وهي فجوات غير موجودة في الخدمات التحليلية والاستشارية لإطار الشراكة الإستراتيجية المقررة والمرتبة الأولويات بعناية للسنتين الماليتين 2016-2017، ومن بينها على سبيل المثال ما يتعلق بالقيود على المياه والمستلزمات التي تواجه المزارعين، وقدرة السلطات المحلية على إدارة الأموال، ووضع معايير مرجعية لقياس أداء المدارس والمعلمين، وأيضا لقياس أداء منشآت الرعاية الصحية.</w:t>
      </w:r>
      <w:r w:rsidR="00810BAC" w:rsidRPr="00FF3102">
        <w:rPr>
          <w:rFonts w:ascii="Simplified Arabic" w:eastAsiaTheme="minorEastAsia" w:hAnsi="Simplified Arabic" w:cs="Simplified Arabic"/>
          <w:spacing w:val="-2"/>
          <w:rtl/>
        </w:rPr>
        <w:t xml:space="preserve"> وستُقدَّم خدمات تحليلية واستشارية مستقبلا بعد إجراء دراسة متأنية لما هو موجود منها في هذه المجالات وكذلك بتعبئة جهود شركاء التنمية.</w:t>
      </w:r>
      <w:r w:rsidR="00902C4B" w:rsidRPr="00FF3102">
        <w:rPr>
          <w:rStyle w:val="FootnoteReference"/>
          <w:rFonts w:ascii="Simplified Arabic" w:eastAsiaTheme="minorEastAsia" w:hAnsi="Simplified Arabic" w:cs="Simplified Arabic"/>
          <w:spacing w:val="-2"/>
          <w:rtl/>
        </w:rPr>
        <w:footnoteReference w:id="23"/>
      </w:r>
      <w:r w:rsidR="003A1252">
        <w:rPr>
          <w:rFonts w:ascii="Simplified Arabic" w:eastAsiaTheme="minorEastAsia" w:hAnsi="Simplified Arabic" w:cs="Simplified Arabic"/>
          <w:spacing w:val="-2"/>
          <w:rtl/>
        </w:rPr>
        <w:t xml:space="preserve"> </w:t>
      </w:r>
    </w:p>
    <w:p w:rsidR="00810BAC" w:rsidRPr="00FF3102" w:rsidRDefault="00810BAC" w:rsidP="001E71BE">
      <w:pPr>
        <w:pStyle w:val="Heading4"/>
        <w:numPr>
          <w:ilvl w:val="0"/>
          <w:numId w:val="54"/>
        </w:numPr>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أهداف الأنشطة الإقراضية وغير الإقراضية في مساندة العوامل الرئيسية المحركة لإطار الشراكة الإستراتيجية</w:t>
      </w:r>
      <w:r w:rsidRPr="00FF3102">
        <w:rPr>
          <w:rFonts w:ascii="Simplified Arabic" w:eastAsiaTheme="minorEastAsia" w:hAnsi="Simplified Arabic" w:cs="Simplified Arabic"/>
          <w:bCs w:val="0"/>
          <w:sz w:val="24"/>
          <w:szCs w:val="24"/>
        </w:rPr>
        <w:t xml:space="preserve"> </w:t>
      </w:r>
    </w:p>
    <w:p w:rsidR="00810BAC" w:rsidRPr="00FF3102" w:rsidRDefault="00810BAC" w:rsidP="00810BAC">
      <w:pPr>
        <w:pStyle w:val="Heading5"/>
        <w:bidi/>
        <w:rPr>
          <w:rFonts w:ascii="Simplified Arabic" w:eastAsiaTheme="minorEastAsia" w:hAnsi="Simplified Arabic" w:cs="Simplified Arabic"/>
          <w:iCs/>
          <w:sz w:val="24"/>
          <w:szCs w:val="24"/>
          <w:rtl/>
        </w:rPr>
      </w:pPr>
      <w:r w:rsidRPr="00FF3102">
        <w:rPr>
          <w:rFonts w:ascii="Simplified Arabic" w:eastAsiaTheme="minorEastAsia" w:hAnsi="Simplified Arabic" w:cs="Simplified Arabic"/>
          <w:iCs/>
          <w:sz w:val="24"/>
          <w:szCs w:val="24"/>
          <w:rtl/>
        </w:rPr>
        <w:t>مجال التركيز الأول لإطار الشراكة الإستراتيجية:</w:t>
      </w:r>
      <w:r w:rsidRPr="00FF3102">
        <w:rPr>
          <w:rFonts w:ascii="Simplified Arabic" w:eastAsiaTheme="minorEastAsia" w:hAnsi="Simplified Arabic" w:cs="Simplified Arabic"/>
          <w:bCs w:val="0"/>
          <w:sz w:val="24"/>
          <w:szCs w:val="24"/>
          <w:rtl/>
        </w:rPr>
        <w:t xml:space="preserve"> </w:t>
      </w:r>
      <w:r w:rsidRPr="00FF3102">
        <w:rPr>
          <w:rFonts w:ascii="Simplified Arabic" w:eastAsiaTheme="minorEastAsia" w:hAnsi="Simplified Arabic" w:cs="Simplified Arabic"/>
          <w:iCs/>
          <w:sz w:val="24"/>
          <w:szCs w:val="24"/>
          <w:rtl/>
        </w:rPr>
        <w:t>تحسين نظام الإدارة العامة والحوكمة</w:t>
      </w:r>
    </w:p>
    <w:p w:rsidR="00902C4B" w:rsidRPr="00FF3102" w:rsidRDefault="00902C4B" w:rsidP="00902C4B">
      <w:pPr>
        <w:bidi/>
        <w:rPr>
          <w:rFonts w:ascii="Simplified Arabic" w:eastAsiaTheme="minorEastAsia" w:hAnsi="Simplified Arabic" w:cs="Simplified Arabic"/>
          <w:rtl/>
        </w:rPr>
      </w:pPr>
    </w:p>
    <w:p w:rsidR="00810BAC" w:rsidRPr="00FF3102" w:rsidRDefault="00810BAC" w:rsidP="00D23C58">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يقع تحسين نظام الإدارة العامة والحوكمة بمصر في صميم برنامج الإصلاح</w:t>
      </w:r>
      <w:r w:rsidRPr="00FF3102">
        <w:rPr>
          <w:rFonts w:ascii="Simplified Arabic" w:eastAsiaTheme="minorEastAsia" w:hAnsi="Simplified Arabic" w:cs="Simplified Arabic"/>
          <w:bCs/>
          <w:iCs/>
          <w:rtl/>
        </w:rPr>
        <w:t xml:space="preserve"> الخاص بها</w:t>
      </w:r>
      <w:r w:rsidRPr="00FF3102">
        <w:rPr>
          <w:rFonts w:ascii="Simplified Arabic" w:eastAsiaTheme="minorEastAsia" w:hAnsi="Simplified Arabic" w:cs="Simplified Arabic"/>
          <w:bCs/>
          <w:iCs/>
          <w:spacing w:val="0"/>
          <w:rtl/>
        </w:rPr>
        <w:t>.</w:t>
      </w:r>
      <w:r w:rsidRPr="00FF3102">
        <w:rPr>
          <w:rFonts w:ascii="Simplified Arabic" w:eastAsiaTheme="minorEastAsia" w:hAnsi="Simplified Arabic" w:cs="Simplified Arabic"/>
          <w:spacing w:val="0"/>
          <w:rtl/>
        </w:rPr>
        <w:t xml:space="preserve"> وسينطوي تحسين هذا النظام على تجديد العقد الاجتماعي بين الحكومة المصرية والمواطنين ويتطرق إلى جميع جوانب الإصلاح المقترحة ضمن إطار الشراكة الإستراتيجية. ولا يُعنى ذلك بالإصلاحات الرامية إلى تحسين كفاءة وشفافية الوظائف الإدارية المركزية فقط، بل يتجاوز ذلك لأنه يُعد أيضا عنصرا أساسيا في تحسين أداء الاقتصاد الكلي وأداء القطاعات (الإطار 2). فتحسين إدارة المالية العامة، على سبيل المثال، لا يقتصر على كونه مسألة فنية لضبط الميزانية، بل يمس مصالح مختلف الفئات داخل المجتمع لأنه يتضمن ضبط فاتورة الأجور العامة وزيادة الإيرادات الضريبية والتأثير في إتاحة الحصول على النقد الأجنبي. وسيؤثر إصلاح قطاع الطاقة بالضرورة في حوكمة هذا القطاع (الهيئات التنظيمية والانفتاح على الاستثمارات الخاصة)، وكذلك حوكمة مؤسسات الأعمال المملوكة للدولة. </w:t>
      </w:r>
    </w:p>
    <w:p w:rsidR="00902C4B" w:rsidRPr="00FF3102" w:rsidRDefault="00902C4B" w:rsidP="00902C4B">
      <w:pPr>
        <w:pStyle w:val="MainParanoChapter"/>
        <w:numPr>
          <w:ilvl w:val="0"/>
          <w:numId w:val="0"/>
        </w:numPr>
        <w:tabs>
          <w:tab w:val="clear" w:pos="1440"/>
          <w:tab w:val="left" w:pos="540"/>
          <w:tab w:val="left" w:pos="630"/>
        </w:tabs>
        <w:bidi/>
        <w:ind w:left="1080" w:hanging="360"/>
        <w:rPr>
          <w:rFonts w:ascii="Simplified Arabic" w:eastAsiaTheme="minorEastAsia" w:hAnsi="Simplified Arabic" w:cs="Simplified Arabic"/>
          <w:rtl/>
        </w:rPr>
      </w:pPr>
    </w:p>
    <w:tbl>
      <w:tblPr>
        <w:tblStyle w:val="TableGrid"/>
        <w:bidiVisual/>
        <w:tblW w:w="0" w:type="auto"/>
        <w:tblInd w:w="80" w:type="dxa"/>
        <w:tblLook w:val="04A0" w:firstRow="1" w:lastRow="0" w:firstColumn="1" w:lastColumn="0" w:noHBand="0" w:noVBand="1"/>
      </w:tblPr>
      <w:tblGrid>
        <w:gridCol w:w="9190"/>
      </w:tblGrid>
      <w:tr w:rsidR="00133A41" w:rsidRPr="00FF3102" w:rsidTr="00902C4B">
        <w:tc>
          <w:tcPr>
            <w:tcW w:w="9270" w:type="dxa"/>
          </w:tcPr>
          <w:p w:rsidR="00902C4B" w:rsidRPr="00FF3102" w:rsidRDefault="00902C4B" w:rsidP="00942866">
            <w:pPr>
              <w:pStyle w:val="boxes"/>
              <w:framePr w:wrap="around"/>
              <w:rPr>
                <w:rtl/>
                <w:lang w:bidi="ar-EG"/>
              </w:rPr>
            </w:pPr>
            <w:bookmarkStart w:id="690" w:name="_Toc439185533"/>
            <w:r w:rsidRPr="00FF3102">
              <w:rPr>
                <w:rtl/>
              </w:rPr>
              <w:t>الإطار 2. إطار بسيط لتحسين نظام الإدارة العامة والحوكمة</w:t>
            </w:r>
            <w:bookmarkEnd w:id="690"/>
          </w:p>
          <w:p w:rsidR="00902C4B" w:rsidRPr="00FF3102" w:rsidRDefault="00902C4B" w:rsidP="00051957">
            <w:pPr>
              <w:tabs>
                <w:tab w:val="left" w:pos="540"/>
              </w:tabs>
              <w:bidi/>
              <w:spacing w:before="60" w:after="60"/>
              <w:jc w:val="both"/>
              <w:outlineLvl w:val="1"/>
              <w:rPr>
                <w:rFonts w:ascii="Simplified Arabic" w:eastAsiaTheme="minorEastAsia" w:hAnsi="Simplified Arabic" w:cs="Simplified Arabic"/>
                <w:rtl/>
                <w:lang w:bidi="ar-EG"/>
              </w:rPr>
            </w:pPr>
            <w:r w:rsidRPr="00FF3102">
              <w:rPr>
                <w:rFonts w:ascii="Simplified Arabic" w:eastAsiaTheme="minorEastAsia" w:hAnsi="Simplified Arabic" w:cs="Simplified Arabic"/>
                <w:rtl/>
              </w:rPr>
              <w:t>إن مجال تركيز البنك على تحسين نظام الإدارة العامة والحوكمة سيستلزم العمل على ثلاثة أبعاد عامة: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تعزيز الشفافية والكفاءة، ومساندة المؤسسات </w:t>
            </w:r>
            <w:r w:rsidR="00051957">
              <w:rPr>
                <w:rFonts w:ascii="Simplified Arabic" w:eastAsiaTheme="minorEastAsia" w:hAnsi="Simplified Arabic" w:cs="Simplified Arabic" w:hint="cs"/>
                <w:rtl/>
              </w:rPr>
              <w:t>المشتم</w:t>
            </w:r>
            <w:r w:rsidRPr="00FF3102">
              <w:rPr>
                <w:rFonts w:ascii="Simplified Arabic" w:eastAsiaTheme="minorEastAsia" w:hAnsi="Simplified Arabic" w:cs="Simplified Arabic"/>
                <w:rtl/>
              </w:rPr>
              <w:t>لة للجميع، وتشجيع مشاركة المواطنين وسماع صوتهم.</w:t>
            </w:r>
            <w:r w:rsidRPr="00FF3102">
              <w:rPr>
                <w:rFonts w:ascii="Simplified Arabic" w:eastAsiaTheme="minorEastAsia" w:hAnsi="Simplified Arabic" w:cs="Simplified Arabic"/>
              </w:rPr>
              <w:t xml:space="preserve"> </w:t>
            </w:r>
          </w:p>
          <w:p w:rsidR="00902C4B" w:rsidRPr="00FF3102" w:rsidRDefault="00463B35" w:rsidP="001E71BE">
            <w:pPr>
              <w:pStyle w:val="ListParagraph"/>
              <w:numPr>
                <w:ilvl w:val="0"/>
                <w:numId w:val="23"/>
              </w:numPr>
              <w:tabs>
                <w:tab w:val="left" w:pos="540"/>
              </w:tabs>
              <w:bidi/>
              <w:spacing w:before="60" w:after="60"/>
              <w:ind w:left="0" w:firstLine="0"/>
              <w:outlineLvl w:val="1"/>
              <w:rPr>
                <w:rFonts w:ascii="Simplified Arabic" w:eastAsiaTheme="minorEastAsia" w:hAnsi="Simplified Arabic" w:cs="Simplified Arabic"/>
                <w:sz w:val="24"/>
                <w:szCs w:val="24"/>
              </w:rPr>
            </w:pPr>
            <w:r>
              <w:rPr>
                <w:rFonts w:ascii="Simplified Arabic" w:eastAsiaTheme="minorEastAsia" w:hAnsi="Simplified Arabic" w:cs="Simplified Arabic"/>
                <w:iCs/>
                <w:noProof/>
                <w:szCs w:val="24"/>
                <w:rtl/>
              </w:rPr>
              <w:drawing>
                <wp:anchor distT="0" distB="0" distL="114300" distR="114300" simplePos="0" relativeHeight="251665408" behindDoc="0" locked="0" layoutInCell="1" allowOverlap="1" wp14:anchorId="1052D379" wp14:editId="54877829">
                  <wp:simplePos x="0" y="0"/>
                  <wp:positionH relativeFrom="column">
                    <wp:posOffset>190017</wp:posOffset>
                  </wp:positionH>
                  <wp:positionV relativeFrom="paragraph">
                    <wp:posOffset>85298</wp:posOffset>
                  </wp:positionV>
                  <wp:extent cx="2033270" cy="1728470"/>
                  <wp:effectExtent l="0" t="0" r="508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 box2.png"/>
                          <pic:cNvPicPr/>
                        </pic:nvPicPr>
                        <pic:blipFill>
                          <a:blip r:embed="rId18">
                            <a:extLst>
                              <a:ext uri="{28A0092B-C50C-407E-A947-70E740481C1C}">
                                <a14:useLocalDpi xmlns:a14="http://schemas.microsoft.com/office/drawing/2010/main" val="0"/>
                              </a:ext>
                            </a:extLst>
                          </a:blip>
                          <a:stretch>
                            <a:fillRect/>
                          </a:stretch>
                        </pic:blipFill>
                        <pic:spPr>
                          <a:xfrm>
                            <a:off x="0" y="0"/>
                            <a:ext cx="2033270" cy="1728470"/>
                          </a:xfrm>
                          <a:prstGeom prst="rect">
                            <a:avLst/>
                          </a:prstGeom>
                        </pic:spPr>
                      </pic:pic>
                    </a:graphicData>
                  </a:graphic>
                  <wp14:sizeRelH relativeFrom="page">
                    <wp14:pctWidth>0</wp14:pctWidth>
                  </wp14:sizeRelH>
                  <wp14:sizeRelV relativeFrom="page">
                    <wp14:pctHeight>0</wp14:pctHeight>
                  </wp14:sizeRelV>
                </wp:anchor>
              </w:drawing>
            </w:r>
            <w:r w:rsidR="00902C4B" w:rsidRPr="00FF3102">
              <w:rPr>
                <w:rFonts w:ascii="Simplified Arabic" w:eastAsiaTheme="minorEastAsia" w:hAnsi="Simplified Arabic" w:cs="Simplified Arabic"/>
                <w:iCs/>
                <w:szCs w:val="24"/>
                <w:rtl/>
              </w:rPr>
              <w:t>تعزيز الشفافية والكفاءة</w:t>
            </w:r>
            <w:r w:rsidR="00902C4B" w:rsidRPr="00FF3102">
              <w:rPr>
                <w:rFonts w:ascii="Simplified Arabic" w:eastAsiaTheme="minorEastAsia" w:hAnsi="Simplified Arabic" w:cs="Simplified Arabic"/>
                <w:szCs w:val="24"/>
                <w:rtl/>
              </w:rPr>
              <w:t xml:space="preserve"> أمر ضروري لتعزيز المساءلة بالدولة. وسيشمل ذلك مجالات من قبيل شفافية الموازنة وإدارتها، لكنه سيشمل أيضا إصلاحات الإدارة العامة، لاسيما تشجيع تحسين السياسات والمؤسسات لمساندة تحقيق نمو شامل للجميع.</w:t>
            </w:r>
            <w:r w:rsidR="00902C4B" w:rsidRPr="00FF3102">
              <w:rPr>
                <w:rFonts w:ascii="Simplified Arabic" w:eastAsiaTheme="minorEastAsia" w:hAnsi="Simplified Arabic" w:cs="Simplified Arabic"/>
                <w:sz w:val="24"/>
                <w:szCs w:val="24"/>
              </w:rPr>
              <w:t xml:space="preserve"> </w:t>
            </w:r>
            <w:r w:rsidR="00902C4B" w:rsidRPr="00FF3102">
              <w:rPr>
                <w:rFonts w:ascii="Simplified Arabic" w:eastAsiaTheme="minorEastAsia" w:hAnsi="Simplified Arabic" w:cs="Simplified Arabic"/>
                <w:szCs w:val="24"/>
                <w:rtl/>
              </w:rPr>
              <w:t>ويجب أن يقترن ذلك بتحسين حوكمة القطاع، كما في قطاع الطاقة، للمساعدة في تشجيع الاستثمارات وتعزيز الكفاءة في هذا القطاع.</w:t>
            </w:r>
          </w:p>
          <w:p w:rsidR="00902C4B" w:rsidRPr="00FF3102" w:rsidRDefault="00902C4B" w:rsidP="008C1B10">
            <w:pPr>
              <w:numPr>
                <w:ilvl w:val="0"/>
                <w:numId w:val="23"/>
              </w:numPr>
              <w:tabs>
                <w:tab w:val="left" w:pos="540"/>
              </w:tabs>
              <w:bidi/>
              <w:spacing w:before="60" w:after="60"/>
              <w:ind w:left="0" w:firstLine="0"/>
              <w:jc w:val="both"/>
              <w:outlineLvl w:val="1"/>
              <w:rPr>
                <w:rFonts w:ascii="Simplified Arabic" w:eastAsiaTheme="minorEastAsia" w:hAnsi="Simplified Arabic" w:cs="Simplified Arabic"/>
              </w:rPr>
            </w:pPr>
            <w:r w:rsidRPr="00FF3102">
              <w:rPr>
                <w:rFonts w:ascii="Simplified Arabic" w:eastAsiaTheme="minorEastAsia" w:hAnsi="Simplified Arabic" w:cs="Simplified Arabic"/>
                <w:iCs/>
                <w:rtl/>
              </w:rPr>
              <w:t>يتعلق تدعيم المؤسسات ال</w:t>
            </w:r>
            <w:r w:rsidR="008C1B10">
              <w:rPr>
                <w:rFonts w:ascii="Simplified Arabic" w:eastAsiaTheme="minorEastAsia" w:hAnsi="Simplified Arabic" w:cs="Simplified Arabic" w:hint="cs"/>
                <w:iCs/>
                <w:rtl/>
              </w:rPr>
              <w:t>مشتملة</w:t>
            </w:r>
            <w:r w:rsidRPr="00FF3102">
              <w:rPr>
                <w:rFonts w:ascii="Simplified Arabic" w:eastAsiaTheme="minorEastAsia" w:hAnsi="Simplified Arabic" w:cs="Simplified Arabic"/>
                <w:iCs/>
                <w:rtl/>
              </w:rPr>
              <w:t xml:space="preserve"> للجميع</w:t>
            </w:r>
            <w:r w:rsidRPr="00FF3102">
              <w:rPr>
                <w:rFonts w:ascii="Simplified Arabic" w:eastAsiaTheme="minorEastAsia" w:hAnsi="Simplified Arabic" w:cs="Simplified Arabic"/>
                <w:rtl/>
              </w:rPr>
              <w:t xml:space="preserve"> بتعزيز قدرات المؤسسات التي تعمل لصالح الفقراء. ويمكن تحقيق ذلك من خلال عدة إجراءات من بينها، على سبيل المثال، النموذج الجديد الذي يسانده البنك لتقديم خدمات الصرف الصحي بالمناطق الريفية على نحو لامركزي، أو المساندة بالتعاون مع شركاء التنمية (الوكالة الفرنسية للتنمية في هذه الحالة) للمساعدة في تمويل توصيل الغاز للأسر الفقيرة، أو التحول من نظام للدعم الشامل إلى نظام موجَّه لشبكة الأمان الاجتماعي. </w:t>
            </w:r>
          </w:p>
          <w:p w:rsidR="00902C4B" w:rsidRPr="00FF3102" w:rsidRDefault="00902C4B" w:rsidP="001E71BE">
            <w:pPr>
              <w:numPr>
                <w:ilvl w:val="0"/>
                <w:numId w:val="23"/>
              </w:numPr>
              <w:tabs>
                <w:tab w:val="left" w:pos="540"/>
              </w:tabs>
              <w:bidi/>
              <w:spacing w:before="60" w:after="60"/>
              <w:ind w:left="0" w:firstLine="0"/>
              <w:jc w:val="both"/>
              <w:outlineLvl w:val="1"/>
              <w:rPr>
                <w:rFonts w:ascii="Simplified Arabic" w:eastAsiaTheme="minorEastAsia" w:hAnsi="Simplified Arabic" w:cs="Simplified Arabic"/>
              </w:rPr>
            </w:pPr>
            <w:r w:rsidRPr="00FF3102">
              <w:rPr>
                <w:rFonts w:ascii="Simplified Arabic" w:eastAsiaTheme="minorEastAsia" w:hAnsi="Simplified Arabic" w:cs="Simplified Arabic"/>
                <w:iCs/>
                <w:rtl/>
              </w:rPr>
              <w:t>سيكون تشجيع مشاركة المواطنين واستطلاع آرائهم</w:t>
            </w:r>
            <w:r w:rsidRPr="00FF3102">
              <w:rPr>
                <w:rFonts w:ascii="Simplified Arabic" w:eastAsiaTheme="minorEastAsia" w:hAnsi="Simplified Arabic" w:cs="Simplified Arabic"/>
                <w:rtl/>
              </w:rPr>
              <w:t xml:space="preserve"> بالغ الأهمية لتدعيم تحسين نظام الإدارة العامة والحوكمة. ويمكن تحقيق ذلك من خلال توسيع نطاق المشاورات أثناء استقصاء وتصميم وتنفيذ البرامج العامة أو الإجراءات التدخلية لمجموعة البنك، أو كليهما.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والإقدام على تضمين هذه البرامج آلياتٍ لاستطلاع الآراء، وكذلك لمعالجة الشكاوى والمظالم، هو من العناصر المهمة لإرساء إطار لتحسين نظام الإدارة العامة والحوكمة.</w:t>
            </w:r>
          </w:p>
          <w:p w:rsidR="00902C4B" w:rsidRPr="00FF3102" w:rsidRDefault="00902C4B" w:rsidP="00553C69">
            <w:pPr>
              <w:pStyle w:val="MainParanoChapter"/>
              <w:numPr>
                <w:ilvl w:val="0"/>
                <w:numId w:val="0"/>
              </w:numPr>
              <w:tabs>
                <w:tab w:val="clear" w:pos="1440"/>
                <w:tab w:val="left" w:pos="540"/>
                <w:tab w:val="left" w:pos="630"/>
              </w:tabs>
              <w:bidi/>
              <w:rPr>
                <w:rFonts w:ascii="Simplified Arabic" w:eastAsiaTheme="minorEastAsia" w:hAnsi="Simplified Arabic" w:cs="Simplified Arabic"/>
                <w:rtl/>
              </w:rPr>
            </w:pPr>
            <w:r w:rsidRPr="00FF3102">
              <w:rPr>
                <w:rFonts w:ascii="Simplified Arabic" w:eastAsiaTheme="minorEastAsia" w:hAnsi="Simplified Arabic" w:cs="Simplified Arabic"/>
                <w:rtl/>
              </w:rPr>
              <w:t>وتكون هذه المجالات بالضرورة مرتبطة ببعضها البعض كما تتداخل مع مجالي التركيز الآخرين لإطار الشراكة الإستراتيجية. فعلى سبيل المثال، سيساعد تحسين نظام الإدارة العامة والحوكمة على تحقيق الاحتواء الاجتماعي وتنمية القطاع الخاص، وسيتوقف التحسُّن في نواتج التعليم بدرجة كبيرة على تدعيم المساءلة التي تتمحور حول آلية تقديم الخدمات. وبالمثل، فإن تحسين مناخ الأعمال لتعزيز نمو فرص العمل يرتبط ارتباطا أساسيا بتبسيط اللوائح، والحد من تكاليف الال</w:t>
            </w:r>
            <w:r w:rsidR="00553C69">
              <w:rPr>
                <w:rFonts w:ascii="Simplified Arabic" w:eastAsiaTheme="minorEastAsia" w:hAnsi="Simplified Arabic" w:cs="Simplified Arabic" w:hint="cs"/>
                <w:rtl/>
              </w:rPr>
              <w:t>تزام</w:t>
            </w:r>
            <w:r w:rsidRPr="00FF3102">
              <w:rPr>
                <w:rFonts w:ascii="Simplified Arabic" w:eastAsiaTheme="minorEastAsia" w:hAnsi="Simplified Arabic" w:cs="Simplified Arabic"/>
                <w:rtl/>
              </w:rPr>
              <w:t xml:space="preserve">، وضمان فاعلية التنفيذ لضمان تكافؤ الفرص، وتدعيم حوكمة الشركات لضمان تعزيز الكفاءة والشفافية في القطاع الخاص. </w:t>
            </w:r>
          </w:p>
        </w:tc>
      </w:tr>
    </w:tbl>
    <w:p w:rsidR="00902C4B" w:rsidRPr="00FF3102" w:rsidRDefault="00902C4B" w:rsidP="00902C4B">
      <w:pPr>
        <w:pStyle w:val="MainParanoChapter"/>
        <w:numPr>
          <w:ilvl w:val="0"/>
          <w:numId w:val="0"/>
        </w:numPr>
        <w:tabs>
          <w:tab w:val="clear" w:pos="1440"/>
          <w:tab w:val="left" w:pos="540"/>
          <w:tab w:val="left" w:pos="630"/>
        </w:tabs>
        <w:bidi/>
        <w:ind w:left="1080" w:hanging="360"/>
        <w:rPr>
          <w:rFonts w:ascii="Simplified Arabic" w:eastAsiaTheme="minorEastAsia" w:hAnsi="Simplified Arabic" w:cs="Simplified Arabic"/>
        </w:rPr>
      </w:pPr>
    </w:p>
    <w:p w:rsidR="00810BAC" w:rsidRPr="00FF3102" w:rsidRDefault="00810BAC" w:rsidP="00810BAC">
      <w:pPr>
        <w:pStyle w:val="Heading5"/>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الهدف 1.1. تحسين إدارة المالية العامة</w:t>
      </w:r>
    </w:p>
    <w:p w:rsidR="00810BAC" w:rsidRPr="00FF3102" w:rsidRDefault="00810BAC" w:rsidP="00D23C58">
      <w:pPr>
        <w:pStyle w:val="MainParanoChapter"/>
        <w:numPr>
          <w:ilvl w:val="0"/>
          <w:numId w:val="22"/>
        </w:numPr>
        <w:tabs>
          <w:tab w:val="clear" w:pos="1440"/>
        </w:tabs>
        <w:bidi/>
        <w:ind w:left="0" w:firstLine="0"/>
        <w:rPr>
          <w:rFonts w:ascii="Simplified Arabic" w:eastAsiaTheme="minorEastAsia" w:hAnsi="Simplified Arabic" w:cs="Simplified Arabic"/>
          <w:i/>
          <w:spacing w:val="0"/>
        </w:rPr>
      </w:pPr>
      <w:r w:rsidRPr="00FF3102">
        <w:rPr>
          <w:rFonts w:ascii="Simplified Arabic" w:eastAsiaTheme="minorEastAsia" w:hAnsi="Simplified Arabic" w:cs="Simplified Arabic"/>
          <w:bCs/>
          <w:iCs/>
          <w:spacing w:val="0"/>
          <w:rtl/>
        </w:rPr>
        <w:t xml:space="preserve">الارتباط بهدفي مجموعة البنك الدولي وإستراتيجية المنطقة. </w:t>
      </w:r>
      <w:r w:rsidRPr="00FF3102">
        <w:rPr>
          <w:rFonts w:ascii="Simplified Arabic" w:eastAsiaTheme="minorEastAsia" w:hAnsi="Simplified Arabic" w:cs="Simplified Arabic"/>
          <w:spacing w:val="0"/>
          <w:rtl/>
        </w:rPr>
        <w:t>إن استعادة استقرار الاقتصاد الكلي شرط أساسي لتحقيق النمو، وللاستثمارات الخاصة وخلق فرص عمل، ولحماية الفقراء من ارتفاع أسعار المواد الغذائية وما يتبعه من زيادات في معدلات الفقر، ويُعد ضبط أوضاع المالية العامة عنصرا أساسيا لتحقيق استقرار الاقتصاد الكلي. وبالنسبة لمصر، يعني ذلك الحد من الإنفاق العام وتحسين كفاءته، وزيادة الإيرادات الحكومية من خلال توسيع الوعاء الضريبي وتحسين عمليات تحصيل الضرائب، ومن ثم المساهمة في تحقيق ركيزة إستراتيجية المنطقة المتعلقة بتجديد العقد الاجتماعي.</w:t>
      </w:r>
      <w:r w:rsidRPr="00FF3102">
        <w:rPr>
          <w:rFonts w:ascii="Simplified Arabic" w:eastAsiaTheme="minorEastAsia" w:hAnsi="Simplified Arabic" w:cs="Simplified Arabic"/>
          <w:spacing w:val="0"/>
        </w:rPr>
        <w:t xml:space="preserve"> </w:t>
      </w:r>
    </w:p>
    <w:p w:rsidR="00810BAC" w:rsidRPr="00FF3102" w:rsidRDefault="00810BAC" w:rsidP="00D23C58">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الأهداف الإنمائية لمصر</w:t>
      </w:r>
      <w:r w:rsidRPr="00FF3102">
        <w:rPr>
          <w:rFonts w:ascii="Simplified Arabic" w:eastAsiaTheme="minorEastAsia" w:hAnsi="Simplified Arabic" w:cs="Simplified Arabic"/>
          <w:spacing w:val="0"/>
          <w:rtl/>
        </w:rPr>
        <w:t>. شرعت الحكومة المصرية في تنفيذ إصلاحات مهمة (الفقرات</w:t>
      </w:r>
      <w:r w:rsidRPr="00FF3102">
        <w:rPr>
          <w:rFonts w:ascii="Simplified Arabic" w:eastAsiaTheme="minorEastAsia" w:hAnsi="Simplified Arabic" w:cs="Simplified Arabic"/>
          <w:spacing w:val="0"/>
          <w:shd w:val="solid" w:color="FFFFFF" w:fill="auto"/>
        </w:rPr>
        <w:t xml:space="preserve"> </w:t>
      </w:r>
      <w:r w:rsidRPr="00FF3102">
        <w:rPr>
          <w:rFonts w:ascii="Simplified Arabic" w:eastAsiaTheme="minorEastAsia" w:hAnsi="Simplified Arabic" w:cs="Simplified Arabic"/>
          <w:spacing w:val="0"/>
          <w:rtl/>
        </w:rPr>
        <w:t>53-55) وتعتزم اتخاذ المزيد من الخطوات. وتشمل هذه الخطوات (أ) مواصلة إصلاح دعم الطاقة بإجراء زيادات أخرى على أسعار</w:t>
      </w:r>
      <w:r w:rsidRPr="00FF3102">
        <w:rPr>
          <w:rFonts w:ascii="Simplified Arabic" w:eastAsiaTheme="minorEastAsia" w:hAnsi="Simplified Arabic" w:cs="Simplified Arabic"/>
          <w:rtl/>
        </w:rPr>
        <w:t>ها</w:t>
      </w:r>
      <w:r w:rsidRPr="00FF3102">
        <w:rPr>
          <w:rFonts w:ascii="Simplified Arabic" w:eastAsiaTheme="minorEastAsia" w:hAnsi="Simplified Arabic" w:cs="Simplified Arabic"/>
          <w:spacing w:val="0"/>
          <w:rtl/>
        </w:rPr>
        <w:t xml:space="preserve">؛ (ب) إصدار وتنفيذ ضريبة القيمة المضافة وغيرها من الإجراءات الضريبية؛ (ج) زيادة السيطرة على فاتورة أجور القطاع العام والتعيين به؛ </w:t>
      </w:r>
      <w:r w:rsidRPr="00FF3102">
        <w:rPr>
          <w:rFonts w:ascii="Simplified Arabic" w:eastAsiaTheme="minorEastAsia" w:hAnsi="Simplified Arabic" w:cs="Simplified Arabic"/>
          <w:iCs/>
          <w:spacing w:val="0"/>
          <w:rtl/>
        </w:rPr>
        <w:t>(د) تحديد تخفيضات في الإنفاق على البنود التي ليست لها أولوية لمقابلة الزيادات في الإنفاق على قطاعي الصحة والتعليم؛ (ه) تحسين التنسيق بين سياسات المالية العامة والسياسات النقدية من أجل تحسين تمويل العجز؛ (و) تحسين إدارة الدين العام وإنشاء أسواق أولية وثانوية للأوراق المالية الحكومية؛ (ز) وضع نظام لإدارة الاستثمارات العامة يقوم بمعالجة أمور من بينها الزيادة المحتملة في تكاليف أعمال البنية التحتية العامة الجاري تنفيذها؛ (ح) تشجيع إقامة نظام مالي سليم وقادر على المنافسة.</w:t>
      </w:r>
      <w:r w:rsidRPr="00FF3102">
        <w:rPr>
          <w:rFonts w:ascii="Simplified Arabic" w:eastAsiaTheme="minorEastAsia" w:hAnsi="Simplified Arabic" w:cs="Simplified Arabic"/>
          <w:i/>
          <w:spacing w:val="0"/>
        </w:rPr>
        <w:t xml:space="preserve"> </w:t>
      </w:r>
    </w:p>
    <w:p w:rsidR="00810BAC" w:rsidRPr="00FF3102" w:rsidRDefault="00810BAC" w:rsidP="00D23C58">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حلول مجموعة البنك الدولي- الطريق إلى الأمام. </w:t>
      </w:r>
      <w:r w:rsidRPr="00FF3102">
        <w:rPr>
          <w:rFonts w:ascii="Simplified Arabic" w:eastAsiaTheme="minorEastAsia" w:hAnsi="Simplified Arabic" w:cs="Simplified Arabic"/>
          <w:spacing w:val="0"/>
          <w:rtl/>
        </w:rPr>
        <w:t>طلبت الحكومة المصرية تمويلا مقترحا لأغراض سياسات التنمية البرامجية. وستكون مكوناته الرئيسية هي:</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(أ) تعزيز ضبط أوضاع المالية العامة من خلال زيادة تحصيل الإيرادات وخفض نمو فاتورة الأجور وتدعيم إدارة الدين؛ (ب) ضمان توفير إمدادات مستدامة من الطاقة من خلال مشاركة القطاع الخاص؛ (ج) تحسين بيئة ممارسة الأعمال </w:t>
      </w:r>
      <w:r w:rsidRPr="00FF3102">
        <w:rPr>
          <w:rFonts w:ascii="Simplified Arabic" w:eastAsiaTheme="minorEastAsia" w:hAnsi="Simplified Arabic" w:cs="Simplified Arabic"/>
          <w:rtl/>
        </w:rPr>
        <w:t>عن طريق</w:t>
      </w:r>
      <w:r w:rsidRPr="00FF3102">
        <w:rPr>
          <w:rFonts w:ascii="Simplified Arabic" w:eastAsiaTheme="minorEastAsia" w:hAnsi="Simplified Arabic" w:cs="Simplified Arabic"/>
          <w:spacing w:val="0"/>
          <w:rtl/>
        </w:rPr>
        <w:t xml:space="preserve"> تسهيل قوانين الاستثمار وتبسيط اشتراطات إصدار التراخيص الصناعية وزيادة المنافسة. وسيساند البنك أيضا الحكومة من خلال تقديم خدمات تحليلية واستشارية وإجراء حوار سياسي بشأن هذه القضايا.</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وبالإضافة إلى ذلك، سيستمر البنك في متابعته لأوضاع الاقتصاد الكلي، وهو ما يتضمن إعداد تقارير ربع سنوية وتعميم التقييمات الاقتصادية الكلية على أصحاب المصلحة الرئيسيين.</w:t>
      </w:r>
      <w:r w:rsidRPr="00FF3102">
        <w:rPr>
          <w:rFonts w:ascii="Simplified Arabic" w:eastAsiaTheme="minorEastAsia" w:hAnsi="Simplified Arabic" w:cs="Simplified Arabic"/>
          <w:bCs/>
          <w:spacing w:val="0"/>
          <w:rtl/>
        </w:rPr>
        <w:t xml:space="preserve"> </w:t>
      </w:r>
    </w:p>
    <w:p w:rsidR="00810BAC" w:rsidRPr="00FF3102" w:rsidRDefault="00810BAC" w:rsidP="00724347">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 xml:space="preserve">الهدف </w:t>
      </w:r>
      <w:r w:rsidR="00724347">
        <w:rPr>
          <w:rFonts w:ascii="Simplified Arabic" w:eastAsiaTheme="minorEastAsia" w:hAnsi="Simplified Arabic" w:cs="Simplified Arabic" w:hint="cs"/>
          <w:iCs/>
          <w:sz w:val="24"/>
          <w:szCs w:val="24"/>
          <w:rtl/>
        </w:rPr>
        <w:t>2.1</w:t>
      </w:r>
      <w:r w:rsidRPr="00FF3102">
        <w:rPr>
          <w:rFonts w:ascii="Simplified Arabic" w:eastAsiaTheme="minorEastAsia" w:hAnsi="Simplified Arabic" w:cs="Simplified Arabic"/>
          <w:iCs/>
          <w:sz w:val="24"/>
          <w:szCs w:val="24"/>
          <w:rtl/>
        </w:rPr>
        <w:t xml:space="preserve"> تحسين شفافية الموازنة العامة</w:t>
      </w:r>
    </w:p>
    <w:p w:rsidR="00810BAC" w:rsidRPr="00FF3102" w:rsidRDefault="00810BAC" w:rsidP="00D23C58">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الارتباط بهدفي مجموعة البنك الدولي وإستراتيجية المنطقة:</w:t>
      </w:r>
      <w:r w:rsidRPr="00FF3102">
        <w:rPr>
          <w:rFonts w:ascii="Simplified Arabic" w:eastAsiaTheme="minorEastAsia" w:hAnsi="Simplified Arabic" w:cs="Simplified Arabic"/>
          <w:spacing w:val="0"/>
          <w:rtl/>
        </w:rPr>
        <w:t xml:space="preserve"> سيتيح تحسين مؤسسات إدارة الشؤون المالية العامة والمشتريات للحكومة المصرية</w:t>
      </w:r>
      <w:r w:rsidRPr="00FF3102">
        <w:rPr>
          <w:rFonts w:ascii="Simplified Arabic" w:eastAsiaTheme="minorEastAsia" w:hAnsi="Simplified Arabic" w:cs="Simplified Arabic"/>
          <w:rtl/>
        </w:rPr>
        <w:t xml:space="preserve"> إمكانية</w:t>
      </w:r>
      <w:r w:rsidRPr="00FF3102">
        <w:rPr>
          <w:rFonts w:ascii="Simplified Arabic" w:eastAsiaTheme="minorEastAsia" w:hAnsi="Simplified Arabic" w:cs="Simplified Arabic"/>
          <w:spacing w:val="0"/>
          <w:rtl/>
        </w:rPr>
        <w:t xml:space="preserve"> الحد من الفقر وتعزيز الرخاء المشترك من خلال وضع أنظمة فاعلة لإدارة الموازنة والمشتريات، وتحسين ملاءمة وجودة المعلومات المتاحة لمتخذي القرار، ووضع ضوابط داخلية لمنع التسربات واكتشافها، وآليات للضمان والمساءلة على استخدام المال العام. وستكون لإصلاحات إدارة الشؤون المالية العامة أهمية خاصة لضمان فاعلية تقديم الخدمات في ظل برنامج الاستثمار الرأسمالي الكبير الذي تعتزم الحكومة تنفيذه (الذي يتطلب إرساء ممارسات قوية</w:t>
      </w:r>
      <w:r w:rsidRPr="00FF3102">
        <w:rPr>
          <w:rFonts w:ascii="Simplified Arabic" w:eastAsiaTheme="minorEastAsia" w:hAnsi="Simplified Arabic" w:cs="Simplified Arabic"/>
          <w:rtl/>
        </w:rPr>
        <w:t xml:space="preserve"> تحكم</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ا</w:t>
      </w:r>
      <w:r w:rsidRPr="00FF3102">
        <w:rPr>
          <w:rFonts w:ascii="Simplified Arabic" w:eastAsiaTheme="minorEastAsia" w:hAnsi="Simplified Arabic" w:cs="Simplified Arabic"/>
          <w:spacing w:val="0"/>
          <w:rtl/>
        </w:rPr>
        <w:t xml:space="preserve">لاستثمارات العامة والمشتريات وإدارة العقود)، وإصلاح شبكة الأمان الاجتماعي، وإدارة فاتورة كبيرة للأجور، وتزايد دور الأجهزة الحكومية المحلية في تقديم الخدمات (الذي يتطلب ترتيبات فاعلة لتوزيع الموارد والمساءلة). وستساند هذه الإصلاحات أيضا تحقيق التعافي الاقتصادي </w:t>
      </w:r>
      <w:r w:rsidRPr="00FF3102">
        <w:rPr>
          <w:rFonts w:ascii="Simplified Arabic" w:eastAsiaTheme="minorEastAsia" w:hAnsi="Simplified Arabic" w:cs="Simplified Arabic"/>
          <w:rtl/>
        </w:rPr>
        <w:t>وتقوية</w:t>
      </w:r>
      <w:r w:rsidRPr="00FF3102">
        <w:rPr>
          <w:rFonts w:ascii="Simplified Arabic" w:eastAsiaTheme="minorEastAsia" w:hAnsi="Simplified Arabic" w:cs="Simplified Arabic"/>
          <w:spacing w:val="0"/>
          <w:rtl/>
        </w:rPr>
        <w:t xml:space="preserve"> الثقة بين الحكومة ومواطنيها سعياً لوضع عقد اجتماعي جديد. </w:t>
      </w:r>
    </w:p>
    <w:p w:rsidR="00810BAC" w:rsidRPr="00FF3102" w:rsidRDefault="00810BAC" w:rsidP="00D23C58">
      <w:pPr>
        <w:pStyle w:val="MainParanoChapter"/>
        <w:numPr>
          <w:ilvl w:val="0"/>
          <w:numId w:val="22"/>
        </w:numPr>
        <w:tabs>
          <w:tab w:val="clear" w:pos="1440"/>
        </w:tabs>
        <w:bidi/>
        <w:ind w:left="90" w:firstLine="0"/>
        <w:rPr>
          <w:rFonts w:ascii="Simplified Arabic" w:eastAsiaTheme="minorEastAsia" w:hAnsi="Simplified Arabic" w:cs="Simplified Arabic"/>
          <w:b/>
          <w:i/>
          <w:spacing w:val="0"/>
        </w:rPr>
      </w:pPr>
      <w:r w:rsidRPr="00FF3102">
        <w:rPr>
          <w:rFonts w:ascii="Simplified Arabic" w:eastAsiaTheme="minorEastAsia" w:hAnsi="Simplified Arabic" w:cs="Simplified Arabic"/>
          <w:bCs/>
          <w:iCs/>
          <w:spacing w:val="0"/>
          <w:rtl/>
        </w:rPr>
        <w:t xml:space="preserve">الأهداف الإنمائية لمصر: </w:t>
      </w:r>
      <w:r w:rsidRPr="00FF3102">
        <w:rPr>
          <w:rFonts w:ascii="Simplified Arabic" w:eastAsiaTheme="minorEastAsia" w:hAnsi="Simplified Arabic" w:cs="Simplified Arabic"/>
          <w:b/>
          <w:i/>
          <w:spacing w:val="0"/>
          <w:rtl/>
        </w:rPr>
        <w:t>كما ذُكر في الإطار الجديد متوسط الأمد للاقتصاد الكلي الخاص بالحكومة المصرية وخطتها الإستراتيجية الجديدة، فإنها بصدد إعداد برنامج شامل لإدارة شؤون المالية العامة يستهدف تعظيم كفاءة استخدام الموارد لتحقيق الأولويات المقصودة. وقد طلبت وزارة المالية من البنك مساعدتها في تقييم التقدُّم المحرز ووضع إستراتيجية متسقة لإدارة شؤون المالية العامة تشتمل على إجراءات متسلسلة ومرتبة الأولويات على نحو جيد. وأحرزت الحكومة أيضا تقدُّما على صعيد تعزيز شفافية المالية العامة حيث تتيح للجمهور الاطلاع على الموازنة المعتمدة منذ عام 2010 كما بدأت نشر وتعميم موازنة المواطن في عامي 2014 و 2015. واشتمل الدستور الجديد على أحكام لتدعيم استقلالية الجهاز المركزي للمحاسبات وشفافيته.</w:t>
      </w:r>
    </w:p>
    <w:p w:rsidR="00810BAC" w:rsidRPr="00FF3102" w:rsidRDefault="00810BAC" w:rsidP="00D23C58">
      <w:pPr>
        <w:pStyle w:val="MainParanoChapter"/>
        <w:numPr>
          <w:ilvl w:val="0"/>
          <w:numId w:val="22"/>
        </w:numPr>
        <w:tabs>
          <w:tab w:val="clear" w:pos="1440"/>
        </w:tabs>
        <w:bidi/>
        <w:ind w:left="90" w:firstLine="0"/>
        <w:rPr>
          <w:rFonts w:ascii="Simplified Arabic" w:eastAsiaTheme="minorEastAsia" w:hAnsi="Simplified Arabic" w:cs="Simplified Arabic"/>
          <w:b/>
          <w:spacing w:val="0"/>
        </w:rPr>
      </w:pPr>
      <w:r w:rsidRPr="00FF3102">
        <w:rPr>
          <w:rFonts w:ascii="Simplified Arabic" w:eastAsiaTheme="minorEastAsia" w:hAnsi="Simplified Arabic" w:cs="Simplified Arabic"/>
          <w:bCs/>
          <w:iCs/>
          <w:spacing w:val="0"/>
          <w:rtl/>
        </w:rPr>
        <w:t>حلول مجموعة البنك الدولي- الطريق إلى الأمام.</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b/>
          <w:spacing w:val="0"/>
          <w:rtl/>
        </w:rPr>
        <w:t>يساند البنك وزارة المالية بإعداد خارطة طريق واضحة لإصلاح إدارة الشؤون المالية العامة. وبمساعدة فنية من البنك، استطاعت وزارة المالية الانتهاء مؤخرا من إعداد دليل الإجراءات للرقابة المالية الداخلية الذي يوضح الضوابط المالية الموحدة لكل فئة من الإنفاق. ومن بين مجالات المشاركة المحددة التي نوقشت مع الحكومة:</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مساندة تصميم إستراتيجية لإدارة شؤون المالية العامة وتنفيذها:</w:t>
      </w:r>
      <w:r w:rsidRPr="00FF3102">
        <w:rPr>
          <w:rFonts w:ascii="Simplified Arabic" w:eastAsiaTheme="minorEastAsia" w:hAnsi="Simplified Arabic" w:cs="Simplified Arabic"/>
          <w:rtl/>
        </w:rPr>
        <w:t xml:space="preserve"> يقدم البنك مساندة فنية لوزارة المالية في مجال تصميم خطة عمل إستراتيجية لإدارة شؤون المالية العامة تغطي العناصر الأساسية لإدارة شؤون المالية العامة بما فيها تخطيط الموازنة، وإعداد الموازنة على أساس البرامج، والضوابط المالية، والمراجعة.</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الضوابط المالية والمراجعة الداخلية:</w:t>
      </w:r>
      <w:r w:rsidRPr="00FF3102">
        <w:rPr>
          <w:rFonts w:ascii="Simplified Arabic" w:eastAsiaTheme="minorEastAsia" w:hAnsi="Simplified Arabic" w:cs="Simplified Arabic"/>
          <w:rtl/>
        </w:rPr>
        <w:t xml:space="preserve"> سيقدم البنك مساعدة فنية إلى وزارة المالية لوضع تصور للاستمرار في مساندة تنفيذ دليل الرقابة المالية بدءاً من تصميم أنشطة التدريب مروراً بمناقشة ترشيد إجراءات العمل. ومن المزمع تقديم مساعدة فنية أيضا لتطوير ممارسات المراجعة الداخلية وتحديثها تدريجيا.</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شفافية المالية العامة:</w:t>
      </w:r>
      <w:r w:rsidRPr="00FF3102">
        <w:rPr>
          <w:rFonts w:ascii="Simplified Arabic" w:eastAsiaTheme="minorEastAsia" w:hAnsi="Simplified Arabic" w:cs="Simplified Arabic"/>
          <w:rtl/>
        </w:rPr>
        <w:t xml:space="preserve"> يساند البنك مناقشة وثائق الموازنة ونشرها. وسيستمر البنك في المراجعة وتقديم التوصيات لتطوير وتحسين محتوى وثائق المالية العامة وتحليلها ونشرها.</w:t>
      </w:r>
      <w:r w:rsidRPr="00FF3102">
        <w:rPr>
          <w:rFonts w:ascii="Simplified Arabic" w:eastAsiaTheme="minorEastAsia" w:hAnsi="Simplified Arabic" w:cs="Simplified Arabic"/>
        </w:rPr>
        <w:t xml:space="preserve"> </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نظام إدارة الاستثمارات العامة: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سيتعاون البنك مع وزارة التخطيط والمتابعة والإصلاح الإداري ووزارة المالية في تقييم نظام الاستثمار العام، وهو عبارة عن خارطة طريق لمساندة الإصلاحات والمتابعة.</w:t>
      </w:r>
      <w:r w:rsidRPr="00FF3102">
        <w:rPr>
          <w:rFonts w:ascii="Simplified Arabic" w:eastAsiaTheme="minorEastAsia" w:hAnsi="Simplified Arabic" w:cs="Simplified Arabic"/>
        </w:rPr>
        <w:t xml:space="preserve"> </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إصلاح نظام المشتريات والحوار بشأن السياسات: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استجابةً لطلب من وزارة المالية، سيقوم البنك بمساندة تحديث قانون المشتريات الحكومية ولوائحه التنفيذية، وكذلك تقييم استخدام الاتفاقيات الإطارية للسلع شائعة الاستخدام من أجل تحقيق وفورات كبيرة في المشتريات.</w:t>
      </w:r>
    </w:p>
    <w:p w:rsidR="00810BAC" w:rsidRPr="00FF3102" w:rsidRDefault="00810BAC" w:rsidP="00785A44">
      <w:pPr>
        <w:pStyle w:val="Bullet3"/>
        <w:bidi/>
        <w:ind w:left="1080"/>
        <w:rPr>
          <w:rFonts w:ascii="Simplified Arabic" w:eastAsiaTheme="minorEastAsia" w:hAnsi="Simplified Arabic" w:cs="Simplified Arabic"/>
        </w:rPr>
      </w:pPr>
      <w:r w:rsidRPr="00FF3102">
        <w:rPr>
          <w:rFonts w:ascii="Simplified Arabic" w:eastAsiaTheme="minorEastAsia" w:hAnsi="Simplified Arabic" w:cs="Simplified Arabic"/>
          <w:bCs/>
          <w:iCs/>
          <w:rtl/>
        </w:rPr>
        <w:t>المؤسسة المعنية بالرقابة والمساءلة.</w:t>
      </w:r>
      <w:r w:rsidRPr="00FF3102">
        <w:rPr>
          <w:rFonts w:ascii="Simplified Arabic" w:eastAsiaTheme="minorEastAsia" w:hAnsi="Simplified Arabic" w:cs="Simplified Arabic"/>
          <w:rtl/>
        </w:rPr>
        <w:t xml:space="preserve"> في عام 2013 وبعد سنوات من توقف التعاون، استأنف البنك الحوار مع الجهاز المركزي للمحاسبات. واشتملت الإجراءات التدخلية الأولية على إجراء مراجعة فنية لمشروع قانون الجهاز المركزي للمحاسبات وفعاليات لبناء القدرات استناداً إلى الأطر القانونية للجهاز والاتصالات مع أصحاب المصلحة. وسيستمر البنك في مساندة زيادة التوعية بالجهاز وتبادل المعارف بشأن الممارسات الجيدة بما في ذلك إطار قياس أداء الجهاز الذي سيتم الاسترشاد به في وضع إستراتيجيته الخاصة وتقديم المساندة من جانب شركاء التنمية الآخرين.</w:t>
      </w:r>
    </w:p>
    <w:p w:rsidR="00810BAC" w:rsidRPr="00FF3102" w:rsidRDefault="00810BAC" w:rsidP="00A02FCF">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 xml:space="preserve">الهدف </w:t>
      </w:r>
      <w:r w:rsidR="00A02FCF">
        <w:rPr>
          <w:rFonts w:ascii="Simplified Arabic" w:eastAsiaTheme="minorEastAsia" w:hAnsi="Simplified Arabic" w:cs="Simplified Arabic" w:hint="cs"/>
          <w:iCs/>
          <w:sz w:val="24"/>
          <w:szCs w:val="24"/>
          <w:rtl/>
        </w:rPr>
        <w:t>3.1</w:t>
      </w:r>
      <w:r w:rsidRPr="00FF3102">
        <w:rPr>
          <w:rFonts w:ascii="Simplified Arabic" w:eastAsiaTheme="minorEastAsia" w:hAnsi="Simplified Arabic" w:cs="Simplified Arabic"/>
          <w:iCs/>
          <w:sz w:val="24"/>
          <w:szCs w:val="24"/>
          <w:rtl/>
        </w:rPr>
        <w:t xml:space="preserve"> إنشاء قاعدة شواهد للإدارة العامة المستندة إلى الأداء</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الارتباط بهدفي مجموعة البنك الدولي وإستراتيجية المنطقة:</w:t>
      </w:r>
      <w:r w:rsidRPr="00FF3102">
        <w:rPr>
          <w:rFonts w:ascii="Simplified Arabic" w:eastAsiaTheme="minorEastAsia" w:hAnsi="Simplified Arabic" w:cs="Simplified Arabic"/>
          <w:spacing w:val="0"/>
          <w:rtl/>
        </w:rPr>
        <w:t xml:space="preserve"> تُعد إقامة نظام فاعل للإدارة العامة شرطا أساسيا لتحقيق فاعلية برامج الاستثمارات العامة وتقديم الخدمات التي تستهدف الفقراء والضعفاء.</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وهو أيضا عنصر أساسي في تحقيق التعافي الاقتصادي بمصر وتجديد العقد الاجتماعي.</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الأهداف الإنمائية لمصر: </w:t>
      </w:r>
      <w:r w:rsidRPr="00FF3102">
        <w:rPr>
          <w:rFonts w:ascii="Simplified Arabic" w:eastAsiaTheme="minorEastAsia" w:hAnsi="Simplified Arabic" w:cs="Simplified Arabic"/>
          <w:b/>
          <w:i/>
          <w:spacing w:val="0"/>
          <w:rtl/>
        </w:rPr>
        <w:t>في إطار خطة الحكومة المصرية التي تمتد لثلاث سنوات وتستهدف إجراء إصلاح إداري واسع النطاق، فإنها تلتزم بتحسين فاعلية جهاز الخدمة المدنية وكفاءته وكذلك مساءلته.</w:t>
      </w:r>
      <w:r w:rsidRPr="00FF3102">
        <w:rPr>
          <w:rFonts w:ascii="Simplified Arabic" w:eastAsiaTheme="minorEastAsia" w:hAnsi="Simplified Arabic" w:cs="Simplified Arabic"/>
          <w:spacing w:val="0"/>
          <w:rtl/>
        </w:rPr>
        <w:t xml:space="preserve"> فعلى سبيل المثال، أصدرت الحكومة في مارس 2015 قانون الخدمة المدنية رقم 18 لسنة 2015 لكي يحل محل القانون رقم 47 لسنة 1978 الذي ينظم تعيين موظفي الخدمة المدنية وفصلهم وترقيتهم</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وكذلك زيادات الرواتب المرتبطة بالأداء وخيارات الإجازات والعلاوات. ويُعد القانون الجديد عنصرا رئيسيا في خطة العمل الطموحة لوزارة التخطيط والمتابعة والإصلاح الإداري لتطبيق معايير لقياس مستوى الأداء ولتعيين الموظفين وترقيتهم بناءً على الأهلية والجدارة.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وتشتمل خطة العمل هذه على إجراءات للحد من الرشوة وخطوات نحو تحسين استجابة وجودة الخدمات العامة. ويجب أن تسهم هذه الإجراءات في تعزيز المساءلة في مجال تقديم الخدمات وزيادة كفاءة إدارة الاستثمارات العامة </w:t>
      </w:r>
      <w:r w:rsidRPr="00FF3102">
        <w:rPr>
          <w:rFonts w:ascii="Simplified Arabic" w:eastAsiaTheme="minorEastAsia" w:hAnsi="Simplified Arabic" w:cs="Simplified Arabic"/>
          <w:rtl/>
        </w:rPr>
        <w:t>على</w:t>
      </w:r>
      <w:r w:rsidRPr="00FF3102">
        <w:rPr>
          <w:rFonts w:ascii="Simplified Arabic" w:eastAsiaTheme="minorEastAsia" w:hAnsi="Simplified Arabic" w:cs="Simplified Arabic"/>
          <w:spacing w:val="0"/>
          <w:rtl/>
        </w:rPr>
        <w:t xml:space="preserve"> المدى المتوسط إلى البعيد.</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حلول مجموعة البنك الدولي- الطريق إلى الأمام.</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b/>
          <w:spacing w:val="0"/>
          <w:rtl/>
        </w:rPr>
        <w:t>منذ عام 2013، ظل البنك يساند تنفيذ هذه الإصلاحات من خلال تقديم مساعدات فنية لمساندة تطبيق معايير الجودة الأوروبية للإدارة العامة، وتقديم المشورة بشأن السياسات لصياغة مشروع قانون الخدمة المدنية، وأتمتة تقديم الخدمات الإدارية على مستوى الأقاليم.</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spacing w:val="0"/>
          <w:rtl/>
        </w:rPr>
        <w:t>وسيشتمل الدعم الموجَّه لبرنامج الإصلاح في المستقبل على مساعدات فنية بشأن تحسين مساءلة جهاز الخدمة المدنية وأدائه، بما في ذلك إجراءات تستهدف:</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(أ) تنفيذ إطار إدارة أداء الأفراد بربط الأجر بالأداء؛ و(ب) بناء القدرات لتقييم وتحسين الأداء المؤسسي بدءاً بالهيئات التي تقدم الخدمات الإدارية على المستوى الوطني. ويُنفَّذ هذا المشروع التجريبي بالمشاركة مع وزارة التخطيط والمتابعة والإصلاح الإداري والجهاز المركزي للتنظيم والإدارة.</w:t>
      </w:r>
    </w:p>
    <w:p w:rsidR="00810BAC" w:rsidRPr="00FF3102" w:rsidRDefault="00810BAC" w:rsidP="00A02FCF">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z w:val="24"/>
          <w:szCs w:val="24"/>
          <w:rtl/>
        </w:rPr>
        <w:t xml:space="preserve">الهدف </w:t>
      </w:r>
      <w:r w:rsidR="00A02FCF">
        <w:rPr>
          <w:rFonts w:ascii="Simplified Arabic" w:eastAsiaTheme="minorEastAsia" w:hAnsi="Simplified Arabic" w:cs="Simplified Arabic" w:hint="cs"/>
          <w:iCs/>
          <w:sz w:val="24"/>
          <w:szCs w:val="24"/>
          <w:rtl/>
        </w:rPr>
        <w:t>4.1</w:t>
      </w:r>
      <w:r w:rsidRPr="00FF3102">
        <w:rPr>
          <w:rFonts w:ascii="Simplified Arabic" w:eastAsiaTheme="minorEastAsia" w:hAnsi="Simplified Arabic" w:cs="Simplified Arabic"/>
          <w:iCs/>
          <w:sz w:val="24"/>
          <w:szCs w:val="24"/>
          <w:rtl/>
        </w:rPr>
        <w:t xml:space="preserve"> تدعيم مشاركة المواطنين في تقديم الخدمات</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الارتباط بهدفي مجموعة البنك الدولي وإستراتيجية المنطقة:</w:t>
      </w:r>
      <w:r w:rsidRPr="00FF3102">
        <w:rPr>
          <w:rFonts w:ascii="Simplified Arabic" w:eastAsiaTheme="minorEastAsia" w:hAnsi="Simplified Arabic" w:cs="Simplified Arabic"/>
          <w:spacing w:val="0"/>
          <w:rtl/>
        </w:rPr>
        <w:t xml:space="preserve"> تدعيم مساءلة الدولة أمام مواطنيها أمر ضروري لتحقيق النمو المستدام والحد من الفقر. وقد ارتبط تحسين نظام الإدارة العامة والحوكمة في الدراسات التجريبية بقوة الأداء الاقتصادي من خلال فاعلية تقديم سلع النفع العامة اللازمة لمؤسسات الأعمال والمواطنين على حد سواء. وفي مصر، هناك الكثير من العقبات أمام تحقيق النمو الذي يوفر فرص عمل وتقديم خدمات عامة ذات جودة، مثل استحواذ النخب السياسية على الصناعات أو تغيُّب المعلمين والأطباء في المدارس والمستوصفات الحكومية، وهو ما يُعزى إلى عجز المواطنين عن </w:t>
      </w:r>
      <w:r w:rsidRPr="00FF3102">
        <w:rPr>
          <w:rFonts w:ascii="Simplified Arabic" w:eastAsiaTheme="minorEastAsia" w:hAnsi="Simplified Arabic" w:cs="Simplified Arabic"/>
          <w:rtl/>
        </w:rPr>
        <w:t>مساءلة</w:t>
      </w:r>
      <w:r w:rsidRPr="00FF3102">
        <w:rPr>
          <w:rFonts w:ascii="Simplified Arabic" w:eastAsiaTheme="minorEastAsia" w:hAnsi="Simplified Arabic" w:cs="Simplified Arabic"/>
          <w:spacing w:val="0"/>
          <w:rtl/>
        </w:rPr>
        <w:t xml:space="preserve"> واضعي السياسات ومقدمي الخدمات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ولن تؤدي الإصلاحات التي تستهدف تعزيز سبل الحصول على المعلومات ومشاركة المواطنين في تقديم الخدمات الاجتماعية إلى تسريع وتيرة تحقيق الرخاء المشترك فحسب، بل ستؤدي أيضا إلى الحد من الشعور بالاغتراب والإحباط من الدولة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ومن ثم تقليل احتمال حدوث اضطرابات أهلية، كما أنها تُعد عنصرا رئيسيا في تحقيق </w:t>
      </w:r>
      <w:r w:rsidRPr="00FF3102">
        <w:rPr>
          <w:rFonts w:ascii="Simplified Arabic" w:eastAsiaTheme="minorEastAsia" w:hAnsi="Simplified Arabic" w:cs="Simplified Arabic"/>
          <w:rtl/>
        </w:rPr>
        <w:t>اثنتين من ركائز</w:t>
      </w:r>
      <w:r w:rsidRPr="00FF3102">
        <w:rPr>
          <w:rFonts w:ascii="Simplified Arabic" w:eastAsiaTheme="minorEastAsia" w:hAnsi="Simplified Arabic" w:cs="Simplified Arabic"/>
          <w:spacing w:val="0"/>
          <w:rtl/>
        </w:rPr>
        <w:t xml:space="preserve"> إستراتيجية منطقة الشرق الأوسط وشمال أفريقيا</w:t>
      </w:r>
      <w:r w:rsidRPr="00FF3102">
        <w:rPr>
          <w:rFonts w:ascii="Simplified Arabic" w:eastAsiaTheme="minorEastAsia" w:hAnsi="Simplified Arabic" w:cs="Simplified Arabic"/>
          <w:rtl/>
        </w:rPr>
        <w:t>، وهما</w:t>
      </w:r>
      <w:r w:rsidRPr="00FF310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rtl/>
        </w:rPr>
        <w:t>التعافي</w:t>
      </w:r>
      <w:r w:rsidRPr="00FF3102">
        <w:rPr>
          <w:rFonts w:ascii="Simplified Arabic" w:eastAsiaTheme="minorEastAsia" w:hAnsi="Simplified Arabic" w:cs="Simplified Arabic"/>
          <w:spacing w:val="0"/>
          <w:rtl/>
        </w:rPr>
        <w:t xml:space="preserve"> الاقتصادي وتجديد العقد الاجتماعي.</w:t>
      </w:r>
      <w:r w:rsidRPr="00FF3102">
        <w:rPr>
          <w:rFonts w:ascii="Simplified Arabic" w:eastAsiaTheme="minorEastAsia" w:hAnsi="Simplified Arabic" w:cs="Simplified Arabic"/>
          <w:spacing w:val="0"/>
        </w:rPr>
        <w:t xml:space="preserve"> </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 xml:space="preserve">الأهداف الإنمائية لمصر: </w:t>
      </w:r>
      <w:r w:rsidRPr="00FF3102">
        <w:rPr>
          <w:rFonts w:ascii="Simplified Arabic" w:eastAsiaTheme="minorEastAsia" w:hAnsi="Simplified Arabic" w:cs="Simplified Arabic"/>
          <w:spacing w:val="0"/>
          <w:rtl/>
        </w:rPr>
        <w:t xml:space="preserve">تركز إستراتيجية الحكومة المصرية للتنمية المستدامة على التنمية الاقتصادية، وتحسين نظام الإدارة العامة والحوكمة، والعدالة الاجتماعية مع التأكيد على الحاجة إلى زيادة الشفافية والمساءلة في القطاع العام. </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حلول مجموعة البنك الدولي- الطريق إلى الأمام. </w:t>
      </w:r>
      <w:r w:rsidRPr="00FF3102">
        <w:rPr>
          <w:rFonts w:ascii="Simplified Arabic" w:eastAsiaTheme="minorEastAsia" w:hAnsi="Simplified Arabic" w:cs="Simplified Arabic"/>
          <w:b/>
          <w:i/>
          <w:spacing w:val="0"/>
          <w:rtl/>
        </w:rPr>
        <w:t>سيستلزم التركيز على تدعيم مساءلة الدولة عن تحسين الخدمات العامة اعتماد مجموعة من النُهج على مستوى المشروعات والقطاعات والمستوى الوطني.</w:t>
      </w:r>
      <w:r w:rsidRPr="00FF3102">
        <w:rPr>
          <w:rFonts w:ascii="Simplified Arabic" w:eastAsiaTheme="minorEastAsia" w:hAnsi="Simplified Arabic" w:cs="Simplified Arabic"/>
          <w:bCs/>
          <w:iCs/>
          <w:spacing w:val="0"/>
          <w:rtl/>
        </w:rPr>
        <w:t xml:space="preserve"> </w:t>
      </w:r>
      <w:r w:rsidRPr="00FF3102">
        <w:rPr>
          <w:rFonts w:ascii="Simplified Arabic" w:eastAsiaTheme="minorEastAsia" w:hAnsi="Simplified Arabic" w:cs="Simplified Arabic"/>
          <w:spacing w:val="0"/>
          <w:rtl/>
        </w:rPr>
        <w:t>وخلال إعداد المشروعات وتنفيذها، سيعمل البنك مع النظراء من البلدان والشركاء</w:t>
      </w:r>
      <w:r w:rsidRPr="00FF3102">
        <w:rPr>
          <w:rFonts w:ascii="Simplified Arabic" w:eastAsiaTheme="minorEastAsia" w:hAnsi="Simplified Arabic" w:cs="Simplified Arabic"/>
          <w:rtl/>
        </w:rPr>
        <w:t xml:space="preserve"> لدراسة كيف يمكن لمشروع ما أن يساعد في النهوض بنظام الإدارة العامة والحوكمة (القدرات المؤسسية والشفافية والمساءلة والمشاركة ومكافحة الفساد)، واحتمال تأثير مخاطر هذا النظام في تحقيق الأهداف الإنمائية للمشروع، وكيفية تخفيف حدتها.</w:t>
      </w:r>
      <w:r w:rsidRPr="00FF3102">
        <w:rPr>
          <w:rFonts w:ascii="Simplified Arabic" w:eastAsiaTheme="minorEastAsia" w:hAnsi="Simplified Arabic" w:cs="Simplified Arabic"/>
          <w:spacing w:val="0"/>
          <w:rtl/>
        </w:rPr>
        <w:t xml:space="preserve"> وعلى المستوى القطاعي، ستراعي مجموعة البنك الدولي اعتبارات تحسين نظام الإدارة العامة والحوكمة بإدماجها في مشاركتها الإستراتيجية. وسيشمل ذلك تحديد القضايا الرئيسية المتعلقة بتحسين هذا النظام والتي تؤثر في القطاعات أو القطاعات الفرعية للاسترشاد بذلك ليس فقط في تصميم المشروعات بل أيضا في حوار السياسات. وحيثما أمكن، ستساند مجموعة البنك الدولي الأنشطة ذات الأولوية الرامية إلى التصدي لهذه التحديات في إطار مساندتها للقطاع. وأخيراً على المستوى الوطني، ستقوم المجموعة على نحو دوري باستعراض التجارب في مجال تعميم تحسين نظام الإدارة العامة والحوكمة، وتعديل مسار عملها المعرفي والتمويلي عند الاقتضاء بوسائل من بينها استعراض الأداء والتعلُّم لإطار الشراكة الإستراتيجية.</w:t>
      </w:r>
    </w:p>
    <w:p w:rsidR="00810BAC" w:rsidRPr="00FF3102" w:rsidRDefault="00810BAC" w:rsidP="001E71BE">
      <w:pPr>
        <w:pStyle w:val="MainParanoChapter"/>
        <w:numPr>
          <w:ilvl w:val="0"/>
          <w:numId w:val="22"/>
        </w:numPr>
        <w:tabs>
          <w:tab w:val="clear" w:pos="1440"/>
          <w:tab w:val="num" w:pos="0"/>
          <w:tab w:val="left" w:pos="540"/>
        </w:tabs>
        <w:bidi/>
        <w:rPr>
          <w:rFonts w:ascii="Simplified Arabic" w:eastAsiaTheme="minorEastAsia" w:hAnsi="Simplified Arabic" w:cs="Simplified Arabic"/>
        </w:rPr>
      </w:pPr>
      <w:r w:rsidRPr="00FF3102">
        <w:rPr>
          <w:rFonts w:ascii="Simplified Arabic" w:eastAsiaTheme="minorEastAsia" w:hAnsi="Simplified Arabic" w:cs="Simplified Arabic"/>
          <w:spacing w:val="0"/>
          <w:rtl/>
        </w:rPr>
        <w:t xml:space="preserve">قدمت مؤسسة التمويل الدولية مساعدة فنية لتحسين حوكمة الشركات في القطاع الخاص، وساندت إنشاء معهد المديرين المصري، وساعدت في صياغة قواعد الحوكمة للشركات المقيدة بالبورصة، </w:t>
      </w:r>
      <w:r w:rsidRPr="00FF3102">
        <w:rPr>
          <w:rFonts w:ascii="Simplified Arabic" w:eastAsiaTheme="minorEastAsia" w:hAnsi="Simplified Arabic" w:cs="Simplified Arabic"/>
          <w:rtl/>
        </w:rPr>
        <w:t xml:space="preserve">كما </w:t>
      </w:r>
      <w:r w:rsidRPr="00FF3102">
        <w:rPr>
          <w:rFonts w:ascii="Simplified Arabic" w:eastAsiaTheme="minorEastAsia" w:hAnsi="Simplified Arabic" w:cs="Simplified Arabic"/>
          <w:spacing w:val="0"/>
          <w:rtl/>
        </w:rPr>
        <w:t xml:space="preserve">راجعت قواعد الحوكمة لمؤسسات الأعمال المملوكة للدولة. وستتضمن حلول مجموعة البنك الدولي لتدعيم المساءلة </w:t>
      </w:r>
      <w:r w:rsidRPr="00FF3102">
        <w:rPr>
          <w:rFonts w:ascii="Simplified Arabic" w:eastAsiaTheme="minorEastAsia" w:hAnsi="Simplified Arabic" w:cs="Simplified Arabic"/>
          <w:rtl/>
        </w:rPr>
        <w:t>في المستقبل</w:t>
      </w:r>
      <w:r w:rsidRPr="00FF3102">
        <w:rPr>
          <w:rFonts w:ascii="Simplified Arabic" w:eastAsiaTheme="minorEastAsia" w:hAnsi="Simplified Arabic" w:cs="Simplified Arabic"/>
          <w:spacing w:val="0"/>
          <w:rtl/>
        </w:rPr>
        <w:t xml:space="preserve"> تزويد المواطنين بالمعلومات وتمكينهم من إبداء آرائهم بشأن تقديم الخدمات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واستخدام هذه الآراء لمساءلة مقدِّمي الخدمات. وكمثال على ذلك، لن تؤدي الإجراءات التدخلية التي تستبدل دعم الوقود بالتحويلات النقدية الموجّهة إلى تحسين مستوى العدالة والإنصاف فحسب، بل ستجعل</w:t>
      </w:r>
      <w:r w:rsidRPr="00FF3102">
        <w:rPr>
          <w:rFonts w:ascii="Simplified Arabic" w:eastAsiaTheme="minorEastAsia" w:hAnsi="Simplified Arabic" w:cs="Simplified Arabic"/>
          <w:rtl/>
        </w:rPr>
        <w:t xml:space="preserve"> أيضا</w:t>
      </w:r>
      <w:r w:rsidRPr="00FF3102">
        <w:rPr>
          <w:rFonts w:ascii="Simplified Arabic" w:eastAsiaTheme="minorEastAsia" w:hAnsi="Simplified Arabic" w:cs="Simplified Arabic"/>
          <w:spacing w:val="0"/>
          <w:rtl/>
        </w:rPr>
        <w:t xml:space="preserve"> المرافق تستجيب للعملاء. وأخيراً، فإن العمل مع منظمات المجتمع المدني، التي تقدم الخدمات الأساسية على نحو فاعل أو تدافع عن الفقراء ومن لا صوت لهم، وتدعيمها سيكون خطوة في الاتجاه الصحيح. انظر الإطار "3" للاطلاع على أمثلة من المساندة المقترحة لإطار الشراكة الإستراتيجية.</w:t>
      </w:r>
      <w:r w:rsidRPr="00FF3102">
        <w:rPr>
          <w:rFonts w:ascii="Simplified Arabic" w:eastAsiaTheme="minorEastAsia" w:hAnsi="Simplified Arabic" w:cs="Simplified Arabic"/>
          <w:spacing w:val="0"/>
        </w:rPr>
        <w:t xml:space="preserve"> </w:t>
      </w:r>
    </w:p>
    <w:tbl>
      <w:tblPr>
        <w:tblStyle w:val="TableGrid"/>
        <w:bidiVisual/>
        <w:tblW w:w="0" w:type="auto"/>
        <w:jc w:val="center"/>
        <w:tblLayout w:type="fixed"/>
        <w:tblLook w:val="04A0" w:firstRow="1" w:lastRow="0" w:firstColumn="1" w:lastColumn="0" w:noHBand="0" w:noVBand="1"/>
      </w:tblPr>
      <w:tblGrid>
        <w:gridCol w:w="9350"/>
      </w:tblGrid>
      <w:tr w:rsidR="00810BAC" w:rsidRPr="00FF3102" w:rsidTr="00A02FCF">
        <w:trPr>
          <w:jc w:val="center"/>
        </w:trPr>
        <w:tc>
          <w:tcPr>
            <w:tcW w:w="9350" w:type="dxa"/>
          </w:tcPr>
          <w:p w:rsidR="00810BAC" w:rsidRPr="00FF3102" w:rsidRDefault="00810BAC" w:rsidP="00942866">
            <w:pPr>
              <w:pStyle w:val="boxes"/>
              <w:framePr w:wrap="around"/>
              <w:rPr>
                <w:rtl/>
                <w:lang w:bidi="ar-EG"/>
              </w:rPr>
            </w:pPr>
            <w:bookmarkStart w:id="691" w:name="_Toc439185534"/>
            <w:r w:rsidRPr="00FF3102">
              <w:rPr>
                <w:rtl/>
              </w:rPr>
              <w:t>الإطار 3. إدراج مشاركة المواطنين وتجديد العقد الاجتماعي ضمن عمليات مجموعة البنك الدولي</w:t>
            </w:r>
            <w:bookmarkEnd w:id="691"/>
          </w:p>
          <w:p w:rsidR="00810BAC" w:rsidRPr="00FF3102" w:rsidRDefault="00810BAC" w:rsidP="00810BAC">
            <w:pPr>
              <w:bidi/>
              <w:rPr>
                <w:rFonts w:ascii="Simplified Arabic" w:eastAsiaTheme="minorEastAsia" w:hAnsi="Simplified Arabic" w:cs="Simplified Arabic"/>
                <w:rtl/>
                <w:lang w:bidi="ar-EG"/>
              </w:rPr>
            </w:pPr>
            <w:r w:rsidRPr="00FF3102">
              <w:rPr>
                <w:rFonts w:ascii="Simplified Arabic" w:eastAsiaTheme="minorEastAsia" w:hAnsi="Simplified Arabic" w:cs="Simplified Arabic"/>
                <w:rtl/>
              </w:rPr>
              <w:t xml:space="preserve">أمثلة من مساندة مجموعة البنك الدولي المقترحة في ظل إطار الشراكة الإستراتيجية: </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sz w:val="24"/>
                <w:szCs w:val="24"/>
                <w:rtl/>
              </w:rPr>
              <w:t>برنامج خدمات</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الصرف</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الصحي</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المستدامة</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بالمناطق</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الريفية</w:t>
            </w:r>
            <w:r w:rsidRPr="00FF3102">
              <w:rPr>
                <w:rFonts w:ascii="Simplified Arabic" w:eastAsiaTheme="minorEastAsia" w:hAnsi="Simplified Arabic" w:cs="Simplified Arabic"/>
                <w:sz w:val="24"/>
                <w:szCs w:val="24"/>
                <w:rtl/>
              </w:rPr>
              <w:t xml:space="preserve"> يهدف إلى زيادة الشفافية في نظام التحويلات من المالية العامة وتعزيز مساءلة المؤسسات المعنية بخدمات الصرف الصحي في المناطق الريفية. وسيقوم هذا البرنامج بوضع نظام جديد للمنح الرأسمالية المستندة إلى الأداء التي تُقدَّم لشركات المياه والصرف الصحي بناءً على تقييمات الأداء السنوية وباستخدام مؤشرات لتشغيل وصيانة الشبكات وكذلك رضا المستفيدين، وسيكون إشراك النساء عنصرا رئيسيا في عملية مشاركة المواطنين. ويساند ذلك تجديد العقد الاجتماعي بتعزيز الثقة في المؤسسات من خلال ضمان استجابة مقدِّمي الخدمات المحليين لعملائهم.</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sz w:val="24"/>
                <w:szCs w:val="24"/>
                <w:rtl/>
              </w:rPr>
              <w:t xml:space="preserve">مشروع دعم شبكات الأمان الاجتماعي يقدم تحويلات نقدية للأشخاص الأشد ضعفا. </w:t>
            </w:r>
            <w:r w:rsidRPr="00FF3102">
              <w:rPr>
                <w:rFonts w:ascii="Simplified Arabic" w:eastAsiaTheme="minorEastAsia" w:hAnsi="Simplified Arabic" w:cs="Simplified Arabic"/>
                <w:sz w:val="24"/>
                <w:szCs w:val="24"/>
                <w:rtl/>
              </w:rPr>
              <w:t>وسيستخدم المشروع نظاما مباشرا للمتابعة والتقييم يستهدف تعميق مستوى المساءلة بالبرنامج.</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ويتميز المشروع بوجود آلية لمعالجة الشكاوى والمظالم وإجراء مسوحات استقصائية لقياس مستوى رضا المستفيدين وكذلك العمل مع المنظمات غير الحكومية وقادة المجتمعات المحلية لمباشرة أعمال التنفيذ والمتابعة.</w:t>
            </w:r>
          </w:p>
          <w:p w:rsidR="00810BAC" w:rsidRPr="00FF3102" w:rsidRDefault="00810BAC" w:rsidP="00810BAC">
            <w:pPr>
              <w:pStyle w:val="Boxtextbullet"/>
              <w:bidi/>
              <w:ind w:left="36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bCs/>
                <w:sz w:val="24"/>
                <w:szCs w:val="24"/>
                <w:rtl/>
              </w:rPr>
              <w:t>برنامج</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التمويل</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العقاري</w:t>
            </w:r>
            <w:r w:rsidRPr="00FF3102">
              <w:rPr>
                <w:rFonts w:ascii="Simplified Arabic" w:eastAsiaTheme="minorEastAsia" w:hAnsi="Simplified Arabic" w:cs="Simplified Arabic"/>
                <w:b/>
                <w:sz w:val="24"/>
                <w:szCs w:val="24"/>
              </w:rPr>
              <w:t xml:space="preserve"> </w:t>
            </w:r>
            <w:r w:rsidRPr="00FF3102">
              <w:rPr>
                <w:rFonts w:ascii="Simplified Arabic" w:eastAsiaTheme="minorEastAsia" w:hAnsi="Simplified Arabic" w:cs="Simplified Arabic"/>
                <w:bCs/>
                <w:sz w:val="24"/>
                <w:szCs w:val="24"/>
                <w:rtl/>
              </w:rPr>
              <w:t>الشامل</w:t>
            </w:r>
            <w:r w:rsidRPr="00FF3102">
              <w:rPr>
                <w:rFonts w:ascii="Simplified Arabic" w:eastAsiaTheme="minorEastAsia" w:hAnsi="Simplified Arabic" w:cs="Simplified Arabic"/>
                <w:sz w:val="24"/>
                <w:szCs w:val="24"/>
                <w:rtl/>
              </w:rPr>
              <w:t xml:space="preserve"> يهدف إلى </w:t>
            </w:r>
            <w:r w:rsidRPr="00FF3102">
              <w:rPr>
                <w:rFonts w:ascii="Simplified Arabic" w:eastAsiaTheme="minorEastAsia" w:hAnsi="Simplified Arabic" w:cs="Simplified Arabic"/>
                <w:iCs/>
                <w:sz w:val="24"/>
                <w:szCs w:val="24"/>
                <w:rtl/>
              </w:rPr>
              <w:t>تعزيز الشفافية</w:t>
            </w:r>
            <w:r w:rsidRPr="00FF3102">
              <w:rPr>
                <w:rFonts w:ascii="Simplified Arabic" w:eastAsiaTheme="minorEastAsia" w:hAnsi="Simplified Arabic" w:cs="Simplified Arabic"/>
                <w:sz w:val="24"/>
                <w:szCs w:val="24"/>
                <w:rtl/>
              </w:rPr>
              <w:t xml:space="preserve"> من خلال تنظيم حملة للتوعية العامة تستهدف المستفيدين المحتملين وتعميم بيانات قطاع الإسكان ونشر المراجعات المالية للبرنامج، وإلى </w:t>
            </w:r>
            <w:r w:rsidRPr="00FF3102">
              <w:rPr>
                <w:rFonts w:ascii="Simplified Arabic" w:eastAsiaTheme="minorEastAsia" w:hAnsi="Simplified Arabic" w:cs="Simplified Arabic"/>
                <w:iCs/>
                <w:sz w:val="24"/>
                <w:szCs w:val="24"/>
                <w:rtl/>
              </w:rPr>
              <w:t>تعزيز المساءلة</w:t>
            </w:r>
            <w:r w:rsidRPr="00FF3102">
              <w:rPr>
                <w:rFonts w:ascii="Simplified Arabic" w:eastAsiaTheme="minorEastAsia" w:hAnsi="Simplified Arabic" w:cs="Simplified Arabic"/>
                <w:sz w:val="24"/>
                <w:szCs w:val="24"/>
                <w:rtl/>
              </w:rPr>
              <w:t xml:space="preserve"> من خلال آليات لاختيار المستفيدين وتدعيم الضوابط المالية والتعاقدية ووضع آليات لمعالجة الشكاوى والمظالم وإجراء مسوحات استقصائية لقياس رضا العملاء.</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sz w:val="24"/>
                <w:szCs w:val="24"/>
                <w:rtl/>
              </w:rPr>
              <w:t>برنامج التنمية المحلية في صعيد مصر</w:t>
            </w:r>
            <w:r w:rsidRPr="00FF3102">
              <w:rPr>
                <w:rFonts w:ascii="Simplified Arabic" w:eastAsiaTheme="minorEastAsia" w:hAnsi="Simplified Arabic" w:cs="Simplified Arabic"/>
                <w:sz w:val="24"/>
                <w:szCs w:val="24"/>
                <w:rtl/>
              </w:rPr>
              <w:t xml:space="preserve"> سيهدف إلى تحسين سبل الحصول على الخدمات الأساسية وجودتها.</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وسيسعى البرنامج إلى تدعيم المساءلة في وسائل تقديم الخدمات، لاسيما تدعيم دور المحافظات والمراكز وتحسين مشاركة المحليات في تحديد أولويات تقديم الخدمات ومتابعتها.</w:t>
            </w:r>
          </w:p>
        </w:tc>
      </w:tr>
    </w:tbl>
    <w:p w:rsidR="00810BAC" w:rsidRPr="00FF3102" w:rsidRDefault="00810BAC" w:rsidP="00810BAC">
      <w:pPr>
        <w:bidi/>
        <w:rPr>
          <w:rFonts w:ascii="Simplified Arabic" w:hAnsi="Simplified Arabic" w:cs="Simplified Arabic"/>
        </w:rPr>
      </w:pPr>
    </w:p>
    <w:p w:rsidR="00810BAC" w:rsidRPr="00FF3102" w:rsidRDefault="00810BAC" w:rsidP="00A02FCF">
      <w:pPr>
        <w:pStyle w:val="Heading5"/>
        <w:bidi/>
        <w:jc w:val="center"/>
        <w:rPr>
          <w:rFonts w:ascii="Simplified Arabic" w:eastAsiaTheme="minorEastAsia" w:hAnsi="Simplified Arabic" w:cs="Simplified Arabic"/>
          <w:bCs w:val="0"/>
          <w:spacing w:val="-4"/>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A02FCF">
        <w:rPr>
          <w:rFonts w:ascii="Simplified Arabic" w:eastAsiaTheme="minorEastAsia" w:hAnsi="Simplified Arabic" w:cs="Simplified Arabic" w:hint="cs"/>
          <w:iCs/>
          <w:spacing w:val="-4"/>
          <w:sz w:val="24"/>
          <w:szCs w:val="24"/>
          <w:rtl/>
        </w:rPr>
        <w:t>5.1</w:t>
      </w:r>
      <w:r w:rsidRPr="00FF3102">
        <w:rPr>
          <w:rFonts w:ascii="Simplified Arabic" w:eastAsiaTheme="minorEastAsia" w:hAnsi="Simplified Arabic" w:cs="Simplified Arabic"/>
          <w:iCs/>
          <w:spacing w:val="-4"/>
          <w:sz w:val="24"/>
          <w:szCs w:val="24"/>
          <w:rtl/>
        </w:rPr>
        <w:t>. تدعيم حوكمة قطاع الطاقة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يتقاطع تحسين حوكمة القطاع العام مع إدارة الاقتصاد الكلي، وعند هذا التقاطع مجالان للإصلاح بقطاع الطاقة ذوا أولوية في مصر ويجب أن ترتكز إليهما جهود الحد من الفقر وتعزيز الرخاء المشترك، وهما دعم الطاقة وتحسين حوكمة هذا القطاع. ويمكن لمجالي الإصلاح هذين أن يؤديا إلى تحسين وضع المالية العامة لمصر بدرجة هائلة والحد من التشوهات الكبيرة في القطاعات الأخرى، مع تحقيق منافع متعددة: تحسين الحوافز لتعزيز الاستثمارات كثيفة الاستخدام للأيدي العاملة، وزيادة الكفاءة والإنتاجية في القطاع الخاص ومن ثم زيادة فرص العمل، والوصول بجانب الطلب على الطاقة إلى مستويات متسقة مع جانب العرض، وتشجيع تحقيق نمو أكثر استدامة، وزيادة التمويل للبرامج الاجتماعية.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b/>
          <w:i/>
          <w:spacing w:val="-4"/>
        </w:rPr>
        <w:t xml:space="preserve"> </w:t>
      </w:r>
      <w:r w:rsidRPr="00FF3102">
        <w:rPr>
          <w:rFonts w:ascii="Simplified Arabic" w:eastAsiaTheme="minorEastAsia" w:hAnsi="Simplified Arabic" w:cs="Simplified Arabic"/>
          <w:spacing w:val="-4"/>
          <w:rtl/>
        </w:rPr>
        <w:t>أعربت الحكومة المصرية عن التزامها بخفض دعم الطاقة وتدعيم حوكمة قطاع الطاقة. وقد التزمت الحكومة بتنفيذ خطة خمسية لخفض هذا الدعم من 6.6 في المائة من إجمالي الناتج المحلي في عام 2013/2014 إلى 0.5 في المائة من إجمالي الناتج المحلي بحلول عام 2018/2019، حيث لن يغطي الدعم المتبقي سوى استهلاك غاز البترول المسال والكهرباء للأسر الأشد فقرا. ولتحسين حوكمة قطاع الكهرباء، فإن قانون الكهرباء الجديد الذي تمت الموافقة عليه في يوليو 2015 يمهد الطريق لإجراء إصلاحات كبيرة بهذا القطاع.</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ويقضي هذا القانون بفصل الشركة المصرية لنقل الكهرباء بصفتها مشغِّلا لشبكة النقل لتكون مستقلة عن قطاعي التوليد والتوزيع. ومن المتوقع الموافقة على قانون الغاز الجديد مع لوائحه التنفيذية المؤيدة في عام 2016 والذي سيتم بمقتضاه إنشاء جهاز مستقل جديد لتنظيم مرفق الغاز في عام 2016، وفتح السوق أمام الموردين من القطاع الخاص للتوريد للمستهلكين المؤهلين، وإنشاء جهاز تنظيمي جديد، وهو ما يُتوقع أن يؤدي إلى تحسين الشفافية في القطاع بإتاحة الاطلاع عبر الإنترنت على جميع اللوائح وإجراءات الموافقة.</w:t>
      </w:r>
      <w:r w:rsidRPr="00FF3102">
        <w:rPr>
          <w:rFonts w:ascii="Simplified Arabic" w:eastAsiaTheme="minorEastAsia" w:hAnsi="Simplified Arabic" w:cs="Simplified Arabic"/>
          <w:spacing w:val="-4"/>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حلول مجموعة البنك الدولي- الطريق إلى الأمام.</w:t>
      </w:r>
      <w:r w:rsidRPr="00FF3102">
        <w:rPr>
          <w:rFonts w:ascii="Simplified Arabic" w:eastAsiaTheme="minorEastAsia" w:hAnsi="Simplified Arabic" w:cs="Simplified Arabic"/>
          <w:spacing w:val="-4"/>
          <w:lang w:val="en-GB"/>
        </w:rPr>
        <w:t xml:space="preserve"> </w:t>
      </w:r>
      <w:r w:rsidRPr="00FF3102">
        <w:rPr>
          <w:rFonts w:ascii="Simplified Arabic" w:eastAsiaTheme="minorEastAsia" w:hAnsi="Simplified Arabic" w:cs="Simplified Arabic"/>
          <w:spacing w:val="-4"/>
          <w:rtl/>
        </w:rPr>
        <w:t>ظل البنك، من خلال الفرق متعددة القطاعات، يقدم مساعدات فنية محكمة التوقيت لإجراء تحليل موسع للأثر التوزيعي للتغييرات في أسعار الطاقة وما يصاحبها من إصلاحات لشبكات الأمان من خلال مشروع للطاقة/شبكات الأمان الاجتماعي يموله صندوق التحول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لمنطقة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الشرق</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الأوسط</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وشمال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أفريقيا وخطط لمواصلة تقديم المساندة في هذا المجال. وسيواصل البنك أيضا مساندة الحكومة في تنفيذ إستراتيجيتها الخمسية (2015-2020) لقطاع الطاقة مع التركيز على الأمن والاستدامة وتحسين نظام الإدارة العامة والحوكمة من خلال التمويل المقترح لسياسات التنمية على نحو جزئي (الفقرة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lang w:val="en-GB"/>
        </w:rPr>
        <w:t>80).</w:t>
      </w:r>
      <w:r w:rsidRPr="00FF3102">
        <w:rPr>
          <w:rFonts w:ascii="Simplified Arabic" w:eastAsiaTheme="minorEastAsia" w:hAnsi="Simplified Arabic" w:cs="Simplified Arabic"/>
          <w:spacing w:val="-4"/>
          <w:rtl/>
        </w:rPr>
        <w:t xml:space="preserve"> وسيساند هذا التمويل الإجراءات الرامية إلى ضمان إمدادات الطاقة المستدامة من خلال الجمع بين مواصلة خفض دعم الطاقة، وتحسين حوكمة قطاعي الكهرباء والغاز، وفتح قطاع الغاز أمام الاستثمارات الخاصة، وإنشاء جهاز مستقل لتنظيم هذا القطاع، وتمكين القطاع الخاص من الاستثمار في إنتاج أشكال متجددة ونظيفة من الطاقة. ومن ثم، يُتوقع أن يكون لهذا التمويل، من خلال مساندته لإمدادات الطاقة المستدامة، أثر إيجابي على البيئة. </w:t>
      </w:r>
    </w:p>
    <w:p w:rsidR="00810BAC" w:rsidRPr="00FF3102" w:rsidRDefault="00810BAC" w:rsidP="00553C69">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بالإضافة إلى ذلك، سيتم السعي لإجراء مبادرات إقليمية بشأن الطاقة من أجل مواصلة تدعيم التعاون الإقليمي.</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وعلى نحوٍ خاص، ستركز مجموعة البنك الدولي على إقامة أسواق إقليمية و</w:t>
      </w:r>
      <w:r w:rsidR="00553C69">
        <w:rPr>
          <w:rFonts w:ascii="Simplified Arabic" w:eastAsiaTheme="minorEastAsia" w:hAnsi="Simplified Arabic" w:cs="Simplified Arabic" w:hint="cs"/>
          <w:spacing w:val="-4"/>
          <w:rtl/>
        </w:rPr>
        <w:t>شبه</w:t>
      </w:r>
      <w:r w:rsidRPr="00FF3102">
        <w:rPr>
          <w:rFonts w:ascii="Simplified Arabic" w:eastAsiaTheme="minorEastAsia" w:hAnsi="Simplified Arabic" w:cs="Simplified Arabic"/>
          <w:spacing w:val="-4"/>
          <w:rtl/>
        </w:rPr>
        <w:t xml:space="preserve"> إقليمية للكهرباء والغاز.</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وتساند المجموعة إجراء تقييم لإمكانات إنشاء سوق إقليمية للغاز حيث ستكون مصر مركزا رئيسيا لإنتاج الغاز، وكذلك الفرص التي سيتيحها برنامج الغاز الأورومتوسطي. كما تقوم المجموعة بتقييم إمكانات إنشاء سوق إقليمية للكهرباء، وذلك في أعقاب مشروع للربط الكهربائي بين مصر والمملكة العربية السعودية.</w:t>
      </w:r>
    </w:p>
    <w:p w:rsidR="00810BAC" w:rsidRPr="00FF3102" w:rsidRDefault="00810BAC" w:rsidP="00902C4B">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 xml:space="preserve">مجال التركيز </w:t>
      </w:r>
      <w:r w:rsidR="00902C4B" w:rsidRPr="00FF3102">
        <w:rPr>
          <w:rFonts w:ascii="Simplified Arabic" w:eastAsiaTheme="minorEastAsia" w:hAnsi="Simplified Arabic" w:cs="Simplified Arabic"/>
          <w:iCs/>
          <w:spacing w:val="-4"/>
          <w:sz w:val="24"/>
          <w:szCs w:val="24"/>
          <w:rtl/>
        </w:rPr>
        <w:t>2</w:t>
      </w:r>
      <w:r w:rsidRPr="00FF3102">
        <w:rPr>
          <w:rFonts w:ascii="Simplified Arabic" w:eastAsiaTheme="minorEastAsia" w:hAnsi="Simplified Arabic" w:cs="Simplified Arabic"/>
          <w:iCs/>
          <w:spacing w:val="-4"/>
          <w:sz w:val="24"/>
          <w:szCs w:val="24"/>
          <w:rtl/>
        </w:rPr>
        <w:t xml:space="preserve"> لإطار الشراكة الإستراتيجية:</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 xml:space="preserve">تحسين فرص خلق الوظائف بالقطاع الخاص </w:t>
      </w:r>
    </w:p>
    <w:p w:rsidR="00810BAC" w:rsidRPr="00FF3102" w:rsidRDefault="00810BAC" w:rsidP="00AE1045">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AE1045">
        <w:rPr>
          <w:rFonts w:ascii="Simplified Arabic" w:eastAsiaTheme="minorEastAsia" w:hAnsi="Simplified Arabic" w:cs="Simplified Arabic" w:hint="cs"/>
          <w:iCs/>
          <w:spacing w:val="-4"/>
          <w:sz w:val="24"/>
          <w:szCs w:val="24"/>
          <w:rtl/>
        </w:rPr>
        <w:t>1.2</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تحسين البيئة التنظيمية لاستثمارات القطاع الخاص</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يواجه القطاع الخاص في مصر بيئة تنظيمية لأنشطة الأعمال معقدة وغير كفؤة تسببت في إعاقة تنمية أنشطة الأعمال.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وأدى ذلك بدوره إلى الحد من نمو فرص العمل، لاسيما بالنسبة للفقراء ومَن لا ارتباطات لهم، وتقويض فرص تحقيق الرخاء المشترك. ويشكل النمو المستدام الذي يقوده القطاع الخاص جزءا بالغ الأهمية في تجديد العقد الاجتماعي.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bCs/>
          <w:spacing w:val="-4"/>
          <w:rtl/>
        </w:rPr>
        <w:t xml:space="preserve"> في إستراتيجية الحكومة المصرية للتنمية المستدامة 2030،</w:t>
      </w:r>
      <w:r w:rsidRPr="00FF3102">
        <w:rPr>
          <w:rFonts w:ascii="Simplified Arabic" w:eastAsiaTheme="minorEastAsia" w:hAnsi="Simplified Arabic" w:cs="Simplified Arabic"/>
          <w:spacing w:val="-4"/>
          <w:rtl/>
        </w:rPr>
        <w:t xml:space="preserve"> يلعب القطاع الخاص دورا رئيسيا في تعزيز قدرة الاقتصاد على المنافسة ونمو فرص العمل. ويمثل تنويع القطاعات الموجَّهة للتصدير بناءً على مزايا تنافسية ونسبية أحد الأهداف الرئيسية للحكومة، وكذلك زيادة معدل التنمية الصناعية، والتوجه نحو الصناعات القائمة على استخدام التكنولوجيا، وتعزيز صلات المشروعات الصغيرة والمتوسطة بالصناعات الكبيرة. </w:t>
      </w:r>
    </w:p>
    <w:p w:rsidR="00810BAC" w:rsidRPr="00FF3102" w:rsidRDefault="00810BAC" w:rsidP="00133A41">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النتائج المتوقعة للعمليات الحالية. </w:t>
      </w:r>
      <w:r w:rsidRPr="00FF3102">
        <w:rPr>
          <w:rFonts w:ascii="Simplified Arabic" w:eastAsiaTheme="minorEastAsia" w:hAnsi="Simplified Arabic" w:cs="Simplified Arabic"/>
          <w:b/>
          <w:i/>
          <w:spacing w:val="-4"/>
          <w:rtl/>
        </w:rPr>
        <w:t>ركزت حافظة مشروعات مجموعة البنك الدولي في هذا المجال على الإصلاحات التنظيمية إلى جانب بعض الإجراءات المبتكرة في قطاعات محددة. ويستفيد مشروع تكافؤ الفرص وتبسيط بيئة الاستثمار (</w:t>
      </w:r>
      <w:r w:rsidRPr="00FF3102">
        <w:rPr>
          <w:rFonts w:ascii="Simplified Arabic" w:eastAsiaTheme="minorEastAsia" w:hAnsi="Simplified Arabic" w:cs="Simplified Arabic"/>
          <w:b/>
          <w:iCs/>
        </w:rPr>
        <w:t>EASE</w:t>
      </w:r>
      <w:r w:rsidRPr="00FF3102">
        <w:rPr>
          <w:rFonts w:ascii="Simplified Arabic" w:eastAsiaTheme="minorEastAsia" w:hAnsi="Simplified Arabic" w:cs="Simplified Arabic"/>
          <w:b/>
          <w:i/>
          <w:noProof/>
          <w:vanish/>
          <w:spacing w:val="-4"/>
        </w:rPr>
        <w:t xml:space="preserve"> </w:t>
      </w:r>
      <w:r w:rsidRPr="00FF3102">
        <w:rPr>
          <w:rFonts w:ascii="Simplified Arabic" w:eastAsiaTheme="minorEastAsia" w:hAnsi="Simplified Arabic" w:cs="Simplified Arabic"/>
          <w:b/>
          <w:i/>
          <w:spacing w:val="-4"/>
          <w:rtl/>
        </w:rPr>
        <w:t>) في مصر الذي تمت الموافقة عليه مؤخرا من العمل الاستشاري السابق المتعلق بإصدار التراخيص والتصاريح.</w:t>
      </w:r>
      <w:r w:rsidRPr="00FF3102">
        <w:rPr>
          <w:rFonts w:ascii="Simplified Arabic" w:eastAsiaTheme="minorEastAsia" w:hAnsi="Simplified Arabic" w:cs="Simplified Arabic"/>
          <w:bCs/>
          <w:iCs/>
          <w:spacing w:val="-4"/>
          <w:rtl/>
        </w:rPr>
        <w:t xml:space="preserve"> </w:t>
      </w:r>
      <w:r w:rsidRPr="00FF3102">
        <w:rPr>
          <w:rFonts w:ascii="Simplified Arabic" w:eastAsiaTheme="minorEastAsia" w:hAnsi="Simplified Arabic" w:cs="Simplified Arabic"/>
          <w:spacing w:val="-4"/>
          <w:rtl/>
        </w:rPr>
        <w:t xml:space="preserve">ويتوقع أن يؤدي ذلك إلى تحسين الإطار التنظيمي للاستثمار، لاسيما في مجال دخول مؤسسات الأعمال وإصدار التراخيص الصناعية وتخصيص الأراضي لأغراض صناعية. وقد بدأت مساندة </w:t>
      </w:r>
      <w:r w:rsidRPr="00FF3102">
        <w:rPr>
          <w:rFonts w:ascii="Simplified Arabic" w:eastAsiaTheme="minorEastAsia" w:hAnsi="Simplified Arabic" w:cs="Simplified Arabic"/>
          <w:rtl/>
        </w:rPr>
        <w:t>جهاز</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حماية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المنافسة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ومنع</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الممارسات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الاحتكارية ببناء القدرات.</w:t>
      </w:r>
      <w:r w:rsidRPr="00FF3102">
        <w:rPr>
          <w:rFonts w:ascii="Simplified Arabic" w:eastAsiaTheme="minorEastAsia" w:hAnsi="Simplified Arabic" w:cs="Simplified Arabic"/>
          <w:spacing w:val="-4"/>
          <w:rtl/>
        </w:rPr>
        <w:t xml:space="preserve"> وتقدم مجموعة البنك الدولي أيضا خدمات استشارية لمراجعة قانون الاستثمار المعدَّل وتقديم توصيات لمواصلة تحسين إطار الاستثمار.</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وتعمل المجموعة أيضا مع وزارة الصناعة والتجارة الخارجية لتشجيع الابتكار وريادة الأعمال في قطاع الطاقة المتجددة وكفاءة استخدام الطاقة، وكذلك مع وزارة الاتصالات وتكنولوجيا المعلومات لإصلاح سياسات الاستثمار بقطاع الاتصالات وتكنولوجيا المعلومات وجذب استثمارات أجنبية وتشجيع الابتكار في هذا القطاع. وعلى صعيد الاستثمار، فبالرغم من ضعف بيئة ممارسة الأعمال منذ قيام الثورة، فإن مؤسسة التمويل الدولية استطاعت زيادة حجم حافظة استثماراتها في قطاعات متنوعة. </w:t>
      </w:r>
    </w:p>
    <w:p w:rsidR="00810BAC" w:rsidRPr="00FF3102" w:rsidRDefault="00810BAC" w:rsidP="00133A41">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92" w:name="OLE_LINK700"/>
      <w:bookmarkStart w:id="693" w:name="OLE_LINK701"/>
      <w:bookmarkStart w:id="694" w:name="OLE_LINK586"/>
      <w:bookmarkStart w:id="695" w:name="OLE_LINK584"/>
      <w:bookmarkStart w:id="696" w:name="OLE_LINK585"/>
      <w:bookmarkStart w:id="697" w:name="OLE_LINK587"/>
      <w:r w:rsidRPr="00FF3102">
        <w:rPr>
          <w:rFonts w:ascii="Simplified Arabic" w:eastAsiaTheme="minorEastAsia" w:hAnsi="Simplified Arabic" w:cs="Simplified Arabic"/>
          <w:bCs/>
          <w:iCs/>
          <w:spacing w:val="-4"/>
          <w:rtl/>
        </w:rPr>
        <w:t>حلول مجموعة البنك الدولي- الطريق إلى الأمام.</w:t>
      </w:r>
      <w:r w:rsidRPr="00FF3102">
        <w:rPr>
          <w:rFonts w:ascii="Simplified Arabic" w:eastAsiaTheme="minorEastAsia" w:hAnsi="Simplified Arabic" w:cs="Simplified Arabic"/>
          <w:spacing w:val="-4"/>
          <w:rtl/>
        </w:rPr>
        <w:t xml:space="preserve"> لا تزال مساندة مجموعة البنك الدولي تركز على: (أ) مساندة الإصلاحات التي تعالج المعوقات الأساسية أمام دخول مؤسسات أعمال جديدة وتعزيز المنافسة والتي ظلت لعقود تصب في صالح أصحاب العلاقات، مثل إجراءات إصدار التراخيص الصناعية المذكورة أعلاه، وإتاحة الحصول على الأراضي، وإصدار التصاريح </w:t>
      </w:r>
      <w:r w:rsidR="00133A41">
        <w:rPr>
          <w:rFonts w:ascii="Simplified Arabic" w:eastAsiaTheme="minorEastAsia" w:hAnsi="Simplified Arabic" w:cs="Simplified Arabic" w:hint="cs"/>
          <w:spacing w:val="-4"/>
          <w:rtl/>
        </w:rPr>
        <w:t>بصورة إنتقائية</w:t>
      </w:r>
      <w:r w:rsidRPr="00FF3102">
        <w:rPr>
          <w:rFonts w:ascii="Simplified Arabic" w:eastAsiaTheme="minorEastAsia" w:hAnsi="Simplified Arabic" w:cs="Simplified Arabic"/>
          <w:spacing w:val="-4"/>
          <w:rtl/>
        </w:rPr>
        <w:t xml:space="preserve">، وموافقات الاستثمار، وتوسيع نطاق إطار المنافسة؛ و(ب) الاستثمارات للتغلب على المعوقات أمام الاستثمارات الخاصة وريادة الأعمال وتشجيع النمو </w:t>
      </w:r>
      <w:r w:rsidR="00133A41">
        <w:rPr>
          <w:rFonts w:ascii="Simplified Arabic" w:eastAsiaTheme="minorEastAsia" w:hAnsi="Simplified Arabic" w:cs="Simplified Arabic" w:hint="cs"/>
          <w:spacing w:val="-4"/>
          <w:rtl/>
        </w:rPr>
        <w:t>علي نطاق واسع</w:t>
      </w:r>
      <w:r w:rsidRPr="00FF3102">
        <w:rPr>
          <w:rFonts w:ascii="Simplified Arabic" w:eastAsiaTheme="minorEastAsia" w:hAnsi="Simplified Arabic" w:cs="Simplified Arabic"/>
          <w:spacing w:val="-4"/>
          <w:rtl/>
        </w:rPr>
        <w:t xml:space="preserve"> لتحفيز تعزيز القدرة التنافسية في صناعات ومناطق محددة (بما فيها المناطق التي لم تأخذ نصيبها من التنمية). وسيتم تنفيذ ذلك من خلال </w:t>
      </w:r>
      <w:r w:rsidR="00133A41">
        <w:rPr>
          <w:rFonts w:ascii="Simplified Arabic" w:eastAsiaTheme="minorEastAsia" w:hAnsi="Simplified Arabic" w:cs="Simplified Arabic" w:hint="cs"/>
          <w:spacing w:val="-4"/>
          <w:rtl/>
        </w:rPr>
        <w:t>ما يعرف ب</w:t>
      </w:r>
      <w:r w:rsidRPr="00FF3102">
        <w:rPr>
          <w:rFonts w:ascii="Simplified Arabic" w:eastAsiaTheme="minorEastAsia" w:hAnsi="Simplified Arabic" w:cs="Simplified Arabic"/>
          <w:spacing w:val="-4"/>
          <w:rtl/>
        </w:rPr>
        <w:t xml:space="preserve">ركيزة </w:t>
      </w:r>
      <w:r w:rsidR="00133A41">
        <w:rPr>
          <w:rFonts w:ascii="Simplified Arabic" w:eastAsiaTheme="minorEastAsia" w:hAnsi="Simplified Arabic" w:cs="Simplified Arabic" w:hint="cs"/>
          <w:spacing w:val="-4"/>
          <w:rtl/>
        </w:rPr>
        <w:t>بي</w:t>
      </w:r>
      <w:r w:rsidRPr="00FF3102">
        <w:rPr>
          <w:rFonts w:ascii="Simplified Arabic" w:eastAsiaTheme="minorEastAsia" w:hAnsi="Simplified Arabic" w:cs="Simplified Arabic"/>
          <w:spacing w:val="-4"/>
          <w:rtl/>
        </w:rPr>
        <w:t>ئة الأعمال</w:t>
      </w:r>
      <w:r w:rsidR="00133A41">
        <w:rPr>
          <w:rFonts w:ascii="Simplified Arabic" w:eastAsiaTheme="minorEastAsia" w:hAnsi="Simplified Arabic" w:cs="Simplified Arabic" w:hint="cs"/>
          <w:spacing w:val="-4"/>
          <w:rtl/>
        </w:rPr>
        <w:t xml:space="preserve"> الواردة في</w:t>
      </w:r>
      <w:bookmarkStart w:id="698" w:name="_GoBack"/>
      <w:bookmarkEnd w:id="698"/>
      <w:r w:rsidRPr="00FF3102">
        <w:rPr>
          <w:rFonts w:ascii="Simplified Arabic" w:eastAsiaTheme="minorEastAsia" w:hAnsi="Simplified Arabic" w:cs="Simplified Arabic"/>
          <w:spacing w:val="-4"/>
          <w:rtl/>
        </w:rPr>
        <w:t xml:space="preserve"> في تمويل سياسات التنمية (الفقرة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80) ومشروع تكافؤ الفرص وتبسيط بيئة الاستثمار في مصر، والبرنامج المقترح للتنمية المحلية في صعيد مصر، والبرنامج المقترح </w:t>
      </w:r>
      <w:r w:rsidRPr="00FF3102">
        <w:rPr>
          <w:rFonts w:ascii="Simplified Arabic" w:eastAsiaTheme="minorEastAsia" w:hAnsi="Simplified Arabic" w:cs="Simplified Arabic"/>
          <w:color w:val="000000"/>
          <w:rtl/>
        </w:rPr>
        <w:t>للتنمية الزراعية المتكاملة</w:t>
      </w:r>
      <w:r w:rsidRPr="00FF3102">
        <w:rPr>
          <w:rFonts w:ascii="Simplified Arabic" w:eastAsiaTheme="minorEastAsia" w:hAnsi="Simplified Arabic" w:cs="Simplified Arabic"/>
          <w:spacing w:val="-4"/>
          <w:rtl/>
        </w:rPr>
        <w:t>.</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ويهدف كل من برنامج التنمية المحلية في صعيد مصر وبرنامج التنمية الزراعية إلى تدعيم بيئة ممارسة الأعمال وتعميق روابط سلاسل القيمة من أجل تشجيع الاستثمارات الخاصة التي تساند التنمية الاقتصادية المحلية وخلق فرص العمل.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وعلاوة على ذلك، ستُقدَّم مساعدة فنية بشأن أجندة الإصلاح هذه إلى الحكومة والمحافظات، بما في ذلك تقديم مساعدة فنية مقترحة إلى جهاز</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حماية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المنافسة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ومنع</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الممارسات</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الاحتكارية ستركز على إنفاذ مكافحة الاحتكار. وسيستمر البنك أيضا في استخدام مساعدات </w:t>
      </w:r>
      <w:r w:rsidRPr="00FF3102">
        <w:rPr>
          <w:rFonts w:ascii="Simplified Arabic" w:eastAsiaTheme="minorEastAsia" w:hAnsi="Simplified Arabic" w:cs="Simplified Arabic"/>
          <w:rtl/>
        </w:rPr>
        <w:t>المرفق</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الاستشاري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spacing w:val="-4"/>
          <w:rtl/>
        </w:rPr>
        <w:t>للهياكل الأساسية المشتركة بين القطاعين العام والخاص (</w:t>
      </w:r>
      <w:r w:rsidRPr="00FF3102">
        <w:rPr>
          <w:rFonts w:ascii="Simplified Arabic" w:eastAsiaTheme="minorEastAsia" w:hAnsi="Simplified Arabic" w:cs="Simplified Arabic"/>
          <w:spacing w:val="-4"/>
        </w:rPr>
        <w:t>PPIAF</w:t>
      </w:r>
      <w:r w:rsidRPr="00FF3102">
        <w:rPr>
          <w:rFonts w:ascii="Simplified Arabic" w:eastAsiaTheme="minorEastAsia" w:hAnsi="Simplified Arabic" w:cs="Simplified Arabic"/>
          <w:spacing w:val="-4"/>
          <w:rtl/>
        </w:rPr>
        <w:t xml:space="preserve">) </w:t>
      </w:r>
      <w:r w:rsidRPr="00FF3102">
        <w:rPr>
          <w:rFonts w:ascii="Simplified Arabic" w:eastAsiaTheme="minorEastAsia" w:hAnsi="Simplified Arabic" w:cs="Simplified Arabic"/>
          <w:rtl/>
        </w:rPr>
        <w:t>في مصر للقيام بالأعمال التحضيرية لتمكين القطاع الخاص من المشاركة في إنشاء البنية التحتية وتقديم الخدمات.</w:t>
      </w:r>
      <w:r w:rsidR="00902C4B" w:rsidRPr="00FF3102">
        <w:rPr>
          <w:rStyle w:val="FootnoteReference"/>
          <w:rFonts w:ascii="Simplified Arabic" w:eastAsiaTheme="minorEastAsia" w:hAnsi="Simplified Arabic" w:cs="Simplified Arabic"/>
          <w:rtl/>
        </w:rPr>
        <w:footnoteReference w:id="24"/>
      </w:r>
      <w:r w:rsidR="003A1252">
        <w:rPr>
          <w:rFonts w:ascii="Simplified Arabic" w:eastAsiaTheme="minorEastAsia" w:hAnsi="Simplified Arabic" w:cs="Simplified Arabic"/>
          <w:rtl/>
        </w:rPr>
        <w:t xml:space="preserve"> </w:t>
      </w:r>
      <w:r w:rsidRPr="00FF3102">
        <w:rPr>
          <w:rFonts w:ascii="Simplified Arabic" w:eastAsiaTheme="minorEastAsia" w:hAnsi="Simplified Arabic" w:cs="Simplified Arabic"/>
          <w:rtl/>
        </w:rPr>
        <w:t>ومع مراعاة التحسينات في مناخ الاستثمار، ستواصل مؤسسة التمويل الدولية الاستثمار في مختلف القطاعات الرئيسية بمصر، لاسيما التي تركز على التوجّه نحو التصدير والمتوفرة في قطاعات عالية القيمة المضافة ولها تأثير كبير على خلق وظائف جديدة والحفاظ على الوظائف القائمة.</w:t>
      </w:r>
      <w:r w:rsidRPr="00FF3102">
        <w:rPr>
          <w:rFonts w:ascii="Simplified Arabic" w:eastAsiaTheme="minorEastAsia" w:hAnsi="Simplified Arabic" w:cs="Simplified Arabic"/>
          <w:spacing w:val="-4"/>
          <w:rtl/>
        </w:rPr>
        <w:t xml:space="preserve"> وستسعى الوكالة الدولية لضمان الاستثمار إلى مساندة الاستثمارات الأجنبية في الخدمات والصناعات التحويلية الموجَّهة نحو التصدير وعالية القيمة المضافة من خلال ضماناتها للتأمين ضد المخاطر السياسية.</w:t>
      </w:r>
      <w:bookmarkEnd w:id="692"/>
      <w:bookmarkEnd w:id="693"/>
    </w:p>
    <w:bookmarkEnd w:id="694"/>
    <w:bookmarkEnd w:id="695"/>
    <w:bookmarkEnd w:id="696"/>
    <w:bookmarkEnd w:id="697"/>
    <w:p w:rsidR="00810BAC" w:rsidRPr="00FF3102" w:rsidRDefault="00810BAC" w:rsidP="00810BAC">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الهدف 2.2:</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 xml:space="preserve">تحسين قدرة التوليد وكفاءة استخدام الطاقة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699" w:name="OLE_LINK629"/>
      <w:bookmarkStart w:id="700" w:name="OLE_LINK630"/>
      <w:bookmarkStart w:id="701" w:name="OLE_LINK631"/>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تُعد مصر من البلدان التي تصل الكهرباء إلى جميع ربوعها، حيث يتصل بشبكة الكهرباء أكثر من 99 في المائة من الأسر. وبالتالي، يؤثر قطاع الكهرباء على نحو مباشر في كل أسرة ومؤسسة أعمال ومدرسة ومستشفى في البلاد. وقد حدد القطاع الخاص عدم توفر إمدادات منتظمة من الطاقة باعتباره أحد المعوقات الرئيسية أمام توسيع أنشطة الأعمال وبالتالي خلق فرص العمل. ومن المتوقع استمرار نمو الطلب النشط على الطاقة في المستقبل المنظور، كما ستتعيَّن زيادة الاستثمارات في جانب العرض بقطاع الكهرباء وإجراءات رفع الكفاءة بدرجة كبيرة من أجل تلبية الطلب والحد من انقطاعات الكهرباء المتكررة.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وستؤدي هذه الإجراءات إلى تعزيز التعافي الاقتصادي وتدعيم القطاع الخاص.</w:t>
      </w:r>
      <w:r w:rsidRPr="00FF3102">
        <w:rPr>
          <w:rFonts w:ascii="Simplified Arabic" w:eastAsiaTheme="minorEastAsia" w:hAnsi="Simplified Arabic" w:cs="Simplified Arabic"/>
          <w:spacing w:val="-4"/>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02" w:name="OLE_LINK632"/>
      <w:bookmarkEnd w:id="699"/>
      <w:bookmarkEnd w:id="700"/>
      <w:bookmarkEnd w:id="701"/>
      <w:r w:rsidRPr="00FF3102">
        <w:rPr>
          <w:rFonts w:ascii="Simplified Arabic" w:eastAsiaTheme="minorEastAsia" w:hAnsi="Simplified Arabic" w:cs="Simplified Arabic"/>
          <w:bCs/>
          <w:iCs/>
          <w:spacing w:val="-4"/>
          <w:rtl/>
        </w:rPr>
        <w:t xml:space="preserve">الأهداف الإنمائية لمصر. </w:t>
      </w:r>
      <w:r w:rsidRPr="00FF3102">
        <w:rPr>
          <w:rFonts w:ascii="Simplified Arabic" w:eastAsiaTheme="minorEastAsia" w:hAnsi="Simplified Arabic" w:cs="Simplified Arabic"/>
          <w:spacing w:val="-4"/>
          <w:rtl/>
        </w:rPr>
        <w:t>تركز الحكومة المصرية على تحسين المعروض من الطاقة وتعزيز أمن الطاقة من خلال تأمين الحصول على الوقود سواء من مصادر محلية أو مستوردة، وتوجيه نسبة كبيرة من هذا المعروض إلى مصادر متجددة، والتنويع من خلال استيراد الفحم. وقد حددت الحكومة هدفا طموحا بإنتاج ما يصل إلى 20 في المائة من الطاقة من مصادر متجددة (من بينها الطاقة الكهرومائية) بحلول عام 2022. وتركز خطة العمل القومية لكفاءة استخدام الطاقة على الحد من استهلاك الكهرباء لاسيما من خلال الإنارة الموفرة، وأكواد البناء الإلزامية، والمعايير، وبطاقات كفاءة استخدام الطاقة. وتم وضع إطار السياسات واللوائح التنظيمية لمشاركة القطاع الخاص في قطاع الطاقة مع إصدار قانون الشراكة بين القطاعين العام والخاص في عام 2010 وقانون الاستثمار في الطاقة المتجددة في أواخر عام 2014. وسيؤدي مشروع قانون الطاقة الذي سيُعرض على البرلمان إلى تحرير قطاع الطاقة بأكمله تدريجيا، مما سيسمح بالاستثمار في قطاعي التوزيع والتوريد. ومن شأن ذلك أن يكمِّل الجهود التي تبذلها الحكومة لتعزيز الاستدامة المالية لقطاع الطاقة على المدى الطويل، وهو ما سيكون له أيضا تأثير إيجابي على رصيد المالية العامة لمصر.</w:t>
      </w:r>
      <w:r w:rsidRPr="00FF3102">
        <w:rPr>
          <w:rFonts w:ascii="Simplified Arabic" w:eastAsiaTheme="minorEastAsia" w:hAnsi="Simplified Arabic" w:cs="Simplified Arabic"/>
          <w:spacing w:val="-4"/>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03" w:name="OLE_LINK676"/>
      <w:bookmarkStart w:id="704" w:name="OLE_LINK677"/>
      <w:bookmarkStart w:id="705" w:name="OLE_LINK678"/>
      <w:bookmarkStart w:id="706" w:name="OLE_LINK679"/>
      <w:bookmarkStart w:id="707" w:name="OLE_LINK688"/>
      <w:bookmarkStart w:id="708" w:name="OLE_LINK689"/>
      <w:bookmarkStart w:id="709" w:name="OLE_LINK690"/>
      <w:bookmarkStart w:id="710" w:name="OLE_LINK691"/>
      <w:bookmarkStart w:id="711" w:name="OLE_LINK694"/>
      <w:bookmarkStart w:id="712" w:name="OLE_LINK695"/>
      <w:bookmarkStart w:id="713" w:name="OLE_LINK696"/>
      <w:bookmarkStart w:id="714" w:name="OLE_LINK697"/>
      <w:bookmarkStart w:id="715" w:name="OLE_LINK647"/>
      <w:bookmarkStart w:id="716" w:name="OLE_LINK648"/>
      <w:bookmarkStart w:id="717" w:name="OLE_LINK649"/>
      <w:bookmarkStart w:id="718" w:name="OLE_LINK650"/>
      <w:bookmarkEnd w:id="702"/>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 والمقترحة</w:t>
      </w:r>
      <w:r w:rsidRPr="00FF3102">
        <w:rPr>
          <w:rFonts w:ascii="Simplified Arabic" w:eastAsiaTheme="minorEastAsia" w:hAnsi="Simplified Arabic" w:cs="Simplified Arabic"/>
          <w:spacing w:val="-4"/>
          <w:rtl/>
        </w:rPr>
        <w:t xml:space="preserve"> يموّل البنك أربعة مشروعات لمساندة زيادة إمدادات الكهرباء التقليدية المولَّدة باستخدام الغاز.</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وقد تم تأمين الحصول على قروض موازية كبيرة بقيمة إجمالية تبلغ نحو ملياري دولار.</w:t>
      </w:r>
      <w:r w:rsidR="00902C4B" w:rsidRPr="00FF3102">
        <w:rPr>
          <w:rStyle w:val="FootnoteReference"/>
          <w:rFonts w:ascii="Simplified Arabic" w:eastAsiaTheme="minorEastAsia" w:hAnsi="Simplified Arabic" w:cs="Simplified Arabic"/>
          <w:spacing w:val="-4"/>
          <w:rtl/>
        </w:rPr>
        <w:footnoteReference w:id="25"/>
      </w:r>
      <w:r w:rsidR="003A1252">
        <w:rPr>
          <w:rFonts w:ascii="Simplified Arabic" w:eastAsiaTheme="minorEastAsia" w:hAnsi="Simplified Arabic" w:cs="Simplified Arabic"/>
          <w:spacing w:val="-4"/>
          <w:rtl/>
        </w:rPr>
        <w:t xml:space="preserve"> </w:t>
      </w:r>
      <w:r w:rsidRPr="00FF3102">
        <w:rPr>
          <w:rFonts w:ascii="Simplified Arabic" w:eastAsiaTheme="minorEastAsia" w:hAnsi="Simplified Arabic" w:cs="Simplified Arabic"/>
          <w:spacing w:val="-4"/>
          <w:rtl/>
        </w:rPr>
        <w:t>وفي الوقت ذاته، تعمل مؤسسة التمويل الدولية والوكالة الدولية لضمان الاستثمار على إشراك مستثمرين محتملين من القطاع الخاص لتنفيذ أنشطة من بينها عملية جارية للشراكة بين القطاعين العام والخاص لإنشاء محطة لتوليد الكهرباء باستخدام الغاز. ويساند مشروع تنمية طاقة الرياح تنويع مصادر الطاقة من خلال مساندة توسيع البنية التحتية لنقل الكهرباء من أجل ربط مزارع الرياح في منطقة خليج السويس بالشبكة القومية، وبتقديم مساعدات فنية لمشروع طاقة الرياح الأول الذي سيقوم القطاع الخاص بتمويله. والهدف من ذلك هو مساندة جهود الحكومة الرامية إلى إنهاء انقطاعات الكهرباء بحلول السنة المالية 2017 وتعزيز الاستدامة المالية للقطاع بحلول السنة المالية 2019 من خلال زيادة مشاركة القطاع الخاص في مجال توليد طاقة جديدة، بما في ذلك توليد 5450 ميجاوات من الطاقة التقليدية وتوليد 5250 ميجاوات من الطاقة المتجددة بواسطة القطاع الخاص، وتحسين انتظام الشبكات لاسيما من خلال إنشاء 1006 كيلومترات من البنية التحتية لنقل الكهرباء بكفاءة.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وكما هو وارد أعلاه (الفقرة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80) يساند تمويل سياسات التنمية أيضا تحسين نظام الإدارة العامة والحوكمة ومواصلة إصلاحات الدعم في قطاع الطاقة بغية زيادة استثمارات القطاع الخاص وتحسين رقابة الأجهزة التنظيمية.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واستنادا إلى الإجراءات المقترحة في تمويل سياسات التنمية، تشير التقديرات إلى أن انبعاثات غازات الدفيئة ستقل بنحو 25 في المائة عام 2019 مقارنةً بسيناريو عدم تنفيذ الإصلاحات المقترحة في ظل هذا التمويل.</w:t>
      </w:r>
    </w:p>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تعمل مؤسسة التمويل الدولية مع مؤسسات أعمال رائدة لإثبات جاذبية الاستثمارات في مجال تعزيز كفاءة استخدام الطاقة من خلال الخدمات الاستشارية والاستثمارات.</w:t>
      </w:r>
      <w:r w:rsidRPr="00FF3102">
        <w:rPr>
          <w:rFonts w:ascii="Simplified Arabic" w:eastAsiaTheme="minorEastAsia" w:hAnsi="Simplified Arabic" w:cs="Simplified Arabic"/>
          <w:spacing w:val="-4"/>
          <w:rtl/>
        </w:rPr>
        <w:t xml:space="preserve"> ومنذ عام 2011، ظلت مؤسسة التمويل الدولية تساند تنمية شركات النفط والغاز الخاصة في مصر من خلال الاستثمار في ستة مشروعات في القطاع الفرعي لاستكشاف وإنتاج النفط والغاز، وكذلك في مشروع لإنشاء مصفاة تكرير. وفي ضوء زيادة المدفوعات المتأخر سدادها من جانب مرافق الكهرباء والغاز في مصر خلال السنوات الأخيرة، فقد طُلب من المؤسسة من جانب الجهات المتعاملة معها تقديم تمويل رأسمالي طويل الأجل للمشروعات الجارية. وساندت الوكالة الدولية لضمان الاستثمار مشروعا في قطاع النفط والغاز من خلال تقديم خدمة إعادة التأمين </w:t>
      </w:r>
      <w:r w:rsidRPr="00FF3102">
        <w:rPr>
          <w:rFonts w:ascii="Simplified Arabic" w:eastAsiaTheme="minorEastAsia" w:hAnsi="Simplified Arabic" w:cs="Simplified Arabic"/>
          <w:rtl/>
        </w:rPr>
        <w:t>لمؤسسة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الاستثمار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الخاص</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الخارجي وأصدرت ضمانا لمشروع لإنشاء مصفاة تكرير في السنة المالية 2015.</w:t>
      </w:r>
      <w:r w:rsidRPr="00FF3102">
        <w:rPr>
          <w:rFonts w:ascii="Simplified Arabic" w:eastAsiaTheme="minorEastAsia" w:hAnsi="Simplified Arabic" w:cs="Simplified Arabic"/>
          <w:spacing w:val="-4"/>
          <w:rtl/>
        </w:rPr>
        <w:t xml:space="preserve"> ومن خلال إجراء تدخلي مشترك، تقوم الوكالة الدولية لضمان الاستثمار ومؤسسة التمويل الدولية بمساندة الاستثمار في منشأة للتكرير تنتج منتجات وقود مكررة وأكثر نظافة وتستهدف تخفيف حدة نقص الوقود، إلى جانب تحسين نوعية الهواء. وبالإضافة إلى ذلك، يخطط المشروع لتنفيذ أنشطة لتحسين البيئة (على سبيل المثال، تطهير التربة) بموقع المجمَّع الصناعي الموجود به المشروع وكذلك بشركة القاهرة لتكرير البترول القريبة والتي يتلقى منها المخلفات الجوية لمعالجتها، ومن ثم تحسين نوعية الهواء في المجتمعات المحلية المجاورة.</w:t>
      </w:r>
    </w:p>
    <w:p w:rsidR="00810BAC" w:rsidRPr="00FF3102" w:rsidRDefault="00810BAC" w:rsidP="00553C69">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19" w:name="OLE_LINK698"/>
      <w:bookmarkStart w:id="720" w:name="OLE_LINK699"/>
      <w:bookmarkStart w:id="721" w:name="OLE_LINK702"/>
      <w:bookmarkStart w:id="722" w:name="OLE_LINK703"/>
      <w:bookmarkStart w:id="723" w:name="OLE_LINK704"/>
      <w:bookmarkStart w:id="724" w:name="OLE_LINK705"/>
      <w:r w:rsidRPr="00FF3102">
        <w:rPr>
          <w:rFonts w:ascii="Simplified Arabic" w:eastAsiaTheme="minorEastAsia" w:hAnsi="Simplified Arabic" w:cs="Simplified Arabic"/>
          <w:bCs/>
          <w:iCs/>
          <w:spacing w:val="-4"/>
          <w:rtl/>
        </w:rPr>
        <w:t>حلول مجموعة البنك الدولي- الطريق</w:t>
      </w:r>
      <w:r w:rsidR="00553C69">
        <w:rPr>
          <w:rFonts w:ascii="Simplified Arabic" w:eastAsiaTheme="minorEastAsia" w:hAnsi="Simplified Arabic" w:cs="Simplified Arabic" w:hint="cs"/>
          <w:bCs/>
          <w:iCs/>
          <w:spacing w:val="-4"/>
          <w:rtl/>
        </w:rPr>
        <w:t xml:space="preserve"> قدما</w:t>
      </w:r>
      <w:r w:rsidRPr="00FF3102">
        <w:rPr>
          <w:rFonts w:ascii="Simplified Arabic" w:eastAsiaTheme="minorEastAsia" w:hAnsi="Simplified Arabic" w:cs="Simplified Arabic"/>
          <w:bCs/>
          <w:iCs/>
          <w:spacing w:val="-4"/>
          <w:rtl/>
        </w:rPr>
        <w:t>.</w:t>
      </w:r>
      <w:r w:rsidRPr="00FF3102">
        <w:rPr>
          <w:rFonts w:ascii="Simplified Arabic" w:eastAsiaTheme="minorEastAsia" w:hAnsi="Simplified Arabic" w:cs="Simplified Arabic"/>
          <w:spacing w:val="-4"/>
          <w:rtl/>
        </w:rPr>
        <w:t xml:space="preserve"> سيضع البنك ومؤسسة التمويل الدولية خطط عمل لتنفيذها على نحو مشترك في قطاع الطاقة. وستعمل مجموعة البنك الدولي مع الحكومة المصرية على تهيئة البيئة المواتية، بما في ذلك وضع سياسات ملائمة للقطاع (التسعير ودور الجهة التنظيمية)، وإصلاح البيئة القانونية والتنظيمية (إطار مشروعات الكهرباء المستقلة)، واستخدام أدوات تعزيز الائتمان المطلوبة لجذب مستثمري القطاع الخاص. وستساند المجموعة تقييم إمكانات وفرص التعاون الإقليمي في إقامة أسواق للغاز والكهرباء (الفقرة 94). وبالتنسيق مع البنك، ستواصل مؤسسة التمويل الدولية تقديم المشورة للهيئات العامة بشأن تنفيذ الشراكات المحتملة بين القطاعين العام والخاص في قطاع توليد الكهرباء. وستقدم مؤسسة التمويل الدولية والوكالة الدولية لضمان الاستثمار المساندة أيضا للمجموعة المقبلة من مشروعات القطاع الخاص لتوليد الطاقة المتجددة والطاقة الحرارية باستخدام الغاز، وذلك في ظل إطار التعريفة المفروضة على إمدادات الطاقة، أو صفقات طُرحت في مناقصات تنافسية، أو مشروعات مستقلة للكهرباء، أو من خلال صفقات متفاوض عليها مع القطاع الخاص من خلال التمويل والمساعدة لتعبئة مصادر تمويلية خارجية. وستواصل مجموعة البنك الدولي مساندة الاستثمار الأجنبي المباشر في القطاع الفرعي للنفط والغاز والتركيز على الشركات من المستوى الثاني (متوسطة الحجم) التي تدخل السوق أو تتوسع فيه. وأخيراً، ستساند المجموعة تمويل الطاقة المستدامة من خلال تقديم القروض وتسهيلات تقاسم المخاطر للمؤسسات المالية. والوكالة الدولية لضمان الاستثمار مستعدة لتقديم ضمانات للتأمين ضد المخاطر السياسية إلى المستثمرين الأجانب في مشروعات الشراكة المحتملة بين القطاعين العام والخاص. وفيما يتعلق بالاستدامة المالية، فإن الهدف هو مساندة التحول نحو استرداد التكلفة المالية لكلٍ من قطاعي الكهرباء والبترول بنهاية الفترة التي يغطيها إطار الشراكة الإستراتيجية، وذلك لمساندة تحقيق هدف الحكومة برفع الدعم.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25" w:name="OLE_LINK692"/>
      <w:bookmarkStart w:id="726" w:name="OLE_LINK693"/>
      <w:bookmarkStart w:id="727" w:name="OLE_LINK706"/>
      <w:bookmarkStart w:id="728" w:name="OLE_LINK707"/>
      <w:bookmarkStart w:id="729" w:name="OLE_LINK708"/>
      <w:bookmarkStart w:id="730" w:name="OLE_LINK709"/>
      <w:bookmarkStart w:id="731" w:name="OLE_LINK710"/>
      <w:bookmarkStart w:id="732" w:name="OLE_LINK711"/>
      <w:bookmarkStart w:id="733" w:name="OLE_LINK712"/>
      <w:bookmarkStart w:id="734" w:name="OLE_LINK713"/>
      <w:bookmarkStart w:id="735" w:name="OLE_LINK714"/>
      <w:bookmarkStart w:id="736" w:name="OLE_LINK715"/>
      <w:bookmarkStart w:id="737" w:name="OLE_LINK716"/>
      <w:bookmarkStart w:id="738" w:name="OLE_LINK717"/>
      <w:bookmarkStart w:id="739" w:name="OLE_LINK718"/>
      <w:bookmarkStart w:id="740" w:name="OLE_LINK719"/>
      <w:bookmarkStart w:id="741" w:name="OLE_LINK720"/>
      <w:bookmarkStart w:id="742" w:name="OLE_LINK721"/>
      <w:bookmarkStart w:id="743" w:name="OLE_LINK722"/>
      <w:bookmarkStart w:id="744" w:name="OLE_LINK723"/>
      <w:bookmarkStart w:id="745" w:name="OLE_LINK728"/>
      <w:bookmarkStart w:id="746" w:name="OLE_LINK729"/>
      <w:bookmarkStart w:id="747" w:name="OLE_LINK724"/>
      <w:bookmarkStart w:id="748" w:name="OLE_LINK725"/>
      <w:bookmarkStart w:id="749" w:name="OLE_LINK726"/>
      <w:bookmarkStart w:id="750" w:name="OLE_LINK727"/>
      <w:bookmarkStart w:id="751" w:name="OLE_LINK732"/>
      <w:bookmarkStart w:id="752" w:name="OLE_LINK733"/>
      <w:bookmarkStart w:id="753" w:name="OLE_LINK730"/>
      <w:bookmarkStart w:id="754" w:name="OLE_LINK731"/>
      <w:bookmarkEnd w:id="719"/>
      <w:bookmarkEnd w:id="720"/>
      <w:bookmarkEnd w:id="721"/>
      <w:bookmarkEnd w:id="722"/>
      <w:bookmarkEnd w:id="723"/>
      <w:bookmarkEnd w:id="724"/>
      <w:r w:rsidRPr="00FF3102">
        <w:rPr>
          <w:rFonts w:ascii="Simplified Arabic" w:eastAsiaTheme="minorEastAsia" w:hAnsi="Simplified Arabic" w:cs="Simplified Arabic"/>
          <w:bCs/>
          <w:iCs/>
          <w:spacing w:val="-4"/>
          <w:rtl/>
        </w:rPr>
        <w:t>سيساند البنك إنشاء صندوق للطاقة النظيفة، وهو عبارة عن آلية تمويل مبتكرة لتقديم المساندة المالية لتوسيع نطاق مشروعات الطاقة المتجددة وكفاءة استخدام الطاقة على أساس تجاري، وكذلك للحد من مخاطر المشروعات.</w:t>
      </w:r>
      <w:r w:rsidRPr="00FF3102">
        <w:rPr>
          <w:rFonts w:ascii="Simplified Arabic" w:eastAsiaTheme="minorEastAsia" w:hAnsi="Simplified Arabic" w:cs="Simplified Arabic"/>
          <w:spacing w:val="-4"/>
          <w:rtl/>
        </w:rPr>
        <w:t xml:space="preserve"> وستموِّل مجموعة البنك الدولي أيضاً مشروعات البنية التحتية لنقل وتوزيع الكهرباء من أجل تحسين موثوقية شبكة الكهرباء. وتنظر الوكالة الدولية لضمان الاستثمار في استخدام ضماناتها للتأمين ضد المخاطر السياسية لمساندة المستثمرين المستوفين لشروط الأهلية في مشروعات الطاقة المتجددة. </w:t>
      </w:r>
      <w:r w:rsidRPr="001A5B65">
        <w:rPr>
          <w:rFonts w:ascii="Simplified Arabic" w:eastAsiaTheme="minorEastAsia" w:hAnsi="Simplified Arabic" w:cs="Simplified Arabic"/>
          <w:b/>
          <w:i/>
          <w:spacing w:val="-4"/>
          <w:rtl/>
        </w:rPr>
        <w:t>وخلال الفترة التي يغطيها إطار الشراكة الإستراتيجية، يعتزم</w:t>
      </w:r>
      <w:r w:rsidRPr="001A5B65">
        <w:rPr>
          <w:rFonts w:ascii="Simplified Arabic" w:eastAsiaTheme="minorEastAsia" w:hAnsi="Simplified Arabic" w:cs="Simplified Arabic"/>
          <w:i/>
          <w:spacing w:val="-4"/>
          <w:rtl/>
        </w:rPr>
        <w:t xml:space="preserve"> البنك أيضا استخدام أدوات تعزيز الائتمان لبرامج البناء والامتلاك والتشغيل لتوليد الكهرباء بطاقة الرياح في منطقة خليج السويس. وستواصل</w:t>
      </w:r>
      <w:r w:rsidRPr="00FF3102">
        <w:rPr>
          <w:rFonts w:ascii="Simplified Arabic" w:eastAsiaTheme="minorEastAsia" w:hAnsi="Simplified Arabic" w:cs="Simplified Arabic"/>
          <w:spacing w:val="-4"/>
          <w:rtl/>
        </w:rPr>
        <w:t xml:space="preserve"> مجموعة البنك الدولي وشركاء التنمية الآخرون (البنك الألماني للتنمية والوكالة الألمانية للتعاون الدولي، والبنك الإسلامي للتنمية، والبنك الأوروبي للاستثمار، والوكالة الأمريكية للتنمية الدولية) العمل مع الحكومة المصرية للقيام بمشروعات تجريبية في مجالات تعزيز كفاءة استخدام الطاقة، والتخطيط للطاقة ومتابعتها، والإدارة المدفوعة بدرجة أكبر باعتبارات المجتمعات المحلية.</w:t>
      </w:r>
      <w:r w:rsidRPr="00FF3102">
        <w:rPr>
          <w:rFonts w:ascii="Simplified Arabic" w:eastAsiaTheme="minorEastAsia" w:hAnsi="Simplified Arabic" w:cs="Simplified Arabic"/>
          <w:bCs/>
          <w:iCs/>
          <w:spacing w:val="-4"/>
          <w:rtl/>
        </w:rPr>
        <w:t xml:space="preserve"> </w:t>
      </w:r>
      <w:r w:rsidRPr="00FF3102">
        <w:rPr>
          <w:rFonts w:ascii="Simplified Arabic" w:eastAsiaTheme="minorEastAsia" w:hAnsi="Simplified Arabic" w:cs="Simplified Arabic"/>
          <w:color w:val="000000"/>
          <w:spacing w:val="-4"/>
          <w:rtl/>
        </w:rPr>
        <w:t xml:space="preserve">وستقدم مجموعة البنك الدولي المساندة لاستثمارات القطاع الخاص في تحسين كفاءة استخدام الطاقة على جانب العرض وتحسين الكفاءة في قطاعي النقل والتوزيع. وستكمل </w:t>
      </w:r>
      <w:r w:rsidRPr="00FF3102">
        <w:rPr>
          <w:rFonts w:ascii="Simplified Arabic" w:eastAsiaTheme="minorEastAsia" w:hAnsi="Simplified Arabic" w:cs="Simplified Arabic"/>
          <w:spacing w:val="-4"/>
          <w:rtl/>
        </w:rPr>
        <w:t>الوكالة الدولية لضمان الاستثمار</w:t>
      </w:r>
      <w:r w:rsidRPr="00FF3102">
        <w:rPr>
          <w:rFonts w:ascii="Simplified Arabic" w:eastAsiaTheme="minorEastAsia" w:hAnsi="Simplified Arabic" w:cs="Simplified Arabic"/>
          <w:color w:val="000000"/>
          <w:spacing w:val="-4"/>
          <w:rtl/>
        </w:rPr>
        <w:t xml:space="preserve"> هذه الجهود بإيلاء اهتمام خاص لبُعد كفاءة استخدام الطاقة في جميع المشروعات التي تطلب الحصول على ضمانات في مصر.</w:t>
      </w:r>
    </w:p>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rsidR="00810BAC" w:rsidRPr="00FF3102" w:rsidRDefault="00810BAC" w:rsidP="00F33F89">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الهدف</w:t>
      </w:r>
      <w:r w:rsidR="00902C4B" w:rsidRPr="00FF3102">
        <w:rPr>
          <w:rFonts w:ascii="Simplified Arabic" w:eastAsiaTheme="minorEastAsia" w:hAnsi="Simplified Arabic" w:cs="Simplified Arabic"/>
          <w:iCs/>
          <w:spacing w:val="-4"/>
          <w:sz w:val="24"/>
          <w:szCs w:val="24"/>
          <w:rtl/>
        </w:rPr>
        <w:t xml:space="preserve"> </w:t>
      </w:r>
      <w:r w:rsidR="00F33F89">
        <w:rPr>
          <w:rFonts w:ascii="Simplified Arabic" w:eastAsiaTheme="minorEastAsia" w:hAnsi="Simplified Arabic" w:cs="Simplified Arabic" w:hint="cs"/>
          <w:iCs/>
          <w:spacing w:val="-4"/>
          <w:sz w:val="24"/>
          <w:szCs w:val="24"/>
          <w:rtl/>
        </w:rPr>
        <w:t>3.2</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تعزيز قدرات وسلامة البنية التحتية الأساسية لقطاع النقل</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55" w:name="OLE_LINK758"/>
      <w:bookmarkStart w:id="756" w:name="OLE_LINK759"/>
      <w:bookmarkStart w:id="757" w:name="OLE_LINK760"/>
      <w:bookmarkStart w:id="758" w:name="OLE_LINK761"/>
      <w:bookmarkStart w:id="759" w:name="OLE_LINK762"/>
      <w:bookmarkStart w:id="760" w:name="OLE_LINK734"/>
      <w:bookmarkStart w:id="761" w:name="OLE_LINK735"/>
      <w:bookmarkStart w:id="762" w:name="OLE_LINK736"/>
      <w:bookmarkStart w:id="763" w:name="OLE_LINK737"/>
      <w:bookmarkStart w:id="764" w:name="OLE_LINK740"/>
      <w:bookmarkStart w:id="765" w:name="OLE_LINK741"/>
      <w:bookmarkStart w:id="766" w:name="OLE_LINK738"/>
      <w:bookmarkStart w:id="767" w:name="OLE_LINK739"/>
      <w:bookmarkStart w:id="768" w:name="OLE_LINK742"/>
      <w:bookmarkStart w:id="769" w:name="OLE_LINK743"/>
      <w:bookmarkStart w:id="770" w:name="OLE_LINK744"/>
      <w:bookmarkStart w:id="771" w:name="OLE_LINK745"/>
      <w:bookmarkStart w:id="772" w:name="OLE_LINK746"/>
      <w:bookmarkStart w:id="773" w:name="OLE_LINK747"/>
      <w:bookmarkStart w:id="774" w:name="OLE_LINK748"/>
      <w:bookmarkStart w:id="775" w:name="OLE_LINK749"/>
      <w:bookmarkStart w:id="776" w:name="OLE_LINK752"/>
      <w:bookmarkStart w:id="777" w:name="OLE_LINK753"/>
      <w:bookmarkStart w:id="778" w:name="OLE_LINK750"/>
      <w:bookmarkStart w:id="779" w:name="OLE_LINK751"/>
      <w:bookmarkStart w:id="780" w:name="OLE_LINK754"/>
      <w:bookmarkStart w:id="781" w:name="OLE_LINK755"/>
      <w:bookmarkStart w:id="782" w:name="OLE_LINK756"/>
      <w:bookmarkStart w:id="783" w:name="OLE_LINK757"/>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يُعد قطاع النقل عنصرا رئيسيا في تحقيق النمو الاقتصادي بمصر واندماجها على المستويين المحلي والعالمي لأنه يدعم تحقيق الرخاء المشترك من خلال التبادل الاقتصادي وتحسين التنمية المكانية. واختناقات البنية التحتية للنقل وضعف عنصر السلامة هما حالياً من المعوقات الرئيسية أمام التجارة والقدرة على الانتقال وخلق فرص العمل وتقديم الخدمات في مختلف أنحاء مصر، مما يؤثر بدرجة كبيرة في مناطق الدلتا والصعيد الأكثر حرمانا. وفي الوقت ذاته، يرتبط قطاع النقل الجوي ارتباطا مباشرا بقطاع السياحة، وهو أحد المصادر الرئيسية لخلق فرص العمل للفقراء.</w:t>
      </w:r>
    </w:p>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spacing w:val="-4"/>
          <w:rtl/>
        </w:rPr>
        <w:t xml:space="preserve"> تهدف الحكومة المصرية إلى تدعيم سلاسل النقل والخدمات اللوجستية من خلال طائفة متنوعة من الإجراءات التي تستهدف تعزيز إمكانية الانتقال وتحفيز النشاط الاقتصادي، والمساعدة في زيادة المعدلات المتدنية لمشاركة النساء المصريات في الأيدي العاملة، وتسهيل تنمية قطاع الزراعة.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84" w:name="OLE_LINK763"/>
      <w:bookmarkStart w:id="785" w:name="OLE_LINK764"/>
      <w:bookmarkStart w:id="786" w:name="OLE_LINK765"/>
      <w:bookmarkStart w:id="787" w:name="OLE_LINK766"/>
      <w:bookmarkStart w:id="788" w:name="OLE_LINK767"/>
      <w:bookmarkStart w:id="789" w:name="OLE_LINK768"/>
      <w:bookmarkStart w:id="790" w:name="OLE_LINK769"/>
      <w:bookmarkStart w:id="791" w:name="OLE_LINK770"/>
      <w:bookmarkStart w:id="792" w:name="OLE_LINK771"/>
      <w:bookmarkStart w:id="793" w:name="OLE_LINK772"/>
      <w:bookmarkStart w:id="794" w:name="OLE_LINK773"/>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w:t>
      </w:r>
      <w:r w:rsidRPr="00FF3102">
        <w:rPr>
          <w:rFonts w:ascii="Simplified Arabic" w:eastAsiaTheme="minorEastAsia" w:hAnsi="Simplified Arabic" w:cs="Simplified Arabic"/>
          <w:spacing w:val="-4"/>
          <w:rtl/>
        </w:rPr>
        <w:t xml:space="preserve"> البنك لديه مشروعات يجري تنفيذها في قطاعي النقل الجوي والنقل بالسكك الحديدية والتي تستهدف زيادة السعة الاستيعابية لمطار القاهرة الدولي وجودة خدماته وتحسين خدمات السكك الحديدية على التوالي.</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ويساعد البنك في التخطيط الإستراتيجي لتدعيم القدرات المؤسسية لقطاع المطارات وتعزيز القدرات التمويلية للمطار، وزيادة السعة الاستيعابية إلى 25 مليون راكب سنوياً ودعم قطاع السياحة في الوقت نفسه.</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وبالنسبة لقطاع السكك الحديدية، يموِّل البنك استثمارات في مجال البنية التحتية من أجل تحسين سلامة وكفاءة وانتظام خدمات السكك الحديدية للفقراء، كما يهتم بقضايا تحسين حوكمة القطاع من خلال إجراء دراسات تساند إعداد نظام لإدارة السلامة لهيئة السكك الحديدية المصرية.</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795" w:name="OLE_LINK798"/>
      <w:bookmarkStart w:id="796" w:name="OLE_LINK799"/>
      <w:bookmarkStart w:id="797" w:name="OLE_LINK774"/>
      <w:bookmarkStart w:id="798" w:name="OLE_LINK775"/>
      <w:bookmarkStart w:id="799" w:name="OLE_LINK776"/>
      <w:bookmarkStart w:id="800" w:name="OLE_LINK777"/>
      <w:bookmarkStart w:id="801" w:name="OLE_LINK778"/>
      <w:bookmarkStart w:id="802" w:name="OLE_LINK779"/>
      <w:bookmarkStart w:id="803" w:name="OLE_LINK780"/>
      <w:bookmarkStart w:id="804" w:name="OLE_LINK781"/>
      <w:bookmarkStart w:id="805" w:name="OLE_LINK782"/>
      <w:bookmarkStart w:id="806" w:name="OLE_LINK783"/>
      <w:bookmarkStart w:id="807" w:name="OLE_LINK784"/>
      <w:bookmarkStart w:id="808" w:name="OLE_LINK785"/>
      <w:bookmarkStart w:id="809" w:name="OLE_LINK786"/>
      <w:bookmarkStart w:id="810" w:name="OLE_LINK789"/>
      <w:bookmarkStart w:id="811" w:name="OLE_LINK790"/>
      <w:bookmarkStart w:id="812" w:name="OLE_LINK787"/>
      <w:bookmarkStart w:id="813" w:name="OLE_LINK788"/>
      <w:bookmarkStart w:id="814" w:name="OLE_LINK791"/>
      <w:bookmarkStart w:id="815" w:name="OLE_LINK792"/>
      <w:bookmarkStart w:id="816" w:name="OLE_LINK793"/>
      <w:bookmarkStart w:id="817" w:name="OLE_LINK794"/>
      <w:bookmarkStart w:id="818" w:name="OLE_LINK795"/>
      <w:bookmarkStart w:id="819" w:name="OLE_LINK796"/>
      <w:bookmarkStart w:id="820" w:name="OLE_LINK797"/>
      <w:bookmarkEnd w:id="784"/>
      <w:bookmarkEnd w:id="785"/>
      <w:bookmarkEnd w:id="786"/>
      <w:bookmarkEnd w:id="787"/>
      <w:bookmarkEnd w:id="788"/>
      <w:bookmarkEnd w:id="789"/>
      <w:bookmarkEnd w:id="790"/>
      <w:bookmarkEnd w:id="791"/>
      <w:bookmarkEnd w:id="792"/>
      <w:bookmarkEnd w:id="793"/>
      <w:bookmarkEnd w:id="794"/>
      <w:r w:rsidRPr="00FF3102">
        <w:rPr>
          <w:rFonts w:ascii="Simplified Arabic" w:eastAsiaTheme="minorEastAsia" w:hAnsi="Simplified Arabic" w:cs="Simplified Arabic"/>
          <w:bCs/>
          <w:iCs/>
          <w:spacing w:val="-4"/>
          <w:rtl/>
        </w:rPr>
        <w:t>حلول مجموعة البنك الدولي- الطريق إلى الأمام.</w:t>
      </w:r>
      <w:r w:rsidRPr="00FF3102">
        <w:rPr>
          <w:rFonts w:ascii="Simplified Arabic" w:eastAsiaTheme="minorEastAsia" w:hAnsi="Simplified Arabic" w:cs="Simplified Arabic"/>
          <w:spacing w:val="-4"/>
          <w:rtl/>
        </w:rPr>
        <w:t xml:space="preserve"> ستسعى مجموعة البنك الدولي إلى توسيع نطاق الإجراءات الرامية إلى جذب القطاع الخاص للاستثمار في البنية التحتية لقطاع النقل.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وسيعمل البنك ومؤسسة التمويل الدولية معاً لتحديد جدوى برامج الشراكة بين القطاعين العام والخاص، مع قيام الوكالة الدولية لضمان الاستثمار بتقديم ضمانات للتأمين ضد المخاطر السياسية للمستثمرين والمقرضين المستوفين لشروط الأهلية من القطاع الخاص. </w:t>
      </w:r>
      <w:r w:rsidRPr="00FF3102">
        <w:rPr>
          <w:rFonts w:ascii="Simplified Arabic" w:eastAsiaTheme="minorEastAsia" w:hAnsi="Simplified Arabic" w:cs="Simplified Arabic"/>
          <w:color w:val="000000"/>
          <w:spacing w:val="-4"/>
          <w:rtl/>
        </w:rPr>
        <w:t>وسيواصل البنك المشاركة في الحوار بشأن السياسات في قطاع النقل.</w:t>
      </w:r>
      <w:r w:rsidRPr="00FF3102">
        <w:rPr>
          <w:rFonts w:ascii="Simplified Arabic" w:eastAsiaTheme="minorEastAsia" w:hAnsi="Simplified Arabic" w:cs="Simplified Arabic"/>
          <w:color w:val="000000"/>
          <w:spacing w:val="-4"/>
        </w:rPr>
        <w:t xml:space="preserve"> </w:t>
      </w:r>
      <w:r w:rsidRPr="00FF3102">
        <w:rPr>
          <w:rFonts w:ascii="Simplified Arabic" w:eastAsiaTheme="minorEastAsia" w:hAnsi="Simplified Arabic" w:cs="Simplified Arabic"/>
          <w:spacing w:val="-4"/>
          <w:rtl/>
        </w:rPr>
        <w:t>وستقوم مؤسسة التمويل الدولية باستكشاف خيارات لمساندة امتيازات القطاع الخاص المقبلة لتشغيل الموانئ من خلال التمويل والمساعدة في تعبئة مصادر تمويل خارجية واستطلاع الفرص في قطاع المطارات. وفي منطقة الصعيد حيث يشكل سوء الاتصال والربط عقبة رئيسية أمام التصدي للفقر وتحسين مستويات دخل الأسر وتمكين القطاع الخاص من الاستثمار، ستقدم مجموعة البنك الدولي المساندة لتحسين قدرات الاتصال والربط، لكلٍ من وسائل النقل وتكنولوجيا المعلومات والاتصالات المتعلقة بذلك، عبر البرنامج المقترح للتنمية المحلية في صعيد مصر.</w:t>
      </w:r>
    </w:p>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rsidR="00810BAC" w:rsidRPr="00FF3102" w:rsidRDefault="00810BAC" w:rsidP="00F33F89">
      <w:pPr>
        <w:pStyle w:val="Heading5"/>
        <w:bidi/>
        <w:jc w:val="center"/>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الهدف</w:t>
      </w:r>
      <w:r w:rsidR="00902C4B" w:rsidRPr="00FF3102">
        <w:rPr>
          <w:rFonts w:ascii="Simplified Arabic" w:eastAsiaTheme="minorEastAsia" w:hAnsi="Simplified Arabic" w:cs="Simplified Arabic"/>
          <w:iCs/>
          <w:spacing w:val="-4"/>
          <w:sz w:val="24"/>
          <w:szCs w:val="24"/>
          <w:rtl/>
        </w:rPr>
        <w:t xml:space="preserve"> </w:t>
      </w:r>
      <w:r w:rsidR="00F33F89">
        <w:rPr>
          <w:rFonts w:ascii="Simplified Arabic" w:eastAsiaTheme="minorEastAsia" w:hAnsi="Simplified Arabic" w:cs="Simplified Arabic" w:hint="cs"/>
          <w:iCs/>
          <w:spacing w:val="-4"/>
          <w:sz w:val="24"/>
          <w:szCs w:val="24"/>
          <w:rtl/>
        </w:rPr>
        <w:t>4.2</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Pr>
        <w:t xml:space="preserve"> </w:t>
      </w:r>
      <w:r w:rsidRPr="00FF3102">
        <w:rPr>
          <w:rFonts w:ascii="Simplified Arabic" w:eastAsiaTheme="minorEastAsia" w:hAnsi="Simplified Arabic" w:cs="Simplified Arabic"/>
          <w:iCs/>
          <w:spacing w:val="-4"/>
          <w:sz w:val="24"/>
          <w:szCs w:val="24"/>
          <w:rtl/>
        </w:rPr>
        <w:t>تعزيز سبل الحصول على خدمات محسَّنة للزراعة والري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b/>
        </w:rPr>
      </w:pPr>
      <w:bookmarkStart w:id="821" w:name="OLE_LINK800"/>
      <w:bookmarkStart w:id="822" w:name="OLE_LINK801"/>
      <w:bookmarkStart w:id="823" w:name="OLE_LINK802"/>
      <w:bookmarkStart w:id="824" w:name="OLE_LINK807"/>
      <w:bookmarkStart w:id="825" w:name="OLE_LINK808"/>
      <w:bookmarkStart w:id="826" w:name="OLE_LINK803"/>
      <w:bookmarkStart w:id="827" w:name="OLE_LINK804"/>
      <w:bookmarkStart w:id="828" w:name="OLE_LINK805"/>
      <w:bookmarkStart w:id="829" w:name="OLE_LINK806"/>
      <w:bookmarkStart w:id="830" w:name="OLE_LINK809"/>
      <w:bookmarkStart w:id="831" w:name="OLE_LINK810"/>
      <w:bookmarkStart w:id="832" w:name="OLE_LINK811"/>
      <w:bookmarkStart w:id="833" w:name="OLE_LINK812"/>
      <w:bookmarkStart w:id="834" w:name="OLE_LINK813"/>
      <w:bookmarkStart w:id="835" w:name="OLE_LINK814"/>
      <w:bookmarkStart w:id="836" w:name="OLE_LINK815"/>
      <w:bookmarkStart w:id="837" w:name="OLE_LINK816"/>
      <w:bookmarkStart w:id="838" w:name="OLE_LINK817"/>
      <w:bookmarkStart w:id="839" w:name="OLE_LINK818"/>
      <w:bookmarkStart w:id="840" w:name="OLE_LINK819"/>
      <w:bookmarkStart w:id="841" w:name="OLE_LINK820"/>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كما هو موضَّح في </w:t>
      </w:r>
      <w:r w:rsidRPr="00FF3102">
        <w:rPr>
          <w:rFonts w:ascii="Simplified Arabic" w:eastAsiaTheme="minorEastAsia" w:hAnsi="Simplified Arabic" w:cs="Simplified Arabic"/>
          <w:rtl/>
        </w:rPr>
        <w:t>الدراسة التشخيصية المنهجية الخاصة بمصر، مازال قطاع الزراعة في مصر يسهم بنسبة كبيرة من فرص العمل ويمثل مصدر الدخل الرئيسي لأفقر 40 في المائة من السكان الذين يعيشون غالباً في المناطق الريفية والصعيد. وبالتالي، فإن إتاحة الحصول على خدمات محسَّنة للزراعة والري ستكون لها أثر مباشر على سبل كسب الرزق لكثير من الأسر الفقيرة في الريف.</w:t>
      </w:r>
      <w:r w:rsidRPr="00FF3102">
        <w:rPr>
          <w:rFonts w:ascii="Simplified Arabic" w:eastAsiaTheme="minorEastAsia" w:hAnsi="Simplified Arabic" w:cs="Simplified Arabic"/>
          <w:spacing w:val="-4"/>
          <w:rtl/>
        </w:rPr>
        <w:t xml:space="preserve"> </w:t>
      </w:r>
      <w:r w:rsidRPr="00FF3102">
        <w:rPr>
          <w:rFonts w:ascii="Simplified Arabic" w:eastAsiaTheme="minorEastAsia" w:hAnsi="Simplified Arabic" w:cs="Simplified Arabic"/>
          <w:b/>
          <w:spacing w:val="-4"/>
          <w:rtl/>
        </w:rPr>
        <w:t>ويُعد انخفاض الإنتاجية الزراعية ونقص الفرص غير الزراعية وانعدام كفاءة استخدام المياه من المعوقات الرئيسية أمام تحسين سبل كسب العيش للمزارعين في المناطق الريفية ومساندة نمو الاقتصاد الريفي بقيادة الصناعات الزراعية.</w:t>
      </w:r>
      <w:r w:rsidRPr="00FF3102">
        <w:rPr>
          <w:rFonts w:ascii="Simplified Arabic" w:eastAsiaTheme="minorEastAsia" w:hAnsi="Simplified Arabic" w:cs="Simplified Arabic"/>
          <w:b/>
          <w:spacing w:val="-4"/>
        </w:rPr>
        <w:t xml:space="preserve"> </w:t>
      </w:r>
      <w:r w:rsidRPr="00FF3102">
        <w:rPr>
          <w:rFonts w:ascii="Simplified Arabic" w:eastAsiaTheme="minorEastAsia" w:hAnsi="Simplified Arabic" w:cs="Simplified Arabic"/>
          <w:b/>
          <w:spacing w:val="-4"/>
          <w:rtl/>
        </w:rPr>
        <w:t>ولمعالجة هذه القضايا على نحو وافٍ، فإنه سيلزم زيادة مشاركة القطاع الخاص والتعاون الإقليمي.</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842" w:name="OLE_LINK821"/>
      <w:bookmarkStart w:id="843" w:name="OLE_LINK822"/>
      <w:bookmarkStart w:id="844" w:name="OLE_LINK823"/>
      <w:bookmarkStart w:id="845" w:name="OLE_LINK824"/>
      <w:bookmarkStart w:id="846" w:name="OLE_LINK825"/>
      <w:bookmarkStart w:id="847" w:name="OLE_LINK826"/>
      <w:bookmarkStart w:id="848" w:name="OLE_LINK827"/>
      <w:bookmarkStart w:id="849" w:name="OLE_LINK82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spacing w:val="-4"/>
          <w:rtl/>
        </w:rPr>
        <w:t xml:space="preserve"> تدرك الحكومة المصرية منذ وقت طويل أهمية القطاع الريفي للحد من الفقر في المناطق الريفية، وتعيد إستراتيجيتها للتنمية المستدامة لعام 2030 التأكيد على التزامها بتقديم المساندة للمزارعين من أجل تحسين الإنتاجية الزراعية والقيمة المضافة في المناطق الزراعية التقليدية (الأراضي القديمة، لاسيما في وادي النيل والدلتا)، وكذلك لتطوير الأراضي الزراعية المستصلحة (الأراضي الجديدة) لزيادة فرص العمل.</w:t>
      </w:r>
      <w:r w:rsidRPr="00FF3102">
        <w:rPr>
          <w:rFonts w:ascii="Simplified Arabic" w:eastAsiaTheme="minorEastAsia" w:hAnsi="Simplified Arabic" w:cs="Simplified Arabic"/>
          <w:spacing w:val="-4"/>
        </w:rPr>
        <w:t xml:space="preserve"> </w:t>
      </w:r>
    </w:p>
    <w:p w:rsidR="00810BAC" w:rsidRPr="00FF3102" w:rsidRDefault="00810BAC" w:rsidP="001E71BE">
      <w:pPr>
        <w:pStyle w:val="MainParanoChapter"/>
        <w:numPr>
          <w:ilvl w:val="0"/>
          <w:numId w:val="22"/>
        </w:numPr>
        <w:tabs>
          <w:tab w:val="clear" w:pos="1440"/>
          <w:tab w:val="num" w:pos="0"/>
          <w:tab w:val="left" w:pos="540"/>
        </w:tabs>
        <w:bidi/>
        <w:ind w:left="0" w:firstLine="0"/>
        <w:rPr>
          <w:rFonts w:ascii="Simplified Arabic" w:eastAsiaTheme="minorEastAsia" w:hAnsi="Simplified Arabic" w:cs="Simplified Arabic"/>
        </w:rPr>
      </w:pPr>
      <w:bookmarkStart w:id="850" w:name="OLE_LINK853"/>
      <w:bookmarkStart w:id="851" w:name="OLE_LINK854"/>
      <w:bookmarkStart w:id="852" w:name="OLE_LINK843"/>
      <w:bookmarkStart w:id="853" w:name="OLE_LINK844"/>
      <w:bookmarkStart w:id="854" w:name="OLE_LINK845"/>
      <w:bookmarkStart w:id="855" w:name="OLE_LINK846"/>
      <w:bookmarkStart w:id="856" w:name="OLE_LINK847"/>
      <w:bookmarkStart w:id="857" w:name="OLE_LINK848"/>
      <w:bookmarkStart w:id="858" w:name="OLE_LINK851"/>
      <w:bookmarkStart w:id="859" w:name="OLE_LINK852"/>
      <w:bookmarkStart w:id="860" w:name="OLE_LINK849"/>
      <w:bookmarkStart w:id="861" w:name="OLE_LINK850"/>
      <w:bookmarkStart w:id="862" w:name="OLE_LINK855"/>
      <w:bookmarkStart w:id="863" w:name="OLE_LINK856"/>
      <w:bookmarkStart w:id="864" w:name="OLE_LINK857"/>
      <w:bookmarkStart w:id="865" w:name="OLE_LINK858"/>
      <w:bookmarkStart w:id="866" w:name="OLE_LINK859"/>
      <w:bookmarkStart w:id="867" w:name="OLE_LINK860"/>
      <w:bookmarkStart w:id="868" w:name="OLE_LINK861"/>
      <w:bookmarkStart w:id="869" w:name="OLE_LINK862"/>
      <w:bookmarkStart w:id="870" w:name="OLE_LINK865"/>
      <w:bookmarkStart w:id="871" w:name="OLE_LINK866"/>
      <w:bookmarkStart w:id="872" w:name="OLE_LINK867"/>
      <w:bookmarkStart w:id="873" w:name="OLE_LINK868"/>
      <w:bookmarkStart w:id="874" w:name="OLE_LINK869"/>
      <w:bookmarkEnd w:id="842"/>
      <w:bookmarkEnd w:id="843"/>
      <w:bookmarkEnd w:id="844"/>
      <w:bookmarkEnd w:id="845"/>
      <w:bookmarkEnd w:id="846"/>
      <w:bookmarkEnd w:id="847"/>
      <w:bookmarkEnd w:id="848"/>
      <w:bookmarkEnd w:id="849"/>
      <w:r w:rsidRPr="00FF3102">
        <w:rPr>
          <w:rFonts w:ascii="Simplified Arabic" w:eastAsiaTheme="minorEastAsia" w:hAnsi="Simplified Arabic" w:cs="Simplified Arabic"/>
          <w:bCs/>
          <w:iCs/>
          <w:spacing w:val="-4"/>
          <w:rtl/>
        </w:rPr>
        <w:t xml:space="preserve">حلول مجموعة البنك الدولي- النتائج المتوقعة من العمليات الحالية. </w:t>
      </w:r>
      <w:r w:rsidRPr="00FF3102">
        <w:rPr>
          <w:rFonts w:ascii="Simplified Arabic" w:eastAsiaTheme="minorEastAsia" w:hAnsi="Simplified Arabic" w:cs="Simplified Arabic"/>
          <w:spacing w:val="-4"/>
          <w:rtl/>
        </w:rPr>
        <w:t>البنك لديه حافظة مشروعات كبيرة تركز على تحسين البنية التحتية للري والصرف على جميع المستويات، وإنشاء جمعيات مستخدمي المياه لتضطلع بمسؤوليات توزيع مياه الري بين الأعضاء. وبحلول السنة المالية 2019، سيكون هناك أكثر من مليون شخص قد استفادوا من تحسين خدمات الري والصرف، وإدارة الأراضي والإنتاج، وتلقي مساندة في مجال التسويق، وسيستفيد أكثر من 140 ألفا من المزارعين أصحاب الحيازات الصغيرة من تحسين خدمات الري للمزارع، كما سيتم تسجيل قرابة 21 ألفا من جمعيات مستخدمي المياه. ومع ذلك، سيتوقف تأثير هذه النتائج واستدامتها على تبني نهج أكثر شمولية يقدم للمزارعين وجمعيات مستخدمي المياه حوافز تشجعهم على استخدام المياه بقدر أكبر من الفاعلية. وتحديداً، فإنه بدون إدخال تحسينات على النظام الحالي لتوزيع المياه والانتفاع بها في الأراضي القديمة، ستضطر الحكومة- من أجل تحقيق أهدافها الرامية إلى التوسع في الأراضي الجديدة على نحو كبير- إلى استخدام المياه الجوفية بتكلفة أعلى بكثير. ومن المتوقع أن تؤدي الإجراءات التدخلية لمجموعة البنك الدولي إلى دفع عجلة الإصلاحات القانونية والتنظيمية لمساندة الخدمات اللوجستية والتوزيعية لقطاع الزراعة والصناعات الزراعية. وسيساعد برنامج تقاسم المخاطر لمؤسسة التمويل الدولية، الذي يساند مستوردي المحاصيل الغذائية، على تعزيز الأمن الغذائي بتمويل استيراد 3 ملايين طن متري من السلع الزراعية. و</w:t>
      </w:r>
      <w:r w:rsidR="00553C69">
        <w:rPr>
          <w:rFonts w:ascii="Simplified Arabic" w:eastAsiaTheme="minorEastAsia" w:hAnsi="Simplified Arabic" w:cs="Simplified Arabic" w:hint="cs"/>
          <w:spacing w:val="-4"/>
          <w:rtl/>
        </w:rPr>
        <w:t xml:space="preserve">قد </w:t>
      </w:r>
      <w:r w:rsidRPr="00FF3102">
        <w:rPr>
          <w:rFonts w:ascii="Simplified Arabic" w:eastAsiaTheme="minorEastAsia" w:hAnsi="Simplified Arabic" w:cs="Simplified Arabic"/>
          <w:spacing w:val="-4"/>
          <w:rtl/>
        </w:rPr>
        <w:t>قامت مؤسسة التمويل الدولية بالاستثمار في قطاع التصنيع الزراعي لمساعدته على التوسع وتنويع أنشطته ومن ثم زيادة قدرة المزارعين على حصاد المحاصيل المحلية.</w:t>
      </w:r>
    </w:p>
    <w:p w:rsidR="00810BAC" w:rsidRPr="00FF3102" w:rsidRDefault="00810BAC" w:rsidP="001E71BE">
      <w:pPr>
        <w:pStyle w:val="MainParanoChapter"/>
        <w:numPr>
          <w:ilvl w:val="0"/>
          <w:numId w:val="22"/>
        </w:numPr>
        <w:tabs>
          <w:tab w:val="clear" w:pos="1440"/>
          <w:tab w:val="num" w:pos="0"/>
          <w:tab w:val="left" w:pos="540"/>
        </w:tabs>
        <w:bidi/>
        <w:spacing w:after="0"/>
        <w:ind w:left="0" w:firstLine="0"/>
        <w:rPr>
          <w:rFonts w:ascii="Simplified Arabic" w:eastAsiaTheme="minorEastAsia" w:hAnsi="Simplified Arabic" w:cs="Simplified Arabic"/>
          <w:spacing w:val="-4"/>
        </w:rPr>
      </w:pPr>
      <w:bookmarkStart w:id="875" w:name="OLE_LINK863"/>
      <w:bookmarkStart w:id="876" w:name="OLE_LINK864"/>
      <w:bookmarkStart w:id="877" w:name="OLE_LINK870"/>
      <w:bookmarkStart w:id="878" w:name="OLE_LINK871"/>
      <w:bookmarkStart w:id="879" w:name="OLE_LINK872"/>
      <w:bookmarkStart w:id="880" w:name="OLE_LINK873"/>
      <w:bookmarkStart w:id="881" w:name="OLE_LINK874"/>
      <w:bookmarkStart w:id="882" w:name="OLE_LINK875"/>
      <w:bookmarkStart w:id="883" w:name="OLE_LINK876"/>
      <w:bookmarkStart w:id="884" w:name="OLE_LINK877"/>
      <w:bookmarkStart w:id="885" w:name="OLE_LINK878"/>
      <w:bookmarkStart w:id="886" w:name="OLE_LINK879"/>
      <w:bookmarkStart w:id="887" w:name="OLE_LINK880"/>
      <w:bookmarkStart w:id="888" w:name="OLE_LINK881"/>
      <w:bookmarkStart w:id="889" w:name="OLE_LINK882"/>
      <w:bookmarkStart w:id="890" w:name="OLE_LINK883"/>
      <w:bookmarkStart w:id="891" w:name="OLE_LINK884"/>
      <w:bookmarkStart w:id="892" w:name="OLE_LINK885"/>
      <w:bookmarkStart w:id="893" w:name="OLE_LINK886"/>
      <w:bookmarkStart w:id="894" w:name="OLE_LINK887"/>
      <w:bookmarkStart w:id="895" w:name="OLE_LINK888"/>
      <w:bookmarkStart w:id="896" w:name="OLE_LINK889"/>
      <w:bookmarkStart w:id="897" w:name="OLE_LINK890"/>
      <w:bookmarkStart w:id="898" w:name="OLE_LINK891"/>
      <w:bookmarkStart w:id="899" w:name="OLE_LINK892"/>
      <w:bookmarkStart w:id="900" w:name="OLE_LINK893"/>
      <w:bookmarkStart w:id="901" w:name="OLE_LINK894"/>
      <w:bookmarkStart w:id="902" w:name="OLE_LINK895"/>
      <w:bookmarkStart w:id="903" w:name="OLE_LINK896"/>
      <w:bookmarkStart w:id="904" w:name="OLE_LINK897"/>
      <w:bookmarkStart w:id="905" w:name="OLE_LINK898"/>
      <w:bookmarkStart w:id="906" w:name="OLE_LINK899"/>
      <w:bookmarkStart w:id="907" w:name="OLE_LINK900"/>
      <w:bookmarkStart w:id="908" w:name="OLE_LINK901"/>
      <w:bookmarkStart w:id="909" w:name="OLE_LINK902"/>
      <w:bookmarkStart w:id="910" w:name="OLE_LINK903"/>
      <w:bookmarkStart w:id="911" w:name="OLE_LINK904"/>
      <w:bookmarkStart w:id="912" w:name="OLE_LINK905"/>
      <w:bookmarkStart w:id="913" w:name="OLE_LINK906"/>
      <w:bookmarkStart w:id="914" w:name="OLE_LINK907"/>
      <w:bookmarkStart w:id="915" w:name="OLE_LINK908"/>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Pr="00FF3102">
        <w:rPr>
          <w:rFonts w:ascii="Simplified Arabic" w:eastAsiaTheme="minorEastAsia" w:hAnsi="Simplified Arabic" w:cs="Simplified Arabic"/>
          <w:bCs/>
          <w:iCs/>
          <w:spacing w:val="-4"/>
          <w:rtl/>
        </w:rPr>
        <w:t>حلول مجموعة البنك الدولي- الطريق إلى الأمام.</w:t>
      </w:r>
      <w:r w:rsidRPr="00FF3102">
        <w:rPr>
          <w:rFonts w:ascii="Simplified Arabic" w:eastAsiaTheme="minorEastAsia" w:hAnsi="Simplified Arabic" w:cs="Simplified Arabic"/>
          <w:spacing w:val="-4"/>
          <w:rtl/>
        </w:rPr>
        <w:t xml:space="preserve"> طلبت الحكومة المصرية الحصول على مساندة لتنفيذ برنامج للتنمية الزراعية المتكاملة يركز على المحافظات الأفقر في الصعيد، والمناطق المحرومة بالقرب من النيل، وممرات النقل.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وتحديداً، يُتوقع أن يركز المشروع على (أ) بناء المؤسسات وتعزيز القدرات؛ (ب) التنمية المستدامة للموارد المائية والأراضي؛ (ج) الصناعات الزراعية الحديثة والبنية التحتية المتعلقة بها؛ (د) أنظمة المعرفة والابتكار.</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وسيواصل البنك أيضا تقديم المساعدة الفنية والمساندة لتنفيذ قانون الترع الفرعية المعد مؤخراً.</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وسيقوم البنك بإجراء تحليلات بشأن السياسات الزراعية للحد من التلوث الزراعي، كما سيراجع آليات تسعير المياه لتحسين توافق استخدام الموارد المائية مع تحقيق أهداف مصر المتعلقة بالنمو وخلق فرص عمل وإنهاء الفقر. ويستعين البنك بخبراء عالميين للاستفادة من آرائهم في تدعيم توزيع وإدارة الأراضي والموارد المائية وتطوير سلاسل التوريد التي تربط صغار المزارعين بالصناعات الزراعية والتي ستتم متابعتها مع تقديم التمويل وتعبئة الموارد من الشركاء العرب وغيرهم. وأخيراً، يسعى البنك إلى تدعيم النهج الإقليمي لمعالجة قضايا المياه من خلال إطلاق مبادرة الأمن المائي لمنطقة الشرق الأوسط وشمال أفريقيا التي ستركز على وضع إستراتيجيات متطورة للتصدي لشح المياه في مختلف المجالات الزراعية والحضرية والبيئية، وذلك بالاستفادة من الجهود المبذولة حالياً في المنطقة. ومؤسسة التمويل الدولية مستعدة لمساندة الاستثمارات الخاصة في البنية التحتية للتخزين وسلسلة التبريد والتوزيع. وتستهدف المؤسسة أيضا الاستثمارات في قطاعات السلع الاستهلاكية سريعة الدوران، لاسيما زيادة الطاقة الإنتاجية وتوسيع سلسلة التوريد. ومن المعلوم أن لهذه القطاعات سلسلة توريد محلية قوية (المراحل السابقة للإنتاج واللاحقة له)، وبالتالي يكون لها تأثير قوي ومضاعف على خلق فرص العمل. والوكالة الدولية لضمان الاستثمار مستعدة لمساندة المستثمرين الأجانب المستوفين لشروط الأهلية في الصناعات الزراعية الذين يسعون للحصول على ضمانات للتأمين ضد المخاطر السياسية.</w:t>
      </w:r>
      <w:r w:rsidRPr="00FF3102">
        <w:rPr>
          <w:rFonts w:ascii="Simplified Arabic" w:eastAsiaTheme="minorEastAsia" w:hAnsi="Simplified Arabic" w:cs="Simplified Arabic"/>
          <w:spacing w:val="-4"/>
        </w:rPr>
        <w:t xml:space="preserve"> </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rsidR="00810BAC" w:rsidRPr="00FF3102" w:rsidRDefault="00810BAC" w:rsidP="00810BAC">
      <w:pPr>
        <w:bidi/>
        <w:rPr>
          <w:rFonts w:ascii="Simplified Arabic" w:hAnsi="Simplified Arabic" w:cs="Simplified Arabic"/>
          <w:rtl/>
        </w:rPr>
      </w:pPr>
    </w:p>
    <w:p w:rsidR="00810BAC" w:rsidRPr="00FF3102" w:rsidRDefault="00810BAC" w:rsidP="00F33F89">
      <w:pPr>
        <w:pStyle w:val="Heading5"/>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F33F89">
        <w:rPr>
          <w:rFonts w:ascii="Simplified Arabic" w:eastAsiaTheme="minorEastAsia" w:hAnsi="Simplified Arabic" w:cs="Simplified Arabic" w:hint="cs"/>
          <w:iCs/>
          <w:spacing w:val="-4"/>
          <w:sz w:val="24"/>
          <w:szCs w:val="24"/>
          <w:rtl/>
        </w:rPr>
        <w:t>5.2</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تحسين سبل حصول المشروعات المتوسطة والصغيرة ومتناهية الصغر على التمويل</w:t>
      </w:r>
    </w:p>
    <w:p w:rsidR="00810BAC" w:rsidRPr="00FF3102" w:rsidRDefault="00810BAC" w:rsidP="00F33F8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إن تعزيز تعميم الخدمات المالية هو إحدى الركائز الأساسية لعمليات مجموعة البنك الدولي في مصر التي تأتي ضمن البلدان المختارة ذات الأولوية لتعميم سبل الحصول على الخدمات المالية بحلول عام 2020. وتلعب المشروعات المتوسطة والصغيرة ومتناهية الصغر دورا رئيسيا ومتزايدا في خلق فرص العمل في مصر، لاسيما للفقراء، لكن ضعف فرص الحصول على التمويل تشكِّل عقبة كبيرة أمام تمكين هذه المشروعات من النمو وتوفير فرص العمل. وتسهم المشروعات المتوسطة والصغيرة ومتناهية الصغر بحوالي 85 في المائة من جميع فرص العمل التي يتم توفيرها خارج قطاع الزراعة، كما تُعد بالغة الأهمية للأسر منخفضة الدخل كي تتمكن من تخفيف أعباء الاستهلاك ومواجهة الصدمات المالية.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ومع ذلك، فإن أكثر من نصف منشآت الأعمال متناهية الصغر وشركات الصناعات التحويلية الصغيرة التي تعمل في الاقتصاد غير الرسمي تفيد بأن ضعف سبل الحصول على التمويل هو من العوامل الرئيسية التي تعوق النمو.</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وتواجه رائدات الأعمال تحديات أكبر مما يواجهه الرجال في الحصول على التمويل، لاسيما فيما يتعلق باستخدام الممتلكات كضمانات. ويندرج ذلك ضمن سياق أكبر من تزايد تمويل البنوك للقطاع العام: انخفض الائتمان المقدَّم للقطاع الخاص كنسبة مئوية من إجمالي الناتج المحلي انخفاضا كبيرا من نحو 50 في المائة عام 2006 إلى 27 في المائة فقط عام 2014.</w:t>
      </w:r>
    </w:p>
    <w:p w:rsidR="00810BAC" w:rsidRPr="00FF3102" w:rsidRDefault="00810BAC" w:rsidP="00F33F8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spacing w:val="-4"/>
          <w:rtl/>
        </w:rPr>
        <w:t xml:space="preserve"> تشتمل بيانات الإستراتيجية الصادرة مؤخراً عن الحكومة المصرية على دعم المشروعات الصغيرة والمتوسطة، بما في ذلك التدريب الفني والمهني، والتركيز على تقديم التمويل في المناطق الريفية. والحكومة لديها برنامج ائتماني طويل الأمد للمشروعات الصغيرة والمتوسطة التي تُنفَّذ من خلال الصندوق الاجتماعي للتنمية. وبالإضافة إلى ذلك، وافق مجلس الوزراء مؤخراً على قانون للتمويل متناهي الصغر يسمح للشركات التجارية بمزاولة نشاط التمويل متناهي الصغر ويسمح للمنظمات غير الحكومية بإنشاء شركات للتمويل متناهي الصغر وامتلاك حصص فيها. وقد يشجِّع ذلك على التوسع في المؤسسات الخاصة العاملة بهذا المجال وتحسين أداء هذه المؤسسات وحوكمتها. وعلاوة على ذلك، يعكف البنك المركزي المصري حاليا على إعداد إستراتيجية لتعميم الخدمات المالية تتضمن تبسيط عمليات الإقراض للمشروعات الصغيرة والمتوسطة وتدعيم برامج الضمانات الائتمانية. </w:t>
      </w:r>
    </w:p>
    <w:p w:rsidR="00810BAC" w:rsidRPr="00FF3102" w:rsidRDefault="00810BAC" w:rsidP="00F33F8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النتائج المتوقعة من العمليات الحالية. </w:t>
      </w:r>
      <w:r w:rsidRPr="00FF3102">
        <w:rPr>
          <w:rFonts w:ascii="Simplified Arabic" w:eastAsiaTheme="minorEastAsia" w:hAnsi="Simplified Arabic" w:cs="Simplified Arabic"/>
          <w:spacing w:val="-4"/>
          <w:rtl/>
        </w:rPr>
        <w:t xml:space="preserve">يموِّل البنك خطي ائتمان نشطين يركزان على </w:t>
      </w:r>
      <w:r w:rsidRPr="00FF3102">
        <w:rPr>
          <w:rFonts w:ascii="Simplified Arabic" w:eastAsiaTheme="minorEastAsia" w:hAnsi="Simplified Arabic" w:cs="Simplified Arabic"/>
          <w:b/>
          <w:spacing w:val="-4"/>
          <w:rtl/>
        </w:rPr>
        <w:t>المشروعات المتوسطة والصغيرة ومتناهية الصغر</w:t>
      </w:r>
      <w:r w:rsidRPr="00FF3102">
        <w:rPr>
          <w:rFonts w:ascii="Simplified Arabic" w:eastAsiaTheme="minorEastAsia" w:hAnsi="Simplified Arabic" w:cs="Simplified Arabic"/>
          <w:spacing w:val="-4"/>
          <w:rtl/>
        </w:rPr>
        <w:t>، لاسيما الشركات التي يرأسها شباب ونساء، وفي المناطق التي تعاني من نقص الخدمات يُتوقَّع تقديم طائفة متنوعة من الخدمات المالية المبتكرة إلى 90 ألفا من المتعاملين مع مؤسسات التمويل متناهي الصغر والصغيرة، من بينها 35 ألف امرأة. ويجري أيضا تقديم مساندة استشارية لتطوير البنية التحتية للقطاع المالي من خلال بناء إطار سليم للمعاملات المضمونة. ويقدم البرنامج الاستشاري لمؤسسة التمويل الدولية المساندة لثلاث مؤسسات مصرية للتمويل متناهي الصغر في مجالات إدارة المخاطر وتطوير المنتجات والتخطيط الإستراتيجي وبناء القدرات، كما يقدم التدريب على الأنشطة المصرفية الخاصة بالمشروعات الصغيرة والمتوسطة إلى المعنيين من موظفي البنوك الخاصة بالاشتراك مع المعهد المصرفي المصري. وقدمت مؤسسة التمويل الدولية المساندة أيضا للمشروعات المتوسطة والصغيرة ومتناهية الصغر في مصر من خلال أداتها للتمويل التجاري وكذلك تمويل السلع الزراعية من خلال صندوق لتقاسم المخاطر في إطار البرنامج العالمي لتمويل المستودعات لدى أحد البنوك الإقليمية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4"/>
          <w:rtl/>
        </w:rPr>
        <w:t xml:space="preserve"> وبشكل عام، تتوقع مجموعة البنك الدولي من شركائها الإستراتيجيين من البنوك ومقدِّمي الخدمات الاستشارية لمؤسسات التمويل متناهي الصغر أن يقوموا بمضاعفة جهود تواصلهم مع المشروعات المتوسطة والصغيرة ومتناهية الصغر بحلول عام 2020.</w:t>
      </w:r>
    </w:p>
    <w:p w:rsidR="00810BAC" w:rsidRPr="00FF3102" w:rsidRDefault="00810BAC" w:rsidP="00F33F89">
      <w:pPr>
        <w:pStyle w:val="MainParanoChapter"/>
        <w:numPr>
          <w:ilvl w:val="0"/>
          <w:numId w:val="22"/>
        </w:numPr>
        <w:tabs>
          <w:tab w:val="clear" w:pos="1440"/>
        </w:tabs>
        <w:bidi/>
        <w:ind w:left="0" w:firstLine="0"/>
        <w:rPr>
          <w:rFonts w:ascii="Simplified Arabic" w:eastAsiaTheme="minorEastAsia" w:hAnsi="Simplified Arabic" w:cs="Simplified Arabic"/>
          <w:rtl/>
        </w:rPr>
      </w:pPr>
      <w:r w:rsidRPr="00FF3102">
        <w:rPr>
          <w:rFonts w:ascii="Simplified Arabic" w:eastAsiaTheme="minorEastAsia" w:hAnsi="Simplified Arabic" w:cs="Simplified Arabic"/>
          <w:bCs/>
          <w:iCs/>
          <w:spacing w:val="-4"/>
          <w:rtl/>
        </w:rPr>
        <w:t>حلول مجموعة البنك الدولي- الطريق إلى الأمام.</w:t>
      </w:r>
      <w:r w:rsidRPr="00FF3102">
        <w:rPr>
          <w:rFonts w:ascii="Simplified Arabic" w:eastAsiaTheme="minorEastAsia" w:hAnsi="Simplified Arabic" w:cs="Simplified Arabic"/>
          <w:spacing w:val="-4"/>
          <w:rtl/>
        </w:rPr>
        <w:t xml:space="preserve"> سيعمل البنك مع الحكومة المصرية على إتاحة الفرص لمواصلة تحسين تعميم الخدمات المالية في مصر، لاسيما في المناطق التي تعاني من نقص الخدمات.</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وستواصل مؤسسة التمويل الدولية تقديم المساندة الاستشارية لتطوير البنية التحتية للقطاع المالي من خلال صياغة قانون المعاملات المضمونة وسنه، وإنشاء سجل للضمانات المنقولة. وستواصل المؤسسة أيضاً تقديم الخدمات الاستشارية للبنوك الخاصة ومؤسسات التمويل متناهي الصغر، ومساندة إتاحة الحصول على التمويل من خلال برنامجها لتمويل التجارة العالمية</w:t>
      </w:r>
      <w:r w:rsidRPr="00FF3102">
        <w:rPr>
          <w:rFonts w:ascii="Simplified Arabic" w:eastAsiaTheme="minorEastAsia" w:hAnsi="Simplified Arabic" w:cs="Simplified Arabic"/>
          <w:rtl/>
        </w:rPr>
        <w:t>، وإعداد أدوات خاصة بالمشروعات الصغيرة والمتوسطة للبنوك والمساعدة في زيادة تواصلها مع هذه المشروعات من خلال تسهيلات تقاسم المخاطر أو القروض طويلة الأجل.</w:t>
      </w:r>
      <w:r w:rsidRPr="00FF3102">
        <w:rPr>
          <w:rFonts w:ascii="Simplified Arabic" w:eastAsiaTheme="minorEastAsia" w:hAnsi="Simplified Arabic" w:cs="Simplified Arabic"/>
          <w:spacing w:val="-4"/>
          <w:rtl/>
        </w:rPr>
        <w:t xml:space="preserve"> وإذا أُتيحت الفرصة، فإن المؤسسة ستشترك مع البنوك الإقليمية/الخليجية من خلال الاستثمارات في أسهم رأس المال للتأسيس لتواجدها وتوسيع نطاق عملياتها في مصر.</w:t>
      </w:r>
      <w:r w:rsidRPr="00FF3102">
        <w:rPr>
          <w:rFonts w:ascii="Simplified Arabic" w:eastAsiaTheme="minorEastAsia" w:hAnsi="Simplified Arabic" w:cs="Simplified Arabic"/>
          <w:spacing w:val="-4"/>
        </w:rPr>
        <w:t xml:space="preserve"> </w:t>
      </w:r>
    </w:p>
    <w:p w:rsidR="00810BAC" w:rsidRPr="00FF3102" w:rsidRDefault="00810BAC" w:rsidP="00CB6969">
      <w:pPr>
        <w:pStyle w:val="MainParanoChapter"/>
        <w:numPr>
          <w:ilvl w:val="0"/>
          <w:numId w:val="0"/>
        </w:numPr>
        <w:tabs>
          <w:tab w:val="clear" w:pos="1440"/>
          <w:tab w:val="left" w:pos="540"/>
        </w:tabs>
        <w:bidi/>
        <w:ind w:left="270"/>
        <w:jc w:val="center"/>
        <w:rPr>
          <w:rFonts w:ascii="Simplified Arabic" w:eastAsiaTheme="minorEastAsia" w:hAnsi="Simplified Arabic" w:cs="Simplified Arabic"/>
          <w:b/>
        </w:rPr>
      </w:pPr>
      <w:r w:rsidRPr="00FF3102">
        <w:rPr>
          <w:rFonts w:ascii="Simplified Arabic" w:eastAsiaTheme="minorEastAsia" w:hAnsi="Simplified Arabic" w:cs="Simplified Arabic"/>
          <w:bCs/>
          <w:spacing w:val="-4"/>
          <w:rtl/>
        </w:rPr>
        <w:t xml:space="preserve">مجال التركيز </w:t>
      </w:r>
      <w:r w:rsidR="00902C4B" w:rsidRPr="00FF3102">
        <w:rPr>
          <w:rFonts w:ascii="Simplified Arabic" w:eastAsiaTheme="minorEastAsia" w:hAnsi="Simplified Arabic" w:cs="Simplified Arabic"/>
          <w:bCs/>
          <w:spacing w:val="-4"/>
          <w:rtl/>
        </w:rPr>
        <w:t>3</w:t>
      </w:r>
      <w:r w:rsidRPr="00FF3102">
        <w:rPr>
          <w:rFonts w:ascii="Simplified Arabic" w:eastAsiaTheme="minorEastAsia" w:hAnsi="Simplified Arabic" w:cs="Simplified Arabic"/>
          <w:bCs/>
          <w:spacing w:val="-4"/>
          <w:rtl/>
        </w:rPr>
        <w:t xml:space="preserve"> لإطار الشراكة الإستراتيجية: الاحتواء الاجتماعي</w:t>
      </w:r>
    </w:p>
    <w:p w:rsidR="00810BAC" w:rsidRPr="00FF3102" w:rsidRDefault="00810BAC" w:rsidP="00CB6969">
      <w:pPr>
        <w:pStyle w:val="Heading5"/>
        <w:bidi/>
        <w:rPr>
          <w:rFonts w:ascii="Simplified Arabic" w:eastAsiaTheme="minorEastAsia" w:hAnsi="Simplified Arabic" w:cs="Simplified Arabic"/>
          <w:bCs w:val="0"/>
          <w:sz w:val="24"/>
          <w:szCs w:val="24"/>
          <w:rtl/>
        </w:rPr>
      </w:pPr>
      <w:r w:rsidRPr="00FF3102">
        <w:rPr>
          <w:rFonts w:ascii="Simplified Arabic" w:eastAsiaTheme="minorEastAsia" w:hAnsi="Simplified Arabic" w:cs="Simplified Arabic"/>
          <w:iCs/>
          <w:spacing w:val="-4"/>
          <w:sz w:val="24"/>
          <w:szCs w:val="24"/>
          <w:rtl/>
        </w:rPr>
        <w:t xml:space="preserve">الهدف </w:t>
      </w:r>
      <w:r w:rsidR="00CB6969">
        <w:rPr>
          <w:rFonts w:ascii="Simplified Arabic" w:eastAsiaTheme="minorEastAsia" w:hAnsi="Simplified Arabic" w:cs="Simplified Arabic" w:hint="cs"/>
          <w:iCs/>
          <w:spacing w:val="-4"/>
          <w:sz w:val="24"/>
          <w:szCs w:val="24"/>
          <w:rtl/>
        </w:rPr>
        <w:t>1.3</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تحسين سبل حصول الفقراء على فرص للدخل قصيرة الأجل وتوسيع نطاق تغطية منظومة شبكات الأمان الاجتماعي</w:t>
      </w:r>
    </w:p>
    <w:p w:rsidR="00810BAC" w:rsidRPr="00FF3102" w:rsidRDefault="00810BAC" w:rsidP="00CB6969">
      <w:pPr>
        <w:pStyle w:val="MainParanoChapter"/>
        <w:numPr>
          <w:ilvl w:val="0"/>
          <w:numId w:val="22"/>
        </w:numPr>
        <w:tabs>
          <w:tab w:val="clear" w:pos="1440"/>
        </w:tabs>
        <w:bidi/>
        <w:ind w:left="0" w:firstLine="0"/>
        <w:rPr>
          <w:rFonts w:ascii="Simplified Arabic" w:eastAsiaTheme="minorEastAsia" w:hAnsi="Simplified Arabic" w:cs="Simplified Arabic"/>
          <w:i/>
        </w:rPr>
      </w:pPr>
      <w:r w:rsidRPr="00FF3102">
        <w:rPr>
          <w:rFonts w:ascii="Simplified Arabic" w:eastAsiaTheme="minorEastAsia" w:hAnsi="Simplified Arabic" w:cs="Simplified Arabic"/>
          <w:bCs/>
          <w:iCs/>
          <w:spacing w:val="-4"/>
          <w:rtl/>
        </w:rPr>
        <w:t xml:space="preserve">الارتباط بهدفي مجموعة البنك الدولي وإستراتيجية المنطقة. </w:t>
      </w:r>
      <w:r w:rsidRPr="00FF3102">
        <w:rPr>
          <w:rFonts w:ascii="Simplified Arabic" w:eastAsiaTheme="minorEastAsia" w:hAnsi="Simplified Arabic" w:cs="Simplified Arabic"/>
          <w:i/>
          <w:color w:val="000000"/>
          <w:spacing w:val="-4"/>
          <w:rtl/>
        </w:rPr>
        <w:t>تشكِّل شبكات الأمان الاجتماعي المعززة الآلية الرئيسية لحماية المواطنين من السقوط في براثن الفقر كما تحسِّن في الوقت ذاته سبل إتاحة طائفة متنوعة من فرص التنمية البشرية للفقراء.</w:t>
      </w:r>
      <w:r w:rsidRPr="00FF3102">
        <w:rPr>
          <w:rFonts w:ascii="Simplified Arabic" w:eastAsiaTheme="minorEastAsia" w:hAnsi="Simplified Arabic" w:cs="Simplified Arabic"/>
          <w:i/>
          <w:color w:val="000000"/>
          <w:spacing w:val="-4"/>
        </w:rPr>
        <w:t xml:space="preserve"> </w:t>
      </w:r>
      <w:r w:rsidRPr="00FF3102">
        <w:rPr>
          <w:rFonts w:ascii="Simplified Arabic" w:eastAsiaTheme="minorEastAsia" w:hAnsi="Simplified Arabic" w:cs="Simplified Arabic"/>
          <w:i/>
          <w:color w:val="000000"/>
          <w:spacing w:val="-4"/>
          <w:rtl/>
        </w:rPr>
        <w:t>ولابد أن تعمل مصر على تحسين حوكمة أنظمة شبكات الأمان الاجتماعي من خلال تحسين استهداف المستفيدين، وتحديد من هم الفقراء على نحو أفضل، وتحسين إجراءات عمل شبكات الأمان الاجتماعي بما في ذلك إجراءات التسجيل وأداء المدفوعات وآليات التظلم والإنصاف.</w:t>
      </w:r>
      <w:r w:rsidRPr="00FF3102">
        <w:rPr>
          <w:rFonts w:ascii="Simplified Arabic" w:eastAsiaTheme="minorEastAsia" w:hAnsi="Simplified Arabic" w:cs="Simplified Arabic"/>
          <w:i/>
          <w:color w:val="000000"/>
          <w:spacing w:val="-4"/>
        </w:rPr>
        <w:t xml:space="preserve"> </w:t>
      </w:r>
    </w:p>
    <w:p w:rsidR="00810BAC" w:rsidRPr="00FF3102" w:rsidRDefault="00810BAC" w:rsidP="00CB696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الأهداف الإنمائية لمصر. </w:t>
      </w:r>
      <w:r w:rsidRPr="00FF3102">
        <w:rPr>
          <w:rFonts w:ascii="Simplified Arabic" w:eastAsiaTheme="minorEastAsia" w:hAnsi="Simplified Arabic" w:cs="Simplified Arabic"/>
          <w:spacing w:val="-4"/>
          <w:rtl/>
        </w:rPr>
        <w:t>في إستراتيجية الحكومة المصرية للتنمية المستدامة لعام 2030، أكدت الحكومة التزامها بتوسيع نطاق برنامج شبكات الأمان الاجتماعي ليغطي 0.5 مليون أسرة إضافية في السنة المالية 2015 وبمواصلة توسيع نطاقه ليغطي مليون أسرة أخرى في السنتين الماليتين 2016-2017، وذلك من خلال برنامج تم إنشاؤه حديثا وموجّه على نحو أفضل، وهو برنامج "تكافل وكرامة" للتحويلات النقدية . وبالإضافة إلى ذلك، استمرت الحكومة في خلق فرص عمل للفقراء من خلال برنامج للتشغيل كثيف الاستخدام للأيدي العاملة وتقوم بإنشاء شركة "أيادي للاستثمار والتنمية" مع شركاء من القطاع الخاص من أجل مساعدة المشروعات الاستثمارية في مختلف المحافظات بهدف خلق فرص عمل. ومع مواصلة الحكومة جهودها الرامية إلى إصلاح برنامج شبكات الأمان الاجتماعي ومنظومة الدعم في المدى المتوسط، فمن الضروري أيضا إقامة برنامج قوي للتحويلات النقدية لتخفيف حدة الآثار المباشرة للفقر وتقديم الحماية الاجتماعية في المدى القصير.</w:t>
      </w:r>
    </w:p>
    <w:p w:rsidR="00810BAC" w:rsidRPr="00FF3102" w:rsidRDefault="00810BAC" w:rsidP="00CB696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النتائج المتوقعة من العمليات الحالية. </w:t>
      </w:r>
      <w:r w:rsidRPr="00FF3102">
        <w:rPr>
          <w:rFonts w:ascii="Simplified Arabic" w:eastAsiaTheme="minorEastAsia" w:hAnsi="Simplified Arabic" w:cs="Simplified Arabic"/>
          <w:spacing w:val="-4"/>
          <w:rtl/>
        </w:rPr>
        <w:t>يعمل البنك الدولي، في إطار الشراكة مع الاتحاد الأوروبي، على تقديم المساندة لبرامج تستهدف تخفيف حدة الآثار المباشرة للفقر من خلال خلق فرص عمل قصيرة الأجل وتوفير البنية التحتية والخدمات المجتمعية في المناطق الفقيرة. ومن المتوقع أن يصل مشروع الاستثمار الطارئ كثيف الاستخدام للأيدي العاملة إلى 240 ألف شخص، من بينهم 40 في المائة على الأقل من النساء، و70 في المائة من الصعيد، و60 في المائة من الشباب. وعلى المدى المتوسط ومن أجل معالجة القضايا المتعلقة بالتوجيه وبرامج شبكات الأمان الاجتماعي، يقدِّم البنك الدولي حاليا المساعدة إلى الحكومة المصرية لإنشاء الإصدار الأول من السجل الوطني الموحد. ومن المتوقع أن يقوم الصندوق الانتقالي المعني بالطاقة-شبكات الأمان الاجتماعي بإنشاء إصدار من السجل الوطني الموحد وإعداد آلية استهداف الفقر وتصميم سمات برنامج التحويلات النقدية الجديد.</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وبالإضافة إلى ذلك، يساند البنك برنامج التحويلات النقدية الجديد للحكومة (تكافل وكرامة) بهدف المساعدة في التحول من الدعم العام إلى التحويلات الموجهة التي يمكنها حماية الفقراء على نحو أفضل ضد الآثار السلبية للسياسات. وسيستفيد من هذا البرنامج 1.5 مليون أسرة فقيرة، وستُصنَّف النتائج حسب نوع الجنس.</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وستُعمَّم المرحلة الأولى من البرنامج، التي ستستفيد منها 500 ألف أسرة ، في أفقر 19 مركزا في مصر.</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وخلال عمر المشروع، سيغطي برنامج "تكافل وكرامة" حوالي عشرة في المائة من السكان و37 في المائة من الفقراء.</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وهناك مسؤوليات مشتركة على الأسر المستفيدة من بينها ضمان انتظام أطفالها في الدراسة، وزيارة العيادات الصحية، والاحتفاظ بسجلات متابعة نمو الأطفال، وحضور جلسات التوعية الغذائية.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وسيقدم المشروع تحويلات نقدية مشروطة وغير مشروطة في إطار برنامج "تكافل وكرامة"، كما سيحسِّن توجيه شبكات الأمان الاجتماعي وكفاءة أنظمة التوصيل التي تُعد بالغة الأهمية لضمان وصول التحويلات إلى الأسر المستحقة.</w:t>
      </w:r>
      <w:r w:rsidRPr="00FF3102">
        <w:rPr>
          <w:rFonts w:ascii="Simplified Arabic" w:eastAsiaTheme="minorEastAsia" w:hAnsi="Simplified Arabic" w:cs="Simplified Arabic"/>
          <w:spacing w:val="-4"/>
        </w:rPr>
        <w:t xml:space="preserve"> </w:t>
      </w:r>
    </w:p>
    <w:p w:rsidR="00810BAC" w:rsidRPr="00FF3102" w:rsidRDefault="00810BAC" w:rsidP="00CB696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الطريق إلى الأمام. </w:t>
      </w:r>
      <w:r w:rsidRPr="00FF3102">
        <w:rPr>
          <w:rFonts w:ascii="Simplified Arabic" w:eastAsiaTheme="minorEastAsia" w:hAnsi="Simplified Arabic" w:cs="Simplified Arabic"/>
          <w:spacing w:val="-4"/>
          <w:rtl/>
        </w:rPr>
        <w:t>يعتزم البنك الدولي مساندة عملية مصممة لمعالجة قضية الاحتواء الاجتماعي باستهداف المناطق الأفقر من البلاد، خاصةً في الصعيد. وسيتم الاسترشاد في تصميم مشروع التنمية المحلية في صعيد مصر بالخدمات التحليلية والاستشارية التي تركز على المساواة بين الجنسين وتبرز تحديات المشاركة في سوق العمل والفرص المتاحة أمام النساء.</w:t>
      </w:r>
      <w:r w:rsidR="00902C4B" w:rsidRPr="00FF3102">
        <w:rPr>
          <w:rStyle w:val="FootnoteReference"/>
          <w:rFonts w:ascii="Simplified Arabic" w:eastAsiaTheme="minorEastAsia" w:hAnsi="Simplified Arabic" w:cs="Simplified Arabic"/>
          <w:spacing w:val="-4"/>
          <w:rtl/>
        </w:rPr>
        <w:footnoteReference w:id="26"/>
      </w:r>
      <w:r w:rsidR="003A1252">
        <w:rPr>
          <w:rFonts w:ascii="Simplified Arabic" w:eastAsiaTheme="minorEastAsia" w:hAnsi="Simplified Arabic" w:cs="Simplified Arabic"/>
          <w:spacing w:val="-4"/>
          <w:rtl/>
        </w:rPr>
        <w:t xml:space="preserve"> </w:t>
      </w:r>
      <w:r w:rsidRPr="00FF3102">
        <w:rPr>
          <w:rFonts w:ascii="Simplified Arabic" w:eastAsiaTheme="minorEastAsia" w:hAnsi="Simplified Arabic" w:cs="Simplified Arabic"/>
          <w:spacing w:val="-4"/>
          <w:rtl/>
        </w:rPr>
        <w:t>وسيعمل فريق متعدد القطاعات تابع للبنك الدولي مع وزارة التنمية المحلية ووزارة التجارة والصناعة وبعض المحافظات المختارة من الصعيد وأصحاب المصلحة الآخرين لوضع برنامج تحولي يستهدف تحسين سبل الحصول على الخدمات الأساسية وتحسين جودتها، وتحديث البنية التحتية الاقتصادية ومرافق الاتصال والربط، وتحسين البيئة التنظيمية والمالية والمؤسسية لتعزيز مستوى تقديم الخدمات وتنمية المشروعات.</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ويستدعي هذا الفريق أفضل الممارسات الدولية بشأن المناطق المتأخرة في البلدان متوسطة الدخل للاستفادة منها في تصميم هذه العملية بالغة الأهمية.</w:t>
      </w:r>
    </w:p>
    <w:p w:rsidR="00810BAC" w:rsidRPr="00FF3102" w:rsidRDefault="00810BAC" w:rsidP="00CB6969">
      <w:pPr>
        <w:pStyle w:val="Heading5"/>
        <w:bidi/>
        <w:ind w:right="-180"/>
        <w:rPr>
          <w:rFonts w:ascii="Simplified Arabic" w:eastAsiaTheme="minorEastAsia" w:hAnsi="Simplified Arabic" w:cs="Simplified Arabic"/>
          <w:b w:val="0"/>
          <w:sz w:val="24"/>
          <w:szCs w:val="24"/>
          <w:rtl/>
          <w:lang w:bidi="ar-EG"/>
        </w:rPr>
      </w:pPr>
      <w:r w:rsidRPr="00FF3102">
        <w:rPr>
          <w:rFonts w:ascii="Simplified Arabic" w:eastAsiaTheme="minorEastAsia" w:hAnsi="Simplified Arabic" w:cs="Simplified Arabic"/>
          <w:b w:val="0"/>
          <w:iCs/>
          <w:spacing w:val="-4"/>
          <w:sz w:val="24"/>
          <w:szCs w:val="24"/>
          <w:rtl/>
        </w:rPr>
        <w:t xml:space="preserve">الهدف </w:t>
      </w:r>
      <w:r w:rsidR="00CB6969">
        <w:rPr>
          <w:rFonts w:ascii="Simplified Arabic" w:eastAsiaTheme="minorEastAsia" w:hAnsi="Simplified Arabic" w:cs="Simplified Arabic" w:hint="cs"/>
          <w:b w:val="0"/>
          <w:iCs/>
          <w:spacing w:val="-4"/>
          <w:sz w:val="24"/>
          <w:szCs w:val="24"/>
          <w:rtl/>
        </w:rPr>
        <w:t>2.3</w:t>
      </w:r>
      <w:r w:rsidRPr="00FF3102">
        <w:rPr>
          <w:rFonts w:ascii="Simplified Arabic" w:eastAsiaTheme="minorEastAsia" w:hAnsi="Simplified Arabic" w:cs="Simplified Arabic"/>
          <w:b w:val="0"/>
          <w:iCs/>
          <w:spacing w:val="-4"/>
          <w:sz w:val="24"/>
          <w:szCs w:val="24"/>
          <w:rtl/>
        </w:rPr>
        <w:t>:</w:t>
      </w:r>
      <w:r w:rsidRPr="00FF3102">
        <w:rPr>
          <w:rFonts w:ascii="Simplified Arabic" w:eastAsiaTheme="minorEastAsia" w:hAnsi="Simplified Arabic" w:cs="Simplified Arabic"/>
          <w:b w:val="0"/>
          <w:spacing w:val="-4"/>
          <w:sz w:val="24"/>
          <w:szCs w:val="24"/>
          <w:rtl/>
        </w:rPr>
        <w:t xml:space="preserve"> </w:t>
      </w:r>
      <w:r w:rsidRPr="00FF3102">
        <w:rPr>
          <w:rFonts w:ascii="Simplified Arabic" w:eastAsiaTheme="minorEastAsia" w:hAnsi="Simplified Arabic" w:cs="Simplified Arabic"/>
          <w:b w:val="0"/>
          <w:iCs/>
          <w:spacing w:val="-4"/>
          <w:sz w:val="24"/>
          <w:szCs w:val="24"/>
          <w:rtl/>
        </w:rPr>
        <w:t>زيادة سبل الحصول على خدمات الرعاية الصحية ذات الجودة</w:t>
      </w:r>
    </w:p>
    <w:p w:rsidR="00810BAC" w:rsidRPr="00FF3102" w:rsidRDefault="00810BAC" w:rsidP="00CB696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إن الإصلاحات الرامية إلى تحسين سبل حصول الأسر الأفقر على خدمات الرعاية الصحية ذات النوعية الجيدة تعالج على نحو مباشر المحرك الرئيسي للاحتواء وهدف تعزيز الرخاء المشترك. وبالرغم من توزيع منشآت الرعاية الصحية الأولية على نحو متساوٍ في عموم مصر، فإن المنشآت الموجودة بالمناطق الريفية تعاني من عدم كفاية الموازنات ونقص العاملين المؤهلين. وبالرغم من أن مؤشرات الرعاية الصحية في مصر شهدت تحسنا كبيرا، من الضروري أن يعالج تحسين نظام الإدارة العامة والحوكمة لتقديم خدمات الرعاية الصحية ضعفَ حوافز الخدمة المدنية، والتجزؤ التنظيمي، وأوجه القصور في تخصيص الموارد واستخدامها، وانخفاض المساهمة الحكومية، وتزايد نفقات العلاج التي يتحملها الأفراد من أموالهم الخاصة، ومحدودية مشاركة المواطنين، وضعف المشاركة في متابعة جودة تقديم خدمات الرعاية الصحية. </w:t>
      </w:r>
    </w:p>
    <w:p w:rsidR="00810BAC" w:rsidRPr="00FF3102" w:rsidRDefault="00810BAC" w:rsidP="00CB696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spacing w:val="-4"/>
          <w:rtl/>
        </w:rPr>
        <w:t xml:space="preserve">الأهداف الإنمائية لمصر. </w:t>
      </w:r>
      <w:r w:rsidRPr="00FF3102">
        <w:rPr>
          <w:rFonts w:ascii="Simplified Arabic" w:eastAsiaTheme="minorEastAsia" w:hAnsi="Simplified Arabic" w:cs="Simplified Arabic"/>
          <w:b/>
          <w:spacing w:val="-4"/>
          <w:rtl/>
        </w:rPr>
        <w:t xml:space="preserve">رؤية مصر، كما هي واردة في إستراتيجيتها للتنمية المستدامة لعام 2030، هي تحقيق التغطية الصحية الشاملة لحزمة أساسية من خدمات الرعاية الصحية، وذلك من خلال: </w:t>
      </w:r>
      <w:r w:rsidRPr="00FF3102">
        <w:rPr>
          <w:rFonts w:ascii="Simplified Arabic" w:eastAsiaTheme="minorEastAsia" w:hAnsi="Simplified Arabic" w:cs="Simplified Arabic"/>
          <w:spacing w:val="-4"/>
          <w:rtl/>
        </w:rPr>
        <w:t>(أ) تحسين الرعاية الصحية للفئات المحرومة من خلال دعم برامج الرعاية الصحية في المناطق المتأخرة؛ (ب) زيادة الحماية المالية لهذه الفئات من خلال توسيع نطاق تغطية الرعاية الصحية للفقراء والعاملين بالقطاع غير الرسمي؛ (ج) تحسين جودة الرعاية الصحية في المنشآت العامة، وتعزيز قدرة النظام الصحي على الاستجابة، وتحسين مشاركة المواطنين لإنشاء نظام صحي يتسم بالاستدامة والخضوع للمساءلة.</w:t>
      </w:r>
    </w:p>
    <w:p w:rsidR="00810BAC" w:rsidRPr="00FF3102" w:rsidRDefault="00810BAC" w:rsidP="00553C69">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w:t>
      </w:r>
      <w:r w:rsidRPr="00FF3102">
        <w:rPr>
          <w:rFonts w:ascii="Simplified Arabic" w:eastAsiaTheme="minorEastAsia" w:hAnsi="Simplified Arabic" w:cs="Simplified Arabic"/>
          <w:spacing w:val="-4"/>
          <w:rtl/>
        </w:rPr>
        <w:t>. يقوم مشروع تحسين جودة الرعاية الصحية الجاري تنفيذه باستهداف أفقر ألف قرية من خلال اعتماد منشآت صحة الأسرة التي تستوفي معايير الجودة القومية للرعاية الصحية. والنتائج المتوقعة هي حصول 400 منشأة إضافية مخصصة لصحة الأسرة على شهادة الاعتماد بحلول عام 2017 مع تحسين الخدمات في 700 منشأة على الأقل. واستكمالا لهذه الجهود، يقدم مشروع الاستثمار الطارئ كثيف الاستخدام للأيدي العاملة إعانات نقدية للعاملات بمجال الرعاية الصحية لإتاحة الحصول على الخدمات الصحية للأمهات والأطفال وخدمات تنظيم الأسرة. وبالإضافة إلى ذلك، يساند البنك الحكومة المصرية بتقديم مساعدة فنية لها بشأن تعزيز قدرتها على الاستجابة للوقاية من الإصابة بفيروس التهاب الكبد "سي" وتشخيصه وعلاجه وتقييم تأثيره على الموازنة العامة، وكذلك للتنسيق مع الجهات المانحة الأخرى.</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w:t>
      </w:r>
      <w:r w:rsidR="00553C69">
        <w:rPr>
          <w:rFonts w:ascii="Simplified Arabic" w:eastAsiaTheme="minorEastAsia" w:hAnsi="Simplified Arabic" w:cs="Simplified Arabic" w:hint="cs"/>
          <w:spacing w:val="-4"/>
          <w:rtl/>
        </w:rPr>
        <w:t>ل</w:t>
      </w:r>
      <w:r w:rsidRPr="00FF3102">
        <w:rPr>
          <w:rFonts w:ascii="Simplified Arabic" w:eastAsiaTheme="minorEastAsia" w:hAnsi="Simplified Arabic" w:cs="Simplified Arabic"/>
          <w:spacing w:val="-4"/>
          <w:rtl/>
        </w:rPr>
        <w:t xml:space="preserve">مؤسسة التمويل الدولية استثمارات في مستشفيين كما </w:t>
      </w:r>
      <w:r w:rsidR="00553C69">
        <w:rPr>
          <w:rFonts w:ascii="Simplified Arabic" w:eastAsiaTheme="minorEastAsia" w:hAnsi="Simplified Arabic" w:cs="Simplified Arabic" w:hint="cs"/>
          <w:spacing w:val="-4"/>
          <w:rtl/>
        </w:rPr>
        <w:t xml:space="preserve">أنها </w:t>
      </w:r>
      <w:r w:rsidRPr="00FF3102">
        <w:rPr>
          <w:rFonts w:ascii="Simplified Arabic" w:eastAsiaTheme="minorEastAsia" w:hAnsi="Simplified Arabic" w:cs="Simplified Arabic"/>
          <w:spacing w:val="-4"/>
          <w:rtl/>
        </w:rPr>
        <w:t>قدمت مساندة استشارية بشأن الشراكة بين القطاعين العام والخاص إلى مستشفيين بالأسكندرية لتحسين سبل حصول الفقراء بالمناطق الحضرية على الخدمات.</w:t>
      </w:r>
      <w:r w:rsidRPr="00FF3102">
        <w:rPr>
          <w:rFonts w:ascii="Simplified Arabic" w:eastAsiaTheme="minorEastAsia" w:hAnsi="Simplified Arabic" w:cs="Simplified Arabic"/>
          <w:spacing w:val="-4"/>
        </w:rPr>
        <w:t xml:space="preserve"> </w:t>
      </w:r>
    </w:p>
    <w:p w:rsidR="00810BAC" w:rsidRPr="00FF3102" w:rsidRDefault="00810BAC" w:rsidP="00553C6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الطريق إلى الأمام. </w:t>
      </w:r>
      <w:r w:rsidRPr="00FF3102">
        <w:rPr>
          <w:rFonts w:ascii="Simplified Arabic" w:eastAsiaTheme="minorEastAsia" w:hAnsi="Simplified Arabic" w:cs="Simplified Arabic"/>
          <w:b/>
          <w:i/>
          <w:spacing w:val="-4"/>
          <w:rtl/>
        </w:rPr>
        <w:t>سيركز البنك على توسيع نطاق خدمات صحة الأسرة التي تستهدف أفقر 40 في المائة من السكان في أشد المحافظات فقرا بالوجه القبلي.</w:t>
      </w:r>
      <w:r w:rsidRPr="00FF3102">
        <w:rPr>
          <w:rFonts w:ascii="Simplified Arabic" w:eastAsiaTheme="minorEastAsia" w:hAnsi="Simplified Arabic" w:cs="Simplified Arabic"/>
          <w:spacing w:val="-4"/>
          <w:rtl/>
        </w:rPr>
        <w:t xml:space="preserve"> وسيقوم مشروع محتمل لدعم الرعاية الصحية في السنوات الأخيرة بما يلي: (أ) توسيع نطاق تكافؤ الفرص في الحصول على خدمات صحة الأسرة؛ (ب) تحسين استجابة النظام الصحي لأمراض حديثي الولادة وحالات الولادة؛ (ج) تحسين سلامة المرضى والدم. وسيقوم المشروع أيضا بتدعيم المساءلة والحوكمة بقطاع الصحة من خلال: (أ) إنشاء آليات مستقلة لاستطلاع آراء المستخدمين من أجل رصد مستوى الرضا والاستفادة والأداء؛ (ب) </w:t>
      </w:r>
      <w:r w:rsidR="00553C69">
        <w:rPr>
          <w:rFonts w:ascii="Simplified Arabic" w:eastAsiaTheme="minorEastAsia" w:hAnsi="Simplified Arabic" w:cs="Simplified Arabic" w:hint="cs"/>
          <w:spacing w:val="-4"/>
          <w:rtl/>
        </w:rPr>
        <w:t>ميكن</w:t>
      </w:r>
      <w:r w:rsidRPr="00FF3102">
        <w:rPr>
          <w:rFonts w:ascii="Simplified Arabic" w:eastAsiaTheme="minorEastAsia" w:hAnsi="Simplified Arabic" w:cs="Simplified Arabic"/>
          <w:spacing w:val="-4"/>
          <w:rtl/>
        </w:rPr>
        <w:t>ة السجلات الطبية لإرساء الأساس للمساءلة من جانب المرضى. ولمتابعة إعمال المساءلة، سيتم تتبع النسبة المئوية للمظالم والشكاوى المسجُّلة التي جرت معالجتها والنسبة المئوية لرضا العملاء عن سلسلة صحة الأسرة.</w:t>
      </w:r>
    </w:p>
    <w:p w:rsidR="00810BAC" w:rsidRPr="00FF3102" w:rsidRDefault="00810BAC" w:rsidP="00810BAC">
      <w:pPr>
        <w:pStyle w:val="Heading5"/>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الهدف 3.3:</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زيادة سبل حصول الأسر محدودة الدخل على مسكن</w:t>
      </w:r>
    </w:p>
    <w:p w:rsidR="00810BAC" w:rsidRPr="00FF3102" w:rsidRDefault="00810BAC" w:rsidP="003171D1">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سيسهم توفير الإسكان الميسَّر على نحو مباشر في تحقيق هدفي مجموعة البنك الدولي من خلال معالجة العديد من المعوقات الرئيسية أمام تحقيق النمو والرفاهة للفقراء.</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ويتسم دعم الإسكان حالياً بكبر حجمه وعدم توجيهه وتقديمه بلا شفافية من خلال آليات مؤسسية لا تؤدي وظائفها.</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وبالتالي، فإن تقديم إسكان ميسور التكلفة وموجَّه على نحو أفضل سيكون له تأثير مباشر وفوري على أوضاع الفقر من خلال زيادة النسبة المئوية للدخل المتاح لتغطية التكاليف الأخرى غير المتعلقة بالسكن وبتقليل تكاليف النقل وزيادة القرب من فرص العمل والأسواق والخدمات.</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وسيؤدي تعزيز قدرة الفئات الفقيرة على تحمل تكاليف الإسكان أيضاً إلى تعزيز تعميم الخدمات المالية.</w:t>
      </w:r>
      <w:r w:rsidRPr="00FF3102">
        <w:rPr>
          <w:rFonts w:ascii="Simplified Arabic" w:eastAsiaTheme="minorEastAsia" w:hAnsi="Simplified Arabic" w:cs="Simplified Arabic"/>
          <w:spacing w:val="-4"/>
        </w:rPr>
        <w:t xml:space="preserve"> </w:t>
      </w:r>
    </w:p>
    <w:p w:rsidR="00810BAC" w:rsidRPr="00FF3102" w:rsidRDefault="00810BAC" w:rsidP="003171D1">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iCs/>
          <w:spacing w:val="-4"/>
          <w:rtl/>
        </w:rPr>
        <w:t xml:space="preserve"> </w:t>
      </w:r>
      <w:r w:rsidRPr="00FF3102">
        <w:rPr>
          <w:rFonts w:ascii="Simplified Arabic" w:eastAsiaTheme="minorEastAsia" w:hAnsi="Simplified Arabic" w:cs="Simplified Arabic"/>
          <w:spacing w:val="-4"/>
          <w:rtl/>
        </w:rPr>
        <w:t>لتحقيق أهداف توفير الإسكان لمحدودي الدخل، اعتمدت الحكومة المصرية إستراتيجية قومية للإسكان وأدخلت سلسلة من الإصلاحات القانونية والتنظيمية والمؤسسية لمعالجة طائفة واسعة من المعوقات أمام تحسين سبل الحصول على إسكان ميسَّر. وتشمل هذه الإصلاحات إجراء إصلاح لنظام دعم الإسكان لجعله أكثر شفافية وأحسن استهدافا للمستفيدين المستحقين، وتحسين نظام تسجيل العقارات والممتلكات، وتنظيم المناطق العشوائية لإتاحة توصيل المياه والصرف الصحي والكهرباء، وتدعيم أكواد البناء، وتحسين التمويل العقاري. وأنشأت الحكومة صندوق الإسكان الاجتماعي وتعتزم تقديم مساندة مؤسسية ومالية لتنفيذ برنامج قومي يستهدف تقديم مليون وحدة للإسكان الاجتماعي.</w:t>
      </w:r>
      <w:r w:rsidRPr="00FF3102">
        <w:rPr>
          <w:rFonts w:ascii="Simplified Arabic" w:eastAsiaTheme="minorEastAsia" w:hAnsi="Simplified Arabic" w:cs="Simplified Arabic"/>
          <w:bCs/>
          <w:iCs/>
          <w:spacing w:val="-4"/>
          <w:rtl/>
        </w:rPr>
        <w:t xml:space="preserve"> </w:t>
      </w:r>
      <w:r w:rsidRPr="00FF3102">
        <w:rPr>
          <w:rFonts w:ascii="Simplified Arabic" w:eastAsiaTheme="minorEastAsia" w:hAnsi="Simplified Arabic" w:cs="Simplified Arabic"/>
          <w:spacing w:val="-4"/>
          <w:rtl/>
        </w:rPr>
        <w:t>وسيقوم صندوق الإسكان الاجتماعي بتدعيم وتوسيع برامج الإسكان الموجودة وإنشاء برامج جديدة لسد فجوة الإسكان لفئات السكان الأشد حرمانا، سواء للإيجار أو الامتلاك.</w:t>
      </w:r>
      <w:r w:rsidRPr="00FF3102">
        <w:rPr>
          <w:rFonts w:ascii="Simplified Arabic" w:eastAsiaTheme="minorEastAsia" w:hAnsi="Simplified Arabic" w:cs="Simplified Arabic"/>
          <w:bCs/>
          <w:iCs/>
          <w:spacing w:val="-4"/>
          <w:rtl/>
        </w:rPr>
        <w:t xml:space="preserve"> </w:t>
      </w:r>
      <w:r w:rsidRPr="00FF3102">
        <w:rPr>
          <w:rFonts w:ascii="Simplified Arabic" w:eastAsiaTheme="minorEastAsia" w:hAnsi="Simplified Arabic" w:cs="Simplified Arabic"/>
          <w:spacing w:val="-4"/>
          <w:rtl/>
        </w:rPr>
        <w:t>وبالإضافة إلى ذلك، سيعالج الصندوق قضايا السياسات الرئيسية التي تعوق الاستثمار الخاص في قطاع الإسكان.</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w:t>
      </w:r>
      <w:r w:rsidRPr="00FF3102">
        <w:rPr>
          <w:rFonts w:ascii="Simplified Arabic" w:eastAsiaTheme="minorEastAsia" w:hAnsi="Simplified Arabic" w:cs="Simplified Arabic"/>
          <w:spacing w:val="-4"/>
          <w:rtl/>
        </w:rPr>
        <w:t xml:space="preserve"> يهدف برنامج البنك الجاري تنفيذه إلى مساندة الإصلاحات في نظام دعم الإسكان، ومن ثم المساعدة في تقليص عجز الموازنة العامة من أجل زيادة الكفاءة واستهداف الفقراء بقدر أكبر من الفاعلية، وكذلك تعزيز الشفافية. ويهدف تمويل برنامج الإسكان الشامل وفقا للنتائج إلى إصلاح الهيكل المؤسسي لقطاع الإسكان وتقديم آليات استهداف فاعلة للوصول إلى الأشخاص الأشد فقرا.</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ويقدم هذا البرنامج أيضا حوافز إلى الشركات الخاصة لإنشاء وحدات سكنية لمحدودي الدخل وإدخال مالكي عقارات الإيجار الخاصة في قطاع الإسكان لمحدودي الدخل.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ويساند البرنامج تعزيز الشفافية من خلال:</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تنظيم حملة قومية للتوعية العامة، ونشر البيانات والمراجعات المستقلة لبرامج الإسكان، وتعزيز المساءلة من خلال اختيار المستفيدين، وفرض عقوبات للاحتيال، ووضع آلية لمعالجة المظالم، ومشاركة المواطنين من خلال آلية لاستطلاع آراء المستفيدين تتضمن إجراء مشاورات منتظمة مع المستفيدين ومنظمات المجتمع المدني.</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وتشمل النتائج الرئيسية المتوقعة تمكين نحو 575 ألف أسرة، 50 في المائة منهم على الأقل من الفقراء، من الحصول على إسكان ميسَّر من خلال البرنامج خلال الفترة التي يغطيها إطار الشراكة الإستراتيجية، وستُصنَّف النتائج حسب نوع الجنس، بالإضافة إلى وضع آلية ذات كفاءة أكبر لدعم التمويل العقاري، وتحسين قدرات الصندوق الاجتماعي على توفير خدمات الإسكان، وتقديم حوافز مالية لمالكي الوحدات الخالية أو غير المشطبة في الأحياء المخططة والعشوائية لتحسين هذه الوحدات وإدخالها السوق.</w:t>
      </w:r>
    </w:p>
    <w:p w:rsidR="00810BAC" w:rsidRPr="00FF3102" w:rsidRDefault="00810BAC" w:rsidP="003171D1">
      <w:pPr>
        <w:pStyle w:val="Heading5"/>
        <w:bidi/>
        <w:rPr>
          <w:rFonts w:ascii="Simplified Arabic" w:eastAsiaTheme="minorEastAsia" w:hAnsi="Simplified Arabic" w:cs="Simplified Arabic"/>
          <w:bCs w:val="0"/>
          <w:spacing w:val="-4"/>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3171D1">
        <w:rPr>
          <w:rFonts w:ascii="Simplified Arabic" w:eastAsiaTheme="minorEastAsia" w:hAnsi="Simplified Arabic" w:cs="Simplified Arabic" w:hint="cs"/>
          <w:iCs/>
          <w:spacing w:val="-4"/>
          <w:sz w:val="24"/>
          <w:szCs w:val="24"/>
          <w:rtl/>
        </w:rPr>
        <w:t>4.3</w:t>
      </w:r>
      <w:r w:rsidRPr="00FF3102">
        <w:rPr>
          <w:rFonts w:ascii="Simplified Arabic" w:eastAsiaTheme="minorEastAsia" w:hAnsi="Simplified Arabic" w:cs="Simplified Arabic"/>
          <w:iCs/>
          <w:spacing w:val="-4"/>
          <w:sz w:val="24"/>
          <w:szCs w:val="24"/>
          <w:rtl/>
        </w:rPr>
        <w:t>: زيادة سبل الحصول على خدمات الصرف الصحي المحسَّنة في المناطق الريفية</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هناك تفاوت في توفير خدمات الصرف الصحي المحسَّنة بين المناطق الجغرافية والشرائح الاجتماعية والاقتصادية، وهو ما يؤثر في الأوضاع المعيشية والصحية لملايين المصريين. فخدمات الصرف الصحي المحسَّنة غير متوفرة إلا لنسبة لا تتجاوز 12 في المائة من سكان المناطق الريفية، في حين يعاني 42 مليون شخص من نقص هذه الخدمات. ويؤدي عدم توفر خدمات الصرف الصحي الملائمة، بالإضافة إلى تدني مستويات الممارسات الصحية الجيدة، إلى انتشار الأمراض المرتبطة بالمياه مما يؤثر بدرجة كبيرة في صحة وتغذية الأطفال.</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spacing w:val="-4"/>
          <w:rtl/>
        </w:rPr>
        <w:t>. الحكومة المصرية لديها برنامج طموح للاستثمار في مجال الإمداد بمياه الشرب ومعالجة مياه الصرف الزراعي والصرف الصحي، وهو ما سيؤدي إلى تحسين جودة المياه لاسيما لأفقر 40 في المائة من السكان.</w:t>
      </w:r>
      <w:r w:rsidRPr="00FF3102">
        <w:rPr>
          <w:rFonts w:ascii="Simplified Arabic" w:eastAsiaTheme="minorEastAsia" w:hAnsi="Simplified Arabic" w:cs="Simplified Arabic"/>
          <w:spacing w:val="-4"/>
        </w:rPr>
        <w:t xml:space="preserve"> </w:t>
      </w:r>
    </w:p>
    <w:p w:rsidR="00810BAC" w:rsidRPr="00FF3102" w:rsidRDefault="00810BAC" w:rsidP="007C2847">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 النتائج المتوقعة من العمليات الحالية. </w:t>
      </w:r>
      <w:r w:rsidRPr="00FF3102">
        <w:rPr>
          <w:rFonts w:ascii="Simplified Arabic" w:eastAsiaTheme="minorEastAsia" w:hAnsi="Simplified Arabic" w:cs="Simplified Arabic"/>
          <w:spacing w:val="-4"/>
          <w:rtl/>
        </w:rPr>
        <w:t>يقدم البنك المساندة لتوسيع شبكة البنية التحتية للصرف الصحي في المناطق الريفية بالدلتا والصعيد. ونتيجةً للمشروعات الجاري تنفيذها، فمن المتوقع أن يتمكّن 1.65 مليون مستخدم إضافي في المناطق الريفية من الحصول على خدمات محسَّنة لتجميع مياه الصرف ومعالجتها. ويقدم البنك أيضا المساندة لتقليص الفجوة بين الريف والحضر في مصر من خلال أداة لتمويل برامج الصرف الصحي بالمناطق الريفية وفقا للنتائج سعياً لتحسين خدمات الصرف الصحي في هذه المناطق.</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ويهدف البرنامج القومي للصرف الصحي في الريف إلى ضمان سرعة تقديم خدمات الصرف الصحي التي تمس الحاجة إليها للأسر الريفية في ثلاث محافظات لها الأولوية في منطقة الدلتا (حيث يشكّل التلوث خطرا على الصحة بوجه خاص في ظل ارتفاع مناسيب المياه الجوفية). وفي الوقت ذاته، يقدم البرنامج حوافز لشركات المياه والصرف الصحي على مستوى المحافظات لتقوم بتحسين أدائها فيما يتعلق بإشراك العملاء والمساءلة والاستدامة المالية والكفاءة الفنية، وهي إصلاحات كانت قد توقفت إلى حد كبير في مصر وتقع في صميم نهج "إصلاح المؤسسات التي تتولى مد المواسير، وليس فقط إصلاحها". ومؤسسة التمويل الدولية مستعدة لتقديم خدمات استشارية بشأن الشراكة بين القطاعين العام والخاص إلى الحكومة إذا ما طلبت ذلك من أجل تشجيع القطاع الخاص على القيام بمشروعات في مجال معالجة مياه الصرف وتحلية المياه، وتعمل المؤسسة مع المستثمرين المحتملين لتمويل محطة معالجة مياه الصرف الصحي بأبو رواش، كما ستبحث عن خيارات لتمويل استثمارات القطاع الخاص في قطاعي المياه ومعالجة مياه الصرف. وعلى الرغم من تطبيق زيادة تدريجية على تعريفات خدمات المياه، فإنها مازالت أقل كثيراً من مستويات استرداد التكلفة وس</w:t>
      </w:r>
      <w:r w:rsidR="007C2847">
        <w:rPr>
          <w:rFonts w:ascii="Simplified Arabic" w:eastAsiaTheme="minorEastAsia" w:hAnsi="Simplified Arabic" w:cs="Simplified Arabic" w:hint="cs"/>
          <w:spacing w:val="-4"/>
          <w:rtl/>
        </w:rPr>
        <w:t>يست</w:t>
      </w:r>
      <w:r w:rsidRPr="00FF3102">
        <w:rPr>
          <w:rFonts w:ascii="Simplified Arabic" w:eastAsiaTheme="minorEastAsia" w:hAnsi="Simplified Arabic" w:cs="Simplified Arabic"/>
          <w:spacing w:val="-4"/>
          <w:rtl/>
        </w:rPr>
        <w:t>لزم</w:t>
      </w:r>
      <w:r w:rsidR="007C2847">
        <w:rPr>
          <w:rFonts w:ascii="Simplified Arabic" w:eastAsiaTheme="minorEastAsia" w:hAnsi="Simplified Arabic" w:cs="Simplified Arabic" w:hint="cs"/>
          <w:spacing w:val="-4"/>
          <w:rtl/>
        </w:rPr>
        <w:t xml:space="preserve"> الامر</w:t>
      </w:r>
      <w:r w:rsidRPr="00FF3102">
        <w:rPr>
          <w:rFonts w:ascii="Simplified Arabic" w:eastAsiaTheme="minorEastAsia" w:hAnsi="Simplified Arabic" w:cs="Simplified Arabic"/>
          <w:spacing w:val="-4"/>
          <w:rtl/>
        </w:rPr>
        <w:t xml:space="preserve"> إعادة النظر فيها.</w:t>
      </w:r>
    </w:p>
    <w:p w:rsidR="00810BAC" w:rsidRPr="00FF3102" w:rsidRDefault="00810BAC" w:rsidP="003171D1">
      <w:pPr>
        <w:pStyle w:val="Heading5"/>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3171D1">
        <w:rPr>
          <w:rFonts w:ascii="Simplified Arabic" w:eastAsiaTheme="minorEastAsia" w:hAnsi="Simplified Arabic" w:cs="Simplified Arabic" w:hint="cs"/>
          <w:iCs/>
          <w:spacing w:val="-4"/>
          <w:sz w:val="24"/>
          <w:szCs w:val="24"/>
          <w:rtl/>
        </w:rPr>
        <w:t>5.3</w:t>
      </w:r>
      <w:r w:rsidRPr="00FF3102">
        <w:rPr>
          <w:rFonts w:ascii="Simplified Arabic" w:eastAsiaTheme="minorEastAsia" w:hAnsi="Simplified Arabic" w:cs="Simplified Arabic"/>
          <w:iCs/>
          <w:spacing w:val="-4"/>
          <w:sz w:val="24"/>
          <w:szCs w:val="24"/>
          <w:rtl/>
        </w:rPr>
        <w:t>:</w:t>
      </w:r>
      <w:r w:rsidRPr="00FF3102">
        <w:rPr>
          <w:rFonts w:ascii="Simplified Arabic" w:eastAsiaTheme="minorEastAsia" w:hAnsi="Simplified Arabic" w:cs="Simplified Arabic"/>
          <w:bCs w:val="0"/>
          <w:spacing w:val="-4"/>
          <w:sz w:val="24"/>
          <w:szCs w:val="24"/>
          <w:rtl/>
        </w:rPr>
        <w:t xml:space="preserve"> </w:t>
      </w:r>
      <w:r w:rsidRPr="00FF3102">
        <w:rPr>
          <w:rFonts w:ascii="Simplified Arabic" w:eastAsiaTheme="minorEastAsia" w:hAnsi="Simplified Arabic" w:cs="Simplified Arabic"/>
          <w:iCs/>
          <w:spacing w:val="-4"/>
          <w:sz w:val="24"/>
          <w:szCs w:val="24"/>
          <w:rtl/>
        </w:rPr>
        <w:t>التوسع في توصيل الغاز الطبيعي إلى المنازل</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سيسهم التوسع في توصيل الغاز الطبيعي إلى المنازل في تعزيز تحقيق هدفي مجموعة البنك الدولي من خلال توصيل الغاز الطبيعي إلى المناطق المحرومة والفقيرة وزيادة الدخل المتاح للمستهلكين.</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وخلال الأعوام الثلاثة الماضية، عانت مختلف مناطق مصر من نقص إمدادات الغاز (غاز البترول المسال)، مما يؤثر على نحو مباشر في الفقراء لافتقارهم إلى مصدر طاقة مأمون ومنتظم لأغراض الطهي. وتتسم شبكة التوزيع بأنها غير منظمة وقليلة الكفاءة، وغالبا ما يتعيَّن على النساء التعامل مع هذه الشبكة ومواجهة النقص الدائم ودفع أسعار السوق غير الرسمية مع</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فارق</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ضخم</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في</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أغلب</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الأحيان. </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الأهداف الإنمائية لمصر.</w:t>
      </w:r>
      <w:r w:rsidRPr="00FF3102">
        <w:rPr>
          <w:rFonts w:ascii="Simplified Arabic" w:eastAsiaTheme="minorEastAsia" w:hAnsi="Simplified Arabic" w:cs="Simplified Arabic"/>
          <w:spacing w:val="-4"/>
          <w:rtl/>
        </w:rPr>
        <w:t xml:space="preserve"> تهدف الحكومة المصرية إلى الانتقال من النظام الحالي لأسطوانات غاز البترول المسال إلى توصيل الغاز الطبيعي عبر الشبكة، وهو ما سيتيح للحكومة خفض تكاليفها المرتبطة بدعم غاز البترول المسال وتوفيره للأسر على نحو أكثر أمانا وانتظاما. وتخطط الحكومة لربط 1.8 مليون أسرة بشبكات الغاز الطبيعي، لاسيما الأسر الفقيرة بالمناطق الحضرية، لأغراض الطهي. </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w:t>
      </w:r>
      <w:r w:rsidRPr="00FF3102">
        <w:rPr>
          <w:rFonts w:ascii="Simplified Arabic" w:eastAsiaTheme="minorEastAsia" w:hAnsi="Simplified Arabic" w:cs="Simplified Arabic"/>
          <w:spacing w:val="-4"/>
          <w:rtl/>
        </w:rPr>
        <w:t xml:space="preserve"> يتيح البنك، من خلال مشروعه لتوصيل الغاز إلى المنازل، للأسر إمكانية الحصول على الغاز الطبيعي لأغراض الطهي بالاستفادة من الشبكة الموجودة في القاهرة الكبرى مع قيام 75 في المائة من الاستثمارات باستهداف الأحياء التي ترتفع معدلات الفقر بها عن المتوسط الوطني. ونظرا لأن النساء مسؤولات في العادة عن أعمال الطهي، فإنهن يشكلن الغالبية العظمى من المستفيدين. وسيقوم المشروع أيضا بتوسيع الشبكة في المناطق الجديدة التي بها كثافة سكانية عالية، حيث ترتفع معدلات الفقر عن المتوسط الوطني في 40 في المائة من الأحياء، كما يُتوقع مد توصيلات إلى 300 ألف أسرة فقيرة إضافية. ويتضمن المشروع تقديم مساندة بشأن تقليص تكلفة توصيلات الغاز بالنسبة للأسر الفقيرة. ومن بين الإحدى عشرة محافظة التي يستهدفها البنك، هناك ثلاث من بين المحافظات الأشد فقرا في الصعيد. وسيؤدي التحول من استخدام أسطوانات غاز البترول المسال إلى تحقيق وفورات من الدعم في الموازنة الحكومية بواقع نحو 200 مليون دولار سنويا. ويقدم البنك أيضا المساندة لإعداد خطة لإدارة التمويل وأنظمة لرفع التقارير خاصة بمؤسسات الأعمال المملوكة للدولة باعتبارها خطوة نحو إعادة هيكلة الدين وتنفيذ خطة للاستدامة المالية. كما يجري تقديم مساعدة فنية لتطوير اللوائح التنظيمية لقطاع الغاز.</w:t>
      </w:r>
    </w:p>
    <w:p w:rsidR="00810BAC" w:rsidRPr="00FF3102" w:rsidRDefault="00810BAC" w:rsidP="003171D1">
      <w:pPr>
        <w:pStyle w:val="Heading5"/>
        <w:bidi/>
        <w:rPr>
          <w:rFonts w:ascii="Simplified Arabic" w:eastAsiaTheme="minorEastAsia" w:hAnsi="Simplified Arabic" w:cs="Simplified Arabic"/>
          <w:bCs w:val="0"/>
          <w:sz w:val="24"/>
          <w:szCs w:val="24"/>
          <w:rtl/>
          <w:lang w:bidi="ar-EG"/>
        </w:rPr>
      </w:pPr>
      <w:r w:rsidRPr="00FF3102">
        <w:rPr>
          <w:rFonts w:ascii="Simplified Arabic" w:eastAsiaTheme="minorEastAsia" w:hAnsi="Simplified Arabic" w:cs="Simplified Arabic"/>
          <w:iCs/>
          <w:spacing w:val="-4"/>
          <w:sz w:val="24"/>
          <w:szCs w:val="24"/>
          <w:rtl/>
        </w:rPr>
        <w:t xml:space="preserve">الهدف </w:t>
      </w:r>
      <w:r w:rsidR="003171D1">
        <w:rPr>
          <w:rFonts w:ascii="Simplified Arabic" w:eastAsiaTheme="minorEastAsia" w:hAnsi="Simplified Arabic" w:cs="Simplified Arabic" w:hint="cs"/>
          <w:iCs/>
          <w:spacing w:val="-4"/>
          <w:sz w:val="24"/>
          <w:szCs w:val="24"/>
          <w:rtl/>
        </w:rPr>
        <w:t>6.3</w:t>
      </w:r>
      <w:r w:rsidRPr="00FF3102">
        <w:rPr>
          <w:rFonts w:ascii="Simplified Arabic" w:eastAsiaTheme="minorEastAsia" w:hAnsi="Simplified Arabic" w:cs="Simplified Arabic"/>
          <w:iCs/>
          <w:spacing w:val="-4"/>
          <w:sz w:val="24"/>
          <w:szCs w:val="24"/>
          <w:rtl/>
        </w:rPr>
        <w:t>: تحسين حوكمة قطاع التعليم</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الارتباط بهدفي مجموعة البنك الدولي وإستراتيجية المنطقة.</w:t>
      </w:r>
      <w:r w:rsidRPr="00FF3102">
        <w:rPr>
          <w:rFonts w:ascii="Simplified Arabic" w:eastAsiaTheme="minorEastAsia" w:hAnsi="Simplified Arabic" w:cs="Simplified Arabic"/>
          <w:spacing w:val="-4"/>
          <w:rtl/>
        </w:rPr>
        <w:t xml:space="preserve"> تؤدي إتاحة فرص الحصول على التعليم الابتدائي والثانوي والجامعي إلى تعزيز رأس المال البشري وتسهيل القدرة على الاستفادة من الفرص المتاحة، ومن ثم الحد من الفقر المدقع وتعزيز الرخاء المشترك.</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ولا تزال هناك تحديات كبيرة فيما يتعلق بتحسين حوكمة منظومة التعليم ونواتجها بالنسبة للبلاد. ويُعزى التفاوت الكمي والنوعي في التعليم بدرجة كبيرة إلى القيود في حوكمة منظومة التعليم التي تتسم بالتجزؤ في السياسات والتمويل والإدارة، وضعف الحوافز لموظفي الخدمة المدنية (المعلمين)، وعدم مشاركة المواطنين (الآباء)، وقصور البيانات في عموم المنظومة نزولاً إلى مستوى المدارس المحلية. وهناك أيضا حاجة ملحة إلى التركيز على تنمية المهارات للتصدي لمشكلة البطالة بين الشباب والنساء.</w:t>
      </w:r>
    </w:p>
    <w:p w:rsidR="00810BAC" w:rsidRPr="00FF3102" w:rsidRDefault="00810BAC" w:rsidP="007C2847">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الأهداف الإنمائية لمصر. </w:t>
      </w:r>
      <w:r w:rsidRPr="00FF3102">
        <w:rPr>
          <w:rFonts w:ascii="Simplified Arabic" w:eastAsiaTheme="minorEastAsia" w:hAnsi="Simplified Arabic" w:cs="Simplified Arabic"/>
          <w:spacing w:val="-4"/>
          <w:rtl/>
        </w:rPr>
        <w:t xml:space="preserve">في إستراتيجية الحكومة المصرية للتنمية المستدامة لعام 2030 وكذلك بالنسبة لكثير من </w:t>
      </w:r>
      <w:r w:rsidR="007C2847">
        <w:rPr>
          <w:rFonts w:ascii="Simplified Arabic" w:eastAsiaTheme="minorEastAsia" w:hAnsi="Simplified Arabic" w:cs="Simplified Arabic" w:hint="cs"/>
          <w:spacing w:val="-4"/>
          <w:rtl/>
        </w:rPr>
        <w:t>الفئات المعنية</w:t>
      </w:r>
      <w:r w:rsidRPr="00FF3102">
        <w:rPr>
          <w:rFonts w:ascii="Simplified Arabic" w:eastAsiaTheme="minorEastAsia" w:hAnsi="Simplified Arabic" w:cs="Simplified Arabic"/>
          <w:spacing w:val="-4"/>
          <w:rtl/>
        </w:rPr>
        <w:t>، يأتي توسيع سبل الحصول على التعليم وتحسين جودته على رأس الأولويات. وحددت هذه الإستراتيجية عددا من مؤشرات الأداء الرئيسية الطموحة بالنسبة للتحصيل في كافة مستويات التعليم. وبالإضافة إلى ذلك، أعلنت الحكومة عن مبادرتين جديدتين بعنوان "بإيدك" (التي تشارك في تمويلها دولة الإمارات العربية المتحدة) و"فرصة" اللتين ستقدمان التدريب والمهارات حسب متطلبات سوق العمل بالقطاع الخاص.</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وقد حدد تعديل الدستور في عام 2014 أهدافا لزيادة الإنفاق على التعليم، وشددت السلطات على ضرورة تحسين جودة نواتج التعليم وتزويد الشباب بالمهارات التي تحتاجها سوق العمل في مصر من أجل تحسين فرصهم الاقتصادية.</w:t>
      </w:r>
      <w:r w:rsidRPr="00FF3102">
        <w:rPr>
          <w:rFonts w:ascii="Simplified Arabic" w:eastAsiaTheme="minorEastAsia" w:hAnsi="Simplified Arabic" w:cs="Simplified Arabic"/>
          <w:spacing w:val="-4"/>
        </w:rPr>
        <w:t xml:space="preserve"> </w:t>
      </w:r>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حلول مجموعة البنك الدولي- النتائج المتوقعة من العمليات الحالية.</w:t>
      </w:r>
      <w:r w:rsidRPr="00FF3102">
        <w:rPr>
          <w:rFonts w:ascii="Simplified Arabic" w:eastAsiaTheme="minorEastAsia" w:hAnsi="Simplified Arabic" w:cs="Simplified Arabic"/>
          <w:spacing w:val="-4"/>
          <w:rtl/>
        </w:rPr>
        <w:t xml:space="preserve"> في يونيو 2014، تم الانتهاء على نحوٍ مُرضٍ من مشروع سانده البنك ركَّز على توسيع سبل الحصول على التعليم في مرحلة الطفولة المبكرة في المناطق المحرومة. وقدم البنك مؤخرا وثيقتين تحليليتين رئيسيتين: تقرير البنك و</w:t>
      </w:r>
      <w:r w:rsidRPr="00FF3102">
        <w:rPr>
          <w:rFonts w:ascii="Simplified Arabic" w:eastAsiaTheme="minorEastAsia" w:hAnsi="Simplified Arabic" w:cs="Simplified Arabic"/>
          <w:rtl/>
        </w:rPr>
        <w:t>منظمة التعاون والتنمية في الميدان الاقتصادي، ونهج النظم من أجل تحسين نتائج التعليم- تطوير القوى العاملة. ويقدم كلاهما تشخيصات دقيقة للتحديات أمام تطوير التعليم والقوى العاملة، وكذلك توصيات قابلة للتنفيذ.</w:t>
      </w:r>
      <w:r w:rsidRPr="00FF3102">
        <w:rPr>
          <w:rFonts w:ascii="Simplified Arabic" w:eastAsiaTheme="minorEastAsia" w:hAnsi="Simplified Arabic" w:cs="Simplified Arabic"/>
          <w:spacing w:val="-4"/>
          <w:rtl/>
        </w:rPr>
        <w:t xml:space="preserve"> وتعمل مبادرة البنك الدولي "التعليم من أجل التوظيف للشباب العربي" مع هيئة تنمية </w:t>
      </w:r>
      <w:r w:rsidRPr="00FF3102">
        <w:rPr>
          <w:rFonts w:ascii="Simplified Arabic" w:eastAsiaTheme="minorEastAsia" w:hAnsi="Simplified Arabic" w:cs="Simplified Arabic"/>
          <w:rtl/>
        </w:rPr>
        <w:t>صناعة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تكنولوجيا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المعلومات، وهي الذراع التنفيذية لوزارة الاتصالات وتكنولوجيا المعلومات، من أجل تحديد وسد الفجوة بين المهارات التي يحتاجها قطاع تكنولوجيا المعلومات والاتصالات وتلك التي يوفرها نظام التعليم والتدريب. وبالاستفادة من هذه المبادرة القائمة، تطلق مجموعة البنك الدولي أيضا، بالتعاون مع البنك الإسلامي للتنمية، مبادرة "التعليم من أجل تعزيز القدرة على المنافسة"، وهي مبادرة عالمية تركز مرحلتها الأولى على اعتماد نهج إقليمي في منطقة الشرق الأوسط وشمال أفريقيا وتشمل جميع مستويات التعليم بدءا من التعليم في مرحلة الطفولة المبكرة وصولا إلى تنمية المهارات والتعليم العالي. وتهدف هذه المبادرة إلى تشجيع إجراء حوار إقليمي بشأن السياسات سعياً لتحقيق أهداف خاصة بالتعليم في المنطقة، وزيادة الوعي بالتحديات في قطاع التعليم، وتعزيز المساءلة، وتشجيع زيادة تعبئة الموارد للتصدي للتحديات.</w:t>
      </w:r>
    </w:p>
    <w:p w:rsidR="00810BAC" w:rsidRPr="00FF3102" w:rsidRDefault="00810BAC" w:rsidP="00BA6BC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4"/>
          <w:rtl/>
        </w:rPr>
        <w:t xml:space="preserve">حلول مجموعة البنك الدولي- الطريق إلى الأمام. </w:t>
      </w:r>
      <w:r w:rsidRPr="00FF3102">
        <w:rPr>
          <w:rFonts w:ascii="Simplified Arabic" w:eastAsiaTheme="minorEastAsia" w:hAnsi="Simplified Arabic" w:cs="Simplified Arabic"/>
          <w:spacing w:val="-4"/>
          <w:rtl/>
        </w:rPr>
        <w:t>تهدف الإسهامات المقترحة من مجموعة البنك الدولي في هذا المجال إلى معالجة التفاوت الكمي والنوعي في التعليم الناتج عن التجزؤ في وضع السياسات وعدم الوضوح في الأدوار والمسؤوليات المتعلقة بالتمويل والإدارة.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w:t>
      </w:r>
      <w:r w:rsidR="00F2429E">
        <w:rPr>
          <w:rFonts w:ascii="Simplified Arabic" w:eastAsiaTheme="minorEastAsia" w:hAnsi="Simplified Arabic" w:cs="Simplified Arabic" w:hint="cs"/>
          <w:spacing w:val="-4"/>
          <w:rtl/>
        </w:rPr>
        <w:t xml:space="preserve">قد </w:t>
      </w:r>
      <w:r w:rsidRPr="00FF3102">
        <w:rPr>
          <w:rFonts w:ascii="Simplified Arabic" w:eastAsiaTheme="minorEastAsia" w:hAnsi="Simplified Arabic" w:cs="Simplified Arabic"/>
          <w:spacing w:val="-4"/>
          <w:rtl/>
        </w:rPr>
        <w:t xml:space="preserve">بدأ البنك في الإعداد لتنفيذ مشروع بقطاع التعليم في السنة المالية 2017. ويُعد هذا مجالا جديدا للحوار </w:t>
      </w:r>
      <w:r w:rsidR="00BA6BC9">
        <w:rPr>
          <w:rFonts w:ascii="Simplified Arabic" w:eastAsiaTheme="minorEastAsia" w:hAnsi="Simplified Arabic" w:cs="Simplified Arabic" w:hint="cs"/>
          <w:spacing w:val="-4"/>
          <w:rtl/>
        </w:rPr>
        <w:t>سوف يست</w:t>
      </w:r>
      <w:r w:rsidRPr="00FF3102">
        <w:rPr>
          <w:rFonts w:ascii="Simplified Arabic" w:eastAsiaTheme="minorEastAsia" w:hAnsi="Simplified Arabic" w:cs="Simplified Arabic"/>
          <w:spacing w:val="-4"/>
          <w:rtl/>
        </w:rPr>
        <w:t>لزم القيام بأعمال تحضيرية ك</w:t>
      </w:r>
      <w:r w:rsidR="00BA6BC9">
        <w:rPr>
          <w:rFonts w:ascii="Simplified Arabic" w:eastAsiaTheme="minorEastAsia" w:hAnsi="Simplified Arabic" w:cs="Simplified Arabic" w:hint="cs"/>
          <w:spacing w:val="-4"/>
          <w:rtl/>
        </w:rPr>
        <w:t>ثي</w:t>
      </w:r>
      <w:r w:rsidRPr="00FF3102">
        <w:rPr>
          <w:rFonts w:ascii="Simplified Arabic" w:eastAsiaTheme="minorEastAsia" w:hAnsi="Simplified Arabic" w:cs="Simplified Arabic"/>
          <w:spacing w:val="-4"/>
          <w:rtl/>
        </w:rPr>
        <w:t xml:space="preserve">رة قبل </w:t>
      </w:r>
      <w:r w:rsidR="00BA6BC9">
        <w:rPr>
          <w:rFonts w:ascii="Simplified Arabic" w:eastAsiaTheme="minorEastAsia" w:hAnsi="Simplified Arabic" w:cs="Simplified Arabic" w:hint="cs"/>
          <w:spacing w:val="-4"/>
          <w:rtl/>
        </w:rPr>
        <w:t xml:space="preserve">تكوين </w:t>
      </w:r>
      <w:r w:rsidRPr="00FF3102">
        <w:rPr>
          <w:rFonts w:ascii="Simplified Arabic" w:eastAsiaTheme="minorEastAsia" w:hAnsi="Simplified Arabic" w:cs="Simplified Arabic"/>
          <w:spacing w:val="-4"/>
          <w:rtl/>
        </w:rPr>
        <w:t xml:space="preserve">رؤية مشتركة لمشروع تحولي </w:t>
      </w:r>
      <w:r w:rsidR="00BA6BC9">
        <w:rPr>
          <w:rFonts w:ascii="Simplified Arabic" w:eastAsiaTheme="minorEastAsia" w:hAnsi="Simplified Arabic" w:cs="Simplified Arabic" w:hint="cs"/>
          <w:spacing w:val="-4"/>
          <w:rtl/>
        </w:rPr>
        <w:t>قد يحظي بإمكانية ال</w:t>
      </w:r>
      <w:r w:rsidRPr="00FF3102">
        <w:rPr>
          <w:rFonts w:ascii="Simplified Arabic" w:eastAsiaTheme="minorEastAsia" w:hAnsi="Simplified Arabic" w:cs="Simplified Arabic"/>
          <w:spacing w:val="-4"/>
          <w:rtl/>
        </w:rPr>
        <w:t>مساندة.</w:t>
      </w:r>
    </w:p>
    <w:p w:rsidR="00810BAC" w:rsidRPr="00FF3102" w:rsidRDefault="00A12100" w:rsidP="00D23C58">
      <w:pPr>
        <w:pStyle w:val="Head2"/>
        <w:rPr>
          <w:rtl/>
          <w:lang w:bidi="ar-EG"/>
        </w:rPr>
      </w:pPr>
      <w:bookmarkStart w:id="916" w:name="_Toc439184547"/>
      <w:r w:rsidRPr="00FF3102">
        <w:rPr>
          <w:rtl/>
        </w:rPr>
        <w:t>د</w:t>
      </w:r>
      <w:r w:rsidR="00810BAC" w:rsidRPr="00FF3102">
        <w:rPr>
          <w:rtl/>
        </w:rPr>
        <w:t>. تنفيذ إطار الشراكة الإستراتيجية</w:t>
      </w:r>
      <w:bookmarkEnd w:id="916"/>
    </w:p>
    <w:p w:rsidR="00810BAC" w:rsidRPr="00FF3102" w:rsidRDefault="00810BAC" w:rsidP="003171D1">
      <w:pPr>
        <w:pStyle w:val="MainParanoChapter"/>
        <w:numPr>
          <w:ilvl w:val="0"/>
          <w:numId w:val="22"/>
        </w:numPr>
        <w:tabs>
          <w:tab w:val="clear" w:pos="1440"/>
        </w:tabs>
        <w:bidi/>
        <w:ind w:left="90" w:firstLine="0"/>
        <w:rPr>
          <w:rFonts w:ascii="Simplified Arabic" w:eastAsiaTheme="minorEastAsia" w:hAnsi="Simplified Arabic" w:cs="Simplified Arabic"/>
        </w:rPr>
      </w:pPr>
      <w:r w:rsidRPr="009A7F4D">
        <w:rPr>
          <w:rFonts w:ascii="Simplified Arabic" w:eastAsiaTheme="minorEastAsia" w:hAnsi="Simplified Arabic" w:cs="Simplified Arabic"/>
          <w:b/>
          <w:bCs/>
          <w:i/>
          <w:iCs/>
          <w:spacing w:val="-4"/>
          <w:rtl/>
        </w:rPr>
        <w:t>ستُنفَّذ مساندة مجموعة البنك الدولي باستخدام مزيج من الخدمات المعرفية والمساندة المالية والشراكات</w:t>
      </w:r>
      <w:r w:rsidRPr="00FF3102">
        <w:rPr>
          <w:rFonts w:ascii="Simplified Arabic" w:eastAsiaTheme="minorEastAsia" w:hAnsi="Simplified Arabic" w:cs="Simplified Arabic"/>
          <w:spacing w:val="-4"/>
          <w:rtl/>
        </w:rPr>
        <w:t>. وتتجه المجموعة نحو زيادة برنامجها الإقراضي إلى أكثر من الضعف، مقارنةً بما كان عليه في الماضي القريب، ليصل في مجمله إلى نحو 8 مليارات دولار خلال فترة السنوات المالية 2015-2019- من بينها مبلغ تأشيري قدره حوالي 6 مليارات دولار تطلب السلطات الحصول عليه من البنك الدولي للإنشاء والتعمير (سيتوقف حجم إقراض البنك الدولي للإنشاء والتعمير ووتيرته على تنفيذ هذا البرنامج، بما في ذلك القدرة على التصدي لمخاطر الاقتصاد الكلي، واختيار الأدوات والأداء الاقتصادي أثناء الفترة التي يغطيها إطار الشراكة الإستراتيجية، واستمرار رغبة الحكومة في الحصول على تمويل من البنك الدولي للإنشاء والتعمير، وقدرته على الإقراض ومتطلبات المقترضين الآخرين) ونحو ملياري دولار من مؤسسة التمويل الدولية.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 xml:space="preserve">ومن المتوقع أن ترتبط المؤسسة بتقديم نحو 250 مليون دولار في السنة المالية 2016 لترتفع بذلك ارتباطات المؤسسة إلى ما يتراوح في المتوسط من 400 إلى 500 مليون دولار سنويا في السنوات الأخيرة. </w:t>
      </w:r>
      <w:r w:rsidRPr="00FF3102">
        <w:rPr>
          <w:rFonts w:ascii="Simplified Arabic" w:eastAsiaTheme="minorEastAsia" w:hAnsi="Simplified Arabic" w:cs="Simplified Arabic"/>
          <w:rtl/>
        </w:rPr>
        <w:t>وبالمثل، فإن الاستثمارات الفعلية للمؤسسة وضمانات الوكالة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الدولية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لضمان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الاستثمار خلال الفترة التي يغطيها إطار الشراكة الإستراتيجية ستتوقف على تحسُّن استقرار الاقتصاد الكلي والتقدُّم المحرز في تنفيذ الإصلاحات المتعلقة بمناخ الاستثمار التي من شأنها تعزيز ثقة المستثمرين وتسهيل تعزيز مشاركة القطاع الخاص. وقد حدد البنك ومؤسسة التمويل الدولية ثلاثة مجالات للتعاون خلال تنفيذ إطار الشراكة الإستراتيجية وسيضعان خطة مشتركة للتنفيذ في مختلف </w:t>
      </w:r>
      <w:r w:rsidRPr="00FF3102">
        <w:rPr>
          <w:rFonts w:ascii="Simplified Arabic" w:eastAsiaTheme="minorEastAsia" w:hAnsi="Simplified Arabic" w:cs="Simplified Arabic"/>
          <w:spacing w:val="-4"/>
          <w:rtl/>
        </w:rPr>
        <w:t>جوانب قطاع الطاقة (الإطار 4).</w:t>
      </w:r>
    </w:p>
    <w:tbl>
      <w:tblPr>
        <w:tblStyle w:val="TableGrid"/>
        <w:bidiVisual/>
        <w:tblW w:w="9535" w:type="dxa"/>
        <w:jc w:val="center"/>
        <w:tblLayout w:type="fixed"/>
        <w:tblLook w:val="04A0" w:firstRow="1" w:lastRow="0" w:firstColumn="1" w:lastColumn="0" w:noHBand="0" w:noVBand="1"/>
      </w:tblPr>
      <w:tblGrid>
        <w:gridCol w:w="9535"/>
      </w:tblGrid>
      <w:tr w:rsidR="00810BAC" w:rsidRPr="00FF3102" w:rsidTr="009A7F4D">
        <w:trPr>
          <w:trHeight w:val="20"/>
          <w:jc w:val="center"/>
        </w:trPr>
        <w:tc>
          <w:tcPr>
            <w:tcW w:w="9535" w:type="dxa"/>
          </w:tcPr>
          <w:p w:rsidR="00810BAC" w:rsidRPr="00FF3102" w:rsidRDefault="00810BAC" w:rsidP="00942866">
            <w:pPr>
              <w:pStyle w:val="boxes"/>
              <w:framePr w:wrap="around"/>
              <w:rPr>
                <w:rtl/>
                <w:lang w:bidi="ar-EG"/>
              </w:rPr>
            </w:pPr>
            <w:r w:rsidRPr="00FF3102">
              <w:br w:type="page"/>
            </w:r>
            <w:bookmarkStart w:id="917" w:name="_Toc439185535"/>
            <w:r w:rsidRPr="00FF3102">
              <w:rPr>
                <w:rtl/>
              </w:rPr>
              <w:t>الإطار 4. مجالات تعاون مجموعة البنك الدولي في مصر</w:t>
            </w:r>
            <w:bookmarkEnd w:id="917"/>
          </w:p>
          <w:p w:rsidR="00810BAC" w:rsidRPr="00FF3102" w:rsidRDefault="00810BAC" w:rsidP="00810BAC">
            <w:pPr>
              <w:pStyle w:val="Boxtex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حددت فرق عمل البنك ومؤسسة التمويل الدولية ثلاثة مجالات للتعاون أثناء تنفيذ إطار الشراكة الإستراتيجية، مع افتراض استمرار التزام الحكومة المصرية بتنفيذ الإصلاحات، وهي إصلاح قطاع الطاقة وتنمية المهارات لدى الشباب ومناخ الاستثمار/تعزيز القدرة على المنافسة، ويتضمن المجالان الأخيران الاستفادة من مجموعات الممارسات العالمية.</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z w:val="24"/>
                <w:szCs w:val="24"/>
                <w:rtl/>
              </w:rPr>
              <w:t>قطاع الطاقة:</w:t>
            </w:r>
            <w:r w:rsidRPr="00FF3102">
              <w:rPr>
                <w:rFonts w:ascii="Simplified Arabic" w:eastAsiaTheme="minorEastAsia" w:hAnsi="Simplified Arabic" w:cs="Simplified Arabic"/>
                <w:sz w:val="24"/>
                <w:szCs w:val="24"/>
                <w:rtl/>
              </w:rPr>
              <w:t xml:space="preserve"> في حين يواصل البنك الحوار مع الحكومة بشأن إصلاح القطاع ومراجعات الأسعار في مختلف حلقات سلسلة القيمة بالقطاع، ستستمر مؤسسة التمويل الدولية في تقديم المشورة بشأن الإصلاحات اللازمة لتنفيذ مشروعات الكهرباء المستقلة والشراكات بين القطاعين العام والخاص المحتملة في مجال توليد الكهرباء. وستحدد مجموعة البنك الدولي سبلا من أجل (أ) الإسهام في وضع إستراتيجية عامة لقطاع الطاقة تعالج أزمة الطاقة في مصر؛ (ب) مساندة مشاركة القطاع الخاص في منشآت التوليد الجديدة بما في ذلك تغيير مزيج الوقود باتجاه مصادر الطاقة المتجددة؛ (ج) مساندة الإصلاحات في توزيع الكهرباء؛ (د) تحديد حوافز لزيادة كفاءة استخدام الطاقة؛ (ه) تقديم مساندة مباشرة للصناعات؛ (و) تسهيل زيادة استيعاب السوق للطاقة المتجددة وكفاءة استخدام الطاقة من خلال مؤسسات الوساطة المالية. انظر الفقرتين 93 و 94 أعلاه للاطلاع على مجالات المشاركة المحتملة الخاصة بمؤسسات محددة.</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pacing w:val="-2"/>
                <w:sz w:val="24"/>
                <w:szCs w:val="24"/>
                <w:rtl/>
              </w:rPr>
              <w:t>تنمية المهارات:</w:t>
            </w:r>
            <w:r w:rsidRPr="00FF3102">
              <w:rPr>
                <w:rFonts w:ascii="Simplified Arabic" w:eastAsiaTheme="minorEastAsia" w:hAnsi="Simplified Arabic" w:cs="Simplified Arabic"/>
                <w:b/>
                <w:i/>
                <w:spacing w:val="-2"/>
                <w:sz w:val="24"/>
                <w:szCs w:val="24"/>
              </w:rPr>
              <w:t xml:space="preserve"> </w:t>
            </w:r>
            <w:r w:rsidRPr="00FF3102">
              <w:rPr>
                <w:rFonts w:ascii="Simplified Arabic" w:eastAsiaTheme="minorEastAsia" w:hAnsi="Simplified Arabic" w:cs="Simplified Arabic"/>
                <w:spacing w:val="-2"/>
                <w:sz w:val="24"/>
                <w:szCs w:val="24"/>
                <w:rtl/>
              </w:rPr>
              <w:t>في إطار مجموعتي الممارسات العالمية للتجارة والقدرة على المنافسة والتعليم، ستعمل فرق مؤسسة التمويل الدولية والبنك مع كل من الحكومة وأصحاب العمل ومقدِّمي خدمات التعليم ما بعد الثانوي/التدريب من القطاعين العام والخاص من أجل تحديد فجوات المهارات لاسيما في قطاعات النمو ومعالجة هذه الفجوات من خلال تحسين أطر ضمان الجودة والكفاءة، والأطر التنظيمية التي تحكم استثمار الجهات التعليمية وعملها، وتوافر المعلومات عن سوق العمل، وتعزيز سبل حصول الطلاب على التمويل، بالإضافة إلى تقديم قرض محتمل لتنمية المهارات وتعزيز القدرة التنافسية يستهدف صناعات محددة.</w:t>
            </w:r>
            <w:r w:rsidRPr="00FF3102">
              <w:rPr>
                <w:rFonts w:ascii="Simplified Arabic" w:eastAsiaTheme="minorEastAsia" w:hAnsi="Simplified Arabic" w:cs="Simplified Arabic"/>
                <w:spacing w:val="-2"/>
                <w:sz w:val="24"/>
                <w:szCs w:val="24"/>
              </w:rPr>
              <w:t xml:space="preserve"> </w:t>
            </w:r>
            <w:r w:rsidRPr="00FF3102">
              <w:rPr>
                <w:rFonts w:ascii="Simplified Arabic" w:eastAsiaTheme="minorEastAsia" w:hAnsi="Simplified Arabic" w:cs="Simplified Arabic"/>
                <w:spacing w:val="-2"/>
                <w:sz w:val="24"/>
                <w:szCs w:val="24"/>
                <w:rtl/>
              </w:rPr>
              <w:t>وسيتم التركيز على الحوافز وعقود الأداء إلى جانب وضع برامج أكثر شمولا تتضمن خدمات التوظيف والمنح التدريبية والتدريب أثناء العمل. وستواصل مؤسسة التمويل الدولية البحث عن فرص استثمارية لمساندة قيام القطاع الخاص بتنمية المهارات في كافة مستويات منظومة التعليم.</w:t>
            </w:r>
            <w:r w:rsidRPr="00FF3102">
              <w:rPr>
                <w:rFonts w:ascii="Simplified Arabic" w:eastAsiaTheme="minorEastAsia" w:hAnsi="Simplified Arabic" w:cs="Simplified Arabic"/>
                <w:spacing w:val="-2"/>
                <w:sz w:val="24"/>
                <w:szCs w:val="24"/>
              </w:rPr>
              <w:t xml:space="preserve"> </w:t>
            </w:r>
            <w:r w:rsidRPr="00FF3102">
              <w:rPr>
                <w:rFonts w:ascii="Simplified Arabic" w:eastAsiaTheme="minorEastAsia" w:hAnsi="Simplified Arabic" w:cs="Simplified Arabic"/>
                <w:spacing w:val="-2"/>
                <w:sz w:val="24"/>
                <w:szCs w:val="24"/>
                <w:rtl/>
              </w:rPr>
              <w:t>وستعود منافع تنمية المهارات على النساء والشباب.</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bCs/>
                <w:iCs/>
                <w:spacing w:val="-2"/>
                <w:sz w:val="24"/>
                <w:szCs w:val="24"/>
                <w:rtl/>
              </w:rPr>
              <w:t>تعزيز القدرة على المنافسة</w:t>
            </w:r>
            <w:r w:rsidRPr="00FF3102">
              <w:rPr>
                <w:rFonts w:ascii="Simplified Arabic" w:eastAsiaTheme="minorEastAsia" w:hAnsi="Simplified Arabic" w:cs="Simplified Arabic"/>
                <w:spacing w:val="-2"/>
                <w:sz w:val="24"/>
                <w:szCs w:val="24"/>
                <w:rtl/>
              </w:rPr>
              <w:t>: ستركز مجموعة الممارسات العالمية المشتركة للتجارة والقدرة على المنافسة على نظام إدارة اللوائح التنظيمية، وإجراءات الاستثمار، وإصدار التراخيص والتصاريح (بما في ذلك التراخيص الصناعية وتراخيص البناء وإتاحة تملُّك الأراضي) وتنمية المجمَّعات، وتعميق تكامل سلسلة القيمة، وسياسة المنافسة. وقد تشتمل مساندة سياسات المنافسة على تقديم مساندة لبعض الصناعات والقطاعات المحددة، لاسيما من أجل إزالة الحواجز أمام المنافسة في بعض قطاعات البنية التحتية (مع تطبيق مجموعات الممارسات العالمية ذات الصلة).</w:t>
            </w:r>
          </w:p>
        </w:tc>
      </w:tr>
    </w:tbl>
    <w:p w:rsidR="00810BAC" w:rsidRPr="00FF3102" w:rsidRDefault="00810BAC" w:rsidP="00810BAC">
      <w:pPr>
        <w:pStyle w:val="MainParanoChapter"/>
        <w:numPr>
          <w:ilvl w:val="0"/>
          <w:numId w:val="0"/>
        </w:numPr>
        <w:tabs>
          <w:tab w:val="left" w:pos="540"/>
        </w:tabs>
        <w:bidi/>
        <w:spacing w:after="0"/>
        <w:rPr>
          <w:rFonts w:ascii="Simplified Arabic" w:hAnsi="Simplified Arabic" w:cs="Simplified Arabic"/>
          <w:spacing w:val="0"/>
        </w:rPr>
      </w:pP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بالنسبة للمتابعة والتقييم، سيستمر البنك في إدماج الرقابة من جانب المستخدمين ومدخلاتهم من خلال إجراءات شفافة لمشاركة المجتمعات المحلية وأنظمة البيانات المفتوحة تعزز استطلاع آراء المواطنين/المستفيدين بكفاءة أكبر وأنظمة فاعلة لرفع المظالم على مستوى البرامج/المشروعات وصولاً إلى آليات موجهة للمواطنين.</w:t>
      </w:r>
      <w:r w:rsidRPr="00FF3102">
        <w:rPr>
          <w:rFonts w:ascii="Simplified Arabic" w:eastAsiaTheme="minorEastAsia" w:hAnsi="Simplified Arabic" w:cs="Simplified Arabic"/>
          <w:spacing w:val="0"/>
          <w:rtl/>
        </w:rPr>
        <w:t xml:space="preserve"> وقد عممت حافظة المشروعات الحالية في مصر إجراء المشاورات لتشمل طائفة واسعة من الأطراف الفاعلة غير الحكومية. وتم إدماج مشاركة المواطنين في قطاع الطاقة في مشروع توصيل الغاز الطبيعي إلى المنازل من خلال تدعيم مراكز خدمة العملاء وكذلك عبر برنامج إذاعي لزيادة التوعية بالخدمات والمسائل المتعلقة بالسلامة. وسيطبِّق مشروع تحسين جودة الرعاية الصحية آليات مستقلة لاستطلاع آراء المستخدمين بما في ذلك آليات لقياس مستوى رضا العملاء ورفع المظالم، ومساندة مجالس حقوق المرضى على مستوى المراكز، وتعميم ميكنة السجلات الطبية.</w:t>
      </w:r>
      <w:r w:rsidRPr="00FF3102">
        <w:rPr>
          <w:rFonts w:ascii="Simplified Arabic" w:eastAsiaTheme="minorEastAsia" w:hAnsi="Simplified Arabic" w:cs="Simplified Arabic"/>
          <w:spacing w:val="0"/>
        </w:rPr>
        <w:t xml:space="preserve"> </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rtl/>
        </w:rPr>
        <w:t xml:space="preserve">إن </w:t>
      </w:r>
      <w:r w:rsidRPr="00FF3102">
        <w:rPr>
          <w:rFonts w:ascii="Simplified Arabic" w:eastAsiaTheme="minorEastAsia" w:hAnsi="Simplified Arabic" w:cs="Simplified Arabic"/>
          <w:bCs/>
          <w:iCs/>
          <w:spacing w:val="0"/>
          <w:rtl/>
        </w:rPr>
        <w:t>حافظة</w:t>
      </w:r>
      <w:r w:rsidRPr="00FF3102">
        <w:rPr>
          <w:rFonts w:ascii="Simplified Arabic" w:eastAsiaTheme="minorEastAsia" w:hAnsi="Simplified Arabic" w:cs="Simplified Arabic"/>
          <w:bCs/>
          <w:iCs/>
          <w:rtl/>
        </w:rPr>
        <w:t xml:space="preserve"> </w:t>
      </w:r>
      <w:r w:rsidRPr="00FF3102">
        <w:rPr>
          <w:rFonts w:ascii="Simplified Arabic" w:eastAsiaTheme="minorEastAsia" w:hAnsi="Simplified Arabic" w:cs="Simplified Arabic"/>
          <w:bCs/>
          <w:iCs/>
          <w:spacing w:val="0"/>
          <w:rtl/>
        </w:rPr>
        <w:t xml:space="preserve">البنك </w:t>
      </w:r>
      <w:r w:rsidR="00A12100" w:rsidRPr="00FF3102">
        <w:rPr>
          <w:rFonts w:ascii="Simplified Arabic" w:eastAsiaTheme="minorEastAsia" w:hAnsi="Simplified Arabic" w:cs="Simplified Arabic"/>
          <w:bCs/>
          <w:iCs/>
          <w:spacing w:val="0"/>
          <w:rtl/>
        </w:rPr>
        <w:t>القائمة</w:t>
      </w:r>
      <w:r w:rsidRPr="00FF3102">
        <w:rPr>
          <w:rFonts w:ascii="Simplified Arabic" w:eastAsiaTheme="minorEastAsia" w:hAnsi="Simplified Arabic" w:cs="Simplified Arabic"/>
          <w:bCs/>
          <w:iCs/>
          <w:spacing w:val="0"/>
          <w:rtl/>
        </w:rPr>
        <w:t xml:space="preserve"> في مصر</w:t>
      </w:r>
      <w:r w:rsidRPr="00FF3102">
        <w:rPr>
          <w:rFonts w:ascii="Simplified Arabic" w:eastAsiaTheme="minorEastAsia" w:hAnsi="Simplified Arabic" w:cs="Simplified Arabic"/>
          <w:bCs/>
          <w:iCs/>
          <w:rtl/>
        </w:rPr>
        <w:t xml:space="preserve"> يبلغ صافي ارتباطات قروضها حاليا </w:t>
      </w:r>
      <w:r w:rsidRPr="00FF3102">
        <w:rPr>
          <w:rFonts w:ascii="Simplified Arabic" w:eastAsiaTheme="minorEastAsia" w:hAnsi="Simplified Arabic" w:cs="Simplified Arabic"/>
          <w:bCs/>
          <w:iCs/>
          <w:spacing w:val="0"/>
          <w:rtl/>
        </w:rPr>
        <w:t>6.47 مليار دولار</w:t>
      </w:r>
      <w:r w:rsidRPr="00FF3102">
        <w:rPr>
          <w:rFonts w:ascii="Simplified Arabic" w:eastAsiaTheme="minorEastAsia" w:hAnsi="Simplified Arabic" w:cs="Simplified Arabic"/>
          <w:bCs/>
          <w:iCs/>
          <w:rtl/>
        </w:rPr>
        <w:t>، ويمثل ذلك</w:t>
      </w:r>
      <w:r w:rsidRPr="00FF3102">
        <w:rPr>
          <w:rFonts w:ascii="Simplified Arabic" w:eastAsiaTheme="minorEastAsia" w:hAnsi="Simplified Arabic" w:cs="Simplified Arabic"/>
          <w:bCs/>
          <w:iCs/>
          <w:spacing w:val="0"/>
          <w:rtl/>
        </w:rPr>
        <w:t xml:space="preserve"> 41 في المائة من الارتباطات الجارية في منطقة الشرق الأوسط وشمال أفريقيا.</w:t>
      </w:r>
      <w:r w:rsidRPr="00FF3102">
        <w:rPr>
          <w:rFonts w:ascii="Simplified Arabic" w:eastAsiaTheme="minorEastAsia" w:hAnsi="Simplified Arabic" w:cs="Simplified Arabic"/>
          <w:spacing w:val="0"/>
          <w:rtl/>
        </w:rPr>
        <w:t xml:space="preserve"> وفي أكتوبر 2015، تألفت حافظة مجموعة البنك الدولي الجاري تنفيذها من</w:t>
      </w:r>
      <w:r w:rsidRPr="00FF3102">
        <w:rPr>
          <w:rFonts w:ascii="Simplified Arabic" w:eastAsiaTheme="minorEastAsia" w:hAnsi="Simplified Arabic" w:cs="Simplified Arabic"/>
          <w:rtl/>
        </w:rPr>
        <w:t xml:space="preserve"> 18 مشروعا للبنك الدولي للإنشاء والتعمير و4 عمليات لصندوق البيئة العالمية و6 صناديق استئمانية كبيرة تنفذها الجهات المتلقية.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وتضاعف حجم هذه الحافظة تقريبا في السنة المالية 2010 مع الموافقة على ارتباطات كبيرة استجابةً للأزمة المالية، ولا تزال هذه الارتباطات في ارتفاع منذ ذلك الحين. وأدت الزيادة في الإقراض، الموجَّه بالأساس لمشروعات البنية التحتية بعقود كبيرة وعادةً بتأخير مدته عامان في عمليات الصرف، إلى انخفاض نسبة مدفوعات القروض من 25 في المائة في السنة المالية 2009 إلى 14 في المائة في السنة المالية 2010، في حين شهدت الفترة التي أعقبت ثورة يناير 2011 انخفاضا آخرَ إلى 7 في المائة في السنة المالية 2011. ومنذ السنة المالية 2012، تعافى معدل الصرف ليصل إلى 23 في المائة بنهاية السنة المالية 2015 (الجدول 4 يوضح البيانات التاريخية). </w:t>
      </w: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b/>
        </w:rPr>
        <w:br w:type="page"/>
      </w:r>
    </w:p>
    <w:tbl>
      <w:tblPr>
        <w:bidiVisual/>
        <w:tblW w:w="7830" w:type="dxa"/>
        <w:jc w:val="center"/>
        <w:tblLayout w:type="fixed"/>
        <w:tblLook w:val="04A0" w:firstRow="1" w:lastRow="0" w:firstColumn="1" w:lastColumn="0" w:noHBand="0" w:noVBand="1"/>
      </w:tblPr>
      <w:tblGrid>
        <w:gridCol w:w="2700"/>
        <w:gridCol w:w="732"/>
        <w:gridCol w:w="733"/>
        <w:gridCol w:w="733"/>
        <w:gridCol w:w="733"/>
        <w:gridCol w:w="733"/>
        <w:gridCol w:w="733"/>
        <w:gridCol w:w="733"/>
      </w:tblGrid>
      <w:tr w:rsidR="00810BAC" w:rsidRPr="00FF3102">
        <w:trPr>
          <w:trHeight w:val="215"/>
          <w:jc w:val="center"/>
        </w:trPr>
        <w:tc>
          <w:tcPr>
            <w:tcW w:w="7830" w:type="dxa"/>
            <w:gridSpan w:val="8"/>
            <w:tcBorders>
              <w:top w:val="nil"/>
              <w:left w:val="nil"/>
              <w:bottom w:val="single" w:sz="4" w:space="0" w:color="auto"/>
              <w:right w:val="nil"/>
            </w:tcBorders>
          </w:tcPr>
          <w:p w:rsidR="00810BAC" w:rsidRPr="00FF3102" w:rsidRDefault="00810BAC" w:rsidP="003612F4">
            <w:pPr>
              <w:pStyle w:val="Tables"/>
            </w:pPr>
            <w:bookmarkStart w:id="918" w:name="_Toc439185210"/>
            <w:r w:rsidRPr="00FF3102">
              <w:rPr>
                <w:rtl/>
              </w:rPr>
              <w:t>الجدول 4. نظرة سريعة على حافظة المشروعات في مصر، للسنوات المالية 2009-2015</w:t>
            </w:r>
            <w:bookmarkEnd w:id="918"/>
            <w:r w:rsidRPr="00FF3102">
              <w:t xml:space="preserve"> </w:t>
            </w:r>
          </w:p>
        </w:tc>
      </w:tr>
      <w:tr w:rsidR="00810BAC" w:rsidRPr="00FF3102">
        <w:trPr>
          <w:trHeight w:val="215"/>
          <w:jc w:val="center"/>
        </w:trPr>
        <w:tc>
          <w:tcPr>
            <w:tcW w:w="2700" w:type="dxa"/>
            <w:tcBorders>
              <w:top w:val="single" w:sz="4" w:space="0" w:color="auto"/>
              <w:left w:val="single" w:sz="4" w:space="0" w:color="auto"/>
              <w:bottom w:val="single" w:sz="8" w:space="0" w:color="auto"/>
              <w:right w:val="nil"/>
            </w:tcBorders>
            <w:tcMar>
              <w:left w:w="0" w:type="dxa"/>
              <w:right w:w="0" w:type="dxa"/>
            </w:tcMar>
          </w:tcPr>
          <w:p w:rsidR="00810BAC" w:rsidRPr="00FF3102" w:rsidRDefault="00810BAC" w:rsidP="00810BAC">
            <w:pPr>
              <w:bidi/>
              <w:jc w:val="center"/>
              <w:rPr>
                <w:rFonts w:ascii="Simplified Arabic" w:hAnsi="Simplified Arabic" w:cs="Simplified Arabic"/>
                <w:sz w:val="22"/>
                <w:szCs w:val="22"/>
              </w:rPr>
            </w:pPr>
            <w:r w:rsidRPr="00FF3102">
              <w:rPr>
                <w:rFonts w:ascii="Simplified Arabic" w:hAnsi="Simplified Arabic" w:cs="Simplified Arabic"/>
                <w:b/>
                <w:i/>
                <w:sz w:val="22"/>
                <w:szCs w:val="22"/>
              </w:rPr>
              <w:t> </w:t>
            </w:r>
          </w:p>
        </w:tc>
        <w:tc>
          <w:tcPr>
            <w:tcW w:w="732"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2009</w:t>
            </w:r>
          </w:p>
        </w:tc>
        <w:tc>
          <w:tcPr>
            <w:tcW w:w="733"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2010</w:t>
            </w:r>
          </w:p>
        </w:tc>
        <w:tc>
          <w:tcPr>
            <w:tcW w:w="733"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2011</w:t>
            </w:r>
          </w:p>
        </w:tc>
        <w:tc>
          <w:tcPr>
            <w:tcW w:w="733"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2012</w:t>
            </w:r>
          </w:p>
        </w:tc>
        <w:tc>
          <w:tcPr>
            <w:tcW w:w="733"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2013</w:t>
            </w:r>
          </w:p>
        </w:tc>
        <w:tc>
          <w:tcPr>
            <w:tcW w:w="733" w:type="dxa"/>
            <w:tcBorders>
              <w:top w:val="single" w:sz="4" w:space="0" w:color="auto"/>
              <w:left w:val="nil"/>
              <w:bottom w:val="single" w:sz="8" w:space="0" w:color="auto"/>
              <w:right w:val="nil"/>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2014</w:t>
            </w:r>
          </w:p>
        </w:tc>
        <w:tc>
          <w:tcPr>
            <w:tcW w:w="733" w:type="dxa"/>
            <w:tcBorders>
              <w:top w:val="single" w:sz="4" w:space="0" w:color="auto"/>
              <w:left w:val="nil"/>
              <w:bottom w:val="single" w:sz="8" w:space="0" w:color="auto"/>
              <w:right w:val="single" w:sz="4" w:space="0" w:color="auto"/>
            </w:tcBorders>
            <w:tcMar>
              <w:left w:w="0" w:type="dxa"/>
              <w:right w:w="0" w:type="dxa"/>
            </w:tcMar>
          </w:tcPr>
          <w:p w:rsidR="00810BAC" w:rsidRPr="00FF3102" w:rsidRDefault="00810BAC" w:rsidP="00810BAC">
            <w:pPr>
              <w:bidi/>
              <w:jc w:val="center"/>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iCs/>
                <w:sz w:val="22"/>
                <w:szCs w:val="22"/>
                <w:rtl/>
              </w:rPr>
              <w:t>السنة المالية 2015</w:t>
            </w:r>
          </w:p>
        </w:tc>
      </w:tr>
      <w:tr w:rsidR="00810BAC" w:rsidRPr="00FF3102">
        <w:trPr>
          <w:trHeight w:val="183"/>
          <w:jc w:val="center"/>
        </w:trPr>
        <w:tc>
          <w:tcPr>
            <w:tcW w:w="7830" w:type="dxa"/>
            <w:gridSpan w:val="8"/>
            <w:tcBorders>
              <w:top w:val="single" w:sz="8" w:space="0" w:color="auto"/>
              <w:left w:val="single" w:sz="4" w:space="0" w:color="auto"/>
              <w:bottom w:val="single" w:sz="8" w:space="0" w:color="auto"/>
              <w:right w:val="single" w:sz="4" w:space="0" w:color="auto"/>
            </w:tcBorders>
            <w:shd w:val="clear" w:color="000000" w:fill="D9D9D9"/>
            <w:tcMar>
              <w:left w:w="29" w:type="dxa"/>
              <w:right w:w="0" w:type="dxa"/>
            </w:tcMar>
          </w:tcPr>
          <w:p w:rsidR="00810BAC" w:rsidRPr="00FF3102" w:rsidRDefault="00810BAC" w:rsidP="00810BAC">
            <w:pPr>
              <w:bidi/>
              <w:rPr>
                <w:rFonts w:ascii="Simplified Arabic" w:eastAsiaTheme="minorEastAsia" w:hAnsi="Simplified Arabic" w:cs="Simplified Arabic"/>
                <w:sz w:val="22"/>
                <w:szCs w:val="22"/>
                <w:rtl/>
              </w:rPr>
            </w:pPr>
            <w:r w:rsidRPr="00FF3102">
              <w:rPr>
                <w:rFonts w:ascii="Simplified Arabic" w:eastAsiaTheme="minorEastAsia" w:hAnsi="Simplified Arabic" w:cs="Simplified Arabic"/>
                <w:bCs/>
                <w:sz w:val="22"/>
                <w:szCs w:val="22"/>
                <w:rtl/>
              </w:rPr>
              <w:t>حافظة المشروعات ومدفوعات القروض</w:t>
            </w:r>
          </w:p>
        </w:tc>
      </w:tr>
      <w:tr w:rsidR="00810BAC" w:rsidRPr="00FF3102">
        <w:trPr>
          <w:trHeight w:val="174"/>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مشروعات جارية (العدد)</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26</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26</w:t>
            </w:r>
          </w:p>
        </w:tc>
      </w:tr>
      <w:tr w:rsidR="00810BAC" w:rsidRPr="00FF3102">
        <w:trPr>
          <w:trHeight w:val="19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صافي ارتباطات القروض (بملايين الدولارات)</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1,794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3,400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3,894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4,072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4,615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4,908</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5,921</w:t>
            </w:r>
          </w:p>
        </w:tc>
      </w:tr>
      <w:tr w:rsidR="00810BAC" w:rsidRPr="00FF3102">
        <w:trPr>
          <w:trHeight w:val="250"/>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أرصدة غير مدفوعة (بملايين الدولارات)</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1,542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2,884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3,205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3,242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3,380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3,308</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3,584</w:t>
            </w:r>
          </w:p>
        </w:tc>
      </w:tr>
      <w:tr w:rsidR="00810BAC" w:rsidRPr="00FF3102">
        <w:trPr>
          <w:trHeight w:val="219"/>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مدفوعات القروض في السنة المالية (بملايين الدولارات)</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113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298</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173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378</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448</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372</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750</w:t>
            </w:r>
          </w:p>
        </w:tc>
      </w:tr>
      <w:tr w:rsidR="00810BAC" w:rsidRPr="00FF3102">
        <w:trPr>
          <w:trHeight w:val="20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نسبة مدفوعات القروض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7%</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11%</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23%</w:t>
            </w:r>
          </w:p>
        </w:tc>
      </w:tr>
      <w:tr w:rsidR="00810BAC" w:rsidRPr="00FF3102">
        <w:trPr>
          <w:trHeight w:val="169"/>
          <w:jc w:val="center"/>
        </w:trPr>
        <w:tc>
          <w:tcPr>
            <w:tcW w:w="2700" w:type="dxa"/>
            <w:tcBorders>
              <w:top w:val="nil"/>
              <w:left w:val="single" w:sz="4" w:space="0" w:color="auto"/>
              <w:bottom w:val="single" w:sz="8"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بطء عمليات الصرف (%)</w:t>
            </w:r>
          </w:p>
        </w:tc>
        <w:tc>
          <w:tcPr>
            <w:tcW w:w="732"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7%</w:t>
            </w:r>
          </w:p>
        </w:tc>
        <w:tc>
          <w:tcPr>
            <w:tcW w:w="733"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tl/>
                <w:lang w:bidi="ar-EG"/>
              </w:rPr>
            </w:pPr>
            <w:r w:rsidRPr="00FF3102">
              <w:rPr>
                <w:rFonts w:ascii="Simplified Arabic" w:hAnsi="Simplified Arabic" w:cs="Simplified Arabic"/>
                <w:sz w:val="22"/>
                <w:szCs w:val="22"/>
              </w:rPr>
              <w:t> </w:t>
            </w:r>
          </w:p>
        </w:tc>
        <w:tc>
          <w:tcPr>
            <w:tcW w:w="733"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9%</w:t>
            </w:r>
          </w:p>
        </w:tc>
        <w:tc>
          <w:tcPr>
            <w:tcW w:w="733" w:type="dxa"/>
            <w:tcBorders>
              <w:top w:val="nil"/>
              <w:left w:val="nil"/>
              <w:bottom w:val="single" w:sz="8" w:space="0" w:color="auto"/>
              <w:right w:val="nil"/>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12%</w:t>
            </w:r>
          </w:p>
        </w:tc>
        <w:tc>
          <w:tcPr>
            <w:tcW w:w="733" w:type="dxa"/>
            <w:tcBorders>
              <w:top w:val="nil"/>
              <w:left w:val="nil"/>
              <w:bottom w:val="single" w:sz="8" w:space="0" w:color="auto"/>
              <w:right w:val="single" w:sz="4" w:space="0" w:color="auto"/>
            </w:tcBorders>
            <w:noWrap/>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21%</w:t>
            </w:r>
          </w:p>
        </w:tc>
      </w:tr>
      <w:tr w:rsidR="00810BAC" w:rsidRPr="00FF3102">
        <w:trPr>
          <w:trHeight w:val="182"/>
          <w:jc w:val="center"/>
        </w:trPr>
        <w:tc>
          <w:tcPr>
            <w:tcW w:w="7830" w:type="dxa"/>
            <w:gridSpan w:val="8"/>
            <w:tcBorders>
              <w:top w:val="single" w:sz="8" w:space="0" w:color="auto"/>
              <w:left w:val="single" w:sz="4" w:space="0" w:color="auto"/>
              <w:bottom w:val="single" w:sz="8" w:space="0" w:color="auto"/>
              <w:right w:val="single" w:sz="4" w:space="0" w:color="auto"/>
            </w:tcBorders>
            <w:shd w:val="clear" w:color="000000" w:fill="D9D9D9"/>
            <w:tcMar>
              <w:left w:w="29" w:type="dxa"/>
              <w:right w:w="0" w:type="dxa"/>
            </w:tcMar>
          </w:tcPr>
          <w:p w:rsidR="00810BAC" w:rsidRPr="00FF3102" w:rsidRDefault="00810BAC" w:rsidP="00810BAC">
            <w:pPr>
              <w:bidi/>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bCs/>
                <w:sz w:val="22"/>
                <w:szCs w:val="22"/>
                <w:rtl/>
              </w:rPr>
              <w:t>مخاطر الحافظة</w:t>
            </w:r>
          </w:p>
        </w:tc>
      </w:tr>
      <w:tr w:rsidR="00810BAC" w:rsidRPr="00FF3102">
        <w:trPr>
          <w:trHeight w:val="201"/>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مشروعات تعاني بالفعل من مشاكل (العدد)</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8</w:t>
            </w:r>
          </w:p>
        </w:tc>
      </w:tr>
      <w:tr w:rsidR="00810BAC" w:rsidRPr="00FF3102">
        <w:trPr>
          <w:trHeight w:val="17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مشروعات تعاني بالفعل من مشاكل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30%</w:t>
            </w:r>
          </w:p>
        </w:tc>
      </w:tr>
      <w:tr w:rsidR="00810BAC" w:rsidRPr="00FF3102">
        <w:trPr>
          <w:trHeight w:val="17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مشروعات معرضة للمخاطر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27%</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29%</w:t>
            </w:r>
          </w:p>
        </w:tc>
      </w:tr>
      <w:tr w:rsidR="00810BAC" w:rsidRPr="00FF3102">
        <w:trPr>
          <w:trHeight w:val="20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ارتباطات معرضة للمخاطر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16%</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9%</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17%</w:t>
            </w:r>
          </w:p>
        </w:tc>
      </w:tr>
      <w:tr w:rsidR="00810BAC" w:rsidRPr="00FF3102">
        <w:trPr>
          <w:trHeight w:val="187"/>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rPr>
            </w:pPr>
            <w:r w:rsidRPr="00FF3102">
              <w:rPr>
                <w:rFonts w:ascii="Simplified Arabic" w:eastAsiaTheme="minorEastAsia" w:hAnsi="Simplified Arabic" w:cs="Simplified Arabic"/>
                <w:spacing w:val="-4"/>
                <w:sz w:val="22"/>
                <w:szCs w:val="22"/>
                <w:rtl/>
              </w:rPr>
              <w:t>مؤشر التفاعل الإيجابي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67%</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50%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60%</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r>
      <w:tr w:rsidR="00810BAC" w:rsidRPr="00FF3102">
        <w:trPr>
          <w:trHeight w:val="158"/>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rPr>
            </w:pPr>
            <w:r w:rsidRPr="00FF3102">
              <w:rPr>
                <w:rFonts w:ascii="Simplified Arabic" w:eastAsiaTheme="minorEastAsia" w:hAnsi="Simplified Arabic" w:cs="Simplified Arabic"/>
                <w:spacing w:val="-4"/>
                <w:sz w:val="22"/>
                <w:szCs w:val="22"/>
                <w:rtl/>
              </w:rPr>
              <w:t>مؤشر الواقعية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 </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100%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 </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 </w:t>
            </w:r>
          </w:p>
        </w:tc>
      </w:tr>
      <w:tr w:rsidR="00810BAC" w:rsidRPr="00FF3102">
        <w:trPr>
          <w:trHeight w:val="205"/>
          <w:jc w:val="center"/>
        </w:trPr>
        <w:tc>
          <w:tcPr>
            <w:tcW w:w="2700" w:type="dxa"/>
            <w:tcBorders>
              <w:top w:val="nil"/>
              <w:left w:val="single" w:sz="4" w:space="0" w:color="auto"/>
              <w:bottom w:val="dotted" w:sz="4" w:space="0" w:color="auto"/>
              <w:right w:val="nil"/>
            </w:tcBorders>
            <w:tcMar>
              <w:left w:w="29" w:type="dxa"/>
              <w:right w:w="0" w:type="dxa"/>
            </w:tcMar>
          </w:tcPr>
          <w:p w:rsidR="00810BAC" w:rsidRPr="00FF3102" w:rsidRDefault="00810BAC" w:rsidP="00810BAC">
            <w:pPr>
              <w:bidi/>
              <w:ind w:left="61"/>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spacing w:val="-4"/>
                <w:sz w:val="22"/>
                <w:szCs w:val="22"/>
                <w:rtl/>
              </w:rPr>
              <w:t>تأخر بدء التنفيذ (%)</w:t>
            </w:r>
          </w:p>
        </w:tc>
        <w:tc>
          <w:tcPr>
            <w:tcW w:w="732"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33%</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20%</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25%</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14%</w:t>
            </w:r>
          </w:p>
        </w:tc>
        <w:tc>
          <w:tcPr>
            <w:tcW w:w="733" w:type="dxa"/>
            <w:tcBorders>
              <w:top w:val="nil"/>
              <w:left w:val="nil"/>
              <w:bottom w:val="dotted" w:sz="4" w:space="0" w:color="auto"/>
              <w:right w:val="nil"/>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12%</w:t>
            </w:r>
          </w:p>
        </w:tc>
        <w:tc>
          <w:tcPr>
            <w:tcW w:w="733" w:type="dxa"/>
            <w:tcBorders>
              <w:top w:val="nil"/>
              <w:left w:val="nil"/>
              <w:bottom w:val="dotted" w:sz="4" w:space="0" w:color="auto"/>
              <w:right w:val="single" w:sz="4" w:space="0" w:color="auto"/>
            </w:tcBorders>
            <w:tcMar>
              <w:left w:w="29" w:type="dxa"/>
              <w:right w:w="0" w:type="dxa"/>
            </w:tcMar>
          </w:tcPr>
          <w:p w:rsidR="00810BAC" w:rsidRPr="00FF3102" w:rsidRDefault="00810BAC" w:rsidP="00810BAC">
            <w:pPr>
              <w:tabs>
                <w:tab w:val="decimal" w:pos="403"/>
              </w:tabs>
              <w:bidi/>
              <w:rPr>
                <w:rFonts w:ascii="Simplified Arabic" w:hAnsi="Simplified Arabic" w:cs="Simplified Arabic"/>
                <w:sz w:val="22"/>
                <w:szCs w:val="22"/>
              </w:rPr>
            </w:pPr>
            <w:r w:rsidRPr="00FF3102">
              <w:rPr>
                <w:rFonts w:ascii="Simplified Arabic" w:hAnsi="Simplified Arabic" w:cs="Simplified Arabic"/>
                <w:sz w:val="22"/>
                <w:szCs w:val="22"/>
              </w:rPr>
              <w:t>13%</w:t>
            </w:r>
          </w:p>
        </w:tc>
      </w:tr>
      <w:tr w:rsidR="00810BAC" w:rsidRPr="00FF3102">
        <w:trPr>
          <w:trHeight w:val="219"/>
          <w:jc w:val="center"/>
        </w:trPr>
        <w:tc>
          <w:tcPr>
            <w:tcW w:w="7830" w:type="dxa"/>
            <w:gridSpan w:val="8"/>
            <w:tcBorders>
              <w:top w:val="dotted" w:sz="4" w:space="0" w:color="auto"/>
              <w:left w:val="single" w:sz="4" w:space="0" w:color="auto"/>
              <w:bottom w:val="single" w:sz="4" w:space="0" w:color="auto"/>
              <w:right w:val="single" w:sz="4" w:space="0" w:color="auto"/>
            </w:tcBorders>
            <w:tcMar>
              <w:left w:w="29" w:type="dxa"/>
              <w:right w:w="0" w:type="dxa"/>
            </w:tcMar>
          </w:tcPr>
          <w:p w:rsidR="00810BAC" w:rsidRPr="00FF3102" w:rsidRDefault="00810BAC" w:rsidP="00810BAC">
            <w:pPr>
              <w:bidi/>
              <w:rPr>
                <w:rFonts w:ascii="Simplified Arabic" w:eastAsiaTheme="minorEastAsia" w:hAnsi="Simplified Arabic" w:cs="Simplified Arabic"/>
                <w:sz w:val="22"/>
                <w:szCs w:val="22"/>
                <w:rtl/>
                <w:lang w:bidi="ar-EG"/>
              </w:rPr>
            </w:pPr>
            <w:r w:rsidRPr="00FF3102">
              <w:rPr>
                <w:rFonts w:ascii="Simplified Arabic" w:eastAsiaTheme="minorEastAsia" w:hAnsi="Simplified Arabic" w:cs="Simplified Arabic"/>
                <w:iCs/>
                <w:sz w:val="22"/>
                <w:szCs w:val="22"/>
                <w:rtl/>
              </w:rPr>
              <w:t>ملاحظة:</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يشمل كل من عدد المشروعات ومدفوعات القروض والارتباطات الصناديق</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الاستئمانية</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الصغيرة</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التي</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تنفذها</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الجهات</w:t>
            </w:r>
            <w:r w:rsidRPr="00FF3102">
              <w:rPr>
                <w:rFonts w:ascii="Simplified Arabic" w:eastAsiaTheme="minorEastAsia" w:hAnsi="Simplified Arabic" w:cs="Simplified Arabic"/>
                <w:sz w:val="22"/>
                <w:szCs w:val="22"/>
              </w:rPr>
              <w:t xml:space="preserve"> </w:t>
            </w:r>
            <w:r w:rsidRPr="00FF3102">
              <w:rPr>
                <w:rFonts w:ascii="Simplified Arabic" w:eastAsiaTheme="minorEastAsia" w:hAnsi="Simplified Arabic" w:cs="Simplified Arabic"/>
                <w:sz w:val="22"/>
                <w:szCs w:val="22"/>
                <w:rtl/>
              </w:rPr>
              <w:t>المتلقية والتي تقل قيمتها عن 5 ملايين دولار، في حين تستثني جميع المؤشرات الأخرى هذه الصناديق.</w:t>
            </w:r>
            <w:r w:rsidRPr="00FF3102">
              <w:rPr>
                <w:rFonts w:ascii="Simplified Arabic" w:eastAsiaTheme="minorEastAsia" w:hAnsi="Simplified Arabic" w:cs="Simplified Arabic"/>
                <w:sz w:val="22"/>
                <w:szCs w:val="22"/>
              </w:rPr>
              <w:t xml:space="preserve"> . </w:t>
            </w:r>
            <w:r w:rsidRPr="00FF3102">
              <w:rPr>
                <w:rFonts w:ascii="Simplified Arabic" w:eastAsiaTheme="minorEastAsia" w:hAnsi="Simplified Arabic" w:cs="Simplified Arabic"/>
                <w:sz w:val="22"/>
                <w:szCs w:val="22"/>
                <w:rtl/>
              </w:rPr>
              <w:t>ولا ترد بالجدول المشروعات التي تم إقفالها خلال السنة المالية والمبالغ المصروفة على هذه المشروعات.</w:t>
            </w:r>
          </w:p>
        </w:tc>
      </w:tr>
    </w:tbl>
    <w:p w:rsidR="00810BAC" w:rsidRPr="00FF3102" w:rsidRDefault="00810BAC" w:rsidP="00810BAC">
      <w:pPr>
        <w:bidi/>
        <w:rPr>
          <w:rFonts w:ascii="Simplified Arabic" w:hAnsi="Simplified Arabic" w:cs="Simplified Arabic"/>
        </w:rPr>
      </w:pPr>
    </w:p>
    <w:p w:rsidR="00810BAC" w:rsidRPr="00FF3102" w:rsidRDefault="00810BAC" w:rsidP="009A7F4D">
      <w:pPr>
        <w:pStyle w:val="MainParanoChapter"/>
        <w:numPr>
          <w:ilvl w:val="0"/>
          <w:numId w:val="22"/>
        </w:numPr>
        <w:tabs>
          <w:tab w:val="clear" w:pos="1440"/>
        </w:tabs>
        <w:bidi/>
        <w:ind w:left="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تمثل الصناديق الاستئمانية مكونا مهما في مساندة البنك لمصر</w:t>
      </w:r>
      <w:r w:rsidRPr="00FF3102">
        <w:rPr>
          <w:rFonts w:ascii="Simplified Arabic" w:eastAsiaTheme="minorEastAsia" w:hAnsi="Simplified Arabic" w:cs="Simplified Arabic"/>
          <w:spacing w:val="0"/>
          <w:rtl/>
        </w:rPr>
        <w:t>. ويعمل البنك كهمزة وصل بين شركاء التنمية والحكومة المصرية للتعاون على مساندة تطبيق نُهج تجريبية وبناء القدرات وتقديم المشورة الفنية المتطورة، في حين تتيح مساندة شركاء التنمية، وذلك إلى حد كبير من خلال الصناديق الاستئمانية لبلدان محددة، للبنك تعبئة التمويل للمشروعات والبرامج من البنك الدولي للإنشاء والتعمير وتوسيع نطاق التغطية.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 xml:space="preserve">وفي أكتوبر 2015، كان </w:t>
      </w:r>
      <w:r w:rsidRPr="00FF3102">
        <w:rPr>
          <w:rFonts w:ascii="Simplified Arabic" w:eastAsiaTheme="minorEastAsia" w:hAnsi="Simplified Arabic" w:cs="Simplified Arabic"/>
          <w:rtl/>
        </w:rPr>
        <w:t>هناك</w:t>
      </w:r>
      <w:r w:rsidRPr="00FF3102">
        <w:rPr>
          <w:rFonts w:ascii="Simplified Arabic" w:eastAsiaTheme="minorEastAsia" w:hAnsi="Simplified Arabic" w:cs="Simplified Arabic"/>
          <w:spacing w:val="0"/>
          <w:rtl/>
        </w:rPr>
        <w:t xml:space="preserve"> 58 صندوقا استئمانيا</w:t>
      </w:r>
      <w:r w:rsidRPr="00FF3102">
        <w:rPr>
          <w:rFonts w:ascii="Simplified Arabic" w:eastAsiaTheme="minorEastAsia" w:hAnsi="Simplified Arabic" w:cs="Simplified Arabic"/>
          <w:rtl/>
        </w:rPr>
        <w:t xml:space="preserve"> تساند</w:t>
      </w:r>
      <w:r w:rsidRPr="00FF3102">
        <w:rPr>
          <w:rFonts w:ascii="Simplified Arabic" w:eastAsiaTheme="minorEastAsia" w:hAnsi="Simplified Arabic" w:cs="Simplified Arabic"/>
          <w:spacing w:val="0"/>
          <w:rtl/>
        </w:rPr>
        <w:t xml:space="preserve"> مصر، من بينها 39 صندوقا يضطلع البنك بتنفيذها و19 صندوقا تنفذها الجهات المتلقية بإجمالي 306.9 مليون دولار، وتركز على </w:t>
      </w:r>
      <w:r w:rsidRPr="00FF3102">
        <w:rPr>
          <w:rFonts w:ascii="Simplified Arabic" w:eastAsiaTheme="minorEastAsia" w:hAnsi="Simplified Arabic" w:cs="Simplified Arabic"/>
          <w:rtl/>
        </w:rPr>
        <w:t xml:space="preserve">قطاعي </w:t>
      </w:r>
      <w:r w:rsidRPr="00FF3102">
        <w:rPr>
          <w:rFonts w:ascii="Simplified Arabic" w:eastAsiaTheme="minorEastAsia" w:hAnsi="Simplified Arabic" w:cs="Simplified Arabic"/>
          <w:spacing w:val="0"/>
          <w:rtl/>
        </w:rPr>
        <w:t>الزراعة والمياه والحماية الاجتماعية والنقل وتكنولوجيا المعلومات والاتصالات والتمويل وتنمية القطاع الخاص.</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وأكبر هذه الصناديق الصندوق الاستئماني لطاقة الرياح بمبلغ 150 مليون دولار يليه الصندوق الاستئماني للاتحاد الأوروبي بمبلغ 67.6 مليون يورو (85.8 مليون دولار في أكتوبر 2015) والذي يساند تقديم الحماية الاجتماعية. ويشكل الصندوقان معا 75 في المائة من حافظة الصناديق الاستئمانية.</w:t>
      </w:r>
    </w:p>
    <w:p w:rsidR="00810BAC" w:rsidRPr="00FF3102" w:rsidRDefault="00810BAC" w:rsidP="009A7F4D">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لمعالجة القضايا المتعلقة بتنفيذ حافظة المشروعات، قام البنك والحكومة المصرية بوضع خطة لتحسين حافظة المشروعات تستهدف الحد من حالات التأخير في بدء التنفيذ ومخاطر الحافظة، وزيادة نسب مدفوعات القروض، ومن ثم تحسين النتائج.</w:t>
      </w:r>
      <w:r w:rsidRPr="00FF3102">
        <w:rPr>
          <w:rFonts w:ascii="Simplified Arabic" w:eastAsiaTheme="minorEastAsia" w:hAnsi="Simplified Arabic" w:cs="Simplified Arabic"/>
          <w:spacing w:val="0"/>
          <w:rtl/>
        </w:rPr>
        <w:t xml:space="preserve"> وتقوم الإجراءات التدخلية على مبادئ هي: (أ) سرعة إعادة الهيكلة حسب الحاجة؛ (ب) الإلغاءات الاستباقية للمشروعات </w:t>
      </w:r>
      <w:r w:rsidRPr="00FF3102">
        <w:rPr>
          <w:rFonts w:ascii="Simplified Arabic" w:eastAsiaTheme="minorEastAsia" w:hAnsi="Simplified Arabic" w:cs="Simplified Arabic"/>
          <w:rtl/>
        </w:rPr>
        <w:t>المتعثرة</w:t>
      </w:r>
      <w:r w:rsidRPr="00FF3102">
        <w:rPr>
          <w:rFonts w:ascii="Simplified Arabic" w:eastAsiaTheme="minorEastAsia" w:hAnsi="Simplified Arabic" w:cs="Simplified Arabic"/>
          <w:spacing w:val="0"/>
          <w:rtl/>
        </w:rPr>
        <w:t xml:space="preserve">؛ (ج) ما لم تكن هناك خطة واضحة لإعادة الهيكلة، عدم تمديد أجل المشروعات التي تعاني من مشاكل، أو منحها مهلا محددة؛ (د) عدم الموافقة على مشروعات جديدة في قطاعات يجري بها تنفيذ مشروعات </w:t>
      </w:r>
      <w:r w:rsidRPr="00FF3102">
        <w:rPr>
          <w:rFonts w:ascii="Simplified Arabic" w:eastAsiaTheme="minorEastAsia" w:hAnsi="Simplified Arabic" w:cs="Simplified Arabic"/>
          <w:rtl/>
        </w:rPr>
        <w:t>متعثرة</w:t>
      </w:r>
      <w:r w:rsidRPr="00FF3102">
        <w:rPr>
          <w:rFonts w:ascii="Simplified Arabic" w:eastAsiaTheme="minorEastAsia" w:hAnsi="Simplified Arabic" w:cs="Simplified Arabic"/>
          <w:spacing w:val="0"/>
          <w:rtl/>
        </w:rPr>
        <w:t>. وإذا تحسَّن الأداء بشكل كبير، يجب أن يراعي تصميم المشروعات الجديدة الدروس المستفادة؛ (ه) التركيز على زيادة قدرات التنفيذ في مجالات من بينها المشتريات وإدارة الشؤون المالية والإجراءات الوقائية.</w:t>
      </w:r>
      <w:r w:rsidRPr="00FF3102">
        <w:rPr>
          <w:rFonts w:ascii="Simplified Arabic" w:eastAsiaTheme="minorEastAsia" w:hAnsi="Simplified Arabic" w:cs="Simplified Arabic"/>
          <w:color w:val="000000"/>
          <w:spacing w:val="0"/>
          <w:kern w:val="24"/>
        </w:rPr>
        <w:t xml:space="preserve"> </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تركز خطة تحسين حافظة المشروعات على نوعين من المشروعات: </w:t>
      </w:r>
      <w:r w:rsidRPr="00FF3102">
        <w:rPr>
          <w:rFonts w:ascii="Simplified Arabic" w:eastAsiaTheme="minorEastAsia" w:hAnsi="Simplified Arabic" w:cs="Simplified Arabic"/>
          <w:spacing w:val="0"/>
          <w:rtl/>
        </w:rPr>
        <w:t xml:space="preserve">المشروعات في القطاعات غير المتوافقة مع أولويات إطار الشراكة الإستراتيجية، والمشروعات في القطاعات المتوافقة مع هذه الأولويات والتي لا تقوم بالصرف. وسيتم إقفال النوع الأول من المشروعات كما هو مقرر خلال السنوات الأربع القادمة. ويشمل ذلك مشروعات توليد الكهرباء، وهي </w:t>
      </w:r>
      <w:r w:rsidRPr="00FF3102">
        <w:rPr>
          <w:rFonts w:ascii="Simplified Arabic" w:eastAsiaTheme="minorEastAsia" w:hAnsi="Simplified Arabic" w:cs="Simplified Arabic"/>
          <w:rtl/>
        </w:rPr>
        <w:t>مشروع</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محطة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كهرباء</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جنوب</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حلوان</w:t>
      </w:r>
      <w:r w:rsidRPr="00FF3102">
        <w:rPr>
          <w:rFonts w:ascii="Simplified Arabic" w:eastAsiaTheme="minorEastAsia" w:hAnsi="Simplified Arabic" w:cs="Simplified Arabic"/>
          <w:spacing w:val="0"/>
          <w:rtl/>
        </w:rPr>
        <w:t xml:space="preserve"> ومحطة كهرباء شمال الجيزة ومحطة كهرباء العين السخنة، وكذلك مشروع المطار. وسيكون هناك دور واضح للقطاع الخاص في كل هذه القطاعات، وستسعى مؤسسة التمويل الدولية إلى إيجاد فرص للاستثمار فيها حسب الاقتضاء. وبالنسبة للمشروعات في القطاعات المتوافقة مع أولويات إطار الشراكة الإستراتيجية والتي لا تقوم بالصرف، فإنه لن تتم الموافقة على مشروعات جديدة ما لم يحدث تحسُّن كبير في أداء المشروعات الجارية. وسيقوم البنك بعمليات إعادة هيكلة لهذه المشروعات عند الاقتضاء، مع إجراء الإقفال في المواعيد المحددة.</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لتحسين قدرات التنفيذ، سيركز البنك على مجالات المشتريات العامة والضوابط المالية وتطوير الجهاز المركزي للمحاسبات والإجراءات الوقائية، وهو مجال للمشاركة سيجري توسيع نطاقه وتعميقه خلال الفترة التي يغطيها إطار الشراكة الإستراتيجية.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وسيتم توخي قدر أكبر من العناية الواجبة في القيام بالمشتريات في العمليات عالية القيمة وشديدة التعقيد، وستُحدد نقاط دخول خلال تصميم المشروعات. وستكون هناك حاجة أيضا إلى المشتريات والمساعدة الفنية المسبقة وكذلك المشاركة النشطة مع الحكومة في تحديث ممارسات المشتريات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مع استخدام نظام إلكتروني للمشتريات والمدفوعات بغية تحسين إجراءات صرف المدفوعات. وبالإضافة إلى ذلك، سيتم بذل مزيد من الجهود سعياً لتدعيم القدرات المؤسسية والالتزام بالإجراءات الوقائية لتخفيف حدة القضايا المتعلقة بها أثناء إعداد المشروعات وتنفيذها، لاسيما فيما يتعلق بإدارة تملُّك الأراضي التي صارت تحديا يواجه جميع مشروعات البنية التحتية.</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أسفرت الجهود المبذولة حتى الآن عن تحقيق قدر كبير من التحسُّن في حافظة المشروعات، وإن كان يلزم إحراز المزيد من التقدُّم.</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وزادت نسبة مدفوعات القروض من 11 في المائة خلال السنة المالية 2014 إلى 23 في المائة خلال السنة المالية 2015، كما قلت نسبة حالات التأخير في بدء التنفيذ من 20 في المائة خلال السنة المالية 2011 إلى 13 في المائة خلال السنة المالية 2015 (الجدول 4). وتحسَّن معدل التفاعل الإيجابي من 20 في المائة خلال السنة المالية 2013 إلى 60 في المائة خلال السنة المالية 2014 وبنسبة مائة في المائة خلال السنة المالية 2015، وهو أعلى بكثير من المتوسط الخاص بالمنطقة والبنك (البالغ حوالي 65 في المائة)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ورغم ذلك، فإنه يلزم بذل المزيد من الجهود المكثفة والإستراتيجية على مستوى المشروعات والقطاعات والبرامج بما في ذلك مواصلة إجراء استعراضات منتظمة للحافظة من أجل تحسين أدائها. وسيلزم الاتفاق مع الحكومة على آليات تمكين محددة لمواصلة إحراز تقدُّم فيما يتعلق بحالات التأخير في بدء التنفيذ، وذلك بعد الانتخابات البرلمانية.</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9A7F4D">
        <w:rPr>
          <w:rFonts w:ascii="Simplified Arabic" w:eastAsiaTheme="minorEastAsia" w:hAnsi="Simplified Arabic" w:cs="Simplified Arabic"/>
          <w:bCs/>
          <w:i/>
          <w:iCs/>
          <w:rtl/>
        </w:rPr>
        <w:t xml:space="preserve">حافظة مشروعات </w:t>
      </w:r>
      <w:r w:rsidRPr="009A7F4D">
        <w:rPr>
          <w:rFonts w:ascii="Simplified Arabic" w:eastAsiaTheme="minorEastAsia" w:hAnsi="Simplified Arabic" w:cs="Simplified Arabic"/>
          <w:bCs/>
          <w:i/>
          <w:iCs/>
          <w:spacing w:val="0"/>
          <w:rtl/>
        </w:rPr>
        <w:t>مؤسسة التمويل الدولية في</w:t>
      </w:r>
      <w:r w:rsidRPr="009A7F4D">
        <w:rPr>
          <w:rFonts w:ascii="Simplified Arabic" w:eastAsiaTheme="minorEastAsia" w:hAnsi="Simplified Arabic" w:cs="Simplified Arabic"/>
          <w:bCs/>
          <w:i/>
          <w:iCs/>
          <w:rtl/>
        </w:rPr>
        <w:t xml:space="preserve"> مصر هي الأكبر</w:t>
      </w:r>
      <w:r w:rsidRPr="009A7F4D">
        <w:rPr>
          <w:rFonts w:ascii="Simplified Arabic" w:eastAsiaTheme="minorEastAsia" w:hAnsi="Simplified Arabic" w:cs="Simplified Arabic"/>
          <w:bCs/>
          <w:i/>
          <w:iCs/>
          <w:spacing w:val="0"/>
          <w:rtl/>
        </w:rPr>
        <w:t xml:space="preserve"> </w:t>
      </w:r>
      <w:r w:rsidRPr="009A7F4D">
        <w:rPr>
          <w:rFonts w:ascii="Simplified Arabic" w:eastAsiaTheme="minorEastAsia" w:hAnsi="Simplified Arabic" w:cs="Simplified Arabic"/>
          <w:bCs/>
          <w:i/>
          <w:iCs/>
          <w:rtl/>
        </w:rPr>
        <w:t xml:space="preserve">في </w:t>
      </w:r>
      <w:r w:rsidRPr="009A7F4D">
        <w:rPr>
          <w:rFonts w:ascii="Simplified Arabic" w:eastAsiaTheme="minorEastAsia" w:hAnsi="Simplified Arabic" w:cs="Simplified Arabic"/>
          <w:bCs/>
          <w:i/>
          <w:iCs/>
          <w:spacing w:val="0"/>
          <w:rtl/>
        </w:rPr>
        <w:t>منطقة الشرق الأوسط وشمال أفريقيا</w:t>
      </w:r>
      <w:r w:rsidRPr="009A7F4D">
        <w:rPr>
          <w:rFonts w:ascii="Simplified Arabic" w:eastAsiaTheme="minorEastAsia" w:hAnsi="Simplified Arabic" w:cs="Simplified Arabic"/>
          <w:bCs/>
          <w:i/>
          <w:iCs/>
          <w:rtl/>
        </w:rPr>
        <w:t>،</w:t>
      </w:r>
      <w:r w:rsidRPr="009A7F4D">
        <w:rPr>
          <w:rFonts w:ascii="Simplified Arabic" w:eastAsiaTheme="minorEastAsia" w:hAnsi="Simplified Arabic" w:cs="Simplified Arabic"/>
          <w:bCs/>
          <w:i/>
          <w:iCs/>
          <w:spacing w:val="0"/>
          <w:rtl/>
        </w:rPr>
        <w:t xml:space="preserve"> حيث تصل قيمتها إلى نحو مليار دولار</w:t>
      </w:r>
      <w:r w:rsidRPr="009A7F4D">
        <w:rPr>
          <w:rFonts w:ascii="Simplified Arabic" w:eastAsiaTheme="minorEastAsia" w:hAnsi="Simplified Arabic" w:cs="Simplified Arabic"/>
          <w:bCs/>
          <w:i/>
          <w:iCs/>
          <w:rtl/>
        </w:rPr>
        <w:t>،</w:t>
      </w:r>
      <w:r w:rsidRPr="009A7F4D">
        <w:rPr>
          <w:rFonts w:ascii="Simplified Arabic" w:eastAsiaTheme="minorEastAsia" w:hAnsi="Simplified Arabic" w:cs="Simplified Arabic"/>
          <w:bCs/>
          <w:i/>
          <w:iCs/>
          <w:spacing w:val="0"/>
          <w:rtl/>
        </w:rPr>
        <w:t xml:space="preserve"> نصفها تقريباً في</w:t>
      </w:r>
      <w:r w:rsidRPr="009A7F4D">
        <w:rPr>
          <w:rFonts w:ascii="Simplified Arabic" w:eastAsiaTheme="minorEastAsia" w:hAnsi="Simplified Arabic" w:cs="Simplified Arabic"/>
          <w:bCs/>
          <w:i/>
          <w:iCs/>
          <w:rtl/>
        </w:rPr>
        <w:t xml:space="preserve"> شكل</w:t>
      </w:r>
      <w:r w:rsidRPr="009A7F4D">
        <w:rPr>
          <w:rFonts w:ascii="Simplified Arabic" w:eastAsiaTheme="minorEastAsia" w:hAnsi="Simplified Arabic" w:cs="Simplified Arabic"/>
          <w:bCs/>
          <w:i/>
          <w:iCs/>
          <w:spacing w:val="0"/>
          <w:rtl/>
        </w:rPr>
        <w:t xml:space="preserve"> استثمارات في أسهم رأس المال في 36 شركة</w:t>
      </w:r>
      <w:r w:rsidRPr="009A7F4D">
        <w:rPr>
          <w:rFonts w:ascii="Simplified Arabic" w:eastAsiaTheme="minorEastAsia" w:hAnsi="Simplified Arabic" w:cs="Simplified Arabic"/>
          <w:bCs/>
          <w:i/>
          <w:iCs/>
          <w:rtl/>
        </w:rPr>
        <w:t xml:space="preserve"> متنوعة تعمل</w:t>
      </w:r>
      <w:r w:rsidRPr="009A7F4D">
        <w:rPr>
          <w:rFonts w:ascii="Simplified Arabic" w:eastAsiaTheme="minorEastAsia" w:hAnsi="Simplified Arabic" w:cs="Simplified Arabic"/>
          <w:bCs/>
          <w:i/>
          <w:iCs/>
          <w:spacing w:val="0"/>
          <w:rtl/>
        </w:rPr>
        <w:t xml:space="preserve"> في</w:t>
      </w:r>
      <w:r w:rsidRPr="009A7F4D">
        <w:rPr>
          <w:rFonts w:ascii="Simplified Arabic" w:eastAsiaTheme="minorEastAsia" w:hAnsi="Simplified Arabic" w:cs="Simplified Arabic"/>
          <w:bCs/>
          <w:i/>
          <w:iCs/>
          <w:rtl/>
        </w:rPr>
        <w:t xml:space="preserve"> قطاعات</w:t>
      </w:r>
      <w:r w:rsidRPr="009A7F4D">
        <w:rPr>
          <w:rFonts w:ascii="Simplified Arabic" w:eastAsiaTheme="minorEastAsia" w:hAnsi="Simplified Arabic" w:cs="Simplified Arabic"/>
          <w:bCs/>
          <w:i/>
          <w:iCs/>
          <w:spacing w:val="0"/>
          <w:rtl/>
        </w:rPr>
        <w:t xml:space="preserve"> الأسواق المالية والبنية التحتية والنفط والغاز والصناعات الزراعية والصناعات التحويلية والرعاية الصحية (انظر الملحق 5 للاطلاع على التفاصيل).</w:t>
      </w:r>
      <w:r w:rsidRPr="00FF3102">
        <w:rPr>
          <w:rFonts w:ascii="Simplified Arabic" w:eastAsiaTheme="minorEastAsia" w:hAnsi="Simplified Arabic" w:cs="Simplified Arabic"/>
          <w:bCs/>
          <w:spacing w:val="0"/>
          <w:rtl/>
        </w:rPr>
        <w:t xml:space="preserve"> </w:t>
      </w:r>
      <w:r w:rsidRPr="00FF3102">
        <w:rPr>
          <w:rFonts w:ascii="Simplified Arabic" w:eastAsiaTheme="minorEastAsia" w:hAnsi="Simplified Arabic" w:cs="Simplified Arabic"/>
          <w:b/>
          <w:spacing w:val="0"/>
          <w:rtl/>
        </w:rPr>
        <w:t>و</w:t>
      </w:r>
      <w:r w:rsidRPr="00FF3102">
        <w:rPr>
          <w:rFonts w:ascii="Simplified Arabic" w:eastAsiaTheme="minorEastAsia" w:hAnsi="Simplified Arabic" w:cs="Simplified Arabic"/>
          <w:b/>
          <w:rtl/>
        </w:rPr>
        <w:t xml:space="preserve">يكمِّل </w:t>
      </w:r>
      <w:r w:rsidRPr="00FF3102">
        <w:rPr>
          <w:rFonts w:ascii="Simplified Arabic" w:eastAsiaTheme="minorEastAsia" w:hAnsi="Simplified Arabic" w:cs="Simplified Arabic"/>
          <w:b/>
          <w:spacing w:val="0"/>
          <w:rtl/>
        </w:rPr>
        <w:t xml:space="preserve">استثمارات المؤسسة برنامج قوي للخدمات الاستشارية. وقد زاد برنامج المؤسسة الخاص بمصر منذ عام 2011 جراء مساندتها للقطاع الخاص عندما جفت مصادر التمويل الأخرى. </w:t>
      </w:r>
      <w:r w:rsidRPr="00FF3102">
        <w:rPr>
          <w:rFonts w:ascii="Simplified Arabic" w:eastAsiaTheme="minorEastAsia" w:hAnsi="Simplified Arabic" w:cs="Simplified Arabic"/>
          <w:spacing w:val="0"/>
          <w:rtl/>
        </w:rPr>
        <w:t xml:space="preserve">وظل أداء حافظة مشروعات المؤسسة جيدا نسبيا في ظل الصعوبات ببيئة العمل في فترة ما بعد يناير 2011. واعتمدت المؤسسة نهجا تفاعليا لإدارة الحافظة </w:t>
      </w:r>
      <w:r w:rsidRPr="00FF3102">
        <w:rPr>
          <w:rFonts w:ascii="Simplified Arabic" w:eastAsiaTheme="minorEastAsia" w:hAnsi="Simplified Arabic" w:cs="Simplified Arabic"/>
          <w:rtl/>
        </w:rPr>
        <w:t>يتضمن</w:t>
      </w:r>
      <w:r w:rsidRPr="00FF3102">
        <w:rPr>
          <w:rFonts w:ascii="Simplified Arabic" w:eastAsiaTheme="minorEastAsia" w:hAnsi="Simplified Arabic" w:cs="Simplified Arabic"/>
          <w:spacing w:val="0"/>
          <w:rtl/>
        </w:rPr>
        <w:t xml:space="preserve"> إجراء اختبارات لمدى تحمل كافة المخاطر، ويساعد الجهات المتعاملة مع المؤسسة على إعادة هيكلة موازنتها العمومية، ويلغي الارتباطات غير المدفوعة على نحو انتقائي وبالاتفاق مع تلك الجهات. وباستثناء الاستثمارات الثلاثة ضعيفة الأداء في فترة ما قبل يناير 2011، فإن حافظة المشروعات ليس بها أية</w:t>
      </w:r>
      <w:r w:rsidRPr="00FF3102">
        <w:rPr>
          <w:rFonts w:ascii="Simplified Arabic" w:eastAsiaTheme="minorEastAsia" w:hAnsi="Simplified Arabic" w:cs="Simplified Arabic"/>
          <w:rtl/>
        </w:rPr>
        <w:t xml:space="preserve"> حالة</w:t>
      </w:r>
      <w:r w:rsidRPr="00FF3102">
        <w:rPr>
          <w:rFonts w:ascii="Simplified Arabic" w:eastAsiaTheme="minorEastAsia" w:hAnsi="Simplified Arabic" w:cs="Simplified Arabic"/>
          <w:spacing w:val="0"/>
          <w:rtl/>
        </w:rPr>
        <w:t xml:space="preserve"> تأخير في السداد حتى الآن. وستواصل المؤسسة متابعة حافظة مشروعاتها بفاعلية مع وجود فرق عمل قوية لقياس أداء الحافظة والنتائج تباشر أعمالها من مكتب المؤسسة بمصر وغيره من المكاتب الإقليمية.</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تُعد الحافظة المتنوعة للوكالة الدولية لضمان الاستثمار في مصر، وهي عضو بالوكالة منذ عام 1988، ثاني أكبر حافظة في منطقة الشرق الأوسط وشمال أفريقيا، بإجمالي تغطيات ضمانية بقيمة 210 ملايين دولار حتى الربع الأول من السنة المالية 2015 في شكل ثلاثة ضمانات نشطة في قطاعي النفط والغاز والصناعات التحويلية.</w:t>
      </w:r>
      <w:r w:rsidRPr="00FF3102">
        <w:rPr>
          <w:rFonts w:ascii="Simplified Arabic" w:eastAsiaTheme="minorEastAsia" w:hAnsi="Simplified Arabic" w:cs="Simplified Arabic"/>
          <w:spacing w:val="0"/>
          <w:rtl/>
        </w:rPr>
        <w:t xml:space="preserve"> واستمرت مساندة الوكالة للمستثمرين الأجانب في مصر خلال الفترات التي</w:t>
      </w:r>
      <w:r w:rsidRPr="00FF3102">
        <w:rPr>
          <w:rFonts w:ascii="Simplified Arabic" w:eastAsiaTheme="minorEastAsia" w:hAnsi="Simplified Arabic" w:cs="Simplified Arabic"/>
          <w:rtl/>
        </w:rPr>
        <w:t xml:space="preserve"> شهدت تقييد </w:t>
      </w:r>
      <w:r w:rsidRPr="00FF3102">
        <w:rPr>
          <w:rFonts w:ascii="Simplified Arabic" w:eastAsiaTheme="minorEastAsia" w:hAnsi="Simplified Arabic" w:cs="Simplified Arabic"/>
          <w:spacing w:val="0"/>
          <w:rtl/>
        </w:rPr>
        <w:t>قدرات صناعة التأمين ضد المخاطر السياسية لمصر، وهو ما بعث برسالة قوية مفادها أن الوكالة راغبة في العمل بالبلاد.</w:t>
      </w:r>
      <w:r w:rsidRPr="00FF3102">
        <w:rPr>
          <w:rFonts w:ascii="Simplified Arabic" w:eastAsiaTheme="minorEastAsia" w:hAnsi="Simplified Arabic" w:cs="Simplified Arabic"/>
          <w:spacing w:val="0"/>
        </w:rPr>
        <w:t xml:space="preserve"> </w:t>
      </w:r>
    </w:p>
    <w:p w:rsidR="00810BAC" w:rsidRPr="00FF3102" w:rsidRDefault="00810BAC" w:rsidP="009A7F4D">
      <w:pPr>
        <w:pStyle w:val="MainParanoChapter"/>
        <w:numPr>
          <w:ilvl w:val="0"/>
          <w:numId w:val="22"/>
        </w:numPr>
        <w:tabs>
          <w:tab w:val="clear" w:pos="1440"/>
        </w:tabs>
        <w:bidi/>
        <w:ind w:left="90" w:firstLine="0"/>
        <w:rPr>
          <w:rFonts w:ascii="Simplified Arabic" w:eastAsiaTheme="minorEastAsia" w:hAnsi="Simplified Arabic" w:cs="Simplified Arabic"/>
        </w:rPr>
      </w:pPr>
      <w:r w:rsidRPr="009A7F4D">
        <w:rPr>
          <w:rFonts w:ascii="Simplified Arabic" w:eastAsiaTheme="minorEastAsia" w:hAnsi="Simplified Arabic" w:cs="Simplified Arabic"/>
          <w:b/>
          <w:bCs/>
          <w:i/>
          <w:iCs/>
          <w:spacing w:val="0"/>
          <w:rtl/>
        </w:rPr>
        <w:t>يُعد التركيز على موافقة البرلمان على القضايا المتعلقة بالقروض والمشتريات وتملُّك الأراضي في الفترة المقبلة عنصرا رئيسيا في تحسين تنفيذ مشروعات البنك</w:t>
      </w:r>
      <w:r w:rsidRPr="009A7F4D">
        <w:rPr>
          <w:rFonts w:ascii="Simplified Arabic" w:eastAsiaTheme="minorEastAsia" w:hAnsi="Simplified Arabic" w:cs="Simplified Arabic"/>
          <w:i/>
          <w:iCs/>
          <w:spacing w:val="0"/>
          <w:rtl/>
        </w:rPr>
        <w:t>.</w:t>
      </w:r>
      <w:r w:rsidRPr="00FF3102">
        <w:rPr>
          <w:rFonts w:ascii="Simplified Arabic" w:eastAsiaTheme="minorEastAsia" w:hAnsi="Simplified Arabic" w:cs="Simplified Arabic"/>
          <w:spacing w:val="0"/>
          <w:rtl/>
        </w:rPr>
        <w:t xml:space="preserve"> و</w:t>
      </w:r>
      <w:r w:rsidRPr="00FF3102">
        <w:rPr>
          <w:rFonts w:ascii="Simplified Arabic" w:eastAsiaTheme="minorEastAsia" w:hAnsi="Simplified Arabic" w:cs="Simplified Arabic"/>
          <w:rtl/>
        </w:rPr>
        <w:t>هناك</w:t>
      </w:r>
      <w:r w:rsidRPr="00FF3102">
        <w:rPr>
          <w:rFonts w:ascii="Simplified Arabic" w:eastAsiaTheme="minorEastAsia" w:hAnsi="Simplified Arabic" w:cs="Simplified Arabic"/>
          <w:spacing w:val="0"/>
          <w:rtl/>
        </w:rPr>
        <w:t xml:space="preserve"> مقترحات</w:t>
      </w:r>
      <w:r w:rsidRPr="00FF3102">
        <w:rPr>
          <w:rFonts w:ascii="Simplified Arabic" w:eastAsiaTheme="minorEastAsia" w:hAnsi="Simplified Arabic" w:cs="Simplified Arabic"/>
          <w:rtl/>
        </w:rPr>
        <w:t xml:space="preserve"> من بينها</w:t>
      </w:r>
      <w:r w:rsidRPr="00FF3102">
        <w:rPr>
          <w:rFonts w:ascii="Simplified Arabic" w:eastAsiaTheme="minorEastAsia" w:hAnsi="Simplified Arabic" w:cs="Simplified Arabic"/>
          <w:spacing w:val="0"/>
          <w:rtl/>
        </w:rPr>
        <w:t>:</w:t>
      </w:r>
      <w:r w:rsidRPr="00FF3102">
        <w:rPr>
          <w:rFonts w:ascii="Simplified Arabic" w:eastAsiaTheme="minorEastAsia" w:hAnsi="Simplified Arabic" w:cs="Simplified Arabic"/>
          <w:color w:val="000000"/>
          <w:spacing w:val="0"/>
          <w:rtl/>
        </w:rPr>
        <w:t xml:space="preserve"> </w:t>
      </w:r>
      <w:r w:rsidRPr="00FF3102">
        <w:rPr>
          <w:rFonts w:ascii="Simplified Arabic" w:eastAsiaTheme="minorEastAsia" w:hAnsi="Simplified Arabic" w:cs="Simplified Arabic"/>
          <w:spacing w:val="0"/>
          <w:rtl/>
        </w:rPr>
        <w:t>(أ) العمل في مرحلة مبكرة مع المسؤولين بالبرلمان لضمان سرعة المصادقة على القروض؛ (ب) المشتريات المسبقة والمساعدة الفنية وكذلك المشاركة النشطة مع الحكومة في تحديث ممارسات المشتريات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مع استخدام نظام إلكتروني للمشتريات والمدفوعات بغية تحسين إجراءات صرف المدفوعات؛ (ج) تدعيم القدرات المؤسسية والالتزام بالإجراءات الوقائية لتخفيف حدة القضايا المتعلقة بها أثناء إعداد المشروعات وتنفيذها. وسيلزم اتخاذ هذه الإجراءات، إلى جانب مواصلة الإدارة التفاعلية لحافظة المشروعات، لإحداث تحسُّن كبير في أدائها.</w:t>
      </w:r>
    </w:p>
    <w:p w:rsidR="0058653D" w:rsidRPr="00FF3102" w:rsidRDefault="0058653D" w:rsidP="0058653D">
      <w:pPr>
        <w:pStyle w:val="MainParanoChapter"/>
        <w:numPr>
          <w:ilvl w:val="0"/>
          <w:numId w:val="0"/>
        </w:numPr>
        <w:tabs>
          <w:tab w:val="clear" w:pos="1440"/>
          <w:tab w:val="left" w:pos="540"/>
        </w:tabs>
        <w:bidi/>
        <w:ind w:left="1080" w:hanging="360"/>
        <w:rPr>
          <w:rFonts w:ascii="Simplified Arabic" w:eastAsiaTheme="minorEastAsia" w:hAnsi="Simplified Arabic" w:cs="Simplified Arabic"/>
        </w:rPr>
      </w:pPr>
    </w:p>
    <w:p w:rsidR="00D23C58" w:rsidRDefault="00D23C58" w:rsidP="0058653D">
      <w:pPr>
        <w:pStyle w:val="Heading2"/>
        <w:numPr>
          <w:ilvl w:val="0"/>
          <w:numId w:val="0"/>
        </w:numPr>
        <w:bidi/>
        <w:rPr>
          <w:rFonts w:ascii="Simplified Arabic" w:eastAsiaTheme="minorEastAsia" w:hAnsi="Simplified Arabic" w:cs="Simplified Arabic"/>
          <w:iCs w:val="0"/>
        </w:rPr>
      </w:pPr>
    </w:p>
    <w:p w:rsidR="00810BAC" w:rsidRPr="00FF3102" w:rsidRDefault="0058653D" w:rsidP="00D23C58">
      <w:pPr>
        <w:pStyle w:val="Head1"/>
        <w:rPr>
          <w:szCs w:val="24"/>
        </w:rPr>
      </w:pPr>
      <w:bookmarkStart w:id="919" w:name="_Toc439184548"/>
      <w:r w:rsidRPr="00FF3102">
        <w:rPr>
          <w:rtl/>
        </w:rPr>
        <w:t xml:space="preserve">سادسا. </w:t>
      </w:r>
      <w:r w:rsidR="00810BAC" w:rsidRPr="00FF3102">
        <w:rPr>
          <w:rtl/>
        </w:rPr>
        <w:t>إدارة المخاطر أمام برنامج إطار الشراكة الإستراتيجية</w:t>
      </w:r>
      <w:bookmarkEnd w:id="919"/>
    </w:p>
    <w:tbl>
      <w:tblPr>
        <w:tblpPr w:leftFromText="187" w:rightFromText="187" w:bottomFromText="144" w:vertAnchor="text" w:horzAnchor="margin" w:tblpY="225"/>
        <w:tblOverlap w:val="never"/>
        <w:bidiVisual/>
        <w:tblW w:w="4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1260"/>
      </w:tblGrid>
      <w:tr w:rsidR="00CB6F79" w:rsidRPr="00FF3102" w:rsidTr="00CB6F79">
        <w:trPr>
          <w:cantSplit/>
          <w:trHeight w:val="20"/>
        </w:trPr>
        <w:tc>
          <w:tcPr>
            <w:tcW w:w="4140" w:type="dxa"/>
            <w:gridSpan w:val="2"/>
            <w:tcBorders>
              <w:top w:val="nil"/>
              <w:left w:val="nil"/>
              <w:right w:val="nil"/>
            </w:tcBorders>
            <w:tcMar>
              <w:left w:w="0" w:type="dxa"/>
              <w:right w:w="0" w:type="dxa"/>
            </w:tcMar>
            <w:vAlign w:val="center"/>
          </w:tcPr>
          <w:p w:rsidR="00CB6F79" w:rsidRPr="00FF3102" w:rsidRDefault="00CB6F79" w:rsidP="000E7799">
            <w:pPr>
              <w:pStyle w:val="Tables"/>
              <w:rPr>
                <w:rtl/>
                <w:lang w:bidi="ar-EG"/>
              </w:rPr>
            </w:pPr>
            <w:bookmarkStart w:id="920" w:name="_Toc439185211"/>
            <w:r w:rsidRPr="00FF3102">
              <w:rPr>
                <w:rtl/>
              </w:rPr>
              <w:t>الجدول 5. الأداة المنهجية لتصنيف مخاطر العمليات</w:t>
            </w:r>
            <w:bookmarkEnd w:id="920"/>
          </w:p>
        </w:tc>
      </w:tr>
      <w:tr w:rsidR="00CB6F79" w:rsidRPr="00FF3102" w:rsidTr="00CB6F79">
        <w:trPr>
          <w:cantSplit/>
          <w:trHeight w:val="20"/>
        </w:trPr>
        <w:tc>
          <w:tcPr>
            <w:tcW w:w="2880" w:type="dxa"/>
            <w:tcBorders>
              <w:right w:val="nil"/>
            </w:tcBorders>
            <w:tcMar>
              <w:left w:w="0" w:type="dxa"/>
              <w:right w:w="0" w:type="dxa"/>
            </w:tcMar>
            <w:vAlign w:val="center"/>
          </w:tcPr>
          <w:p w:rsidR="00CB6F79" w:rsidRPr="00FF3102" w:rsidRDefault="00CB6F79" w:rsidP="00CB6F79">
            <w:pPr>
              <w:pStyle w:val="Tableheading"/>
              <w:bidi/>
              <w:rPr>
                <w:rFonts w:ascii="Simplified Arabic" w:eastAsiaTheme="minorEastAsia" w:hAnsi="Simplified Arabic" w:cs="Simplified Arabic"/>
                <w:bCs w:val="0"/>
                <w:iCs w:val="0"/>
                <w:sz w:val="20"/>
                <w:szCs w:val="20"/>
                <w:rtl/>
                <w:lang w:bidi="ar-EG"/>
              </w:rPr>
            </w:pPr>
            <w:r w:rsidRPr="00FF3102">
              <w:rPr>
                <w:rFonts w:ascii="Simplified Arabic" w:eastAsiaTheme="minorEastAsia" w:hAnsi="Simplified Arabic" w:cs="Simplified Arabic"/>
                <w:sz w:val="20"/>
                <w:szCs w:val="20"/>
                <w:rtl/>
              </w:rPr>
              <w:t>فئات المخاطر</w:t>
            </w:r>
          </w:p>
        </w:tc>
        <w:tc>
          <w:tcPr>
            <w:tcW w:w="1260" w:type="dxa"/>
            <w:tcBorders>
              <w:left w:val="nil"/>
            </w:tcBorders>
            <w:tcMar>
              <w:left w:w="0" w:type="dxa"/>
              <w:right w:w="0" w:type="dxa"/>
            </w:tcMar>
            <w:vAlign w:val="center"/>
          </w:tcPr>
          <w:p w:rsidR="00CB6F79" w:rsidRPr="00FF3102" w:rsidRDefault="00CB6F79" w:rsidP="00CB6F79">
            <w:pPr>
              <w:pStyle w:val="Tableheading"/>
              <w:bidi/>
              <w:rPr>
                <w:rFonts w:ascii="Simplified Arabic" w:eastAsiaTheme="minorEastAsia" w:hAnsi="Simplified Arabic" w:cs="Simplified Arabic"/>
                <w:bCs w:val="0"/>
                <w:iCs w:val="0"/>
                <w:sz w:val="20"/>
                <w:szCs w:val="20"/>
                <w:rtl/>
                <w:lang w:bidi="ar-EG"/>
              </w:rPr>
            </w:pPr>
            <w:r w:rsidRPr="00FF3102">
              <w:rPr>
                <w:rFonts w:ascii="Simplified Arabic" w:eastAsiaTheme="minorEastAsia" w:hAnsi="Simplified Arabic" w:cs="Simplified Arabic"/>
                <w:sz w:val="20"/>
                <w:szCs w:val="20"/>
                <w:rtl/>
              </w:rPr>
              <w:t>التصنيف (عالية أو كبيرة أو متوسطة أو منخفضة)</w:t>
            </w:r>
          </w:p>
        </w:tc>
      </w:tr>
      <w:tr w:rsidR="00CB6F79" w:rsidRPr="00FF3102" w:rsidTr="00CB6F79">
        <w:trPr>
          <w:cantSplit/>
          <w:trHeight w:val="20"/>
        </w:trPr>
        <w:tc>
          <w:tcPr>
            <w:tcW w:w="2880" w:type="dxa"/>
            <w:tcBorders>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السياسية</w:t>
            </w:r>
            <w:r w:rsidRPr="00FF3102">
              <w:rPr>
                <w:rFonts w:ascii="Simplified Arabic" w:eastAsiaTheme="minorEastAsia" w:hAnsi="Simplified Arabic" w:cs="Simplified Arabic"/>
                <w:sz w:val="20"/>
                <w:szCs w:val="20"/>
              </w:rPr>
              <w:t xml:space="preserve"> </w:t>
            </w:r>
          </w:p>
        </w:tc>
        <w:tc>
          <w:tcPr>
            <w:tcW w:w="1260" w:type="dxa"/>
            <w:tcBorders>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عالية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نظام الإدارة العامة والحوكمة</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عالية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الاقتصادية الكلية</w:t>
            </w:r>
            <w:r w:rsidRPr="00FF3102">
              <w:rPr>
                <w:rFonts w:ascii="Simplified Arabic" w:eastAsiaTheme="minorEastAsia" w:hAnsi="Simplified Arabic" w:cs="Simplified Arabic"/>
                <w:sz w:val="20"/>
                <w:szCs w:val="20"/>
              </w:rPr>
              <w:t xml:space="preserve"> </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عالية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الاجتماعية</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عالية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الإستراتيجيات والسياسات القطاعية</w:t>
            </w:r>
            <w:r w:rsidRPr="00FF3102">
              <w:rPr>
                <w:rFonts w:ascii="Simplified Arabic" w:eastAsiaTheme="minorEastAsia" w:hAnsi="Simplified Arabic" w:cs="Simplified Arabic"/>
                <w:sz w:val="20"/>
                <w:szCs w:val="20"/>
              </w:rPr>
              <w:t xml:space="preserve"> </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عالية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القدرات المؤسسية للتنفيذ والاستدامة</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كبيرة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المالية والتعاقدية</w:t>
            </w:r>
            <w:r w:rsidRPr="00FF3102">
              <w:rPr>
                <w:rFonts w:ascii="Simplified Arabic" w:eastAsiaTheme="minorEastAsia" w:hAnsi="Simplified Arabic" w:cs="Simplified Arabic"/>
                <w:sz w:val="20"/>
                <w:szCs w:val="20"/>
              </w:rPr>
              <w:t xml:space="preserve"> </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كبيرة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البيئية والاجتماعية</w:t>
            </w:r>
            <w:r w:rsidRPr="00FF3102">
              <w:rPr>
                <w:rFonts w:ascii="Simplified Arabic" w:eastAsiaTheme="minorEastAsia" w:hAnsi="Simplified Arabic" w:cs="Simplified Arabic"/>
                <w:sz w:val="20"/>
                <w:szCs w:val="20"/>
              </w:rPr>
              <w:t xml:space="preserve"> </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كبيرة</w:t>
            </w:r>
          </w:p>
        </w:tc>
      </w:tr>
      <w:tr w:rsidR="00CB6F79" w:rsidRPr="00FF3102" w:rsidTr="00CB6F79">
        <w:trPr>
          <w:cantSplit/>
          <w:trHeight w:val="20"/>
        </w:trPr>
        <w:tc>
          <w:tcPr>
            <w:tcW w:w="2880" w:type="dxa"/>
            <w:tcBorders>
              <w:top w:val="dotted" w:sz="4" w:space="0" w:color="auto"/>
              <w:bottom w:val="dotted" w:sz="4" w:space="0" w:color="auto"/>
              <w:right w:val="nil"/>
            </w:tcBorders>
            <w:tcMar>
              <w:left w:w="0" w:type="dxa"/>
              <w:right w:w="0" w:type="dxa"/>
            </w:tcMar>
            <w:vAlign w:val="center"/>
          </w:tcPr>
          <w:p w:rsidR="00CB6F79" w:rsidRPr="00FF3102" w:rsidRDefault="00CB6F79" w:rsidP="00CB6F79">
            <w:pPr>
              <w:pStyle w:val="Default"/>
              <w:numPr>
                <w:ilvl w:val="0"/>
                <w:numId w:val="52"/>
              </w:numPr>
              <w:bidi/>
              <w:spacing w:before="40" w:after="4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أصحاب المصلحة</w:t>
            </w:r>
            <w:r w:rsidRPr="00FF3102">
              <w:rPr>
                <w:rFonts w:ascii="Simplified Arabic" w:eastAsiaTheme="minorEastAsia" w:hAnsi="Simplified Arabic" w:cs="Simplified Arabic"/>
                <w:sz w:val="20"/>
                <w:szCs w:val="20"/>
              </w:rPr>
              <w:t xml:space="preserve"> </w:t>
            </w:r>
          </w:p>
        </w:tc>
        <w:tc>
          <w:tcPr>
            <w:tcW w:w="1260" w:type="dxa"/>
            <w:tcBorders>
              <w:top w:val="dotted" w:sz="4" w:space="0" w:color="auto"/>
              <w:left w:val="nil"/>
              <w:bottom w:val="dotted" w:sz="4" w:space="0" w:color="auto"/>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sz w:val="20"/>
                <w:szCs w:val="20"/>
                <w:rtl/>
              </w:rPr>
              <w:t>متوسطة</w:t>
            </w:r>
          </w:p>
        </w:tc>
      </w:tr>
      <w:tr w:rsidR="00CB6F79" w:rsidRPr="00FF3102" w:rsidTr="00CB6F79">
        <w:trPr>
          <w:cantSplit/>
          <w:trHeight w:val="20"/>
        </w:trPr>
        <w:tc>
          <w:tcPr>
            <w:tcW w:w="2880" w:type="dxa"/>
            <w:tcBorders>
              <w:top w:val="dotted" w:sz="4" w:space="0" w:color="auto"/>
              <w:right w:val="nil"/>
            </w:tcBorders>
            <w:tcMar>
              <w:left w:w="0" w:type="dxa"/>
              <w:right w:w="0" w:type="dxa"/>
            </w:tcMar>
            <w:vAlign w:val="center"/>
          </w:tcPr>
          <w:p w:rsidR="00CB6F79" w:rsidRPr="00FF3102" w:rsidRDefault="00CB6F79" w:rsidP="00CB6F79">
            <w:pPr>
              <w:pStyle w:val="Default"/>
              <w:bidi/>
              <w:spacing w:before="40" w:after="40"/>
              <w:ind w:left="90"/>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sz w:val="20"/>
                <w:szCs w:val="20"/>
                <w:rtl/>
              </w:rPr>
              <w:t>الإجمالي</w:t>
            </w:r>
            <w:r w:rsidRPr="00FF3102">
              <w:rPr>
                <w:rFonts w:ascii="Simplified Arabic" w:eastAsiaTheme="minorEastAsia" w:hAnsi="Simplified Arabic" w:cs="Simplified Arabic"/>
                <w:b/>
                <w:sz w:val="20"/>
                <w:szCs w:val="20"/>
              </w:rPr>
              <w:t xml:space="preserve"> </w:t>
            </w:r>
          </w:p>
        </w:tc>
        <w:tc>
          <w:tcPr>
            <w:tcW w:w="1260" w:type="dxa"/>
            <w:tcBorders>
              <w:top w:val="dotted" w:sz="4" w:space="0" w:color="auto"/>
              <w:left w:val="nil"/>
            </w:tcBorders>
            <w:tcMar>
              <w:left w:w="0" w:type="dxa"/>
              <w:right w:w="0" w:type="dxa"/>
            </w:tcMar>
            <w:vAlign w:val="center"/>
          </w:tcPr>
          <w:p w:rsidR="00CB6F79" w:rsidRPr="00FF3102" w:rsidRDefault="00CB6F79" w:rsidP="00CB6F79">
            <w:pPr>
              <w:pStyle w:val="Default"/>
              <w:bidi/>
              <w:spacing w:before="40" w:after="40"/>
              <w:jc w:val="center"/>
              <w:rPr>
                <w:rFonts w:ascii="Simplified Arabic" w:eastAsiaTheme="minorEastAsia" w:hAnsi="Simplified Arabic" w:cs="Simplified Arabic"/>
                <w:sz w:val="20"/>
                <w:szCs w:val="20"/>
                <w:rtl/>
                <w:lang w:bidi="ar-EG"/>
              </w:rPr>
            </w:pPr>
            <w:r w:rsidRPr="00FF3102">
              <w:rPr>
                <w:rFonts w:ascii="Simplified Arabic" w:eastAsiaTheme="minorEastAsia" w:hAnsi="Simplified Arabic" w:cs="Simplified Arabic"/>
                <w:bCs/>
                <w:sz w:val="20"/>
                <w:szCs w:val="20"/>
                <w:rtl/>
              </w:rPr>
              <w:t>عالية</w:t>
            </w:r>
          </w:p>
        </w:tc>
      </w:tr>
    </w:tbl>
    <w:p w:rsidR="00810BAC" w:rsidRPr="00FF3102" w:rsidRDefault="00810BAC" w:rsidP="00CB6F79">
      <w:pPr>
        <w:pStyle w:val="MainParanoChapter"/>
        <w:numPr>
          <w:ilvl w:val="0"/>
          <w:numId w:val="22"/>
        </w:numPr>
        <w:tabs>
          <w:tab w:val="clear" w:pos="1440"/>
        </w:tabs>
        <w:bidi/>
        <w:ind w:left="0" w:firstLine="0"/>
        <w:rPr>
          <w:rFonts w:ascii="Simplified Arabic" w:eastAsiaTheme="minorEastAsia" w:hAnsi="Simplified Arabic" w:cs="Simplified Arabic"/>
        </w:rPr>
      </w:pPr>
      <w:r w:rsidRPr="00CB6F79">
        <w:rPr>
          <w:rFonts w:ascii="Simplified Arabic" w:eastAsiaTheme="minorEastAsia" w:hAnsi="Simplified Arabic" w:cs="Simplified Arabic"/>
          <w:b/>
          <w:bCs/>
          <w:i/>
          <w:iCs/>
          <w:spacing w:val="0"/>
          <w:rtl/>
        </w:rPr>
        <w:t>تقتصر المخاطر</w:t>
      </w:r>
      <w:r w:rsidRPr="00CB6F79">
        <w:rPr>
          <w:rFonts w:ascii="Simplified Arabic" w:eastAsiaTheme="minorEastAsia" w:hAnsi="Simplified Arabic" w:cs="Simplified Arabic"/>
          <w:b/>
          <w:bCs/>
          <w:i/>
          <w:iCs/>
          <w:rtl/>
        </w:rPr>
        <w:t xml:space="preserve"> </w:t>
      </w:r>
      <w:r w:rsidRPr="00CB6F79">
        <w:rPr>
          <w:rFonts w:ascii="Simplified Arabic" w:eastAsiaTheme="minorEastAsia" w:hAnsi="Simplified Arabic" w:cs="Simplified Arabic"/>
          <w:b/>
          <w:bCs/>
          <w:i/>
          <w:iCs/>
          <w:spacing w:val="0"/>
          <w:rtl/>
        </w:rPr>
        <w:t xml:space="preserve">التي تتم مناقشتها أدناه على تلك التي ستؤثر </w:t>
      </w:r>
      <w:r w:rsidRPr="00CB6F79">
        <w:rPr>
          <w:rFonts w:ascii="Simplified Arabic" w:eastAsiaTheme="minorEastAsia" w:hAnsi="Simplified Arabic" w:cs="Simplified Arabic"/>
          <w:b/>
          <w:bCs/>
          <w:i/>
          <w:iCs/>
          <w:rtl/>
        </w:rPr>
        <w:t>على نحو مباشر</w:t>
      </w:r>
      <w:r w:rsidRPr="00CB6F79">
        <w:rPr>
          <w:rFonts w:ascii="Simplified Arabic" w:eastAsiaTheme="minorEastAsia" w:hAnsi="Simplified Arabic" w:cs="Simplified Arabic"/>
          <w:b/>
          <w:bCs/>
          <w:i/>
          <w:iCs/>
          <w:spacing w:val="0"/>
          <w:rtl/>
        </w:rPr>
        <w:t xml:space="preserve"> في برنامج مجموعة البنك الدولي، وليس المخاطر العامة التي قد تؤثر في الاقتصاد بشكله </w:t>
      </w:r>
      <w:r w:rsidRPr="00CB6F79">
        <w:rPr>
          <w:rFonts w:ascii="Simplified Arabic" w:eastAsiaTheme="minorEastAsia" w:hAnsi="Simplified Arabic" w:cs="Simplified Arabic"/>
          <w:b/>
          <w:bCs/>
          <w:i/>
          <w:iCs/>
          <w:rtl/>
        </w:rPr>
        <w:t>الأعم</w:t>
      </w:r>
      <w:r w:rsidRPr="00CB6F79">
        <w:rPr>
          <w:rFonts w:ascii="Simplified Arabic" w:eastAsiaTheme="minorEastAsia" w:hAnsi="Simplified Arabic" w:cs="Simplified Arabic"/>
          <w:b/>
          <w:bCs/>
          <w:i/>
          <w:iCs/>
          <w:spacing w:val="0"/>
          <w:rtl/>
        </w:rPr>
        <w:t xml:space="preserve"> أو النسيج الاجتماعي</w:t>
      </w:r>
      <w:r w:rsidRPr="00FF3102">
        <w:rPr>
          <w:rFonts w:ascii="Simplified Arabic" w:eastAsiaTheme="minorEastAsia" w:hAnsi="Simplified Arabic" w:cs="Simplified Arabic"/>
          <w:spacing w:val="0"/>
          <w:rtl/>
        </w:rPr>
        <w:t>. وترد هذه المخاطر بإيجاز في الجدول 5.</w:t>
      </w:r>
    </w:p>
    <w:p w:rsidR="00810BAC" w:rsidRPr="00FF3102" w:rsidRDefault="00810BAC" w:rsidP="00CB6F79">
      <w:pPr>
        <w:pStyle w:val="MainParanoChapter"/>
        <w:numPr>
          <w:ilvl w:val="0"/>
          <w:numId w:val="22"/>
        </w:numPr>
        <w:tabs>
          <w:tab w:val="clear" w:pos="1440"/>
        </w:tabs>
        <w:bidi/>
        <w:ind w:left="0" w:firstLine="0"/>
        <w:rPr>
          <w:rFonts w:ascii="Simplified Arabic" w:eastAsiaTheme="minorEastAsia" w:hAnsi="Simplified Arabic" w:cs="Simplified Arabic"/>
          <w:spacing w:val="0"/>
        </w:rPr>
      </w:pPr>
      <w:r w:rsidRPr="00FF3102">
        <w:rPr>
          <w:rFonts w:ascii="Simplified Arabic" w:eastAsiaTheme="minorEastAsia" w:hAnsi="Simplified Arabic" w:cs="Simplified Arabic"/>
          <w:bCs/>
          <w:iCs/>
          <w:spacing w:val="0"/>
          <w:rtl/>
        </w:rPr>
        <w:t>السياسية: تُقيَّم هذه المخاطر على أنها عالية.</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bCs/>
          <w:iCs/>
          <w:spacing w:val="0"/>
          <w:rtl/>
        </w:rPr>
        <w:t>ولا تزال هناك حاجة إلى اتخاذ عدد من الإجراءات من بينها الموافقة على القوانين واللوائح التي تُعد من الشروط الأساسية للمشاركة العملية في تنفيذ إطار الشراكة الإستراتيجية.</w:t>
      </w:r>
      <w:r w:rsidRPr="00FF3102">
        <w:rPr>
          <w:rFonts w:ascii="Simplified Arabic" w:eastAsiaTheme="minorEastAsia" w:hAnsi="Simplified Arabic" w:cs="Simplified Arabic"/>
          <w:spacing w:val="0"/>
          <w:rtl/>
        </w:rPr>
        <w:t xml:space="preserve"> وهناك مخاطر سياسية أخرى ترتبط بالإقصاء من السلطة والعمل العام لشرائح من الناخبين بعد يوليو 2013 وإمكانية أن تنتج عن ذلك ردود أفعال سياسية قد تحدث تغييرات في الحكومة الحالية وتؤثر في الحوار والالتزامات بين الحكومة المصرية ومجموعة البنك الدولي.</w:t>
      </w:r>
      <w:r w:rsidRPr="00FF3102">
        <w:rPr>
          <w:rFonts w:ascii="Simplified Arabic" w:eastAsiaTheme="minorEastAsia" w:hAnsi="Simplified Arabic" w:cs="Simplified Arabic"/>
          <w:bCs/>
          <w:iCs/>
          <w:spacing w:val="0"/>
          <w:rtl/>
        </w:rPr>
        <w:t xml:space="preserve"> </w:t>
      </w:r>
      <w:r w:rsidRPr="00FF3102">
        <w:rPr>
          <w:rFonts w:ascii="Simplified Arabic" w:eastAsiaTheme="minorEastAsia" w:hAnsi="Simplified Arabic" w:cs="Simplified Arabic"/>
          <w:spacing w:val="0"/>
          <w:rtl/>
        </w:rPr>
        <w:t>وتشكّل أعمال العنف المتفرقة في سيناء، وإن لم يتم تضمينها، أيضا مصدرا للمخاطر السياسية.</w:t>
      </w:r>
      <w:r w:rsidRPr="00FF3102">
        <w:rPr>
          <w:rFonts w:ascii="Simplified Arabic" w:eastAsiaTheme="minorEastAsia" w:hAnsi="Simplified Arabic" w:cs="Simplified Arabic"/>
          <w:spacing w:val="0"/>
        </w:rPr>
        <w:t xml:space="preserve"> </w:t>
      </w:r>
    </w:p>
    <w:p w:rsidR="0058653D" w:rsidRPr="00FF3102" w:rsidRDefault="0058653D" w:rsidP="0058653D">
      <w:pPr>
        <w:pStyle w:val="MainParanoChapter"/>
        <w:numPr>
          <w:ilvl w:val="0"/>
          <w:numId w:val="0"/>
        </w:numPr>
        <w:tabs>
          <w:tab w:val="clear" w:pos="1440"/>
          <w:tab w:val="left" w:pos="540"/>
        </w:tabs>
        <w:bidi/>
        <w:ind w:left="270"/>
        <w:rPr>
          <w:rFonts w:ascii="Simplified Arabic" w:eastAsiaTheme="minorEastAsia" w:hAnsi="Simplified Arabic" w:cs="Simplified Arabic"/>
          <w:spacing w:val="0"/>
        </w:rPr>
      </w:pPr>
    </w:p>
    <w:p w:rsidR="00810BAC" w:rsidRPr="00FF3102" w:rsidRDefault="00810BAC" w:rsidP="009E1457">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نظام الإدارة العامة والحوكمة: تُقيَّم هذه المخاطر على أنها عالية. ونظرا لحجم القضايا المتعلقة بتحسين نظام الإدارة العامة والحوكمة (الفقرات</w:t>
      </w:r>
      <w:r w:rsidRPr="00FF3102">
        <w:rPr>
          <w:rFonts w:ascii="Simplified Arabic" w:eastAsiaTheme="minorEastAsia" w:hAnsi="Simplified Arabic" w:cs="Simplified Arabic"/>
          <w:b/>
          <w:i/>
          <w:spacing w:val="0"/>
        </w:rPr>
        <w:t xml:space="preserve"> </w:t>
      </w:r>
      <w:r w:rsidRPr="00FF3102">
        <w:rPr>
          <w:rFonts w:ascii="Simplified Arabic" w:eastAsiaTheme="minorEastAsia" w:hAnsi="Simplified Arabic" w:cs="Simplified Arabic"/>
          <w:bCs/>
          <w:iCs/>
          <w:spacing w:val="0"/>
          <w:rtl/>
        </w:rPr>
        <w:t>28-30)، فإن الحكومة قد تجد صعوبة في إدخال إصلاحات كبيرة وإنفاذها.</w:t>
      </w:r>
      <w:r w:rsidRPr="00FF3102">
        <w:rPr>
          <w:rFonts w:ascii="Simplified Arabic" w:eastAsiaTheme="minorEastAsia" w:hAnsi="Simplified Arabic" w:cs="Simplified Arabic"/>
          <w:spacing w:val="0"/>
          <w:rtl/>
        </w:rPr>
        <w:t xml:space="preserve"> كما أن نجاح البنك في التركيز على قضايا تحسين نظام الإدارة العامة والحوكمة على مستوى القطاعات من خلال المشروعات الاستثمارية قد يتم تقويضه جراء ضعف تنفيذ الإصلاحات المتعلقة بذلك مثل فاعلية إنفاذ القوانين على المستوى المركزي. وبوجه خاص، فإن القوانين الجديدة لتحقيق تكافؤ الفرص وسياسات حفز الإنتاجية الزراعية وتعزيز الشفافية والمساءلة عن النتائج في قطاعي التعليم والصحة قد تهدد المصالح المتأصلة أو تكون غير فاعلة بسبب ضعف العقوبات المطبَّقة على مقدِّمي الخدمات الذين يعجزون عن الأداء وفقا للمعايير. لكن على الجانب الإيجابي، قام الرئيس السيسي والحكومة بتنفيذ إصلاحات كبيرة كانت قد أُجِّلت لسنوات خشية حدوث انتفاضة شعبية، وهو ما يدل على </w:t>
      </w:r>
      <w:r w:rsidRPr="00FF3102">
        <w:rPr>
          <w:rFonts w:ascii="Simplified Arabic" w:eastAsiaTheme="minorEastAsia" w:hAnsi="Simplified Arabic" w:cs="Simplified Arabic"/>
          <w:rtl/>
        </w:rPr>
        <w:t>تصميم</w:t>
      </w:r>
      <w:r w:rsidRPr="00FF3102">
        <w:rPr>
          <w:rFonts w:ascii="Simplified Arabic" w:eastAsiaTheme="minorEastAsia" w:hAnsi="Simplified Arabic" w:cs="Simplified Arabic"/>
          <w:spacing w:val="0"/>
          <w:rtl/>
        </w:rPr>
        <w:t xml:space="preserve"> النظام الحالي على التصدي للتحديات الاقتصادية الرئيسية. وللتحوط من هذه المخاطر، فإن مجموعة البنك الدولي قد ت</w:t>
      </w:r>
      <w:r w:rsidR="009E1457">
        <w:rPr>
          <w:rFonts w:ascii="Simplified Arabic" w:eastAsiaTheme="minorEastAsia" w:hAnsi="Simplified Arabic" w:cs="Simplified Arabic" w:hint="cs"/>
          <w:spacing w:val="0"/>
          <w:rtl/>
        </w:rPr>
        <w:t>حجم</w:t>
      </w:r>
      <w:r w:rsidRPr="00FF3102">
        <w:rPr>
          <w:rFonts w:ascii="Simplified Arabic" w:eastAsiaTheme="minorEastAsia" w:hAnsi="Simplified Arabic" w:cs="Simplified Arabic"/>
          <w:spacing w:val="0"/>
          <w:rtl/>
        </w:rPr>
        <w:t xml:space="preserve"> عن مساندة المجالات التي تفتقر إلى قوانين وسياسات جيدة، </w:t>
      </w:r>
      <w:r w:rsidRPr="00FF3102">
        <w:rPr>
          <w:rFonts w:ascii="Simplified Arabic" w:eastAsiaTheme="minorEastAsia" w:hAnsi="Simplified Arabic" w:cs="Simplified Arabic"/>
          <w:rtl/>
        </w:rPr>
        <w:t xml:space="preserve">مع قيامها </w:t>
      </w:r>
      <w:r w:rsidRPr="00FF3102">
        <w:rPr>
          <w:rFonts w:ascii="Simplified Arabic" w:eastAsiaTheme="minorEastAsia" w:hAnsi="Simplified Arabic" w:cs="Simplified Arabic"/>
          <w:spacing w:val="0"/>
          <w:rtl/>
        </w:rPr>
        <w:t xml:space="preserve">بمتابعة الوضع بعناية </w:t>
      </w:r>
      <w:r w:rsidRPr="00FF3102">
        <w:rPr>
          <w:rFonts w:ascii="Simplified Arabic" w:eastAsiaTheme="minorEastAsia" w:hAnsi="Simplified Arabic" w:cs="Simplified Arabic"/>
          <w:rtl/>
        </w:rPr>
        <w:t>و</w:t>
      </w:r>
      <w:r w:rsidRPr="00FF3102">
        <w:rPr>
          <w:rFonts w:ascii="Simplified Arabic" w:eastAsiaTheme="minorEastAsia" w:hAnsi="Simplified Arabic" w:cs="Simplified Arabic"/>
          <w:spacing w:val="0"/>
          <w:rtl/>
        </w:rPr>
        <w:t xml:space="preserve">مواصلة الحوار مع الحكومة. </w:t>
      </w:r>
    </w:p>
    <w:p w:rsidR="00810BAC" w:rsidRPr="00FF3102" w:rsidRDefault="00810BAC" w:rsidP="00CB6F7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الاقتصادية الكلية: تُقيَّم هذه المخاطر على أنها عالية.</w:t>
      </w:r>
      <w:r w:rsidRPr="00FF3102">
        <w:rPr>
          <w:rFonts w:ascii="Simplified Arabic" w:eastAsiaTheme="minorEastAsia" w:hAnsi="Simplified Arabic" w:cs="Simplified Arabic"/>
          <w:spacing w:val="0"/>
          <w:rtl/>
        </w:rPr>
        <w:t xml:space="preserve"> نفَّذ الرئيس السيسي وحكومته إصلاحات هيكلية رئيسية منذ منتصف عام 2014 من بينها: خفض دعم الطاقة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وتطبيق إصلاحات ضريبية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وخفض نمو فاتورة الأجور على نحو طفيف. ورغم أهمية هذه الإجراءات وتأثيرها المفترض في تحسين المؤشرات الاقتصادية الكلية ومستوى ثقة المستثمرين في المدى القصير، فإن</w:t>
      </w:r>
      <w:r w:rsidRPr="00FF3102">
        <w:rPr>
          <w:rFonts w:ascii="Simplified Arabic" w:eastAsiaTheme="minorEastAsia" w:hAnsi="Simplified Arabic" w:cs="Simplified Arabic"/>
          <w:rtl/>
        </w:rPr>
        <w:t xml:space="preserve"> هناك مخاطر عالية لظهور أو استمرار </w:t>
      </w:r>
      <w:r w:rsidRPr="00FF3102">
        <w:rPr>
          <w:rFonts w:ascii="Simplified Arabic" w:eastAsiaTheme="minorEastAsia" w:hAnsi="Simplified Arabic" w:cs="Simplified Arabic"/>
          <w:spacing w:val="0"/>
          <w:rtl/>
        </w:rPr>
        <w:t>اختلالات خارجية أو داخلية، أو كليهما</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ومع أن التدفقات الاستثنائية الواردة من الخليج، لاسيما في السنة المالية 2014، ساعدت في مساندة الحسابات الخارجية، فإن احتياطيات النقد الأجنبي بدأت في التراجع منذ مطلع السنة المالية 2016، وهو ما يُعزى إلى كِبر حجم مدفوعات خدمة الديون والبيئة الخارجية غير المواتية</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وكذلك استمرار ضخ البنك المركزي المصري للنقد الأجنبي من أجل تلبية احتياجات الاستيراد والطلب المتراكم على النقد الأجنبي.</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وسيؤدي حادث تحطم الطائرة الروسية الذي وقع مؤخراً إلى زيادة الضغوط على الحسابات الخارجية. ومازال وضع الاقتصاد الكلي هشاً بسبب احتمال التعثر في تنفيذ الإصلاحات الرئيسية، مثل ضريبة القيمة المضافة واحتواء فاتورة أجور القطاع العام وإصلاحات دعم الطاقة، وكذلك إمكانية التأثر بعدم استقرار المنطقة والصدمات الخارجية المحتملة. وهناك التزامات طارئة تنطوي عليها الجهود التي تبذلها الحكومة لتحفيز الاقتصاد بزيادة الإنفاق الاستثماري، وقد تؤدي خطط زيادة الإنفاق على قطاعي الصحة والتعليم للوفاء بالتعهدات الواردة بالدستور إلى تحسين الاستقرار الاجتماعي، لكنها يمكن أن تزيد المخاطر الكلية إذا تأخر اتخاذ إجراءات أخرى لاحتواء عجز الموازنة العامة.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وقد تتأثر عمليات البنك، لاسيما الموافقة على قروض التمويل اللاحقة لأغراض سياسات التنمية، بأي تباطؤ في وتيرة تنفيذ الإصلاحات الهيكلية. وبالإضافة إلى ذلك، سيؤثر عدم وجود حل سريع لنقص النقد الأجنبي تأثيرا سلبيا في ثقة المستثمرين وكذلك عمليات مؤسسة التمويل الدولية والوكالة الدولية لضمان الاستثمار وقدرتهما على جذب استثمارات أجنبية إلى مصر خلال الفترة التي يغطيها إطار الشراكة الإستراتيجية. وستتابع مجموعة البنك الدولي أسبوعياً وضع الاقتصاد الكلي بالتنسيق الوثيق مع صندوق النقد الدولي.</w:t>
      </w:r>
    </w:p>
    <w:p w:rsidR="00810BAC" w:rsidRPr="00FF3102" w:rsidRDefault="00810BAC" w:rsidP="00CB6F7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 xml:space="preserve"> الاجتماعية</w:t>
      </w:r>
      <w:r w:rsidRPr="00CB6F79">
        <w:rPr>
          <w:rFonts w:ascii="Simplified Arabic" w:eastAsiaTheme="minorEastAsia" w:hAnsi="Simplified Arabic" w:cs="Simplified Arabic"/>
          <w:bCs/>
          <w:iCs/>
          <w:spacing w:val="0"/>
          <w:rtl/>
        </w:rPr>
        <w:t>: تُقيَّم هذه المخاطر على أنها عالية.</w:t>
      </w:r>
      <w:r w:rsidRPr="00FF3102">
        <w:rPr>
          <w:rFonts w:ascii="Simplified Arabic" w:eastAsiaTheme="minorEastAsia" w:hAnsi="Simplified Arabic" w:cs="Simplified Arabic"/>
          <w:spacing w:val="0"/>
          <w:rtl/>
        </w:rPr>
        <w:t xml:space="preserve"> ففي ظل ارتفاع نسبة البطالة وانخفاض مستويات المعيشة وارتفاع تضخم أسعار الغذاء، تكون هناك مخاطر حقيقية لحدوث اضطرابات اجتماعية. وشهدت مصر ردود فعل معارضة عندما نظمت الاتحادات العمالية والنقابية إضرابات متعاقبة ومتصاعدة (الأطباء، سائقو التاكسي، عمال المصانع) هزت البلاد في مطلع عام 2014، مما هدد بالانزلاق إلى أزمة عارمة. ولم يُنزع فتيل هذه الأزمة إلا عندما استقالت الحكومة في فبراير 2014، أي بعد ثمانية أشهر من تشكيلها. وتعكس السرعة التي انتشر بها هذا الشعور بالاستياء ارتفاع تطلعات الشعب المصري بعد يوليو 2013 ونفاد صبرهم</w:t>
      </w:r>
      <w:r w:rsidRPr="00FF3102">
        <w:rPr>
          <w:rFonts w:ascii="Simplified Arabic" w:eastAsiaTheme="minorEastAsia" w:hAnsi="Simplified Arabic" w:cs="Simplified Arabic"/>
          <w:rtl/>
        </w:rPr>
        <w:t xml:space="preserve"> المتزايد</w:t>
      </w:r>
      <w:r w:rsidRPr="00FF3102">
        <w:rPr>
          <w:rFonts w:ascii="Simplified Arabic" w:eastAsiaTheme="minorEastAsia" w:hAnsi="Simplified Arabic" w:cs="Simplified Arabic"/>
          <w:spacing w:val="0"/>
          <w:rtl/>
        </w:rPr>
        <w:t xml:space="preserve"> من التباطؤ الملحوظ في وتيرة تنفيذ الإصلاحات. وقد تتفاقم هذه المخاطر بسبب الأثر السلبي لاستمرار تخفيض دعم الوقود. </w:t>
      </w:r>
      <w:r w:rsidRPr="00FF3102">
        <w:rPr>
          <w:rFonts w:ascii="Simplified Arabic" w:eastAsiaTheme="minorEastAsia" w:hAnsi="Simplified Arabic" w:cs="Simplified Arabic"/>
          <w:rtl/>
        </w:rPr>
        <w:t>وتم تطوير آليات الحماية الاجتماعية لتغطي فئات السكان المهمشة والفقيرة بالكامل من خلال برامج موجَّهة على نحو أفضل وذات كفاءة، مثل إدخال برامج جديدة للتحويلات النقدية وإصلاح منظومة دعم المواد الغذائية.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لكن السياسات والمؤسسات الخاصة بتوسيع نطاق الحماية الاجتماعية يلزم أن تتوافق مع وتيرة الإصلاحات المتصورة في برنامج تمويل سياسات التنمية، لاسيما فيما يتعلق بدعم الطاقة وزيادة إيرادات الموازنة العامة والسيطرة على الأجور.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ولتخفيف حدة هذه المخاطر، سيقدم البنك مساندة إلى الحكومة بشأن وضع إستراتيجية شاملة للاتصالات حول برنامج إصلاحاتها، وسيطلب إضفاء طابع مؤسسي على آلية لرفع المظالم وبرنامج للتواصل مع المواطنين لزيادة قبول الإصلاحات داخل المجتمع.</w:t>
      </w:r>
    </w:p>
    <w:p w:rsidR="00810BAC" w:rsidRPr="00FF3102" w:rsidRDefault="00810BAC" w:rsidP="00CB6F79">
      <w:pPr>
        <w:pStyle w:val="MainParanoChapter"/>
        <w:numPr>
          <w:ilvl w:val="0"/>
          <w:numId w:val="22"/>
        </w:numPr>
        <w:tabs>
          <w:tab w:val="clear" w:pos="1440"/>
        </w:tabs>
        <w:bidi/>
        <w:ind w:left="0" w:firstLine="0"/>
        <w:rPr>
          <w:rFonts w:ascii="Simplified Arabic" w:eastAsiaTheme="minorEastAsia" w:hAnsi="Simplified Arabic" w:cs="Simplified Arabic"/>
          <w:i/>
        </w:rPr>
      </w:pPr>
      <w:r w:rsidRPr="00FF3102">
        <w:rPr>
          <w:rFonts w:ascii="Simplified Arabic" w:eastAsiaTheme="minorEastAsia" w:hAnsi="Simplified Arabic" w:cs="Simplified Arabic"/>
          <w:bCs/>
          <w:iCs/>
          <w:spacing w:val="0"/>
          <w:rtl/>
        </w:rPr>
        <w:t xml:space="preserve">الإستراتيجيات والسياسات القطاعية: تُقيَّم المخاطر على أنها عالية في القطاعات التي تسعى مجموعة البنك الدولي للعمل بها، وهي تعميم الخدمات المالية والطاقة والنقل والزراعة والمياه والرعاية الصحية وشبكات الأمان. </w:t>
      </w:r>
      <w:r w:rsidRPr="00FF3102">
        <w:rPr>
          <w:rFonts w:ascii="Simplified Arabic" w:eastAsiaTheme="minorEastAsia" w:hAnsi="Simplified Arabic" w:cs="Simplified Arabic"/>
          <w:i/>
          <w:spacing w:val="0"/>
          <w:rtl/>
        </w:rPr>
        <w:t xml:space="preserve">وتشمل المخاطر مستوى الطموح في التحول إلى اعتماد نهج سوقي في قطاع الطاقة مع </w:t>
      </w:r>
      <w:r w:rsidRPr="00FF3102">
        <w:rPr>
          <w:rFonts w:ascii="Simplified Arabic" w:eastAsiaTheme="minorEastAsia" w:hAnsi="Simplified Arabic" w:cs="Simplified Arabic"/>
          <w:i/>
          <w:rtl/>
        </w:rPr>
        <w:t>قلة</w:t>
      </w:r>
      <w:r w:rsidRPr="00FF3102">
        <w:rPr>
          <w:rFonts w:ascii="Simplified Arabic" w:eastAsiaTheme="minorEastAsia" w:hAnsi="Simplified Arabic" w:cs="Simplified Arabic"/>
          <w:i/>
          <w:spacing w:val="0"/>
          <w:rtl/>
        </w:rPr>
        <w:t xml:space="preserve"> النماذج الناجحة</w:t>
      </w:r>
      <w:r w:rsidRPr="00FF3102">
        <w:rPr>
          <w:rFonts w:ascii="Simplified Arabic" w:eastAsiaTheme="minorEastAsia" w:hAnsi="Simplified Arabic" w:cs="Simplified Arabic"/>
          <w:i/>
          <w:rtl/>
        </w:rPr>
        <w:t xml:space="preserve"> عالميا</w:t>
      </w:r>
      <w:r w:rsidRPr="00FF3102">
        <w:rPr>
          <w:rFonts w:ascii="Simplified Arabic" w:eastAsiaTheme="minorEastAsia" w:hAnsi="Simplified Arabic" w:cs="Simplified Arabic"/>
          <w:i/>
          <w:spacing w:val="0"/>
          <w:rtl/>
        </w:rPr>
        <w:t xml:space="preserve"> في الوتيرة المتصورة، وعجز أو عدم رغبة الحكومة المصرية والوزارات القطاعية في معالجة غياب إطار مؤسسي لتعزيز كفاءة استخدام الطاقة، ونقص توفر الغاز للمشروعات بقطاع الطاقة، وعدم الوضوح بشأن</w:t>
      </w:r>
      <w:r w:rsidRPr="00FF3102">
        <w:rPr>
          <w:rFonts w:ascii="Simplified Arabic" w:eastAsiaTheme="minorEastAsia" w:hAnsi="Simplified Arabic" w:cs="Simplified Arabic"/>
          <w:i/>
          <w:rtl/>
        </w:rPr>
        <w:t xml:space="preserve"> الهيكل المؤسسي وترتيبات نظام الحوكمة لإدارة النقل الحضري، ومشكلات أنظمة تملُّك الأراضي في مشروعات الطاقة/النقل/المياه، وتجزؤ الهيئات الصحية في تقديم خدمات الرعاية الصحية وتمويلها وتنظيمها، وعدم وجود سجل وطني موحد لشبكات الأمان الاجتماعي يرتبط بقواعد البيانات ذات الصلة، ونقص كفاءة الري في ظل النظام الحالي المدار مركزيا لتوزيع المياه.</w:t>
      </w:r>
      <w:r w:rsidRPr="00FF3102">
        <w:rPr>
          <w:rFonts w:ascii="Simplified Arabic" w:eastAsiaTheme="minorEastAsia" w:hAnsi="Simplified Arabic" w:cs="Simplified Arabic"/>
          <w:i/>
          <w:spacing w:val="0"/>
          <w:rtl/>
        </w:rPr>
        <w:t xml:space="preserve"> و</w:t>
      </w:r>
      <w:r w:rsidRPr="00FF3102">
        <w:rPr>
          <w:rFonts w:ascii="Simplified Arabic" w:eastAsiaTheme="minorEastAsia" w:hAnsi="Simplified Arabic" w:cs="Simplified Arabic"/>
          <w:i/>
          <w:rtl/>
        </w:rPr>
        <w:t>يدرس</w:t>
      </w:r>
      <w:r w:rsidRPr="00FF3102">
        <w:rPr>
          <w:rFonts w:ascii="Simplified Arabic" w:eastAsiaTheme="minorEastAsia" w:hAnsi="Simplified Arabic" w:cs="Simplified Arabic"/>
          <w:i/>
          <w:spacing w:val="0"/>
          <w:rtl/>
        </w:rPr>
        <w:t xml:space="preserve"> البنك </w:t>
      </w:r>
      <w:r w:rsidRPr="00FF3102">
        <w:rPr>
          <w:rFonts w:ascii="Simplified Arabic" w:eastAsiaTheme="minorEastAsia" w:hAnsi="Simplified Arabic" w:cs="Simplified Arabic"/>
          <w:i/>
          <w:rtl/>
        </w:rPr>
        <w:t>إيجاد طرق</w:t>
      </w:r>
      <w:r w:rsidRPr="00FF3102">
        <w:rPr>
          <w:rFonts w:ascii="Simplified Arabic" w:eastAsiaTheme="minorEastAsia" w:hAnsi="Simplified Arabic" w:cs="Simplified Arabic"/>
          <w:i/>
          <w:spacing w:val="0"/>
          <w:rtl/>
        </w:rPr>
        <w:t xml:space="preserve"> لتخفيف حدة هذه المخاطر في العمليات الجديدة وإعادة هيكلة العمليات الجارية في قطاعات إمدادات المياه والصرف الصحي</w:t>
      </w:r>
      <w:r w:rsidRPr="00FF3102">
        <w:rPr>
          <w:rFonts w:ascii="Simplified Arabic" w:eastAsiaTheme="minorEastAsia" w:hAnsi="Simplified Arabic" w:cs="Simplified Arabic"/>
          <w:i/>
          <w:rtl/>
        </w:rPr>
        <w:t>،</w:t>
      </w:r>
      <w:r w:rsidRPr="00FF3102">
        <w:rPr>
          <w:rFonts w:ascii="Simplified Arabic" w:eastAsiaTheme="minorEastAsia" w:hAnsi="Simplified Arabic" w:cs="Simplified Arabic"/>
          <w:i/>
          <w:spacing w:val="0"/>
          <w:rtl/>
        </w:rPr>
        <w:t xml:space="preserve"> والصحة</w:t>
      </w:r>
      <w:r w:rsidRPr="00FF3102">
        <w:rPr>
          <w:rFonts w:ascii="Simplified Arabic" w:eastAsiaTheme="minorEastAsia" w:hAnsi="Simplified Arabic" w:cs="Simplified Arabic"/>
          <w:i/>
          <w:rtl/>
        </w:rPr>
        <w:t>،</w:t>
      </w:r>
      <w:r w:rsidRPr="00FF3102">
        <w:rPr>
          <w:rFonts w:ascii="Simplified Arabic" w:eastAsiaTheme="minorEastAsia" w:hAnsi="Simplified Arabic" w:cs="Simplified Arabic"/>
          <w:i/>
          <w:spacing w:val="0"/>
          <w:rtl/>
        </w:rPr>
        <w:t xml:space="preserve"> والطاقة. وستقوم مؤسسة التمويل الدولية والوكالة الدولية لضمان الاستثمار بتقييم هذه المخاطر القطاعية عند النظر في مساندة المستثمرين المحليين والأجانب في هذه القطاعات. وتعي الحكومة هذه المعوقات جيدا وتجري حاليا معالجة بعضها. </w:t>
      </w:r>
    </w:p>
    <w:p w:rsidR="00810BAC" w:rsidRPr="00FF3102" w:rsidRDefault="00810BAC" w:rsidP="00CB6F7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القدرات المؤسسية للتنفيذ والاستدامة: تُقيَّم هذه المخاطر على أنها كبيرة.</w:t>
      </w:r>
      <w:r w:rsidRPr="00FF3102">
        <w:rPr>
          <w:rFonts w:ascii="Simplified Arabic" w:eastAsiaTheme="minorEastAsia" w:hAnsi="Simplified Arabic" w:cs="Simplified Arabic"/>
          <w:spacing w:val="0"/>
          <w:rtl/>
        </w:rPr>
        <w:t xml:space="preserve"> مازال هناك ضعف يشوب القدرات المؤسسية للهيئات المسؤولة عن إدارة التنفيذ في القطاعات الاجتماعية وقطاعات البيئة والمشتريات وإدارة الشؤون المالية والمتابعة والتقييم. وهناك أيضا غموض بشأن قدر</w:t>
      </w:r>
      <w:r w:rsidRPr="00FF3102">
        <w:rPr>
          <w:rFonts w:ascii="Simplified Arabic" w:eastAsiaTheme="minorEastAsia" w:hAnsi="Simplified Arabic" w:cs="Simplified Arabic"/>
          <w:rtl/>
        </w:rPr>
        <w:t>ة</w:t>
      </w:r>
      <w:r w:rsidRPr="00FF3102">
        <w:rPr>
          <w:rFonts w:ascii="Simplified Arabic" w:eastAsiaTheme="minorEastAsia" w:hAnsi="Simplified Arabic" w:cs="Simplified Arabic"/>
          <w:spacing w:val="0"/>
          <w:rtl/>
        </w:rPr>
        <w:t xml:space="preserve"> الهيئات المسؤولة عن إدارة التنفيذ على المحافظة على نتائج العمليات</w:t>
      </w:r>
      <w:r w:rsidRPr="00FF3102">
        <w:rPr>
          <w:rFonts w:ascii="Simplified Arabic" w:eastAsiaTheme="minorEastAsia" w:hAnsi="Simplified Arabic" w:cs="Simplified Arabic"/>
          <w:rtl/>
        </w:rPr>
        <w:t xml:space="preserve"> المحققة</w:t>
      </w:r>
      <w:r w:rsidRPr="00FF3102">
        <w:rPr>
          <w:rFonts w:ascii="Simplified Arabic" w:eastAsiaTheme="minorEastAsia" w:hAnsi="Simplified Arabic" w:cs="Simplified Arabic"/>
          <w:spacing w:val="0"/>
          <w:rtl/>
        </w:rPr>
        <w:t xml:space="preserve">، وهو ما سيؤثر سلبا في </w:t>
      </w:r>
      <w:r w:rsidRPr="00FF3102">
        <w:rPr>
          <w:rFonts w:ascii="Simplified Arabic" w:eastAsiaTheme="minorEastAsia" w:hAnsi="Simplified Arabic" w:cs="Simplified Arabic"/>
          <w:rtl/>
        </w:rPr>
        <w:t>إنجاز</w:t>
      </w:r>
      <w:r w:rsidRPr="00FF3102">
        <w:rPr>
          <w:rFonts w:ascii="Simplified Arabic" w:eastAsiaTheme="minorEastAsia" w:hAnsi="Simplified Arabic" w:cs="Simplified Arabic"/>
          <w:spacing w:val="0"/>
          <w:rtl/>
        </w:rPr>
        <w:t xml:space="preserve"> الأهداف الإنمائية للمشروعات الممولة في ظل إطار الشراكة الإستراتيجية. وتدرك الحكومة هذا الأمر وتقوم بإصلاحات إدارية واسعة النطاق. وستساند مجموعة البنك الدولي جهود الحكومة من خلال الجمع بين المشاركات العملية وتقديم مساعدة فنية جوهرية. </w:t>
      </w:r>
    </w:p>
    <w:p w:rsidR="00810BAC" w:rsidRPr="00FF3102" w:rsidRDefault="00810BAC" w:rsidP="00CB6F79">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iCs/>
          <w:spacing w:val="0"/>
          <w:rtl/>
        </w:rPr>
        <w:t>المخاطر المالية والتعاقدية: تُقيَّم المخاطر المالية والتعاقدية على مستوى البلاد بأنها كبيرة.</w:t>
      </w:r>
      <w:r w:rsidRPr="00FF3102">
        <w:rPr>
          <w:rFonts w:ascii="Simplified Arabic" w:eastAsiaTheme="minorEastAsia" w:hAnsi="Simplified Arabic" w:cs="Simplified Arabic"/>
          <w:spacing w:val="0"/>
          <w:rtl/>
        </w:rPr>
        <w:t xml:space="preserve"> قد لا يحقق استخدام الأموال مردودا كافيا مقابل إنفاقها بنزاهة نظراً للانحرافات عن تطبيق الشفافية والإنصاف جراء ضعف الممارسات وعدم وضوح المساءلة.</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ومع أن ترتيبات إدارة شؤون المالية العامة اُعتبرت كافية لعمليات مساندة الموازنة، لا تزال هناك مخاوف بشأن التوقف في بعض المجالات الرئيسية لإصلاح إدارة شؤون المالية العامة.</w:t>
      </w:r>
      <w:r w:rsidR="0058653D" w:rsidRPr="00FF3102">
        <w:rPr>
          <w:rStyle w:val="FootnoteReference"/>
          <w:rFonts w:ascii="Simplified Arabic" w:eastAsiaTheme="minorEastAsia" w:hAnsi="Simplified Arabic" w:cs="Simplified Arabic"/>
          <w:spacing w:val="0"/>
          <w:rtl/>
        </w:rPr>
        <w:footnoteReference w:id="27"/>
      </w:r>
      <w:r w:rsidR="003A1252">
        <w:rPr>
          <w:rFonts w:ascii="Simplified Arabic" w:eastAsiaTheme="minorEastAsia" w:hAnsi="Simplified Arabic" w:cs="Simplified Arabic"/>
          <w:spacing w:val="0"/>
          <w:rtl/>
        </w:rPr>
        <w:t xml:space="preserve"> </w:t>
      </w:r>
      <w:r w:rsidRPr="00FF3102">
        <w:rPr>
          <w:rFonts w:ascii="Simplified Arabic" w:eastAsiaTheme="minorEastAsia" w:hAnsi="Simplified Arabic" w:cs="Simplified Arabic"/>
          <w:spacing w:val="0"/>
          <w:rtl/>
        </w:rPr>
        <w:t>ويشارك البنك في الحوار وتقديم المساعدة الفنية في مجالات الضوابط المالية والمشتريات العامة وتطوير الجهاز المركزي للمحاسبات، وهي مشاركة سيتم توسيع نطاقها وتعميقها خلال الفترة التي يغطيها إطار الشراكة الإستراتيجية. وسيُبذل قدر أكبر من العناية الواجبة في القيام بالمشتريات في العمليات عالية القيمة وشديدة التعقيد.</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وقد تؤدي العمليات الجديدة لتمويل البرامج وفقاً للنتائج إلى زيادة المخاطر المالية والتعاقدية المرتبطة باستخدام أنظمة برامج</w:t>
      </w:r>
      <w:r w:rsidRPr="00FF3102">
        <w:rPr>
          <w:rFonts w:ascii="Simplified Arabic" w:eastAsiaTheme="minorEastAsia" w:hAnsi="Simplified Arabic" w:cs="Simplified Arabic"/>
          <w:rtl/>
        </w:rPr>
        <w:t xml:space="preserve"> جديدة</w:t>
      </w:r>
      <w:r w:rsidRPr="00FF3102">
        <w:rPr>
          <w:rFonts w:ascii="Simplified Arabic" w:eastAsiaTheme="minorEastAsia" w:hAnsi="Simplified Arabic" w:cs="Simplified Arabic"/>
          <w:spacing w:val="0"/>
          <w:rtl/>
        </w:rPr>
        <w:t xml:space="preserve"> في قطاعات معينة. وستُقدَّم توصيات بشأن خطة العمل مع ارتباط بعضها بالمؤشرات المتعلقة بالصرف، مثل ترتيبات المراجعة والتدقيق الداخليين وآليات البت في الشكاوى.</w:t>
      </w:r>
      <w:r w:rsidRPr="00FF3102">
        <w:rPr>
          <w:rFonts w:ascii="Simplified Arabic" w:eastAsiaTheme="minorEastAsia" w:hAnsi="Simplified Arabic" w:cs="Simplified Arabic"/>
          <w:spacing w:val="0"/>
        </w:rPr>
        <w:t xml:space="preserve"> </w:t>
      </w:r>
    </w:p>
    <w:p w:rsidR="00810BAC" w:rsidRPr="00FF3102" w:rsidRDefault="00810BAC" w:rsidP="00CB6F79">
      <w:pPr>
        <w:pStyle w:val="MainParanoChapter"/>
        <w:numPr>
          <w:ilvl w:val="0"/>
          <w:numId w:val="22"/>
        </w:numPr>
        <w:tabs>
          <w:tab w:val="clear" w:pos="1440"/>
        </w:tabs>
        <w:bidi/>
        <w:ind w:left="90" w:firstLine="0"/>
        <w:rPr>
          <w:rFonts w:ascii="Simplified Arabic" w:eastAsiaTheme="minorEastAsia" w:hAnsi="Simplified Arabic" w:cs="Simplified Arabic"/>
          <w:color w:val="000000"/>
        </w:rPr>
      </w:pPr>
      <w:r w:rsidRPr="00FF3102">
        <w:rPr>
          <w:rFonts w:ascii="Simplified Arabic" w:eastAsiaTheme="minorEastAsia" w:hAnsi="Simplified Arabic" w:cs="Simplified Arabic"/>
          <w:bCs/>
          <w:iCs/>
          <w:spacing w:val="0"/>
          <w:rtl/>
        </w:rPr>
        <w:t>البيئية والاجتماعية: تُقيَّم هذه المخاطر على أنها كبيرة.</w:t>
      </w:r>
      <w:r w:rsidRPr="00FF3102">
        <w:rPr>
          <w:rFonts w:ascii="Simplified Arabic" w:eastAsiaTheme="minorEastAsia" w:hAnsi="Simplified Arabic" w:cs="Simplified Arabic"/>
          <w:spacing w:val="0"/>
          <w:rtl/>
        </w:rPr>
        <w:t xml:space="preserve"> قد تنطوي الإجراءات التدخلية في ظل إطار الشراكة الإستراتيجية على مخاوف بيئية واجتماعية متعددة الأبعاد. فمصر لديها تاريخ من الترتيبات المؤسسية الضعيفة في تنفيذ خطط الإدارة البيئية والاجتماعية. وبالنسبة لخطط العمل المعنية بإعادة التوطين تحديداً، </w:t>
      </w:r>
      <w:r w:rsidRPr="00FF3102">
        <w:rPr>
          <w:rFonts w:ascii="Simplified Arabic" w:eastAsiaTheme="minorEastAsia" w:hAnsi="Simplified Arabic" w:cs="Simplified Arabic"/>
          <w:rtl/>
        </w:rPr>
        <w:t>توجد</w:t>
      </w:r>
      <w:r w:rsidRPr="00FF3102">
        <w:rPr>
          <w:rFonts w:ascii="Simplified Arabic" w:eastAsiaTheme="minorEastAsia" w:hAnsi="Simplified Arabic" w:cs="Simplified Arabic"/>
          <w:spacing w:val="0"/>
          <w:rtl/>
        </w:rPr>
        <w:t xml:space="preserve"> مخاطر في أنه لن يتم تعويض جميع الأطراف أو إعادة توطينهم على نحو مرض. ولتخفيف حدة هذه المخاطر، ستُقدَّم خدمات بناء القدرات إلى الحكومة المصرية والهيئات المسؤولة عن إدارة التنفيذ لإعداد وتنفيذ والإشراف على بعض أدوات الإجراءات الوقائية المحددة، وستغطي هذه الخدمات أيضا تفعيل مشاركة المواطنين وآليات رفع المظالم ومتابعة إعادة التوطين/تقديم التعويضات.</w:t>
      </w:r>
      <w:r w:rsidRPr="00FF3102">
        <w:rPr>
          <w:rFonts w:ascii="Simplified Arabic" w:eastAsiaTheme="minorEastAsia" w:hAnsi="Simplified Arabic" w:cs="Simplified Arabic"/>
          <w:spacing w:val="0"/>
        </w:rPr>
        <w:t xml:space="preserve"> </w:t>
      </w:r>
      <w:r w:rsidRPr="00FF3102">
        <w:rPr>
          <w:rFonts w:ascii="Simplified Arabic" w:eastAsiaTheme="minorEastAsia" w:hAnsi="Simplified Arabic" w:cs="Simplified Arabic"/>
          <w:spacing w:val="0"/>
          <w:rtl/>
        </w:rPr>
        <w:t>وسترصد مجموعة البنك الدولي هذه المخاطر بالتعاون مع جهاز شؤون البيئة في مصر وستواصل تقديم الإرشادات الفنية بشأن القضايا البيئية والاجتماعية على أساس كل حالة على حدة.</w:t>
      </w:r>
      <w:r w:rsidRPr="00FF3102">
        <w:rPr>
          <w:rFonts w:ascii="Simplified Arabic" w:eastAsiaTheme="minorEastAsia" w:hAnsi="Simplified Arabic" w:cs="Simplified Arabic"/>
          <w:spacing w:val="0"/>
        </w:rPr>
        <w:t xml:space="preserve"> </w:t>
      </w:r>
    </w:p>
    <w:p w:rsidR="00810BAC" w:rsidRPr="00FF3102" w:rsidRDefault="00810BAC" w:rsidP="009E1457">
      <w:pPr>
        <w:pStyle w:val="MainParanoChapter"/>
        <w:numPr>
          <w:ilvl w:val="0"/>
          <w:numId w:val="22"/>
        </w:numPr>
        <w:tabs>
          <w:tab w:val="clear" w:pos="1440"/>
        </w:tabs>
        <w:bidi/>
        <w:ind w:left="90" w:firstLine="0"/>
        <w:rPr>
          <w:rFonts w:ascii="Simplified Arabic" w:eastAsiaTheme="minorEastAsia" w:hAnsi="Simplified Arabic" w:cs="Simplified Arabic"/>
        </w:rPr>
      </w:pPr>
      <w:r w:rsidRPr="00FF3102">
        <w:rPr>
          <w:rFonts w:ascii="Simplified Arabic" w:eastAsiaTheme="minorEastAsia" w:hAnsi="Simplified Arabic" w:cs="Simplified Arabic"/>
          <w:bCs/>
          <w:spacing w:val="0"/>
          <w:rtl/>
        </w:rPr>
        <w:t>أصحاب المصلحة</w:t>
      </w:r>
      <w:r w:rsidRPr="00CB6F79">
        <w:rPr>
          <w:rFonts w:ascii="Simplified Arabic" w:eastAsiaTheme="minorEastAsia" w:hAnsi="Simplified Arabic" w:cs="Simplified Arabic"/>
          <w:bCs/>
          <w:i/>
          <w:iCs/>
          <w:spacing w:val="0"/>
          <w:rtl/>
        </w:rPr>
        <w:t>: تُقيَّم المخاطر المتعلقة بأصحاب المصلحة على أنها متوسطة.</w:t>
      </w:r>
      <w:r w:rsidRPr="00FF3102">
        <w:rPr>
          <w:rFonts w:ascii="Simplified Arabic" w:eastAsiaTheme="minorEastAsia" w:hAnsi="Simplified Arabic" w:cs="Simplified Arabic"/>
          <w:spacing w:val="0"/>
          <w:rtl/>
        </w:rPr>
        <w:t xml:space="preserve"> فمخاطر معارضة أصحاب المصلحة لبعض عمليات إطار الشراكة الإستراتيجية تُعتبر منخفضة في أعقاب إجراء مشاورات مكثفة معهم. ورغم ذلك، تنشأ بعض المخاطر من احتمال الفصل بين الأولويات المنبثقة عن المشاورات مع أصحاب المصلحة وبرنامج البنك. فعلى سبيل المثال، برز التعليم باعتباره من الأولويات القصوى في هذه المشاورات</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spacing w:val="0"/>
          <w:rtl/>
        </w:rPr>
        <w:t xml:space="preserve"> ومع أن البنك يجري حاليا حوارا مع الحكومة المصرية بشأن كيفية تحسين جودة التعليم، فإن المساندة المقدمة في مشروع تحديث التعليم والمهارات لن تتحقق قبل السنة المالية 2018. وتوجد مخاطر كبيرة في احتمال ألا يلبي البنك مطالب </w:t>
      </w:r>
      <w:r w:rsidR="009E1457">
        <w:rPr>
          <w:rFonts w:ascii="Simplified Arabic" w:eastAsiaTheme="minorEastAsia" w:hAnsi="Simplified Arabic" w:cs="Simplified Arabic" w:hint="cs"/>
          <w:spacing w:val="0"/>
          <w:rtl/>
        </w:rPr>
        <w:t>الفئات المعنية</w:t>
      </w:r>
      <w:r w:rsidRPr="00FF3102">
        <w:rPr>
          <w:rFonts w:ascii="Simplified Arabic" w:eastAsiaTheme="minorEastAsia" w:hAnsi="Simplified Arabic" w:cs="Simplified Arabic"/>
          <w:spacing w:val="0"/>
          <w:rtl/>
        </w:rPr>
        <w:t xml:space="preserve"> بالكامل فيما يتعلق بإبداء الرأي والمساءلة والشفافية في مشروعات البنية التحتية. ويخفف البنك حدة هذه المخاطر بمساندة إجراءات الاحتواء الاجتماعي (من خلال التشاور والتفعيل الكامل لآليات رفع المظالم لتشجيع مشاركة المواطنين وضمان اتباع المعايير الوقائية) ونشر الدروس المستفادة، واجتذاب مناصرين من البلدان الأخرى معنيين بالإجراءات الوقائية، وتقديم تدريب مكثف على هذه الإجراءات.</w:t>
      </w:r>
      <w:r w:rsidRPr="00FF3102">
        <w:rPr>
          <w:rFonts w:ascii="Simplified Arabic" w:eastAsiaTheme="minorEastAsia" w:hAnsi="Simplified Arabic" w:cs="Simplified Arabic"/>
          <w:color w:val="000000"/>
          <w:spacing w:val="0"/>
          <w:rtl/>
        </w:rPr>
        <w:t xml:space="preserve"> وستواصل مؤسسة التمويل الدولية والوكالة الدولية لضمان الاستثمار إجراء تقييم دقيق للمخاطر المرتبطة بالعناية الواجبة لضمان النزاهة والأشخاص ذوي المخاطر بحكم مناصبهم العامة لكل من عمليات مشاركتهما في مصر.</w:t>
      </w:r>
    </w:p>
    <w:p w:rsidR="00810BAC" w:rsidRPr="00FF3102" w:rsidRDefault="00810BAC" w:rsidP="001E71BE">
      <w:pPr>
        <w:pStyle w:val="MainParanoChapter"/>
        <w:numPr>
          <w:ilvl w:val="0"/>
          <w:numId w:val="22"/>
        </w:numPr>
        <w:tabs>
          <w:tab w:val="clear" w:pos="1440"/>
          <w:tab w:val="num" w:pos="0"/>
          <w:tab w:val="left" w:pos="540"/>
        </w:tabs>
        <w:bidi/>
        <w:rPr>
          <w:rFonts w:ascii="Simplified Arabic" w:hAnsi="Simplified Arabic" w:cs="Simplified Arabic"/>
          <w:spacing w:val="0"/>
        </w:rPr>
        <w:sectPr w:rsidR="00810BAC" w:rsidRPr="00FF3102">
          <w:footerReference w:type="default" r:id="rId19"/>
          <w:footerReference w:type="first" r:id="rId20"/>
          <w:footnotePr>
            <w:numRestart w:val="eachSect"/>
          </w:footnotePr>
          <w:pgSz w:w="12240" w:h="15840"/>
          <w:pgMar w:top="1350" w:right="1440" w:bottom="1080" w:left="1440" w:header="720" w:footer="720" w:gutter="0"/>
          <w:pgNumType w:start="1"/>
          <w:cols w:space="720"/>
          <w:titlePg/>
          <w:docGrid w:linePitch="360"/>
        </w:sectPr>
      </w:pPr>
    </w:p>
    <w:p w:rsidR="00810BAC" w:rsidRPr="00FF3102" w:rsidRDefault="00810BAC" w:rsidP="00A3197D">
      <w:pPr>
        <w:pStyle w:val="Annex"/>
        <w:rPr>
          <w:szCs w:val="24"/>
        </w:rPr>
      </w:pPr>
      <w:bookmarkStart w:id="921" w:name="_Toc439184187"/>
      <w:bookmarkStart w:id="922" w:name="_Toc439184799"/>
      <w:r w:rsidRPr="00FF3102">
        <w:rPr>
          <w:rtl/>
        </w:rPr>
        <w:t>الملحق 1 - إطار النتائج الخاص بإطار الشراكة الإستراتيجية</w:t>
      </w:r>
      <w:bookmarkEnd w:id="921"/>
      <w:bookmarkEnd w:id="922"/>
    </w:p>
    <w:tbl>
      <w:tblPr>
        <w:bidiVisual/>
        <w:tblW w:w="0" w:type="auto"/>
        <w:jc w:val="center"/>
        <w:tblLayout w:type="fixed"/>
        <w:tblLook w:val="00A0" w:firstRow="1" w:lastRow="0" w:firstColumn="1" w:lastColumn="0" w:noHBand="0" w:noVBand="0"/>
      </w:tblPr>
      <w:tblGrid>
        <w:gridCol w:w="11016"/>
      </w:tblGrid>
      <w:tr w:rsidR="00810BAC" w:rsidRPr="00FF3102" w:rsidTr="00F94DE5">
        <w:trPr>
          <w:jc w:val="center"/>
        </w:trPr>
        <w:tc>
          <w:tcPr>
            <w:tcW w:w="11016"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1: تحسين نظام الإدارة العامة والحوكمة</w:t>
            </w:r>
          </w:p>
        </w:tc>
      </w:tr>
      <w:tr w:rsidR="00810BAC" w:rsidRPr="00FF3102" w:rsidTr="00F94DE5">
        <w:trPr>
          <w:jc w:val="center"/>
        </w:trPr>
        <w:tc>
          <w:tcPr>
            <w:tcW w:w="11016" w:type="dxa"/>
          </w:tcPr>
          <w:p w:rsidR="00810BAC" w:rsidRPr="00FF3102" w:rsidRDefault="00810BAC" w:rsidP="00810BAC">
            <w:pPr>
              <w:bidi/>
              <w:rPr>
                <w:rFonts w:ascii="Simplified Arabic" w:eastAsiaTheme="minorEastAsia" w:hAnsi="Simplified Arabic" w:cs="Simplified Arabic"/>
                <w:b/>
              </w:rPr>
            </w:pPr>
            <w:r w:rsidRPr="00FF3102">
              <w:rPr>
                <w:rFonts w:ascii="Simplified Arabic" w:eastAsiaTheme="minorEastAsia" w:hAnsi="Simplified Arabic" w:cs="Simplified Arabic"/>
                <w:bCs/>
                <w:rtl/>
              </w:rPr>
              <w:t>بما يتسق والخطة الثلاثية للحكومة المصرية من أجل الإصلاح الإداري التي تهدف إلى مكافحة الفساد وتنفيذ اللامركزية بغية تحسين جودة الخدمات العامة وكفاءتها.</w:t>
            </w:r>
          </w:p>
          <w:tbl>
            <w:tblPr>
              <w:tblpPr w:leftFromText="180" w:rightFromText="180" w:vertAnchor="text" w:horzAnchor="margin" w:tblpY="212"/>
              <w:bidiVisual/>
              <w:tblW w:w="11016" w:type="dxa"/>
              <w:tblBorders>
                <w:top w:val="single" w:sz="4" w:space="0" w:color="auto"/>
                <w:bottom w:val="single" w:sz="4" w:space="0" w:color="auto"/>
              </w:tblBorders>
              <w:tblLayout w:type="fixed"/>
              <w:tblLook w:val="00A0" w:firstRow="1" w:lastRow="0" w:firstColumn="1" w:lastColumn="0" w:noHBand="0" w:noVBand="0"/>
            </w:tblPr>
            <w:tblGrid>
              <w:gridCol w:w="1368"/>
              <w:gridCol w:w="3690"/>
              <w:gridCol w:w="2700"/>
              <w:gridCol w:w="3258"/>
            </w:tblGrid>
            <w:tr w:rsidR="00F94DE5" w:rsidRPr="00FF3102" w:rsidTr="00F94DE5">
              <w:tc>
                <w:tcPr>
                  <w:tcW w:w="1368" w:type="dxa"/>
                  <w:tcBorders>
                    <w:top w:val="single" w:sz="4" w:space="0" w:color="auto"/>
                    <w:bottom w:val="single" w:sz="4" w:space="0" w:color="auto"/>
                  </w:tcBorders>
                </w:tcPr>
                <w:p w:rsidR="00F94DE5" w:rsidRPr="00FF3102" w:rsidRDefault="00F94DE5" w:rsidP="00F94DE5">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أهداف مجموعة البنك الدولي</w:t>
                  </w:r>
                </w:p>
              </w:tc>
              <w:tc>
                <w:tcPr>
                  <w:tcW w:w="3690" w:type="dxa"/>
                  <w:tcBorders>
                    <w:top w:val="single" w:sz="4" w:space="0" w:color="auto"/>
                    <w:bottom w:val="single" w:sz="4" w:space="0" w:color="auto"/>
                  </w:tcBorders>
                </w:tcPr>
                <w:p w:rsidR="00F94DE5" w:rsidRPr="00FF3102" w:rsidRDefault="00F94DE5" w:rsidP="00F94DE5">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مجالات تركيز إطار الشراكة الإستراتيجية</w:t>
                  </w:r>
                </w:p>
              </w:tc>
              <w:tc>
                <w:tcPr>
                  <w:tcW w:w="2700" w:type="dxa"/>
                  <w:tcBorders>
                    <w:top w:val="single" w:sz="4" w:space="0" w:color="auto"/>
                    <w:bottom w:val="single" w:sz="4" w:space="0" w:color="auto"/>
                  </w:tcBorders>
                </w:tcPr>
                <w:p w:rsidR="00F94DE5" w:rsidRPr="00FF3102" w:rsidRDefault="00F94DE5" w:rsidP="00F94DE5">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أهداف إطار الشراكة الإستراتيجية</w:t>
                  </w:r>
                </w:p>
              </w:tc>
              <w:tc>
                <w:tcPr>
                  <w:tcW w:w="3258" w:type="dxa"/>
                  <w:tcBorders>
                    <w:top w:val="single" w:sz="4" w:space="0" w:color="auto"/>
                    <w:bottom w:val="single" w:sz="4" w:space="0" w:color="auto"/>
                  </w:tcBorders>
                </w:tcPr>
                <w:p w:rsidR="00F94DE5" w:rsidRPr="00FF3102" w:rsidRDefault="00F94DE5" w:rsidP="00F94DE5">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 التحديات التي تواجهها مصر</w:t>
                  </w:r>
                </w:p>
              </w:tc>
            </w:tr>
          </w:tbl>
          <w:p w:rsidR="00810BAC" w:rsidRPr="00FF3102" w:rsidRDefault="00810BAC" w:rsidP="00810BAC">
            <w:pPr>
              <w:bidi/>
              <w:rPr>
                <w:rFonts w:ascii="Simplified Arabic" w:hAnsi="Simplified Arabic" w:cs="Simplified Arabic"/>
                <w:b/>
              </w:rPr>
            </w:pPr>
          </w:p>
        </w:tc>
      </w:tr>
    </w:tbl>
    <w:p w:rsidR="00810BAC" w:rsidRPr="00FF3102" w:rsidRDefault="00B82445" w:rsidP="00810BAC">
      <w:pPr>
        <w:bidi/>
        <w:jc w:val="right"/>
        <w:rPr>
          <w:rFonts w:ascii="Simplified Arabic" w:eastAsiaTheme="minorEastAsia" w:hAnsi="Simplified Arabic" w:cs="Simplified Arabic"/>
        </w:rPr>
      </w:pPr>
      <w:r w:rsidRPr="00FF3102">
        <w:rPr>
          <w:rFonts w:ascii="Simplified Arabic" w:hAnsi="Simplified Arabic" w:cs="Simplified Arabic"/>
          <w:noProof/>
          <w:snapToGrid/>
        </w:rPr>
        <w:drawing>
          <wp:anchor distT="0" distB="0" distL="187452" distR="114300" simplePos="0" relativeHeight="251659776" behindDoc="1" locked="0" layoutInCell="1" allowOverlap="1" wp14:anchorId="510FDB5B" wp14:editId="685F024E">
            <wp:simplePos x="0" y="0"/>
            <wp:positionH relativeFrom="column">
              <wp:posOffset>-756595</wp:posOffset>
            </wp:positionH>
            <wp:positionV relativeFrom="paragraph">
              <wp:posOffset>119380</wp:posOffset>
            </wp:positionV>
            <wp:extent cx="7409815" cy="7066915"/>
            <wp:effectExtent l="38100" t="0" r="38735" b="0"/>
            <wp:wrapNone/>
            <wp:docPr id="13"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page">
              <wp14:pctWidth>0</wp14:pctWidth>
            </wp14:sizeRelH>
            <wp14:sizeRelV relativeFrom="page">
              <wp14:pctHeight>0</wp14:pctHeight>
            </wp14:sizeRelV>
          </wp:anchor>
        </w:drawing>
      </w:r>
      <w:r w:rsidR="00810BAC" w:rsidRPr="00FF3102">
        <w:rPr>
          <w:rFonts w:ascii="Simplified Arabic" w:eastAsiaTheme="minorEastAsia" w:hAnsi="Simplified Arabic" w:cs="Simplified Arabic"/>
          <w:noProof/>
        </w:rPr>
        <w:t xml:space="preserve"> </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1: تحسين نظام الإدارة العامة والحوكمة</w:t>
      </w:r>
    </w:p>
    <w:p w:rsidR="00810BAC" w:rsidRPr="00FF3102" w:rsidRDefault="00810BAC" w:rsidP="00810BAC">
      <w:pPr>
        <w:bidi/>
        <w:rPr>
          <w:rFonts w:ascii="Simplified Arabic" w:hAnsi="Simplified Arabic" w:cs="Simplified Arabic"/>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1.1 لإطار الشراكة الإستراتيجية: تحسين إدارة المالية العامة</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ضبط أوضاع المالية العامة شرط رئيسي لتحقيق الاستقرار الاقتصادي الكلي.</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ضرورة خفض الإنفاق العام وزيادة كفاءته.</w:t>
            </w:r>
          </w:p>
          <w:p w:rsidR="00810BAC" w:rsidRPr="00FF3102" w:rsidRDefault="00810BAC" w:rsidP="001E71BE">
            <w:pPr>
              <w:numPr>
                <w:ilvl w:val="0"/>
                <w:numId w:val="24"/>
              </w:numPr>
              <w:bidi/>
              <w:spacing w:after="120"/>
              <w:rPr>
                <w:rFonts w:ascii="Simplified Arabic" w:eastAsiaTheme="minorEastAsia" w:hAnsi="Simplified Arabic" w:cs="Simplified Arabic"/>
              </w:rPr>
            </w:pPr>
            <w:r w:rsidRPr="00FF3102">
              <w:rPr>
                <w:rFonts w:ascii="Simplified Arabic" w:eastAsiaTheme="minorEastAsia" w:hAnsi="Simplified Arabic" w:cs="Simplified Arabic"/>
                <w:rtl/>
              </w:rPr>
              <w:t>الحاجة إلى زيادة الإيرادات الحكومية من خلال توسيع الوعاء الضريبي.</w:t>
            </w: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w:t>
            </w:r>
          </w:p>
          <w:p w:rsidR="00810BAC" w:rsidRPr="00FF3102" w:rsidRDefault="00810BAC" w:rsidP="00810BAC">
            <w:pPr>
              <w:bidi/>
              <w:ind w:left="720"/>
              <w:rPr>
                <w:rFonts w:ascii="Simplified Arabic" w:hAnsi="Simplified Arabic" w:cs="Simplified Arabic"/>
                <w:b/>
                <w:smallCaps/>
              </w:rPr>
            </w:pP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3680"/>
        </w:trPr>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1.1.1 سعر واحد ومُوحَّد للضريبة على كل السلع والخدمات</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يوجد (2015)</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نعم يوجد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1.1.2 إنشاء نظام خصم ضريبي لمستلزمات الإنتاج المباشرة وغير المباشرة</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يوجد (2015)</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نعم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tc>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الرصيد الأولي للمالية العامة: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الرصيد: 3.6% من إجمالي الناتج المحلي في عام 2015</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(2016): 2.4% من إجمالي الناتج المحلي</w:t>
            </w: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w:t>
            </w:r>
          </w:p>
        </w:tc>
      </w:tr>
    </w:tbl>
    <w:p w:rsidR="00810BAC" w:rsidRPr="00FF3102" w:rsidRDefault="00810BAC" w:rsidP="00810BAC">
      <w:pPr>
        <w:bidi/>
        <w:rPr>
          <w:rFonts w:ascii="Simplified Arabic" w:hAnsi="Simplified Arabic" w:cs="Simplified Arabic"/>
          <w:b/>
        </w:rPr>
      </w:pPr>
    </w:p>
    <w:p w:rsidR="00810BAC" w:rsidRPr="00FF3102" w:rsidRDefault="00810BAC" w:rsidP="00810BAC">
      <w:pPr>
        <w:bidi/>
        <w:rPr>
          <w:rFonts w:ascii="Simplified Arabic" w:eastAsiaTheme="minorEastAsia" w:hAnsi="Simplified Arabic" w:cs="Simplified Arabic"/>
          <w:b/>
        </w:rPr>
      </w:pPr>
      <w:r w:rsidRPr="00FF3102">
        <w:rPr>
          <w:rFonts w:ascii="Simplified Arabic" w:eastAsiaTheme="minorEastAsia" w:hAnsi="Simplified Arabic" w:cs="Simplified Arabic"/>
          <w:b/>
        </w:rPr>
        <w:br w:type="page"/>
      </w:r>
      <w:r w:rsidRPr="00FF3102">
        <w:rPr>
          <w:rFonts w:ascii="Simplified Arabic" w:eastAsiaTheme="minorEastAsia" w:hAnsi="Simplified Arabic" w:cs="Simplified Arabic"/>
          <w:bCs/>
          <w:rtl/>
        </w:rPr>
        <w:t>مجال التركيز 1: تحسين نظام الإدارة العامة والحوكمة</w:t>
      </w:r>
      <w:r w:rsidRPr="00FF3102">
        <w:rPr>
          <w:rFonts w:ascii="Simplified Arabic" w:eastAsiaTheme="minorEastAsia" w:hAnsi="Simplified Arabic" w:cs="Simplified Arabic"/>
          <w:b/>
        </w:rPr>
        <w:t xml:space="preserve"> </w:t>
      </w:r>
    </w:p>
    <w:p w:rsidR="00810BAC" w:rsidRPr="00FF3102" w:rsidRDefault="00810BAC" w:rsidP="00810BAC">
      <w:pPr>
        <w:bidi/>
        <w:rPr>
          <w:rFonts w:ascii="Simplified Arabic" w:hAnsi="Simplified Arabic" w:cs="Simplified Arabic"/>
          <w:b/>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1.2 لإطار الشراكة الإستراتيجية: تحسين شفافية المالية العامة</w:t>
            </w:r>
            <w:r w:rsidRPr="00FF3102">
              <w:rPr>
                <w:rFonts w:ascii="Simplified Arabic" w:eastAsiaTheme="minorEastAsia" w:hAnsi="Simplified Arabic" w:cs="Simplified Arabic"/>
                <w:b/>
              </w:rPr>
              <w:t xml:space="preserve"> </w:t>
            </w:r>
          </w:p>
        </w:tc>
      </w:tr>
      <w:tr w:rsidR="00810BAC" w:rsidRPr="00FF3102">
        <w:trPr>
          <w:cantSplit/>
          <w:trHeight w:val="2807"/>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تضخُّم فاتورة أجور موظفي القطاع العام وضعف السيطرة على مسارها المتزايد</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الافتقار إلى وظيفة مراجعة الحسابات في وزارة المالية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مواطن الضعف المؤسسي في إدارة شؤون المالية العامة وجوانب القصور في أداء النظام التي تُؤثِّر في تنفيذ سياسة المالية العامة، وتقديم الخدمات، والمساءلة.</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غياب التوجُّه الإستراتيجي لتوجيه إصلاحات إدارة شؤون المالية العامة</w:t>
            </w:r>
          </w:p>
          <w:p w:rsidR="00810BAC" w:rsidRPr="00FF3102" w:rsidRDefault="00810BAC" w:rsidP="00810BAC">
            <w:pPr>
              <w:bidi/>
              <w:ind w:left="720"/>
              <w:rPr>
                <w:rFonts w:ascii="Simplified Arabic" w:hAnsi="Simplified Arabic" w:cs="Simplified Arabic"/>
              </w:rPr>
            </w:pP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المساعدة الفنية وحوار السياسات بشأن تصميم إستراتيجية إدارة شؤون المالية العامة وتنفيذها، وتحديث ضوابط الرقابة المالية والمراجعة الداخلية، وتقييم وإصلاح نظام إدارة الاستثمارات العامة، وتحديث نظام المشتريات العامة.</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rPr>
                <w:rFonts w:ascii="Simplified Arabic" w:eastAsiaTheme="minorEastAsia" w:hAnsi="Simplified Arabic" w:cs="Simplified Arabic"/>
                <w:b/>
                <w:smallCaps/>
              </w:rPr>
            </w:pPr>
            <w:r w:rsidRPr="00FF3102">
              <w:rPr>
                <w:rFonts w:ascii="Simplified Arabic" w:eastAsiaTheme="minorEastAsia" w:hAnsi="Simplified Arabic" w:cs="Simplified Arabic"/>
                <w:rtl/>
              </w:rPr>
              <w:t>نشر المعرفة وزيادة الوعي بشأن شفافية المالية العامة والمساءلة.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4343"/>
        </w:trPr>
        <w:tc>
          <w:tcPr>
            <w:tcW w:w="2889" w:type="dxa"/>
            <w:shd w:val="clear" w:color="auto" w:fill="FFFFFF"/>
          </w:tcPr>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1.2.1 إنشاء وظيفة مراجعة الحسابات الداخلية في وزارة المالية</w:t>
            </w:r>
            <w:r w:rsidRPr="00FF3102">
              <w:rPr>
                <w:rFonts w:ascii="Simplified Arabic" w:eastAsiaTheme="minorEastAsia" w:hAnsi="Simplified Arabic" w:cs="Simplified Arabic"/>
                <w:i/>
              </w:rPr>
              <w:t xml:space="preserve"> </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يوجد (2015)</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نعم يوجد (2018)</w:t>
            </w:r>
          </w:p>
          <w:p w:rsidR="00810BAC" w:rsidRPr="00FF3102" w:rsidRDefault="00810BAC" w:rsidP="00810BAC">
            <w:pPr>
              <w:keepNext/>
              <w:bidi/>
              <w:rPr>
                <w:rFonts w:ascii="Simplified Arabic" w:hAnsi="Simplified Arabic" w:cs="Simplified Arabic"/>
                <w:i/>
              </w:rPr>
            </w:pPr>
          </w:p>
          <w:p w:rsidR="00810BAC" w:rsidRPr="00FF3102" w:rsidRDefault="00810BAC" w:rsidP="00810BAC">
            <w:pPr>
              <w:keepNext/>
              <w:bidi/>
              <w:rPr>
                <w:rFonts w:ascii="Simplified Arabic" w:eastAsiaTheme="minorEastAsia" w:hAnsi="Simplified Arabic" w:cs="Simplified Arabic"/>
                <w:i/>
              </w:rPr>
            </w:pPr>
            <w:r w:rsidRPr="00FF3102">
              <w:rPr>
                <w:rFonts w:ascii="Simplified Arabic" w:eastAsiaTheme="minorEastAsia" w:hAnsi="Simplified Arabic" w:cs="Simplified Arabic"/>
                <w:iCs/>
                <w:rtl/>
              </w:rPr>
              <w:t>1.2.2 تخفيض نسبة فاتورة أجور ورواتب موظفي الحكومة المركزية إلى إجمالي الناتج المحلي الاسمي.</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8.2% (2015)</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7.5% (2018)</w:t>
            </w:r>
          </w:p>
          <w:p w:rsidR="00810BAC" w:rsidRPr="00FF3102" w:rsidRDefault="00810BAC" w:rsidP="00810BAC">
            <w:pPr>
              <w:keepNext/>
              <w:bidi/>
              <w:rPr>
                <w:rFonts w:ascii="Simplified Arabic" w:hAnsi="Simplified Arabic" w:cs="Simplified Arabic"/>
                <w:i/>
              </w:rPr>
            </w:pP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1.2.3 نشر إستراتيجية إدارة الدين العام على الأمد المتوسط</w:t>
            </w:r>
            <w:r w:rsidRPr="00FF3102">
              <w:rPr>
                <w:rFonts w:ascii="Simplified Arabic" w:eastAsiaTheme="minorEastAsia" w:hAnsi="Simplified Arabic" w:cs="Simplified Arabic"/>
                <w:i/>
              </w:rPr>
              <w:t xml:space="preserve"> </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(2015)</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نعم (2018)</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rPr>
            </w:pPr>
          </w:p>
        </w:tc>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وزارة المالية تعتمد إستراتيجية جديدة لإدارة شؤون المالية العامة</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وزارة التخطيط والإصلاح الإداري تعتمد خريطة طريق لإصلاح نظام إدارة الاستثمارات العامة</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lang w:val="es-ES_tradnl"/>
              </w:rPr>
            </w:pPr>
            <w:r w:rsidRPr="00FF3102">
              <w:rPr>
                <w:rFonts w:ascii="Simplified Arabic" w:eastAsiaTheme="minorEastAsia" w:hAnsi="Simplified Arabic" w:cs="Simplified Arabic"/>
                <w:iCs/>
                <w:rtl/>
              </w:rPr>
              <w:t xml:space="preserve">تبسيط ضوابط الرقابة المالية المسبقة: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إصدار دليل عمليات جديد</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تبسيط الإجراءات وتنسيقها مع نظام معلومات إدارة مالية الحكومة</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بنك بيانات مشروعات الاستثمارات العامة</w:t>
            </w:r>
            <w:r w:rsidRPr="00FF3102">
              <w:rPr>
                <w:rFonts w:ascii="Simplified Arabic" w:eastAsiaTheme="minorEastAsia" w:hAnsi="Simplified Arabic" w:cs="Simplified Arabic"/>
                <w:b/>
                <w:i/>
              </w:rPr>
              <w:t xml:space="preserve">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يعمل</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تفعيل بنك بيانات المشروعات، ومن ذلك تصنيف المشروعات الاستثمارية بما يتسق وإستراتيجية التنمية</w:t>
            </w:r>
          </w:p>
          <w:p w:rsidR="00810BAC" w:rsidRPr="00FF3102" w:rsidRDefault="00810BAC" w:rsidP="00810BAC">
            <w:pPr>
              <w:bidi/>
              <w:rPr>
                <w:rFonts w:ascii="Simplified Arabic" w:hAnsi="Simplified Arabic" w:cs="Simplified Arabic"/>
              </w:rPr>
            </w:pP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 (البنك الدولي للإنشاء والتعمير)</w:t>
            </w:r>
          </w:p>
          <w:p w:rsidR="00810BAC" w:rsidRPr="00FF3102" w:rsidRDefault="00810BAC" w:rsidP="00810BAC">
            <w:pPr>
              <w:tabs>
                <w:tab w:val="left" w:pos="252"/>
              </w:tabs>
              <w:bidi/>
              <w:rPr>
                <w:rFonts w:ascii="Simplified Arabic" w:hAnsi="Simplified Arabic" w:cs="Simplified Arabic"/>
                <w:b/>
                <w:u w:val="single"/>
              </w:rPr>
            </w:pP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إدارة شؤون المالية العامة والاستثمارات العامة (المساعدة الفنية للبنك الدولي للإنشاء والتعمير)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إصلاحات القطاع العام (المساعدة الفنية للبنك الدولي للإنشاء والتعمير)</w:t>
            </w:r>
          </w:p>
          <w:p w:rsidR="00810BAC" w:rsidRPr="00FF3102" w:rsidRDefault="00810BAC" w:rsidP="00810BAC">
            <w:pPr>
              <w:tabs>
                <w:tab w:val="left" w:pos="252"/>
              </w:tabs>
              <w:bidi/>
              <w:rPr>
                <w:rFonts w:ascii="Simplified Arabic" w:hAnsi="Simplified Arabic" w:cs="Simplified Arabic"/>
              </w:rPr>
            </w:pPr>
          </w:p>
        </w:tc>
      </w:tr>
    </w:tbl>
    <w:p w:rsidR="00810BAC" w:rsidRPr="00FF3102" w:rsidRDefault="00810BAC" w:rsidP="00810BAC">
      <w:pPr>
        <w:bidi/>
        <w:rPr>
          <w:rFonts w:ascii="Simplified Arabic" w:hAnsi="Simplified Arabic" w:cs="Simplified Arabic"/>
          <w:b/>
        </w:rPr>
      </w:pPr>
    </w:p>
    <w:p w:rsidR="00810BAC" w:rsidRPr="00FF3102" w:rsidRDefault="00810BAC" w:rsidP="00810BAC">
      <w:pPr>
        <w:bidi/>
        <w:rPr>
          <w:rFonts w:ascii="Simplified Arabic" w:hAnsi="Simplified Arabic" w:cs="Simplified Arabic"/>
          <w:b/>
        </w:rPr>
      </w:pPr>
      <w:r w:rsidRPr="00FF3102">
        <w:rPr>
          <w:rFonts w:ascii="Simplified Arabic" w:hAnsi="Simplified Arabic" w:cs="Simplified Arabic"/>
          <w:b/>
        </w:rPr>
        <w:br w:type="page"/>
      </w:r>
    </w:p>
    <w:p w:rsidR="00810BAC" w:rsidRPr="00FF3102" w:rsidRDefault="00810BAC" w:rsidP="00810BAC">
      <w:pPr>
        <w:bidi/>
        <w:rPr>
          <w:rFonts w:ascii="Simplified Arabic" w:hAnsi="Simplified Arabic" w:cs="Simplified Arabic"/>
          <w:b/>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1: تحسين نظام الإدارة العامة والحوكمة</w:t>
      </w:r>
      <w:r w:rsidRPr="00FF3102">
        <w:rPr>
          <w:rFonts w:ascii="Simplified Arabic" w:eastAsiaTheme="minorEastAsia" w:hAnsi="Simplified Arabic" w:cs="Simplified Arabic"/>
          <w:b/>
        </w:rPr>
        <w:t xml:space="preserve"> </w:t>
      </w:r>
    </w:p>
    <w:tbl>
      <w:tblPr>
        <w:tblpPr w:leftFromText="180" w:rightFromText="180" w:vertAnchor="text" w:horzAnchor="margin" w:tblpXSpec="center" w:tblpY="196"/>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1.3 لإطار الشراكة الإستراتيجية: إنشاء قاعدة شواهد للإدارة العامة المستندة إلى الأداء</w:t>
            </w:r>
            <w:r w:rsidRPr="00FF3102">
              <w:rPr>
                <w:rFonts w:ascii="Simplified Arabic" w:eastAsiaTheme="minorEastAsia" w:hAnsi="Simplified Arabic" w:cs="Simplified Arabic"/>
                <w:b/>
              </w:rPr>
              <w:t xml:space="preserve"> </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يعاني العديد من الهيئات الحكومية من تداخل التفويضات والوظائف وازدواجيتها، وهو ما يؤدي إلى التنافس والافتقار إلى التعاون والتنسيق.</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تؤدي كثرة طبقات وأنواع التشريعات المتضاربة والمتناقضة في بعض الأحيان (قوانين ومراسيم وقرارات وتعميمات) إلى التشوُّش وعدم اليقين أمام الموظفين العموميين والمواطنين.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غياب إطار لإدارة الأداء المُؤسسي، وغياب ثقافة الأداء في الإدارة العامة.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إدارة أداء الأفراد تقوم، في الواقع، على الأقدمية لا على الأداء أو الجدارة والأحقية أو المهارات.</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جهاز الخدمة المدنية متخم بالموظفين، ومنغلق، ويفتقر إلى الكفاءة والدافع والقدرة على الاستجابة. </w:t>
            </w: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تطبيق إطار إدارة الأداء المؤسسي المعتمد في الاتحاد الأوروبي وتعميمه على المستوى الوطني.</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تنفيذ خطوات لتبسيط عدد الإجراءات الإدارية بدءا بمستوى البلديات (تراخيص البناء، والتراخيص التجارية، إلخ).</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تنفيذ بنود قانون الخدمة المدنية 18/2015 بشأن زيادة الرواتب على أساس الأداء لموظفي الخدمة المدنية.</w:t>
            </w:r>
            <w:r w:rsidRPr="00FF3102">
              <w:rPr>
                <w:rFonts w:ascii="Simplified Arabic" w:eastAsiaTheme="minorEastAsia" w:hAnsi="Simplified Arabic" w:cs="Simplified Arabic"/>
              </w:rPr>
              <w:t xml:space="preserve"> </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5135"/>
        </w:trPr>
        <w:tc>
          <w:tcPr>
            <w:tcW w:w="2889" w:type="dxa"/>
            <w:shd w:val="clear" w:color="auto" w:fill="FFFFFF"/>
          </w:tcPr>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color w:val="000000"/>
                <w:u w:color="000000"/>
                <w:rtl/>
              </w:rPr>
              <w:t>1.3.1 عدد الهيئات الحكومية التي تعتمد وتُطبِّق إطار إدارة الأداء المؤسسي المعمول به في الاتحاد الأوروبي</w:t>
            </w:r>
            <w:r w:rsidRPr="00FF3102">
              <w:rPr>
                <w:rFonts w:ascii="Simplified Arabic" w:eastAsiaTheme="minorEastAsia" w:hAnsi="Simplified Arabic" w:cs="Simplified Arabic"/>
                <w:i/>
                <w:color w:val="000000"/>
                <w:u w:color="000000"/>
              </w:rPr>
              <w:t xml:space="preserve"> </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color w:val="000000"/>
                <w:u w:color="000000"/>
                <w:rtl/>
              </w:rPr>
              <w:t>خط الأساس: صفر (2015)</w:t>
            </w:r>
          </w:p>
          <w:p w:rsidR="00810BAC" w:rsidRPr="00FF3102" w:rsidRDefault="00810BAC" w:rsidP="00810BAC">
            <w:pPr>
              <w:keepNext/>
              <w:bidi/>
              <w:rPr>
                <w:rFonts w:ascii="Simplified Arabic" w:eastAsiaTheme="minorEastAsia" w:hAnsi="Simplified Arabic" w:cs="Simplified Arabic"/>
                <w:i/>
                <w:color w:val="000000"/>
                <w:u w:color="000000"/>
              </w:rPr>
            </w:pPr>
            <w:r w:rsidRPr="00FF3102">
              <w:rPr>
                <w:rFonts w:ascii="Simplified Arabic" w:eastAsiaTheme="minorEastAsia" w:hAnsi="Simplified Arabic" w:cs="Simplified Arabic"/>
                <w:iCs/>
                <w:color w:val="000000"/>
                <w:u w:color="000000"/>
                <w:rtl/>
              </w:rPr>
              <w:t xml:space="preserve">المستهدف: 15 (2018) </w:t>
            </w:r>
          </w:p>
          <w:p w:rsidR="00810BAC" w:rsidRPr="00FF3102" w:rsidRDefault="00810BAC" w:rsidP="00810BAC">
            <w:pPr>
              <w:keepNext/>
              <w:bidi/>
              <w:rPr>
                <w:rFonts w:ascii="Simplified Arabic" w:hAnsi="Simplified Arabic" w:cs="Simplified Arabic"/>
                <w:i/>
                <w:color w:val="000000"/>
                <w:u w:color="000000"/>
              </w:rPr>
            </w:pPr>
          </w:p>
          <w:p w:rsidR="0058653D" w:rsidRPr="00FF3102" w:rsidRDefault="00810BAC" w:rsidP="00810BAC">
            <w:pPr>
              <w:keepNext/>
              <w:bidi/>
              <w:rPr>
                <w:rFonts w:ascii="Simplified Arabic" w:eastAsiaTheme="minorEastAsia" w:hAnsi="Simplified Arabic" w:cs="Simplified Arabic"/>
                <w:rtl/>
              </w:rPr>
            </w:pPr>
            <w:r w:rsidRPr="00FF3102">
              <w:rPr>
                <w:rFonts w:ascii="Simplified Arabic" w:eastAsiaTheme="minorEastAsia" w:hAnsi="Simplified Arabic" w:cs="Simplified Arabic"/>
                <w:rtl/>
              </w:rPr>
              <w:t xml:space="preserve">1.3.2 نسبة موظفي الخدمة المدنية الذين يتلقون أعلى معدل للأداء الفردي في أعقاب تنفيذ القانون 18/2015 </w:t>
            </w:r>
          </w:p>
          <w:p w:rsidR="00810BAC" w:rsidRPr="00FF3102" w:rsidRDefault="00810BAC" w:rsidP="0058653D">
            <w:pPr>
              <w:keepNext/>
              <w:bidi/>
              <w:rPr>
                <w:rFonts w:ascii="Simplified Arabic" w:eastAsiaTheme="minorEastAsia" w:hAnsi="Simplified Arabic" w:cs="Simplified Arabic"/>
              </w:rPr>
            </w:pPr>
            <w:r w:rsidRPr="00FF3102">
              <w:rPr>
                <w:rFonts w:ascii="Simplified Arabic" w:eastAsiaTheme="minorEastAsia" w:hAnsi="Simplified Arabic" w:cs="Simplified Arabic"/>
                <w:iCs/>
                <w:color w:val="000000"/>
                <w:u w:color="000000"/>
                <w:rtl/>
              </w:rPr>
              <w:t>خط الأساس: 99.5% (2015)</w:t>
            </w:r>
          </w:p>
          <w:p w:rsidR="00810BAC" w:rsidRPr="00FF3102" w:rsidRDefault="00810BAC" w:rsidP="00810BAC">
            <w:pPr>
              <w:keepNext/>
              <w:bidi/>
              <w:rPr>
                <w:rFonts w:ascii="Simplified Arabic" w:eastAsiaTheme="minorEastAsia" w:hAnsi="Simplified Arabic" w:cs="Simplified Arabic"/>
              </w:rPr>
            </w:pPr>
            <w:r w:rsidRPr="00FF3102">
              <w:rPr>
                <w:rFonts w:ascii="Simplified Arabic" w:eastAsiaTheme="minorEastAsia" w:hAnsi="Simplified Arabic" w:cs="Simplified Arabic"/>
                <w:iCs/>
                <w:color w:val="000000"/>
                <w:u w:color="000000"/>
                <w:rtl/>
              </w:rPr>
              <w:t>المستهدف: 75% (2018)</w:t>
            </w:r>
          </w:p>
          <w:p w:rsidR="00810BAC" w:rsidRPr="00FF3102" w:rsidRDefault="00810BAC" w:rsidP="00810BAC">
            <w:pPr>
              <w:bidi/>
              <w:rPr>
                <w:rFonts w:ascii="Simplified Arabic" w:hAnsi="Simplified Arabic" w:cs="Simplified Arabic"/>
              </w:rPr>
            </w:pPr>
          </w:p>
        </w:tc>
        <w:tc>
          <w:tcPr>
            <w:tcW w:w="2889" w:type="dxa"/>
            <w:shd w:val="clear" w:color="auto" w:fill="FFFFFF"/>
          </w:tcPr>
          <w:p w:rsidR="00810BAC" w:rsidRPr="00FF3102" w:rsidRDefault="00810BAC" w:rsidP="00810BAC">
            <w:pPr>
              <w:bidi/>
              <w:spacing w:after="220"/>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وزارة التخطيط والإصلاح الإداري تتلقَّى اعتمادا من المعهد الأوروبي للإدارة العامة بصفته الجهة الوحيدة لإصدار شهادات الامتثال لإطار إدارة الأداء المؤسسي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تدريب 100 موظف عمومي من المستوى المتوسط لدى المعهد الأوروبي للإدارة العامة على إدارة الأداء المؤسسي</w:t>
            </w:r>
            <w:r w:rsidRPr="00FF3102">
              <w:rPr>
                <w:rFonts w:ascii="Simplified Arabic" w:eastAsiaTheme="minorEastAsia" w:hAnsi="Simplified Arabic" w:cs="Simplified Arabic"/>
                <w:i/>
              </w:rPr>
              <w:t xml:space="preserve"> </w:t>
            </w:r>
          </w:p>
          <w:p w:rsidR="00810BAC" w:rsidRPr="00FF3102" w:rsidRDefault="00810BAC" w:rsidP="00810BAC">
            <w:pPr>
              <w:bidi/>
              <w:spacing w:after="220"/>
              <w:ind w:left="720"/>
              <w:jc w:val="both"/>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تبسيط إجراءات أنشطة الأعمال لتقديم خدمات البلديات الإدارية المعتمدة في عشر بلديات بالقاهرة و15 بلدية في الأسكندرية</w:t>
            </w:r>
          </w:p>
          <w:p w:rsidR="00810BAC" w:rsidRPr="00FF3102" w:rsidRDefault="00810BAC" w:rsidP="00810BAC">
            <w:pPr>
              <w:keepNext/>
              <w:keepLines/>
              <w:bidi/>
              <w:ind w:left="720"/>
              <w:outlineLvl w:val="0"/>
              <w:rPr>
                <w:rFonts w:ascii="Simplified Arabic" w:hAnsi="Simplified Arabic" w:cs="Simplified Arabic"/>
                <w:b/>
                <w:smallCaps/>
              </w:rPr>
            </w:pPr>
          </w:p>
        </w:tc>
        <w:tc>
          <w:tcPr>
            <w:tcW w:w="5220" w:type="dxa"/>
            <w:shd w:val="clear" w:color="auto" w:fill="FFFFFF"/>
          </w:tcPr>
          <w:p w:rsidR="00810BAC" w:rsidRPr="00FF3102" w:rsidRDefault="00810BAC" w:rsidP="00810BAC">
            <w:pPr>
              <w:tabs>
                <w:tab w:val="left" w:pos="252"/>
              </w:tabs>
              <w:bidi/>
              <w:rPr>
                <w:rFonts w:ascii="Simplified Arabic" w:hAnsi="Simplified Arabic" w:cs="Simplified Arabic"/>
                <w:b/>
              </w:rPr>
            </w:pPr>
          </w:p>
          <w:p w:rsidR="00810BAC" w:rsidRPr="00FF3102" w:rsidRDefault="00810BAC" w:rsidP="00810BAC">
            <w:pPr>
              <w:bidi/>
              <w:rPr>
                <w:rFonts w:ascii="Simplified Arabic" w:eastAsiaTheme="minorEastAsia" w:hAnsi="Simplified Arabic" w:cs="Simplified Arabic"/>
                <w:color w:val="000000"/>
                <w:u w:color="000000"/>
              </w:rPr>
            </w:pPr>
            <w:r w:rsidRPr="00FF3102">
              <w:rPr>
                <w:rFonts w:ascii="Simplified Arabic" w:eastAsiaTheme="minorEastAsia" w:hAnsi="Simplified Arabic" w:cs="Simplified Arabic"/>
                <w:color w:val="000000"/>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إدارة شؤون المالية العامة والاستثمارات العامة (المساعدة الفنية للبنك الدولي للإنشاء والتعمير)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إصلاحات القطاع العام (المساعدة الفنية للبنك الدولي للإنشاء والتعمير)</w:t>
            </w:r>
          </w:p>
          <w:p w:rsidR="00810BAC" w:rsidRPr="00FF3102" w:rsidRDefault="00810BAC" w:rsidP="00810BAC">
            <w:pPr>
              <w:bidi/>
              <w:rPr>
                <w:rFonts w:ascii="Simplified Arabic" w:hAnsi="Simplified Arabic" w:cs="Simplified Arabic"/>
              </w:rPr>
            </w:pPr>
          </w:p>
        </w:tc>
      </w:tr>
    </w:tbl>
    <w:p w:rsidR="00810BAC" w:rsidRPr="00FF3102" w:rsidRDefault="00810BAC" w:rsidP="00810BAC">
      <w:pPr>
        <w:bidi/>
        <w:rPr>
          <w:rFonts w:ascii="Simplified Arabic" w:hAnsi="Simplified Arabic" w:cs="Simplified Arabic"/>
          <w:b/>
        </w:rPr>
      </w:pPr>
    </w:p>
    <w:p w:rsidR="00810BAC" w:rsidRPr="00FF3102" w:rsidRDefault="00810BAC" w:rsidP="00810BAC">
      <w:pPr>
        <w:bidi/>
        <w:ind w:left="360"/>
        <w:outlineLvl w:val="5"/>
        <w:rPr>
          <w:rFonts w:ascii="Simplified Arabic" w:hAnsi="Simplified Arabic" w:cs="Simplified Arabic"/>
          <w:b/>
        </w:rPr>
      </w:pPr>
    </w:p>
    <w:p w:rsidR="00810BAC" w:rsidRPr="00FF3102" w:rsidRDefault="00810BAC" w:rsidP="00810BAC">
      <w:pPr>
        <w:bidi/>
        <w:rPr>
          <w:rFonts w:ascii="Simplified Arabic" w:hAnsi="Simplified Arabic" w:cs="Simplified Arabic"/>
          <w:b/>
        </w:rPr>
      </w:pPr>
      <w:r w:rsidRPr="00FF3102">
        <w:rPr>
          <w:rFonts w:ascii="Simplified Arabic" w:hAnsi="Simplified Arabic" w:cs="Simplified Arabic"/>
          <w:b/>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1: تحسين نظام الإدارة العامة والحوكمة</w:t>
      </w:r>
    </w:p>
    <w:tbl>
      <w:tblPr>
        <w:tblpPr w:leftFromText="180" w:rightFromText="180" w:vertAnchor="text" w:horzAnchor="margin" w:tblpXSpec="center" w:tblpY="204"/>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1.4 لإطار الشراكة الإستراتيجية: تدعيم مشاركة المواطنين في تقديم الخدمات</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محدودية قدرة المواطنين على مساءلة واضعي السياسات وكيانات القطاع العام عن فاعلية تقديم الخدمات ومستوى جودتها.</w:t>
            </w:r>
            <w:r w:rsidRPr="00FF3102">
              <w:rPr>
                <w:rFonts w:ascii="Simplified Arabic" w:eastAsiaTheme="minorEastAsia" w:hAnsi="Simplified Arabic" w:cs="Simplified Arabic"/>
              </w:rPr>
              <w:t xml:space="preserve"> </w:t>
            </w:r>
          </w:p>
          <w:p w:rsidR="00810BAC" w:rsidRPr="00FF3102" w:rsidRDefault="00810BAC" w:rsidP="00810BAC">
            <w:pPr>
              <w:bidi/>
              <w:ind w:left="720"/>
              <w:rPr>
                <w:rFonts w:ascii="Simplified Arabic" w:hAnsi="Simplified Arabic" w:cs="Simplified Arabic"/>
              </w:rPr>
            </w:pP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u w:val="single"/>
                <w:rtl/>
              </w:rPr>
              <w:t xml:space="preserve">على المستوى القطاعي: </w:t>
            </w:r>
            <w:r w:rsidRPr="00FF3102">
              <w:rPr>
                <w:rFonts w:ascii="Simplified Arabic" w:eastAsiaTheme="minorEastAsia" w:hAnsi="Simplified Arabic" w:cs="Simplified Arabic"/>
                <w:rtl/>
              </w:rPr>
              <w:t>تدمج المشروعات والبرامج التي يُموِّلها البنك الدولي الترتيبات المناسبة لمشاركة المواطنين، ومن ذلك على سبيل المثال: (1) المشاورات؛ (2) تزويد المواطنين بمعلومات عن تقديم الخدمات وتمكينهم من تقديم تعليقات تقييمية يتم اتخاذ إجراء بشأنها من خلال معالجة المظالم وغيرها من الآليات؛ (3) الحوافز المستندة إلى النتائج التي تستجيب لطلبات المتعاملين؛ (4) حملات الإعلام والتوعية بشأن مستويات تقديم الخدمات؛ (5) اشتراك الجهات الفاعلة من غير الدولة في التنفيذ أو الرصد والمتابعة.</w:t>
            </w:r>
          </w:p>
          <w:p w:rsidR="00810BAC" w:rsidRPr="00FF3102" w:rsidRDefault="00810BAC" w:rsidP="00810BAC">
            <w:pPr>
              <w:bidi/>
              <w:ind w:left="720"/>
              <w:rPr>
                <w:rFonts w:ascii="Simplified Arabic" w:hAnsi="Simplified Arabic" w:cs="Simplified Arabic"/>
                <w:b/>
                <w:smallCaps/>
              </w:rPr>
            </w:pP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912"/>
        </w:trPr>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1.4.1 نسبة الشكاوى التي تمت تسويتها في مكتب الإسكان: </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90% (2018)</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1.4.2 إجراء مسح استقصائي لرضا المستفيدين في قطاع الصرف الصحي.</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 (2018)</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1.4.3 نسبة المظالم التي تمت معالجتها في الإطار الزمني المُحدَّد في برنامج تكافل وكرامة للتحويلات النقدية</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365A0B">
            <w:pPr>
              <w:keepNext/>
              <w:keepLines/>
              <w:bidi/>
              <w:outlineLvl w:val="0"/>
              <w:rPr>
                <w:rFonts w:ascii="Simplified Arabic" w:hAnsi="Simplified Arabic" w:cs="Simplified Arabic"/>
                <w:i/>
              </w:rPr>
            </w:pPr>
            <w:r w:rsidRPr="00FF3102">
              <w:rPr>
                <w:rFonts w:ascii="Simplified Arabic" w:eastAsiaTheme="minorEastAsia" w:hAnsi="Simplified Arabic" w:cs="Simplified Arabic"/>
                <w:iCs/>
                <w:rtl/>
              </w:rPr>
              <w:t>المستهدف: 70% (2018)</w:t>
            </w:r>
          </w:p>
        </w:tc>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إنشاء آلية للشفافية والمساءلة في قطاع الإسكان.</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 (2018)</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تفعيل آليات معالجة المظالم في قطاع الصرف الصحي.</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 (2018)</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bidi/>
              <w:rPr>
                <w:rFonts w:ascii="Simplified Arabic" w:hAnsi="Simplified Arabic" w:cs="Simplified Arabic"/>
              </w:rPr>
            </w:pP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إجراءات لتحسين نظام الإدارة العامة والحوكمة في القطاع ودمج مشاركة المواطنين في المشروعات وعمليات تستند إلى أداة تمويل البرامج وفقا للنتائج</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برنامج التنمية المحلية في صعيد مصر (البنك الدولي للإنشاء والتعمير)</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color w:val="000000"/>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تعميم نظام الآراء التقييمية للمنتفعين في قطاعات مختارة (المساعدة الفنية التي يمولها الصندوق الاستئماني متعدد المانحين لمنطقة الشرق الأوسط وشمال أفريقيا)</w:t>
            </w:r>
          </w:p>
        </w:tc>
      </w:tr>
    </w:tbl>
    <w:p w:rsidR="00810BAC" w:rsidRPr="00FF3102" w:rsidRDefault="00810BAC" w:rsidP="00810BAC">
      <w:pPr>
        <w:bidi/>
        <w:rPr>
          <w:rFonts w:ascii="Simplified Arabic" w:eastAsiaTheme="minorEastAsia" w:hAnsi="Simplified Arabic" w:cs="Simplified Arabic"/>
          <w:b/>
        </w:rPr>
      </w:pPr>
      <w:r w:rsidRPr="00FF3102">
        <w:rPr>
          <w:rFonts w:ascii="Simplified Arabic" w:eastAsiaTheme="minorEastAsia" w:hAnsi="Simplified Arabic" w:cs="Simplified Arabic"/>
          <w:b/>
        </w:rPr>
        <w:br w:type="page"/>
        <w:t xml:space="preserve"> </w:t>
      </w:r>
      <w:r w:rsidRPr="00FF3102">
        <w:rPr>
          <w:rFonts w:ascii="Simplified Arabic" w:eastAsiaTheme="minorEastAsia" w:hAnsi="Simplified Arabic" w:cs="Simplified Arabic"/>
          <w:bCs/>
          <w:rtl/>
        </w:rPr>
        <w:t>مجال التركيز 1: تحسين نظام الإدارة العامة والحوكمة</w:t>
      </w:r>
    </w:p>
    <w:p w:rsidR="00810BAC" w:rsidRPr="00FF3102" w:rsidRDefault="00810BAC" w:rsidP="00810BAC">
      <w:pPr>
        <w:bidi/>
        <w:ind w:left="360"/>
        <w:outlineLvl w:val="5"/>
        <w:rPr>
          <w:rFonts w:ascii="Simplified Arabic" w:hAnsi="Simplified Arabic" w:cs="Simplified Arabic"/>
          <w:b/>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1.5 لإطار الشراكة الإستراتيجية: تدعيم حوكمة قطاع الطاقة</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نظام دعم منتجات الطاقة يترك تأثيرا مُشوِّها على الاقتصاد.</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ضرورة تحسين نظام الإدارة العامة والحوكمة في القطاع من أجل تحسين الفاعلية والكفاءة.</w:t>
            </w: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المساعدة الفنية في الوقت المناسب لتحليل موسَّع للآثار التوزيعية لإحداث تغييرات في أسعار الطاقة وإصلاح شبكات الأمان.</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التشجيع على تطوير أسواق الغاز والكهرباء الإقليمية ودون الإقليمية</w:t>
            </w:r>
          </w:p>
          <w:p w:rsidR="00810BAC" w:rsidRPr="00FF3102" w:rsidRDefault="00810BAC" w:rsidP="00810BAC">
            <w:pPr>
              <w:bidi/>
              <w:ind w:left="720"/>
              <w:rPr>
                <w:rFonts w:ascii="Simplified Arabic" w:hAnsi="Simplified Arabic" w:cs="Simplified Arabic"/>
                <w:b/>
                <w:smallCaps/>
              </w:rPr>
            </w:pP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6668"/>
        </w:trPr>
        <w:tc>
          <w:tcPr>
            <w:tcW w:w="2889" w:type="dxa"/>
            <w:shd w:val="clear" w:color="auto" w:fill="FFFFFF"/>
          </w:tcPr>
          <w:p w:rsidR="00810BAC" w:rsidRPr="00FF3102" w:rsidRDefault="00810BAC" w:rsidP="00810BAC">
            <w:pPr>
              <w:widowControl w:val="0"/>
              <w:autoSpaceDE w:val="0"/>
              <w:autoSpaceDN w:val="0"/>
              <w:bidi/>
              <w:adjustRightInd w:val="0"/>
              <w:ind w:right="-14"/>
              <w:rPr>
                <w:rFonts w:ascii="Simplified Arabic" w:eastAsiaTheme="minorEastAsia" w:hAnsi="Simplified Arabic" w:cs="Simplified Arabic"/>
                <w:i/>
                <w:spacing w:val="2"/>
              </w:rPr>
            </w:pPr>
            <w:r w:rsidRPr="00FF3102">
              <w:rPr>
                <w:rFonts w:ascii="Simplified Arabic" w:eastAsiaTheme="minorEastAsia" w:hAnsi="Simplified Arabic" w:cs="Simplified Arabic"/>
                <w:iCs/>
                <w:rtl/>
              </w:rPr>
              <w:t>1.5.1 خفض دعم منتجات الطاقة كنسبة من إجمالي الناتج المحلي</w:t>
            </w:r>
          </w:p>
          <w:p w:rsidR="00810BAC" w:rsidRPr="00FF3102" w:rsidRDefault="00810BAC" w:rsidP="00810BAC">
            <w:pPr>
              <w:widowControl w:val="0"/>
              <w:autoSpaceDE w:val="0"/>
              <w:autoSpaceDN w:val="0"/>
              <w:bidi/>
              <w:adjustRightInd w:val="0"/>
              <w:ind w:right="-14"/>
              <w:rPr>
                <w:rFonts w:ascii="Simplified Arabic" w:eastAsiaTheme="minorEastAsia" w:hAnsi="Simplified Arabic" w:cs="Simplified Arabic"/>
              </w:rPr>
            </w:pPr>
            <w:r w:rsidRPr="00FF3102">
              <w:rPr>
                <w:rFonts w:ascii="Simplified Arabic" w:eastAsiaTheme="minorEastAsia" w:hAnsi="Simplified Arabic" w:cs="Simplified Arabic"/>
                <w:iCs/>
                <w:spacing w:val="2"/>
                <w:rtl/>
              </w:rPr>
              <w:t>خط الأساس: 6.6%</w:t>
            </w:r>
            <w:r w:rsidRPr="00FF3102">
              <w:rPr>
                <w:rFonts w:ascii="Simplified Arabic" w:eastAsiaTheme="minorEastAsia" w:hAnsi="Simplified Arabic" w:cs="Simplified Arabic"/>
                <w:i/>
                <w:spacing w:val="2"/>
              </w:rPr>
              <w:t xml:space="preserve"> </w:t>
            </w:r>
          </w:p>
          <w:p w:rsidR="00810BAC" w:rsidRPr="00FF3102" w:rsidRDefault="00810BAC" w:rsidP="00810BAC">
            <w:pPr>
              <w:widowControl w:val="0"/>
              <w:autoSpaceDE w:val="0"/>
              <w:autoSpaceDN w:val="0"/>
              <w:bidi/>
              <w:adjustRightInd w:val="0"/>
              <w:ind w:right="-14"/>
              <w:rPr>
                <w:rFonts w:ascii="Simplified Arabic" w:eastAsiaTheme="minorEastAsia" w:hAnsi="Simplified Arabic" w:cs="Simplified Arabic"/>
              </w:rPr>
            </w:pPr>
            <w:r w:rsidRPr="00FF3102">
              <w:rPr>
                <w:rFonts w:ascii="Simplified Arabic" w:eastAsiaTheme="minorEastAsia" w:hAnsi="Simplified Arabic" w:cs="Simplified Arabic"/>
                <w:iCs/>
                <w:spacing w:val="2"/>
                <w:rtl/>
              </w:rPr>
              <w:t>المستهدف: 3.3%</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1.5.2 زيادة متوسط رسوم استهلاك الكهرباء</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0.226 جنيه/كيلووات ساعة</w:t>
            </w:r>
            <w:r w:rsidRPr="00FF3102">
              <w:rPr>
                <w:rFonts w:ascii="Simplified Arabic" w:eastAsiaTheme="minorEastAsia" w:hAnsi="Simplified Arabic" w:cs="Simplified Arabic"/>
                <w:i/>
              </w:rPr>
              <w:t xml:space="preserve">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0.451 جنيه/كيلووات ساعة</w:t>
            </w:r>
            <w:r w:rsidRPr="00FF3102">
              <w:rPr>
                <w:rFonts w:ascii="Simplified Arabic" w:eastAsiaTheme="minorEastAsia" w:hAnsi="Simplified Arabic" w:cs="Simplified Arabic"/>
                <w:i/>
              </w:rPr>
              <w:t xml:space="preserve"> </w:t>
            </w:r>
          </w:p>
        </w:tc>
        <w:tc>
          <w:tcPr>
            <w:tcW w:w="2889" w:type="dxa"/>
            <w:shd w:val="clear" w:color="auto" w:fill="FFFFFF"/>
          </w:tcPr>
          <w:p w:rsidR="00810BAC" w:rsidRPr="00FF3102" w:rsidRDefault="00810BAC" w:rsidP="00810BAC">
            <w:pPr>
              <w:bidi/>
              <w:rPr>
                <w:rFonts w:ascii="Simplified Arabic" w:hAnsi="Simplified Arabic" w:cs="Simplified Arabic"/>
                <w:i/>
              </w:rPr>
            </w:pP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تمويل سياسة التنمية لضبط أوضاع المالية العامة، وتوفير إمدادات الطاقة المستدامة، وتعزيز القدرة على المنافسة (البنك الدولي للإنشاء والتعمير)</w:t>
            </w:r>
          </w:p>
        </w:tc>
      </w:tr>
    </w:tbl>
    <w:p w:rsidR="00810BAC" w:rsidRPr="00FF3102" w:rsidRDefault="00810BAC" w:rsidP="00810BAC">
      <w:pPr>
        <w:bidi/>
        <w:rPr>
          <w:rFonts w:ascii="Simplified Arabic" w:hAnsi="Simplified Arabic" w:cs="Simplified Arabic"/>
        </w:rPr>
      </w:pPr>
    </w:p>
    <w:tbl>
      <w:tblPr>
        <w:bidiVisual/>
        <w:tblW w:w="11016" w:type="dxa"/>
        <w:jc w:val="center"/>
        <w:tblLayout w:type="fixed"/>
        <w:tblLook w:val="00A0" w:firstRow="1" w:lastRow="0" w:firstColumn="1" w:lastColumn="0" w:noHBand="0" w:noVBand="0"/>
      </w:tblPr>
      <w:tblGrid>
        <w:gridCol w:w="11016"/>
      </w:tblGrid>
      <w:tr w:rsidR="00810BAC" w:rsidRPr="00FF3102" w:rsidTr="001011E6">
        <w:trPr>
          <w:jc w:val="center"/>
        </w:trPr>
        <w:tc>
          <w:tcPr>
            <w:tcW w:w="11016" w:type="dxa"/>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hAnsi="Simplified Arabic" w:cs="Simplified Arabic"/>
                <w:b/>
              </w:rPr>
              <w:br w:type="page"/>
            </w: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tc>
      </w:tr>
      <w:tr w:rsidR="00810BAC" w:rsidRPr="00FF3102" w:rsidTr="001011E6">
        <w:trPr>
          <w:jc w:val="center"/>
        </w:trPr>
        <w:tc>
          <w:tcPr>
            <w:tcW w:w="11016" w:type="dxa"/>
          </w:tcPr>
          <w:p w:rsidR="00810BAC" w:rsidRPr="00FF3102" w:rsidRDefault="00810BAC" w:rsidP="001011E6">
            <w:pPr>
              <w:bidi/>
              <w:outlineLvl w:val="6"/>
              <w:rPr>
                <w:rFonts w:ascii="Simplified Arabic" w:hAnsi="Simplified Arabic" w:cs="Simplified Arabic"/>
                <w:b/>
                <w:i/>
              </w:rPr>
            </w:pPr>
            <w:r w:rsidRPr="00FF3102">
              <w:rPr>
                <w:rFonts w:ascii="Simplified Arabic" w:eastAsiaTheme="minorEastAsia" w:hAnsi="Simplified Arabic" w:cs="Simplified Arabic"/>
                <w:bCs/>
                <w:iCs/>
                <w:rtl/>
              </w:rPr>
              <w:t>بما يتسق والركيزة الثانية من البرنامج الاقتصادي للحكومة المصرية (تشجيع الانتعاش الاقتصادي وخلق الوظائف)</w:t>
            </w:r>
          </w:p>
        </w:tc>
      </w:tr>
    </w:tbl>
    <w:tbl>
      <w:tblPr>
        <w:tblpPr w:leftFromText="180" w:rightFromText="180" w:vertAnchor="text" w:horzAnchor="margin" w:tblpXSpec="center" w:tblpY="228"/>
        <w:bidiVisual/>
        <w:tblW w:w="11016" w:type="dxa"/>
        <w:tblBorders>
          <w:top w:val="single" w:sz="4" w:space="0" w:color="auto"/>
          <w:bottom w:val="single" w:sz="4" w:space="0" w:color="auto"/>
        </w:tblBorders>
        <w:tblLayout w:type="fixed"/>
        <w:tblLook w:val="00A0" w:firstRow="1" w:lastRow="0" w:firstColumn="1" w:lastColumn="0" w:noHBand="0" w:noVBand="0"/>
      </w:tblPr>
      <w:tblGrid>
        <w:gridCol w:w="1368"/>
        <w:gridCol w:w="3690"/>
        <w:gridCol w:w="2700"/>
        <w:gridCol w:w="3258"/>
      </w:tblGrid>
      <w:tr w:rsidR="001011E6" w:rsidRPr="00FF3102" w:rsidTr="001011E6">
        <w:tc>
          <w:tcPr>
            <w:tcW w:w="1368" w:type="dxa"/>
            <w:tcBorders>
              <w:top w:val="single" w:sz="4" w:space="0" w:color="auto"/>
              <w:bottom w:val="single" w:sz="4" w:space="0" w:color="auto"/>
            </w:tcBorders>
          </w:tcPr>
          <w:p w:rsidR="001011E6" w:rsidRPr="00FF3102" w:rsidRDefault="001011E6" w:rsidP="001011E6">
            <w:pPr>
              <w:bidi/>
              <w:rPr>
                <w:rFonts w:ascii="Simplified Arabic" w:eastAsiaTheme="minorEastAsia" w:hAnsi="Simplified Arabic" w:cs="Simplified Arabic"/>
              </w:rPr>
            </w:pPr>
            <w:r w:rsidRPr="00FF3102">
              <w:rPr>
                <w:rFonts w:ascii="Simplified Arabic" w:eastAsiaTheme="minorEastAsia" w:hAnsi="Simplified Arabic" w:cs="Simplified Arabic"/>
                <w:bCs/>
                <w:rtl/>
              </w:rPr>
              <w:t>أهداف مجموعة البنك الدولي</w:t>
            </w:r>
          </w:p>
        </w:tc>
        <w:tc>
          <w:tcPr>
            <w:tcW w:w="3690" w:type="dxa"/>
            <w:tcBorders>
              <w:top w:val="single" w:sz="4" w:space="0" w:color="auto"/>
              <w:bottom w:val="single" w:sz="4" w:space="0" w:color="auto"/>
            </w:tcBorders>
          </w:tcPr>
          <w:p w:rsidR="001011E6" w:rsidRPr="00FF3102" w:rsidRDefault="001011E6" w:rsidP="001011E6">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مجالات تركيز إطار الشراكة الإستراتيجية</w:t>
            </w:r>
          </w:p>
        </w:tc>
        <w:tc>
          <w:tcPr>
            <w:tcW w:w="2700" w:type="dxa"/>
            <w:tcBorders>
              <w:top w:val="single" w:sz="4" w:space="0" w:color="auto"/>
              <w:bottom w:val="single" w:sz="4" w:space="0" w:color="auto"/>
            </w:tcBorders>
          </w:tcPr>
          <w:p w:rsidR="001011E6" w:rsidRPr="00FF3102" w:rsidRDefault="001011E6" w:rsidP="001011E6">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أهداف إطار الشراكة الإستراتيجية</w:t>
            </w:r>
          </w:p>
        </w:tc>
        <w:tc>
          <w:tcPr>
            <w:tcW w:w="3258" w:type="dxa"/>
            <w:tcBorders>
              <w:top w:val="single" w:sz="4" w:space="0" w:color="auto"/>
              <w:bottom w:val="single" w:sz="4" w:space="0" w:color="auto"/>
            </w:tcBorders>
          </w:tcPr>
          <w:p w:rsidR="001011E6" w:rsidRPr="00FF3102" w:rsidRDefault="001011E6" w:rsidP="001011E6">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التحديات التي تواجهها مصر</w:t>
            </w:r>
          </w:p>
        </w:tc>
      </w:tr>
    </w:tbl>
    <w:p w:rsidR="00810BAC" w:rsidRPr="00FF3102" w:rsidRDefault="00B82445" w:rsidP="00810BAC">
      <w:pPr>
        <w:bidi/>
        <w:jc w:val="right"/>
        <w:rPr>
          <w:rFonts w:ascii="Simplified Arabic" w:eastAsiaTheme="minorEastAsia" w:hAnsi="Simplified Arabic" w:cs="Simplified Arabic"/>
        </w:rPr>
      </w:pPr>
      <w:r w:rsidRPr="00FF3102">
        <w:rPr>
          <w:rFonts w:ascii="Simplified Arabic" w:hAnsi="Simplified Arabic" w:cs="Simplified Arabic"/>
          <w:noProof/>
          <w:snapToGrid/>
        </w:rPr>
        <w:drawing>
          <wp:anchor distT="0" distB="0" distL="114300" distR="114300" simplePos="0" relativeHeight="251662848" behindDoc="1" locked="0" layoutInCell="1" allowOverlap="1" wp14:anchorId="1FE858C8" wp14:editId="2FA2C075">
            <wp:simplePos x="0" y="0"/>
            <wp:positionH relativeFrom="page">
              <wp:posOffset>185095</wp:posOffset>
            </wp:positionH>
            <wp:positionV relativeFrom="paragraph">
              <wp:posOffset>603250</wp:posOffset>
            </wp:positionV>
            <wp:extent cx="7409815" cy="7067550"/>
            <wp:effectExtent l="38100" t="0" r="38735" b="0"/>
            <wp:wrapNone/>
            <wp:docPr id="12" name="Diagram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page">
              <wp14:pctWidth>0</wp14:pctWidth>
            </wp14:sizeRelH>
            <wp14:sizeRelV relativeFrom="page">
              <wp14:pctHeight>0</wp14:pctHeight>
            </wp14:sizeRelV>
          </wp:anchor>
        </w:drawing>
      </w:r>
      <w:r w:rsidR="00810BAC" w:rsidRPr="00FF3102">
        <w:rPr>
          <w:rFonts w:ascii="Simplified Arabic" w:eastAsiaTheme="minorEastAsia" w:hAnsi="Simplified Arabic" w:cs="Simplified Arabic"/>
          <w:noProof/>
        </w:rPr>
        <w:t xml:space="preserve"> </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p w:rsidR="00810BAC" w:rsidRPr="00FF3102" w:rsidRDefault="00810BAC" w:rsidP="00810BAC">
      <w:pPr>
        <w:bidi/>
        <w:rPr>
          <w:rFonts w:ascii="Simplified Arabic" w:hAnsi="Simplified Arabic" w:cs="Simplified Arabic"/>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E8253C">
        <w:trPr>
          <w:cantSplit/>
          <w:trHeight w:val="20"/>
        </w:trPr>
        <w:tc>
          <w:tcPr>
            <w:tcW w:w="10998" w:type="dxa"/>
            <w:gridSpan w:val="3"/>
            <w:shd w:val="clear" w:color="auto" w:fill="DBE5F1"/>
          </w:tcPr>
          <w:p w:rsidR="00810BAC" w:rsidRPr="00E8253C" w:rsidRDefault="00810BAC" w:rsidP="00810BAC">
            <w:pPr>
              <w:bidi/>
              <w:ind w:left="360"/>
              <w:outlineLvl w:val="5"/>
              <w:rPr>
                <w:rFonts w:ascii="Simplified Arabic" w:eastAsiaTheme="minorEastAsia" w:hAnsi="Simplified Arabic" w:cs="Simplified Arabic"/>
              </w:rPr>
            </w:pPr>
            <w:r w:rsidRPr="00E8253C">
              <w:rPr>
                <w:rFonts w:ascii="Simplified Arabic" w:eastAsiaTheme="minorEastAsia" w:hAnsi="Simplified Arabic" w:cs="Simplified Arabic"/>
                <w:bCs/>
                <w:rtl/>
              </w:rPr>
              <w:t>الهدف 2.1 لإطار الشراكة الإستراتيجية: تحسين البيئة التنظيمية لاستثمارات القطاع الخاص</w:t>
            </w:r>
          </w:p>
        </w:tc>
      </w:tr>
      <w:tr w:rsidR="00810BAC" w:rsidRPr="00E8253C">
        <w:trPr>
          <w:cantSplit/>
          <w:trHeight w:val="20"/>
        </w:trPr>
        <w:tc>
          <w:tcPr>
            <w:tcW w:w="5778" w:type="dxa"/>
            <w:gridSpan w:val="2"/>
            <w:shd w:val="clear" w:color="auto" w:fill="FFFFFF"/>
          </w:tcPr>
          <w:p w:rsidR="00810BAC" w:rsidRPr="00E8253C" w:rsidRDefault="00810BAC" w:rsidP="00810BAC">
            <w:pPr>
              <w:bidi/>
              <w:spacing w:before="60"/>
              <w:outlineLvl w:val="7"/>
              <w:rPr>
                <w:rFonts w:ascii="Simplified Arabic" w:eastAsiaTheme="minorEastAsia" w:hAnsi="Simplified Arabic" w:cs="Simplified Arabic"/>
                <w:b/>
              </w:rPr>
            </w:pPr>
            <w:r w:rsidRPr="00E8253C">
              <w:rPr>
                <w:rFonts w:ascii="Simplified Arabic" w:eastAsiaTheme="minorEastAsia" w:hAnsi="Simplified Arabic" w:cs="Simplified Arabic"/>
                <w:bCs/>
                <w:rtl/>
              </w:rPr>
              <w:t xml:space="preserve">التحديات: </w:t>
            </w:r>
          </w:p>
          <w:p w:rsidR="00810BAC" w:rsidRPr="00E8253C" w:rsidRDefault="00810BAC" w:rsidP="001E71BE">
            <w:pPr>
              <w:numPr>
                <w:ilvl w:val="0"/>
                <w:numId w:val="25"/>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الافتقار إلى الديناميكية في القطاع الخاص الرسمي من حيث دخول الشركات السوق والنمو والابتكار</w:t>
            </w:r>
          </w:p>
          <w:p w:rsidR="00810BAC" w:rsidRPr="00E8253C" w:rsidRDefault="00810BAC" w:rsidP="001E71BE">
            <w:pPr>
              <w:numPr>
                <w:ilvl w:val="0"/>
                <w:numId w:val="25"/>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تشوُّهات السياسات وضعف إطار المنافسة تُقيِّد المنافسة وتؤدي إلى اتجاه الاستثمارات نحو الشركات الكبيرة كثيفة الاستخدام لرأس المال التي لا تخلق فرص عمل.</w:t>
            </w:r>
            <w:r w:rsidRPr="00E8253C">
              <w:rPr>
                <w:rFonts w:ascii="Simplified Arabic" w:eastAsiaTheme="minorEastAsia" w:hAnsi="Simplified Arabic" w:cs="Simplified Arabic"/>
              </w:rPr>
              <w:t xml:space="preserve"> </w:t>
            </w:r>
          </w:p>
          <w:p w:rsidR="00810BAC" w:rsidRPr="00E8253C" w:rsidRDefault="00810BAC" w:rsidP="001E71BE">
            <w:pPr>
              <w:numPr>
                <w:ilvl w:val="0"/>
                <w:numId w:val="25"/>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تعقيد البيئة التنظيمية، وعدم التكافؤ في الحصول على الخدمات التنظيمية، وضعف إطار الإعسار تخلق حالة من الغموض أمام مؤسسات الأعمال وتحول دون دخول السوق والخروج منه.</w:t>
            </w:r>
            <w:r w:rsidRPr="00E8253C">
              <w:rPr>
                <w:rFonts w:ascii="Simplified Arabic" w:eastAsiaTheme="minorEastAsia" w:hAnsi="Simplified Arabic" w:cs="Simplified Arabic"/>
              </w:rPr>
              <w:t xml:space="preserve"> </w:t>
            </w:r>
          </w:p>
          <w:p w:rsidR="00810BAC" w:rsidRPr="00E8253C" w:rsidRDefault="00810BAC" w:rsidP="001E71BE">
            <w:pPr>
              <w:numPr>
                <w:ilvl w:val="0"/>
                <w:numId w:val="25"/>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ضعف الترابط بين سلاسل القيمة والوصول إلى الأسواق، بما في ذلك من حيث التكامل المكاني بين صعيد مصر وشمالها.</w:t>
            </w:r>
          </w:p>
          <w:p w:rsidR="00810BAC" w:rsidRPr="00E8253C" w:rsidRDefault="00810BAC" w:rsidP="001E71BE">
            <w:pPr>
              <w:numPr>
                <w:ilvl w:val="0"/>
                <w:numId w:val="25"/>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تدنِّي صلاحية الشباب للعمل (لاسيما بين خريجي الجامعات) بسبب عدم التوافق بين المهارات واحتياجات السوق يُؤثِّر في نمو الشركات.</w:t>
            </w:r>
          </w:p>
          <w:p w:rsidR="00810BAC" w:rsidRPr="00E8253C" w:rsidRDefault="00810BAC" w:rsidP="00810BAC">
            <w:pPr>
              <w:bidi/>
              <w:rPr>
                <w:rFonts w:ascii="Simplified Arabic" w:hAnsi="Simplified Arabic" w:cs="Simplified Arabic"/>
              </w:rPr>
            </w:pPr>
          </w:p>
        </w:tc>
        <w:tc>
          <w:tcPr>
            <w:tcW w:w="5220" w:type="dxa"/>
            <w:shd w:val="clear" w:color="auto" w:fill="FFFFFF"/>
          </w:tcPr>
          <w:p w:rsidR="00810BAC" w:rsidRPr="00E8253C" w:rsidRDefault="00810BAC" w:rsidP="00810BAC">
            <w:pPr>
              <w:bidi/>
              <w:spacing w:before="60"/>
              <w:outlineLvl w:val="7"/>
              <w:rPr>
                <w:rFonts w:ascii="Simplified Arabic" w:eastAsiaTheme="minorEastAsia" w:hAnsi="Simplified Arabic" w:cs="Simplified Arabic"/>
                <w:b/>
              </w:rPr>
            </w:pPr>
            <w:r w:rsidRPr="00E8253C">
              <w:rPr>
                <w:rFonts w:ascii="Simplified Arabic" w:eastAsiaTheme="minorEastAsia" w:hAnsi="Simplified Arabic" w:cs="Simplified Arabic"/>
                <w:bCs/>
                <w:rtl/>
              </w:rPr>
              <w:t xml:space="preserve">الحلول التي تساندها مجموعة البنك الدولي: </w:t>
            </w:r>
          </w:p>
          <w:p w:rsidR="00810BAC" w:rsidRPr="00E8253C" w:rsidRDefault="00810BAC" w:rsidP="001E71BE">
            <w:pPr>
              <w:numPr>
                <w:ilvl w:val="0"/>
                <w:numId w:val="26"/>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إصلاحات منهجية تؤدي إلى تبسيط القواعد التنظيمية، وتقليل التفاوت في المعاملة عند تنفيذها، وإلغاء الحواجز القائمة أمام المنافسة ولاسيما على مستوى القطاع.</w:t>
            </w:r>
          </w:p>
          <w:p w:rsidR="00810BAC" w:rsidRPr="00E8253C" w:rsidRDefault="00810BAC" w:rsidP="001E71BE">
            <w:pPr>
              <w:numPr>
                <w:ilvl w:val="0"/>
                <w:numId w:val="26"/>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إصلاح الإجراءات الخاصة بالاستثمارات الوافدة، ومنح التراخيص الصناعية، والرخص، وتخصيص الأراضي للأغراض الصناعية، وإطار المنافسة.</w:t>
            </w:r>
          </w:p>
          <w:p w:rsidR="00810BAC" w:rsidRPr="00E8253C" w:rsidRDefault="00810BAC" w:rsidP="001E71BE">
            <w:pPr>
              <w:numPr>
                <w:ilvl w:val="0"/>
                <w:numId w:val="26"/>
              </w:numPr>
              <w:bidi/>
              <w:jc w:val="both"/>
              <w:rPr>
                <w:rFonts w:ascii="Simplified Arabic" w:eastAsiaTheme="minorEastAsia" w:hAnsi="Simplified Arabic" w:cs="Simplified Arabic"/>
              </w:rPr>
            </w:pPr>
            <w:r w:rsidRPr="00E8253C">
              <w:rPr>
                <w:rFonts w:ascii="Simplified Arabic" w:eastAsiaTheme="minorEastAsia" w:hAnsi="Simplified Arabic" w:cs="Simplified Arabic"/>
                <w:rtl/>
              </w:rPr>
              <w:t xml:space="preserve">نُهُج متكاملة معينة للصناعات والمناطق من أجل التشجيع على التنافس ونمو الوظائف من خلال الاستثمارات في البنية التحتية، والمؤسسات، والقدرات، والمهارات، والإصلاحات الموجهة لحوكمة الاقتصاد والإجراءات التنظيمية في قطاعات رئيسية (منها تكنولوجيا المعلومات والاتصالات والصناعات الزراعية) والمناطق (ومنها المناطق التي لم تحظ بنصيب كاف من التنمية). </w:t>
            </w:r>
          </w:p>
          <w:p w:rsidR="00810BAC" w:rsidRPr="00E8253C" w:rsidRDefault="00810BAC" w:rsidP="00810BAC">
            <w:pPr>
              <w:bidi/>
              <w:rPr>
                <w:rFonts w:ascii="Simplified Arabic" w:hAnsi="Simplified Arabic" w:cs="Simplified Arabic"/>
                <w:b/>
                <w:smallCaps/>
              </w:rPr>
            </w:pPr>
          </w:p>
        </w:tc>
      </w:tr>
      <w:tr w:rsidR="00810BAC" w:rsidRPr="00E8253C">
        <w:trPr>
          <w:cantSplit/>
          <w:trHeight w:val="20"/>
        </w:trPr>
        <w:tc>
          <w:tcPr>
            <w:tcW w:w="2889" w:type="dxa"/>
            <w:shd w:val="clear" w:color="auto" w:fill="DBE5F1"/>
          </w:tcPr>
          <w:p w:rsidR="00810BAC" w:rsidRPr="00E8253C" w:rsidRDefault="00810BAC" w:rsidP="00810BAC">
            <w:pPr>
              <w:bidi/>
              <w:ind w:left="360"/>
              <w:outlineLvl w:val="5"/>
              <w:rPr>
                <w:rFonts w:ascii="Simplified Arabic" w:eastAsiaTheme="minorEastAsia" w:hAnsi="Simplified Arabic" w:cs="Simplified Arabic"/>
              </w:rPr>
            </w:pPr>
            <w:r w:rsidRPr="00E8253C">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E8253C" w:rsidRDefault="00810BAC" w:rsidP="00810BAC">
            <w:pPr>
              <w:bidi/>
              <w:ind w:left="360"/>
              <w:outlineLvl w:val="5"/>
              <w:rPr>
                <w:rFonts w:ascii="Simplified Arabic" w:eastAsiaTheme="minorEastAsia" w:hAnsi="Simplified Arabic" w:cs="Simplified Arabic"/>
              </w:rPr>
            </w:pPr>
            <w:r w:rsidRPr="00E8253C">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E8253C" w:rsidRDefault="00810BAC" w:rsidP="00810BAC">
            <w:pPr>
              <w:bidi/>
              <w:ind w:left="360"/>
              <w:outlineLvl w:val="5"/>
              <w:rPr>
                <w:rFonts w:ascii="Simplified Arabic" w:eastAsiaTheme="minorEastAsia" w:hAnsi="Simplified Arabic" w:cs="Simplified Arabic"/>
              </w:rPr>
            </w:pPr>
            <w:r w:rsidRPr="00E8253C">
              <w:rPr>
                <w:rFonts w:ascii="Simplified Arabic" w:eastAsiaTheme="minorEastAsia" w:hAnsi="Simplified Arabic" w:cs="Simplified Arabic"/>
                <w:bCs/>
                <w:rtl/>
              </w:rPr>
              <w:t>برنامج مجموعة البنك الدولي</w:t>
            </w:r>
          </w:p>
        </w:tc>
      </w:tr>
      <w:tr w:rsidR="00810BAC" w:rsidRPr="00E8253C" w:rsidTr="00E8253C">
        <w:trPr>
          <w:cantSplit/>
          <w:trHeight w:val="1430"/>
        </w:trPr>
        <w:tc>
          <w:tcPr>
            <w:tcW w:w="2889" w:type="dxa"/>
            <w:shd w:val="clear" w:color="auto" w:fill="FFFFFF"/>
          </w:tcPr>
          <w:p w:rsidR="00810BAC" w:rsidRPr="00E8253C" w:rsidRDefault="00810BAC" w:rsidP="00810BAC">
            <w:pPr>
              <w:keepNext/>
              <w:keepLines/>
              <w:bidi/>
              <w:outlineLvl w:val="0"/>
              <w:rPr>
                <w:rFonts w:ascii="Simplified Arabic" w:eastAsiaTheme="minorEastAsia" w:hAnsi="Simplified Arabic" w:cs="Simplified Arabic"/>
                <w:i/>
              </w:rPr>
            </w:pPr>
            <w:r w:rsidRPr="00E8253C">
              <w:rPr>
                <w:rFonts w:ascii="Simplified Arabic" w:eastAsiaTheme="minorEastAsia" w:hAnsi="Simplified Arabic" w:cs="Simplified Arabic"/>
                <w:iCs/>
                <w:rtl/>
              </w:rPr>
              <w:t>2.1.1 عدد الشركات المستفيدة من الإجراءات المنظمة لأنشطة الأعمال</w:t>
            </w:r>
          </w:p>
          <w:p w:rsidR="00810BAC" w:rsidRPr="00E8253C" w:rsidRDefault="00810BAC" w:rsidP="00810BAC">
            <w:pPr>
              <w:keepNext/>
              <w:keepLines/>
              <w:bidi/>
              <w:outlineLvl w:val="0"/>
              <w:rPr>
                <w:rFonts w:ascii="Simplified Arabic" w:eastAsiaTheme="minorEastAsia" w:hAnsi="Simplified Arabic" w:cs="Simplified Arabic"/>
              </w:rPr>
            </w:pPr>
            <w:r w:rsidRPr="00E8253C">
              <w:rPr>
                <w:rFonts w:ascii="Simplified Arabic" w:eastAsiaTheme="minorEastAsia" w:hAnsi="Simplified Arabic" w:cs="Simplified Arabic"/>
                <w:iCs/>
                <w:rtl/>
              </w:rPr>
              <w:t>خط الأساس: صفر (2015)</w:t>
            </w:r>
          </w:p>
          <w:p w:rsidR="00810BAC" w:rsidRPr="00E8253C" w:rsidRDefault="00810BAC" w:rsidP="00810BAC">
            <w:pPr>
              <w:keepNext/>
              <w:keepLines/>
              <w:bidi/>
              <w:outlineLvl w:val="0"/>
              <w:rPr>
                <w:rFonts w:ascii="Simplified Arabic" w:eastAsiaTheme="minorEastAsia" w:hAnsi="Simplified Arabic" w:cs="Simplified Arabic"/>
              </w:rPr>
            </w:pPr>
            <w:r w:rsidRPr="00E8253C">
              <w:rPr>
                <w:rFonts w:ascii="Simplified Arabic" w:eastAsiaTheme="minorEastAsia" w:hAnsi="Simplified Arabic" w:cs="Simplified Arabic"/>
                <w:iCs/>
                <w:rtl/>
              </w:rPr>
              <w:t>المستهدف: لم يتحدَّد بعد (يقاس بعد 3 سنوات من الإنجاز)</w:t>
            </w:r>
          </w:p>
          <w:p w:rsidR="00810BAC" w:rsidRPr="00E8253C" w:rsidRDefault="00810BAC" w:rsidP="00810BAC">
            <w:pPr>
              <w:keepNext/>
              <w:keepLines/>
              <w:bidi/>
              <w:outlineLvl w:val="0"/>
              <w:rPr>
                <w:rFonts w:ascii="Simplified Arabic" w:hAnsi="Simplified Arabic" w:cs="Simplified Arabic"/>
                <w:i/>
              </w:rPr>
            </w:pPr>
          </w:p>
          <w:p w:rsidR="0058653D" w:rsidRPr="00E8253C" w:rsidRDefault="00810BAC" w:rsidP="00810BAC">
            <w:pPr>
              <w:keepNext/>
              <w:keepLines/>
              <w:bidi/>
              <w:outlineLvl w:val="0"/>
              <w:rPr>
                <w:rFonts w:ascii="Simplified Arabic" w:eastAsiaTheme="minorEastAsia" w:hAnsi="Simplified Arabic" w:cs="Simplified Arabic"/>
                <w:iCs/>
                <w:rtl/>
              </w:rPr>
            </w:pPr>
            <w:r w:rsidRPr="00E8253C">
              <w:rPr>
                <w:rFonts w:ascii="Simplified Arabic" w:eastAsiaTheme="minorEastAsia" w:hAnsi="Simplified Arabic" w:cs="Simplified Arabic"/>
                <w:iCs/>
                <w:rtl/>
              </w:rPr>
              <w:t xml:space="preserve">2.1.2 متوسط مدة عملية ترخيص مؤسسات الأعمال </w:t>
            </w:r>
          </w:p>
          <w:p w:rsidR="00810BAC" w:rsidRPr="00E8253C" w:rsidRDefault="00810BAC" w:rsidP="0058653D">
            <w:pPr>
              <w:keepNext/>
              <w:keepLines/>
              <w:bidi/>
              <w:outlineLvl w:val="0"/>
              <w:rPr>
                <w:rFonts w:ascii="Simplified Arabic" w:eastAsiaTheme="minorEastAsia" w:hAnsi="Simplified Arabic" w:cs="Simplified Arabic"/>
              </w:rPr>
            </w:pPr>
            <w:r w:rsidRPr="00E8253C">
              <w:rPr>
                <w:rFonts w:ascii="Simplified Arabic" w:eastAsiaTheme="minorEastAsia" w:hAnsi="Simplified Arabic" w:cs="Simplified Arabic"/>
                <w:iCs/>
                <w:rtl/>
              </w:rPr>
              <w:t>خط الأساس: 320 يوما (2015)</w:t>
            </w:r>
          </w:p>
          <w:p w:rsidR="00810BAC" w:rsidRPr="00E8253C" w:rsidRDefault="00810BAC" w:rsidP="00810BAC">
            <w:pPr>
              <w:keepNext/>
              <w:keepLines/>
              <w:bidi/>
              <w:outlineLvl w:val="0"/>
              <w:rPr>
                <w:rFonts w:ascii="Simplified Arabic" w:eastAsiaTheme="minorEastAsia" w:hAnsi="Simplified Arabic" w:cs="Simplified Arabic"/>
              </w:rPr>
            </w:pPr>
            <w:r w:rsidRPr="00E8253C">
              <w:rPr>
                <w:rFonts w:ascii="Simplified Arabic" w:eastAsiaTheme="minorEastAsia" w:hAnsi="Simplified Arabic" w:cs="Simplified Arabic"/>
                <w:iCs/>
                <w:rtl/>
              </w:rPr>
              <w:t>المستهدف: 75 يوما (2018)</w:t>
            </w:r>
          </w:p>
          <w:p w:rsidR="00810BAC" w:rsidRPr="00E8253C" w:rsidRDefault="00810BAC" w:rsidP="00810BAC">
            <w:pPr>
              <w:bidi/>
              <w:rPr>
                <w:rFonts w:ascii="Simplified Arabic" w:hAnsi="Simplified Arabic" w:cs="Simplified Arabic"/>
              </w:rPr>
            </w:pPr>
          </w:p>
          <w:p w:rsidR="00810BAC" w:rsidRPr="00E8253C" w:rsidRDefault="00810BAC" w:rsidP="00810BAC">
            <w:pPr>
              <w:bidi/>
              <w:rPr>
                <w:rFonts w:ascii="Simplified Arabic" w:hAnsi="Simplified Arabic" w:cs="Simplified Arabic"/>
                <w:b/>
                <w:smallCaps/>
              </w:rPr>
            </w:pPr>
          </w:p>
        </w:tc>
        <w:tc>
          <w:tcPr>
            <w:tcW w:w="2889" w:type="dxa"/>
            <w:shd w:val="clear" w:color="auto" w:fill="FFFFFF"/>
          </w:tcPr>
          <w:p w:rsidR="00810BAC" w:rsidRPr="00E8253C" w:rsidRDefault="00810BAC" w:rsidP="00810BAC">
            <w:pPr>
              <w:bidi/>
              <w:rPr>
                <w:rFonts w:ascii="Simplified Arabic" w:eastAsiaTheme="minorEastAsia" w:hAnsi="Simplified Arabic" w:cs="Simplified Arabic"/>
              </w:rPr>
            </w:pPr>
            <w:r w:rsidRPr="00E8253C">
              <w:rPr>
                <w:rFonts w:ascii="Simplified Arabic" w:eastAsiaTheme="minorEastAsia" w:hAnsi="Simplified Arabic" w:cs="Simplified Arabic"/>
                <w:iCs/>
                <w:rtl/>
              </w:rPr>
              <w:t>نشر الإجراءات التنظيمية المتصلة بأنشطة الأعمال على الإنترنت للجمهور العام</w:t>
            </w:r>
            <w:r w:rsidRPr="00E8253C">
              <w:rPr>
                <w:rFonts w:ascii="Simplified Arabic" w:eastAsiaTheme="minorEastAsia" w:hAnsi="Simplified Arabic" w:cs="Simplified Arabic"/>
                <w:i/>
              </w:rPr>
              <w:t xml:space="preserve"> </w:t>
            </w:r>
          </w:p>
          <w:p w:rsidR="00810BAC" w:rsidRPr="00E8253C" w:rsidRDefault="00810BAC" w:rsidP="00810BAC">
            <w:pPr>
              <w:bidi/>
              <w:rPr>
                <w:rFonts w:ascii="Simplified Arabic" w:hAnsi="Simplified Arabic" w:cs="Simplified Arabic"/>
                <w:i/>
              </w:rPr>
            </w:pPr>
          </w:p>
          <w:p w:rsidR="00810BAC" w:rsidRPr="00E8253C" w:rsidRDefault="00810BAC" w:rsidP="00810BAC">
            <w:pPr>
              <w:bidi/>
              <w:rPr>
                <w:rFonts w:ascii="Simplified Arabic" w:eastAsiaTheme="minorEastAsia" w:hAnsi="Simplified Arabic" w:cs="Simplified Arabic"/>
                <w:i/>
              </w:rPr>
            </w:pPr>
            <w:r w:rsidRPr="00E8253C">
              <w:rPr>
                <w:rFonts w:ascii="Simplified Arabic" w:eastAsiaTheme="minorEastAsia" w:hAnsi="Simplified Arabic" w:cs="Simplified Arabic"/>
                <w:iCs/>
                <w:rtl/>
              </w:rPr>
              <w:t>وافقت الحكومة على تبسيط إجراءات التراخيص الصناعية</w:t>
            </w:r>
          </w:p>
          <w:p w:rsidR="00810BAC" w:rsidRPr="00E8253C" w:rsidRDefault="00810BAC" w:rsidP="00810BAC">
            <w:pPr>
              <w:bidi/>
              <w:rPr>
                <w:rFonts w:ascii="Simplified Arabic" w:hAnsi="Simplified Arabic" w:cs="Simplified Arabic"/>
                <w:i/>
              </w:rPr>
            </w:pPr>
          </w:p>
          <w:p w:rsidR="00810BAC" w:rsidRPr="00E8253C" w:rsidRDefault="00810BAC" w:rsidP="00810BAC">
            <w:pPr>
              <w:bidi/>
              <w:rPr>
                <w:rFonts w:ascii="Simplified Arabic" w:eastAsiaTheme="minorEastAsia" w:hAnsi="Simplified Arabic" w:cs="Simplified Arabic"/>
              </w:rPr>
            </w:pPr>
            <w:r w:rsidRPr="00E8253C">
              <w:rPr>
                <w:rFonts w:ascii="Simplified Arabic" w:eastAsiaTheme="minorEastAsia" w:hAnsi="Simplified Arabic" w:cs="Simplified Arabic"/>
                <w:iCs/>
                <w:rtl/>
              </w:rPr>
              <w:t>أنشطة الوساطة التجارية ما زالت تساعد في حل المنازعات وتحقِّق وفورات للقطاع الخاص</w:t>
            </w:r>
            <w:r w:rsidRPr="00E8253C">
              <w:rPr>
                <w:rFonts w:ascii="Simplified Arabic" w:eastAsiaTheme="minorEastAsia" w:hAnsi="Simplified Arabic" w:cs="Simplified Arabic"/>
                <w:i/>
              </w:rPr>
              <w:t xml:space="preserve"> </w:t>
            </w:r>
            <w:r w:rsidRPr="00E8253C">
              <w:rPr>
                <w:rFonts w:ascii="Simplified Arabic" w:eastAsiaTheme="minorEastAsia" w:hAnsi="Simplified Arabic" w:cs="Simplified Arabic"/>
                <w:iCs/>
                <w:rtl/>
              </w:rPr>
              <w:t xml:space="preserve">عرض قانون الوساطة على البرلمان للموافقة عليه بحلول 2016 </w:t>
            </w:r>
          </w:p>
          <w:p w:rsidR="00810BAC" w:rsidRPr="00E8253C" w:rsidRDefault="00810BAC" w:rsidP="00810BAC">
            <w:pPr>
              <w:bidi/>
              <w:rPr>
                <w:rFonts w:ascii="Simplified Arabic" w:hAnsi="Simplified Arabic" w:cs="Simplified Arabic"/>
                <w:i/>
              </w:rPr>
            </w:pPr>
          </w:p>
          <w:p w:rsidR="00810BAC" w:rsidRPr="00E8253C" w:rsidRDefault="00810BAC" w:rsidP="00810BAC">
            <w:pPr>
              <w:bidi/>
              <w:rPr>
                <w:rFonts w:ascii="Simplified Arabic" w:eastAsiaTheme="minorEastAsia" w:hAnsi="Simplified Arabic" w:cs="Simplified Arabic"/>
                <w:i/>
              </w:rPr>
            </w:pPr>
            <w:r w:rsidRPr="00E8253C">
              <w:rPr>
                <w:rFonts w:ascii="Simplified Arabic" w:eastAsiaTheme="minorEastAsia" w:hAnsi="Simplified Arabic" w:cs="Simplified Arabic"/>
                <w:iCs/>
                <w:rtl/>
              </w:rPr>
              <w:t>تطبيق نظام التراخيص الصناعية في عشرة فروع رئيسية بالمحافظات (2018)</w:t>
            </w:r>
          </w:p>
          <w:p w:rsidR="00810BAC" w:rsidRPr="00E8253C" w:rsidRDefault="00810BAC" w:rsidP="00810BAC">
            <w:pPr>
              <w:bidi/>
              <w:rPr>
                <w:rFonts w:ascii="Simplified Arabic" w:hAnsi="Simplified Arabic" w:cs="Simplified Arabic"/>
                <w:i/>
              </w:rPr>
            </w:pPr>
          </w:p>
          <w:p w:rsidR="00810BAC" w:rsidRPr="00E8253C" w:rsidRDefault="00810BAC" w:rsidP="00810BAC">
            <w:pPr>
              <w:bidi/>
              <w:rPr>
                <w:rFonts w:ascii="Simplified Arabic" w:eastAsiaTheme="minorEastAsia" w:hAnsi="Simplified Arabic" w:cs="Simplified Arabic"/>
              </w:rPr>
            </w:pPr>
            <w:r w:rsidRPr="00E8253C">
              <w:rPr>
                <w:rFonts w:ascii="Simplified Arabic" w:eastAsiaTheme="minorEastAsia" w:hAnsi="Simplified Arabic" w:cs="Simplified Arabic"/>
                <w:iCs/>
                <w:rtl/>
              </w:rPr>
              <w:t>زيادة عدد الشباب المُدرَّب في قطاعات مختارة (تكنولوجيا المعلومات والاتصالات) بواقع 14 ألفا (2018)</w:t>
            </w:r>
          </w:p>
        </w:tc>
        <w:tc>
          <w:tcPr>
            <w:tcW w:w="5220" w:type="dxa"/>
            <w:shd w:val="clear" w:color="auto" w:fill="FFFFFF"/>
          </w:tcPr>
          <w:p w:rsidR="00810BAC" w:rsidRPr="00E8253C" w:rsidRDefault="00810BAC" w:rsidP="00810BAC">
            <w:pPr>
              <w:tabs>
                <w:tab w:val="left" w:pos="252"/>
              </w:tabs>
              <w:bidi/>
              <w:rPr>
                <w:rFonts w:ascii="Simplified Arabic" w:eastAsiaTheme="minorEastAsia" w:hAnsi="Simplified Arabic" w:cs="Simplified Arabic"/>
                <w:u w:val="single"/>
              </w:rPr>
            </w:pPr>
            <w:r w:rsidRPr="00E8253C">
              <w:rPr>
                <w:rFonts w:ascii="Simplified Arabic" w:eastAsiaTheme="minorEastAsia" w:hAnsi="Simplified Arabic" w:cs="Simplified Arabic"/>
                <w:u w:val="single"/>
                <w:rtl/>
              </w:rPr>
              <w:t>جارية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ممارسة أنشطة الأعمال في الأسكندرية (البنك الدولي/مؤسسة التمويل الدولية)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الخدمات الاستشارية مُسدَّدة التكاليف لتنمية منطقة قناة السويس الصناعية (البنك الدولي/مؤسسة التمويل الدولية)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مبادرة التعليم من أجل التوظيف في قطاع تكنولوجيا المعلومات والاتصالات بمصر – نظام معلومات سوق العمل وإطار ضمان الجودة (البنك الدولي/مؤسسة التمويل الدولية)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استثمارات مؤسسة التمويل الدولية في الصناعات التحويلية/قطاع الخدمات/الكيماويات (مؤسسة التمويل الدولية)</w:t>
            </w:r>
          </w:p>
          <w:p w:rsidR="00810BAC" w:rsidRPr="00E8253C" w:rsidRDefault="00810BAC" w:rsidP="00810BAC">
            <w:pPr>
              <w:tabs>
                <w:tab w:val="left" w:pos="252"/>
              </w:tabs>
              <w:bidi/>
              <w:rPr>
                <w:rFonts w:ascii="Simplified Arabic" w:hAnsi="Simplified Arabic" w:cs="Simplified Arabic"/>
              </w:rPr>
            </w:pPr>
          </w:p>
          <w:p w:rsidR="00810BAC" w:rsidRPr="00E8253C" w:rsidRDefault="00810BAC" w:rsidP="00810BAC">
            <w:pPr>
              <w:tabs>
                <w:tab w:val="left" w:pos="252"/>
              </w:tabs>
              <w:bidi/>
              <w:rPr>
                <w:rFonts w:ascii="Simplified Arabic" w:eastAsiaTheme="minorEastAsia" w:hAnsi="Simplified Arabic" w:cs="Simplified Arabic"/>
                <w:u w:val="single"/>
              </w:rPr>
            </w:pPr>
            <w:r w:rsidRPr="00E8253C">
              <w:rPr>
                <w:rFonts w:ascii="Simplified Arabic" w:eastAsiaTheme="minorEastAsia" w:hAnsi="Simplified Arabic" w:cs="Simplified Arabic"/>
                <w:u w:val="single"/>
                <w:rtl/>
              </w:rPr>
              <w:t>جديدة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دمج برنامج التنمية المحلية بصعيد مصر في برنامج التنمية الزراعية (البنك الدولي للإنشاء والتعمير)</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 xml:space="preserve">تكافؤ فرص الوصول وتبسيط بيئة الإجراءات </w:t>
            </w:r>
            <w:r w:rsidRPr="00E8253C">
              <w:rPr>
                <w:rFonts w:ascii="Simplified Arabic" w:eastAsiaTheme="minorEastAsia" w:hAnsi="Simplified Arabic" w:cs="Simplified Arabic"/>
              </w:rPr>
              <w:t>(EASE)</w:t>
            </w:r>
            <w:r w:rsidRPr="00E8253C">
              <w:rPr>
                <w:rFonts w:ascii="Simplified Arabic" w:eastAsiaTheme="minorEastAsia" w:hAnsi="Simplified Arabic" w:cs="Simplified Arabic"/>
                <w:rtl/>
              </w:rPr>
              <w:t xml:space="preserve"> لعملية الاستثمار في مصر</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استثمارات متوقعة لمؤسسة التمويل الدولية في الصناعات التحويلية/الخدمات/القطاعات الموجهة للتصدير وذات القيمة المضافة العالية (مؤسسة التمويل الدولية)</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ضمانات التأمين من المخاطر السياسية (الوكالة الدولية لضمان الاستثمار)</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تمويل سياسة التنمية لضبط أوضاع المالية العامة، وتوفير إمدادات الطاقة المستدامة، والمنافسة والقدرة التنافسية (البنك الدولي للإنشاء والتعمير)</w:t>
            </w:r>
          </w:p>
          <w:p w:rsidR="00810BAC" w:rsidRPr="00E8253C" w:rsidRDefault="00810BAC" w:rsidP="00810BAC">
            <w:pPr>
              <w:tabs>
                <w:tab w:val="left" w:pos="252"/>
              </w:tabs>
              <w:bidi/>
              <w:rPr>
                <w:rFonts w:ascii="Simplified Arabic" w:hAnsi="Simplified Arabic" w:cs="Simplified Arabic"/>
              </w:rPr>
            </w:pPr>
          </w:p>
          <w:p w:rsidR="00810BAC" w:rsidRPr="00E8253C" w:rsidRDefault="00810BAC" w:rsidP="00810BAC">
            <w:pPr>
              <w:tabs>
                <w:tab w:val="left" w:pos="252"/>
              </w:tabs>
              <w:bidi/>
              <w:rPr>
                <w:rFonts w:ascii="Simplified Arabic" w:eastAsiaTheme="minorEastAsia" w:hAnsi="Simplified Arabic" w:cs="Simplified Arabic"/>
                <w:u w:val="single"/>
              </w:rPr>
            </w:pPr>
            <w:r w:rsidRPr="00E8253C">
              <w:rPr>
                <w:rFonts w:ascii="Simplified Arabic" w:eastAsiaTheme="minorEastAsia" w:hAnsi="Simplified Arabic" w:cs="Simplified Arabic"/>
                <w:u w:val="single"/>
                <w:rtl/>
              </w:rPr>
              <w:t xml:space="preserve">الخدمات التحليلية والاستشارية: </w:t>
            </w:r>
          </w:p>
          <w:p w:rsidR="00810BAC" w:rsidRPr="00E8253C" w:rsidRDefault="00810BAC" w:rsidP="00810BAC">
            <w:pPr>
              <w:tabs>
                <w:tab w:val="left" w:pos="252"/>
              </w:tabs>
              <w:bidi/>
              <w:rPr>
                <w:rFonts w:ascii="Simplified Arabic" w:eastAsiaTheme="minorEastAsia" w:hAnsi="Simplified Arabic" w:cs="Simplified Arabic"/>
              </w:rPr>
            </w:pPr>
            <w:r w:rsidRPr="00E8253C">
              <w:rPr>
                <w:rFonts w:ascii="Simplified Arabic" w:eastAsiaTheme="minorEastAsia" w:hAnsi="Simplified Arabic" w:cs="Simplified Arabic"/>
                <w:rtl/>
              </w:rPr>
              <w:t>المساعدات الفنية البرامجية في إطار القدرة على المنافسة وتعزيز المنافسة (البنك الدولي/مؤسسة التمويل الدولية)</w:t>
            </w:r>
          </w:p>
          <w:p w:rsidR="00810BAC" w:rsidRPr="00E8253C" w:rsidRDefault="00810BAC" w:rsidP="00810BAC">
            <w:pPr>
              <w:bidi/>
              <w:rPr>
                <w:rFonts w:ascii="Simplified Arabic" w:eastAsiaTheme="minorEastAsia" w:hAnsi="Simplified Arabic" w:cs="Simplified Arabic"/>
              </w:rPr>
            </w:pPr>
            <w:r w:rsidRPr="00E8253C">
              <w:rPr>
                <w:rFonts w:ascii="Simplified Arabic" w:eastAsiaTheme="minorEastAsia" w:hAnsi="Simplified Arabic" w:cs="Simplified Arabic"/>
                <w:rtl/>
              </w:rPr>
              <w:t>سياسة الاستثمار في تكنولوجيا المعلومات والاتصالات والتشجيع عليه (مؤسسة التمويل الدولية)</w:t>
            </w:r>
          </w:p>
          <w:p w:rsidR="00810BAC" w:rsidRPr="00E8253C" w:rsidRDefault="00810BAC" w:rsidP="00810BAC">
            <w:pPr>
              <w:bidi/>
              <w:rPr>
                <w:rFonts w:ascii="Simplified Arabic" w:eastAsiaTheme="minorEastAsia" w:hAnsi="Simplified Arabic" w:cs="Simplified Arabic"/>
              </w:rPr>
            </w:pPr>
            <w:r w:rsidRPr="00E8253C">
              <w:rPr>
                <w:rFonts w:ascii="Simplified Arabic" w:eastAsiaTheme="minorEastAsia" w:hAnsi="Simplified Arabic" w:cs="Simplified Arabic"/>
                <w:rtl/>
              </w:rPr>
              <w:t>الخدمات التحليلية والاستشارية الإقليمية (شاملة مصر) بشأن سياسات اقتصادية مقاوِمة للامتيازات (البنك الدولي/مؤسسة التمويل الدولية)</w:t>
            </w:r>
          </w:p>
        </w:tc>
      </w:tr>
    </w:tbl>
    <w:p w:rsidR="00810BAC" w:rsidRPr="00FF3102" w:rsidRDefault="00810BAC" w:rsidP="00810BAC">
      <w:pPr>
        <w:bidi/>
        <w:jc w:val="right"/>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tbl>
      <w:tblPr>
        <w:tblpPr w:leftFromText="180" w:rightFromText="180" w:vertAnchor="text" w:horzAnchor="margin" w:tblpXSpec="center" w:tblpY="54"/>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2.2 لإطار الشراكة الإستراتيجية: تحسين طاقة توليد الكهرباء وكفاءة استخدام الطاقة</w:t>
            </w:r>
            <w:r w:rsidRPr="00FF3102">
              <w:rPr>
                <w:rFonts w:ascii="Simplified Arabic" w:eastAsiaTheme="minorEastAsia" w:hAnsi="Simplified Arabic" w:cs="Simplified Arabic"/>
                <w:b/>
              </w:rPr>
              <w:t xml:space="preserve"> </w:t>
            </w:r>
          </w:p>
        </w:tc>
      </w:tr>
      <w:tr w:rsidR="00810BAC" w:rsidRPr="00FF3102">
        <w:trPr>
          <w:cantSplit/>
          <w:trHeight w:val="20"/>
        </w:trPr>
        <w:tc>
          <w:tcPr>
            <w:tcW w:w="5778"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لم تواكب الاستثمارات في توليد الطاقة الطلب المتواصل على الكهرباء، متسببة في انقطاعات متكررة للتيار الكهربائي</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سيتعيَّن أن تزيد طاقة توليد الكهرباء إلى أكثر من الضعفين بحلول عام 2020 لتلبي على نحو يُعوَّل عليه الطلب المنزلي والتجاري</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حال عدم كفاية المعروض من الوقود دون استغلال طاقة توليد الكهرباء الحالية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تتوفر إمكانيات كبيرة غير مستغلة لتنمية الطاقة المتجددة وحلول كفاءة استخدام الطاقة</w:t>
            </w:r>
          </w:p>
        </w:tc>
        <w:tc>
          <w:tcPr>
            <w:tcW w:w="5220" w:type="dxa"/>
          </w:tcPr>
          <w:p w:rsidR="00810BAC" w:rsidRPr="00FF3102" w:rsidRDefault="00810BAC" w:rsidP="00810BAC">
            <w:pPr>
              <w:bidi/>
              <w:spacing w:before="60"/>
              <w:outlineLvl w:val="7"/>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زيادة إمدادات الكهرباء ودرجة التعويل عليها من أجل تلبية الطلب، بما في ذلك من خلال مشاركة القطاع الخاص والشراكات بين القطاعين العام والخاص.</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نماذج تمويل مبتكرة منها نهج المناقصات التنافسية لتوريد الكهرباء من مصادر طاقة متجددة واسعة النطاق (منها الرياح) لمواقع معينة محددة سلفا على أساس نظام البناء والامتلاك والتشغيل.</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إصلاح عام لسياسة الطاقة وكذلك تقوية الإطار المؤسسي لكفاءة استخدام الطاقة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الاستثمار في خطوط جديدة لنقل الكهرباء وتحسينها بما يساعد على توفير الطاقة للأسر.</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b/>
              </w:rPr>
            </w:pPr>
            <w:r w:rsidRPr="00FF3102">
              <w:rPr>
                <w:rFonts w:ascii="Simplified Arabic" w:eastAsiaTheme="minorEastAsia" w:hAnsi="Simplified Arabic" w:cs="Simplified Arabic"/>
                <w:bCs/>
                <w:rtl/>
              </w:rPr>
              <w:t>برنامج مجموعة البنك الدولي</w:t>
            </w:r>
          </w:p>
          <w:p w:rsidR="00810BAC" w:rsidRPr="00FF3102" w:rsidRDefault="00810BAC" w:rsidP="00810BAC">
            <w:pPr>
              <w:bidi/>
              <w:ind w:left="360"/>
              <w:outlineLvl w:val="5"/>
              <w:rPr>
                <w:rFonts w:ascii="Simplified Arabic" w:hAnsi="Simplified Arabic" w:cs="Simplified Arabic"/>
                <w:b/>
              </w:rPr>
            </w:pPr>
          </w:p>
        </w:tc>
      </w:tr>
      <w:tr w:rsidR="00810BAC" w:rsidRPr="00FF3102">
        <w:trPr>
          <w:cantSplit/>
          <w:trHeight w:val="20"/>
        </w:trPr>
        <w:tc>
          <w:tcPr>
            <w:tcW w:w="2889" w:type="dxa"/>
          </w:tcPr>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2.2.1 إنشاء طاقة توليد الكهرباء</w:t>
            </w:r>
            <w:r w:rsidRPr="00FF3102">
              <w:rPr>
                <w:rFonts w:ascii="Simplified Arabic" w:eastAsiaTheme="minorEastAsia" w:hAnsi="Simplified Arabic" w:cs="Simplified Arabic"/>
                <w:i/>
              </w:rPr>
              <w:t xml:space="preserve"> </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eastAsiaTheme="minorEastAsia" w:hAnsi="Simplified Arabic" w:cs="Simplified Arabic"/>
                <w:b/>
                <w:i/>
              </w:rPr>
            </w:pPr>
            <w:r w:rsidRPr="00FF3102">
              <w:rPr>
                <w:rFonts w:ascii="Simplified Arabic" w:eastAsiaTheme="minorEastAsia" w:hAnsi="Simplified Arabic" w:cs="Simplified Arabic"/>
                <w:bCs/>
                <w:iCs/>
                <w:rtl/>
              </w:rPr>
              <w:t>التقليدية</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5500 ميجاوات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iCs/>
                <w:rtl/>
              </w:rPr>
              <w:t>المتجددة</w:t>
            </w:r>
            <w:r w:rsidRPr="00FF3102">
              <w:rPr>
                <w:rFonts w:ascii="Simplified Arabic" w:eastAsiaTheme="minorEastAsia" w:hAnsi="Simplified Arabic" w:cs="Simplified Arabic"/>
                <w:b/>
                <w:i/>
              </w:rPr>
              <w:t xml:space="preserve"> </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250 ميجاوات (2018)</w:t>
            </w:r>
            <w:r w:rsidRPr="00FF3102">
              <w:rPr>
                <w:rFonts w:ascii="Simplified Arabic" w:eastAsiaTheme="minorEastAsia" w:hAnsi="Simplified Arabic" w:cs="Simplified Arabic"/>
                <w:i/>
              </w:rPr>
              <w:t xml:space="preserve"> </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tc>
        <w:tc>
          <w:tcPr>
            <w:tcW w:w="2889" w:type="dxa"/>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إعداد إستراتيجية طويلة الأمد لتوليد الكهرباء باستخدام الوقود بحلول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إنشاء </w:t>
            </w:r>
            <w:r w:rsidRPr="00FF3102">
              <w:rPr>
                <w:rFonts w:ascii="Simplified Arabic" w:eastAsiaTheme="minorEastAsia" w:hAnsi="Simplified Arabic" w:cs="Simplified Arabic"/>
                <w:iCs/>
              </w:rPr>
              <w:t>1006</w:t>
            </w:r>
            <w:r w:rsidRPr="00FF3102">
              <w:rPr>
                <w:rFonts w:ascii="Simplified Arabic" w:eastAsiaTheme="minorEastAsia" w:hAnsi="Simplified Arabic" w:cs="Simplified Arabic"/>
                <w:iCs/>
                <w:rtl/>
              </w:rPr>
              <w:t xml:space="preserve"> كيلومترات من خطوط نقل الكهرباء بحلول 2016 (البنك الدولي: 280 كيلومترا، ومؤسسة التمويل الدولية: 726 كيلومترا)</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إنشاء محطات كهرباء في شمال الجيزة بحلول 2016 والعين السخنة بحلول 2017 وحلوان بحلول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إتمام إنشاء بنية تحتية قادرة على نقل 3000 ميجاوات من طاقة الرياح بحلول عام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قيام مُشغِّلي شبكة الكهرباء بإعداد الإجراءات اللازمة بحلول عام 2016 لدمج طاقة الرياح</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إنشاء وحدة كفاءة استخدام الطاقة في وزارة الكهرباء والطاقة المتجددة بحلول 2016</w:t>
            </w:r>
          </w:p>
        </w:tc>
        <w:tc>
          <w:tcPr>
            <w:tcW w:w="5220" w:type="dxa"/>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حافظة المشروعات الجارية: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العين السخنة للطاقة (البنك الدولي-600 مليون دولار)</w:t>
            </w:r>
            <w:r w:rsidRPr="00FF3102">
              <w:rPr>
                <w:rFonts w:ascii="Simplified Arabic" w:eastAsiaTheme="minorEastAsia" w:hAnsi="Simplified Arabic" w:cs="Simplified Arabic"/>
              </w:rPr>
              <w:t xml:space="preserve">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تطوير الطاقة الريحية (البنك الدولي للإنشاء والتعمير- 70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محطة كهرباء شمال الجيزة (البنك الدولي للإنشاء والتعمير- 840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محطة كهرباء جنوب حلوان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(البنك الدولي للإنشاء والتعمير- 585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إصلاح شبكات الأمان الاجتماعي/الطاقة من صندوق التحوُّل (مساعدة فنية من البنك الدولي للإنشاء والتعمير)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عدة استثمارات لمؤسسة التمويل الدولية وضمانة من الوكالة الدولية لضمان الاستثمار في قطاع النفط والغاز</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الجديد: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محطة إنتاج الكهرباء المستقلة بديروط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مشروعات محطات كهرباء مستقلة من خلال المفاوضات الخاصة أو مناقصة تنافسية (توليد الغاز والطاقة المتجددة)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الاستثمار في مشروعات تمويل الطاقة المستدامة على نحوٍ مباشر ومن خلال مؤسسات وساطة مالية شريكة (البنك الدولي/مؤسسة التمويل الدولية)</w:t>
            </w:r>
          </w:p>
          <w:p w:rsidR="00810BAC" w:rsidRPr="00FF3102" w:rsidRDefault="00810BAC" w:rsidP="00810BAC">
            <w:pPr>
              <w:tabs>
                <w:tab w:val="left" w:pos="252"/>
              </w:tabs>
              <w:bidi/>
              <w:rPr>
                <w:rFonts w:ascii="Simplified Arabic" w:eastAsiaTheme="minorEastAsia" w:hAnsi="Simplified Arabic" w:cs="Simplified Arabic"/>
                <w:vanish/>
                <w:color w:val="800080"/>
                <w:vertAlign w:val="subscript"/>
              </w:rPr>
            </w:pPr>
            <w:r w:rsidRPr="00FF3102">
              <w:rPr>
                <w:rFonts w:ascii="Simplified Arabic" w:eastAsiaTheme="minorEastAsia" w:hAnsi="Simplified Arabic" w:cs="Simplified Arabic"/>
                <w:rtl/>
              </w:rPr>
              <w:t>الاستثمار في مشروعات للطاقة الحرارية والمتجددة في إطار نظام الرسوم مقابل كميات الكهرباء التي ترد من المستهلكين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الاستثمار في قطاع النفط والغاز (مؤسسة التمويل الدولية)</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مذكرة السياسات بشأن الشراكات بين القطاعين العام والخاص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مذكرة السياسات بشأن كفاءة استخدام الطاقة (البنك الدولي للإنشاء والتعمير/مؤسسة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مساعدة فنية بشأن الصناعات المراعية لظروف المناخ (مؤسسة التمويل الدولية)</w:t>
            </w: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tbl>
      <w:tblPr>
        <w:tblpPr w:leftFromText="180" w:rightFromText="180" w:vertAnchor="text" w:horzAnchor="margin" w:tblpXSpec="center" w:tblpY="159"/>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2.3 لإطار الشراكة الإستراتيجية: تعزيز قدرات وسلامة البنية التحتية الأساسية لقطاع النقل</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تشكل اختناقات البنية التحتية للنقل مُعوِّقا رئيسيا أمام التجارة والانتقال وخلق الوظائف وتقديم الخدمات.</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يعوق تدنِّي خدمات النقل والربط التنمية المكانية، ولاسيما في المناطق الأكثر فقرا في دلتا النيل وصعيد مصر.</w:t>
            </w:r>
          </w:p>
          <w:p w:rsidR="00810BAC" w:rsidRPr="00FF3102" w:rsidRDefault="00810BAC" w:rsidP="00810BAC">
            <w:pPr>
              <w:bidi/>
              <w:ind w:left="360"/>
              <w:rPr>
                <w:rFonts w:ascii="Simplified Arabic" w:hAnsi="Simplified Arabic" w:cs="Simplified Arabic"/>
              </w:rPr>
            </w:pP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استثمارات إستراتيجية في مرافق البنية التحتية الرئيسية للنقل ومنها المطارات والسكك الحديدية.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تقوية قدرات أصحاب المصلحة الرئيسيين في التخطيط الإستراتيجي للقطاع.</w:t>
            </w:r>
          </w:p>
          <w:p w:rsidR="00810BAC" w:rsidRPr="00FF3102" w:rsidRDefault="00810BAC" w:rsidP="001E71BE">
            <w:pPr>
              <w:numPr>
                <w:ilvl w:val="0"/>
                <w:numId w:val="24"/>
              </w:numPr>
              <w:bidi/>
              <w:rPr>
                <w:rFonts w:ascii="Simplified Arabic" w:eastAsiaTheme="minorEastAsia" w:hAnsi="Simplified Arabic" w:cs="Simplified Arabic"/>
                <w:b/>
                <w:smallCaps/>
              </w:rPr>
            </w:pPr>
            <w:r w:rsidRPr="00FF3102">
              <w:rPr>
                <w:rFonts w:ascii="Simplified Arabic" w:eastAsiaTheme="minorEastAsia" w:hAnsi="Simplified Arabic" w:cs="Simplified Arabic"/>
                <w:rtl/>
              </w:rPr>
              <w:t>تحسين سلامة خدمات السكك الحديدية وكفاءتها ودرجة التعويل عليها.</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تحسين الربط (النقل وتكنولوجيا المعلومات والاتصالات) في المناطق التي لم تحظ بنصيب كاف من التنمية.</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2.3.1 عدد الركاب الذين يمكن خدمتهم من خلال مبنى الركاب 2 في مطار القاهرة في يوم واحد</w:t>
            </w:r>
          </w:p>
          <w:p w:rsidR="00810BAC" w:rsidRPr="00FF3102" w:rsidRDefault="00810BAC" w:rsidP="00810BAC">
            <w:pPr>
              <w:keepNext/>
              <w:keepLines/>
              <w:tabs>
                <w:tab w:val="left" w:pos="1095"/>
              </w:tab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21 ألفا (2013)</w:t>
            </w:r>
          </w:p>
          <w:p w:rsidR="00810BAC" w:rsidRPr="00FF3102" w:rsidRDefault="00810BAC" w:rsidP="00810BAC">
            <w:pPr>
              <w:keepNext/>
              <w:keepLines/>
              <w:tabs>
                <w:tab w:val="left" w:pos="1080"/>
              </w:tab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25 ألفا (2016)</w:t>
            </w:r>
          </w:p>
          <w:p w:rsidR="00810BAC" w:rsidRPr="00FF3102" w:rsidRDefault="00810BAC" w:rsidP="00810BAC">
            <w:pPr>
              <w:bidi/>
              <w:rPr>
                <w:rFonts w:ascii="Simplified Arabic" w:hAnsi="Simplified Arabic" w:cs="Simplified Arabic"/>
                <w:i/>
              </w:rPr>
            </w:pPr>
            <w:r w:rsidRPr="00FF3102">
              <w:rPr>
                <w:rFonts w:ascii="Simplified Arabic" w:hAnsi="Simplified Arabic" w:cs="Simplified Arabic"/>
                <w:i/>
                <w:rtl/>
              </w:rPr>
              <w:t xml:space="preserve"> </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2.3.2 متوسط عدد الوفيات بسبب حوادث السكك الحديدية على شبكة سكك حديد مصر (العدد لكل مليار راكب-كيلومتر)</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595 (2014)</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0.3 (2018)</w:t>
            </w:r>
          </w:p>
          <w:p w:rsidR="00810BAC" w:rsidRPr="00FF3102" w:rsidRDefault="00810BAC" w:rsidP="00810BAC">
            <w:pPr>
              <w:bidi/>
              <w:rPr>
                <w:rFonts w:ascii="Simplified Arabic" w:hAnsi="Simplified Arabic" w:cs="Simplified Arabic"/>
              </w:rPr>
            </w:pPr>
          </w:p>
        </w:tc>
        <w:tc>
          <w:tcPr>
            <w:tcW w:w="2889" w:type="dxa"/>
            <w:shd w:val="clear" w:color="auto" w:fill="FFFFFF"/>
          </w:tcPr>
          <w:p w:rsidR="00810BAC" w:rsidRPr="00FF3102" w:rsidRDefault="00810BAC" w:rsidP="00810BAC">
            <w:pPr>
              <w:keepNext/>
              <w:keepLines/>
              <w:bidi/>
              <w:spacing w:after="40"/>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أقرَّت الهيئة الإشرافية للنقل رسميا خطة للتطوير المؤسسي لجهاز تنظيم النقل بالقاهرة الكبرى بنهاية 2015.</w:t>
            </w:r>
          </w:p>
          <w:p w:rsidR="00810BAC" w:rsidRPr="00FF3102" w:rsidRDefault="00810BAC" w:rsidP="00810BAC">
            <w:pPr>
              <w:keepNext/>
              <w:keepLines/>
              <w:bidi/>
              <w:spacing w:after="48"/>
              <w:outlineLvl w:val="0"/>
              <w:rPr>
                <w:rFonts w:ascii="Simplified Arabic" w:hAnsi="Simplified Arabic" w:cs="Simplified Arabic"/>
                <w:i/>
              </w:rPr>
            </w:pPr>
          </w:p>
          <w:p w:rsidR="00810BAC" w:rsidRPr="00FF3102" w:rsidRDefault="00810BAC" w:rsidP="00810BAC">
            <w:pPr>
              <w:keepNext/>
              <w:keepLines/>
              <w:bidi/>
              <w:spacing w:after="48"/>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إتمام إقامة مبنى ركاب جديد بمطار القاهرة واعتماد حصوله على المستوى ب من تصنيف الاتحاد الدولي للنقل الجوي لمستوى الخدمات بحلول 2016</w:t>
            </w:r>
            <w:r w:rsidRPr="00FF3102">
              <w:rPr>
                <w:rFonts w:ascii="Simplified Arabic" w:eastAsiaTheme="minorEastAsia" w:hAnsi="Simplified Arabic" w:cs="Simplified Arabic"/>
                <w:i/>
              </w:rPr>
              <w:t xml:space="preserve"> </w:t>
            </w: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تنفيذ 60% من التوصيات الإستراتيجية لدراسات/مخططات النقل الجوي بحلول 2016</w:t>
            </w:r>
          </w:p>
          <w:p w:rsidR="00810BAC" w:rsidRPr="00FF3102" w:rsidRDefault="00810BAC" w:rsidP="00810BAC">
            <w:pPr>
              <w:keepNext/>
              <w:keepLines/>
              <w:bidi/>
              <w:spacing w:after="48"/>
              <w:outlineLvl w:val="0"/>
              <w:rPr>
                <w:rFonts w:ascii="Simplified Arabic" w:hAnsi="Simplified Arabic" w:cs="Simplified Arabic"/>
                <w:b/>
                <w:i/>
                <w:smallCaps/>
              </w:rPr>
            </w:pPr>
          </w:p>
          <w:p w:rsidR="00810BAC" w:rsidRPr="00FF3102" w:rsidRDefault="00810BAC" w:rsidP="00810BAC">
            <w:pPr>
              <w:keepNext/>
              <w:keepLines/>
              <w:bidi/>
              <w:spacing w:after="40"/>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تشغيل نظام الإشارات المُحدَّث على خط القاهرة – الأسكندرية بحلول 2019</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إتمام دراسات لمساندة إعادة هيكلة الهيئة القومية لسكك حديد مصر بحلول 2019</w:t>
            </w: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جارية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تطوير مطار القاهرة – مبنى الركاب الثاني (البنك الدولي للإنشاء والتعمير- 280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إعادة هيكلة الهيئة القومية لسكك حديد مصر (البنك الدولي للإنشاء والتعمير – 600 مليون دولار)</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استثمارات محتملة في قطاع النقل (بما فيه الموانئ والمطارات إذا كانت مُجدية) (مؤسسة التمويل الدولية)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برنامج التنمية المحلية في صعيد مصر (البنك الدولي للإنشاء والتعمير)</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1E71BE">
            <w:pPr>
              <w:numPr>
                <w:ilvl w:val="3"/>
                <w:numId w:val="10"/>
              </w:numPr>
              <w:tabs>
                <w:tab w:val="left" w:pos="252"/>
              </w:tabs>
              <w:bidi/>
              <w:spacing w:after="240"/>
              <w:outlineLvl w:val="4"/>
              <w:rPr>
                <w:rFonts w:ascii="Simplified Arabic" w:eastAsiaTheme="minorEastAsia" w:hAnsi="Simplified Arabic" w:cs="Simplified Arabic"/>
                <w:u w:val="single"/>
                <w:lang w:val="fr-FR"/>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المساعدة الفنية بشأن النقل الحضري (البنك الدولي للإنشاء والتعمير)</w:t>
            </w:r>
          </w:p>
        </w:tc>
      </w:tr>
    </w:tbl>
    <w:p w:rsidR="00810BAC" w:rsidRPr="00FF3102" w:rsidRDefault="00810BAC" w:rsidP="00810BAC">
      <w:pPr>
        <w:bidi/>
        <w:rPr>
          <w:rFonts w:ascii="Simplified Arabic" w:hAnsi="Simplified Arabic" w:cs="Simplified Arabic"/>
          <w:lang w:val="fr-FR"/>
        </w:rPr>
      </w:pPr>
    </w:p>
    <w:p w:rsidR="00810BAC" w:rsidRPr="00FF3102" w:rsidRDefault="00810BAC" w:rsidP="00810BAC">
      <w:pPr>
        <w:bidi/>
        <w:rPr>
          <w:rFonts w:ascii="Simplified Arabic" w:hAnsi="Simplified Arabic" w:cs="Simplified Arabic"/>
          <w:lang w:val="fr-FR"/>
        </w:rPr>
      </w:pPr>
      <w:r w:rsidRPr="00FF3102">
        <w:rPr>
          <w:rFonts w:ascii="Simplified Arabic" w:hAnsi="Simplified Arabic" w:cs="Simplified Arabic"/>
          <w:lang w:val="fr-FR"/>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tbl>
      <w:tblPr>
        <w:tblpPr w:leftFromText="180" w:rightFromText="180" w:vertAnchor="text" w:horzAnchor="margin" w:tblpXSpec="center" w:tblpY="159"/>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2.4 لإطار الشراكة الإستراتيجية: تعزيز سبل الحصول على خدمات محسَّنة للزراعة والري</w:t>
            </w:r>
            <w:r w:rsidRPr="00FF3102">
              <w:rPr>
                <w:rFonts w:ascii="Simplified Arabic" w:eastAsiaTheme="minorEastAsia" w:hAnsi="Simplified Arabic" w:cs="Simplified Arabic"/>
                <w:b/>
              </w:rPr>
              <w:t xml:space="preserve"> </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b/>
                <w:u w:val="single"/>
              </w:rPr>
            </w:pPr>
            <w:r w:rsidRPr="00FF3102">
              <w:rPr>
                <w:rFonts w:ascii="Simplified Arabic" w:eastAsiaTheme="minorEastAsia" w:hAnsi="Simplified Arabic" w:cs="Simplified Arabic"/>
                <w:rtl/>
              </w:rPr>
              <w:t>النظام الحالي لتوزيع المياه واستخدامها يفتقر إلى الكفاءة</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u w:val="single"/>
              </w:rPr>
            </w:pPr>
            <w:r w:rsidRPr="00FF3102">
              <w:rPr>
                <w:rFonts w:ascii="Simplified Arabic" w:eastAsiaTheme="minorEastAsia" w:hAnsi="Simplified Arabic" w:cs="Simplified Arabic"/>
                <w:bCs/>
                <w:rtl/>
              </w:rPr>
              <w:t xml:space="preserve">انخفاض الإنتاجية الزراعية والافتقار إلى الفرص غير الزراعية </w:t>
            </w:r>
          </w:p>
          <w:p w:rsidR="00810BAC" w:rsidRPr="00FF3102" w:rsidRDefault="00810BAC" w:rsidP="001E71BE">
            <w:pPr>
              <w:numPr>
                <w:ilvl w:val="0"/>
                <w:numId w:val="24"/>
              </w:numPr>
              <w:bidi/>
              <w:contextualSpacing/>
              <w:rPr>
                <w:rFonts w:ascii="Simplified Arabic" w:eastAsiaTheme="minorEastAsia" w:hAnsi="Simplified Arabic" w:cs="Simplified Arabic"/>
                <w:b/>
                <w:u w:val="single"/>
              </w:rPr>
            </w:pPr>
            <w:r w:rsidRPr="00FF3102">
              <w:rPr>
                <w:rFonts w:ascii="Simplified Arabic" w:eastAsiaTheme="minorEastAsia" w:hAnsi="Simplified Arabic" w:cs="Simplified Arabic"/>
                <w:rtl/>
              </w:rPr>
              <w:t>قطاع الخدمات اللوجستية بمصر يضيف تكلفة ووقتا كبيرين إلى العمليات التجارية، ولاسيما لمُصدِّري منتجات الصناعات الزراعية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فجوات كبيرة في الخدمات اللوجستية لسلاسل التوريد تحد من شبكات توزيع المزارعين</w:t>
            </w: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ind w:left="486"/>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تحسين البنية التحتية للري والصرف وإقامة جمعيات لمستخدمي المياه لتولِّي مسؤوليات توزيع مياه الري بين الأعضاء</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ind w:left="486"/>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التحديث المؤسسي في مجالات مثل إدارة أعمال المزارعين، وتطوير الصناعات الزراعية، وتوريد المحاصيل</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ind w:left="486"/>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خلق بيئة تشغيل مواتية لمُشغِّلي الخدمات اللوجستية المحليين والدوليين في مجال الصناعات الزراعية</w:t>
            </w:r>
          </w:p>
          <w:p w:rsidR="00810BAC" w:rsidRPr="00FF3102" w:rsidRDefault="00810BAC" w:rsidP="001E71BE">
            <w:pPr>
              <w:numPr>
                <w:ilvl w:val="0"/>
                <w:numId w:val="24"/>
              </w:numPr>
              <w:bidi/>
              <w:ind w:left="486"/>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تعزيز مبادرة أمن المياه في الشرق الأوسط وشمال أفريقيا من أجل وضع حلول مبتكرة وتبادل المعارف بشأن التصدي لتحديات الأمن المائي</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2.4.1 عدد مستخدمي المياه الذين تم تزويدهم بخدمات جديدة/مُحسَّنة للري والصرف</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مليون و 73 ألفا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1.4 مليون (2018)</w:t>
            </w:r>
          </w:p>
          <w:p w:rsidR="00810BAC" w:rsidRPr="00FF3102" w:rsidRDefault="00810BAC" w:rsidP="00810BAC">
            <w:pPr>
              <w:bidi/>
              <w:rPr>
                <w:rFonts w:ascii="Simplified Arabic" w:hAnsi="Simplified Arabic" w:cs="Simplified Arabic"/>
                <w:i/>
              </w:rPr>
            </w:pPr>
            <w:r w:rsidRPr="00FF3102">
              <w:rPr>
                <w:rFonts w:ascii="Simplified Arabic" w:hAnsi="Simplified Arabic" w:cs="Simplified Arabic"/>
                <w:i/>
                <w:rtl/>
              </w:rPr>
              <w:t xml:space="preserve">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2.4.2 عدد المحاصيل البستانية الأعلى قيمة التي تجري زراعتها</w:t>
            </w:r>
            <w:r w:rsidRPr="00FF3102">
              <w:rPr>
                <w:rFonts w:ascii="Simplified Arabic" w:eastAsiaTheme="minorEastAsia" w:hAnsi="Simplified Arabic" w:cs="Simplified Arabic"/>
                <w:i/>
              </w:rPr>
              <w:t xml:space="preserve"> </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12 ألفا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rPr>
            </w:pPr>
          </w:p>
        </w:tc>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عدد جمعيات مستخدمي المياه العاملة يصل إلى أكثر من 1500 بحلول 2016 (صعودا من 494 في 2014)</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زيادة المساحة المزودة بخدمات ري وصرف محسنة من 450 ألف فدان في 2014 إلى 675 ألف فدان في 2016</w:t>
            </w:r>
          </w:p>
          <w:p w:rsidR="00810BAC" w:rsidRPr="00FF3102" w:rsidRDefault="00810BAC" w:rsidP="00810BAC">
            <w:pPr>
              <w:bidi/>
              <w:rPr>
                <w:rFonts w:ascii="Simplified Arabic" w:hAnsi="Simplified Arabic" w:cs="Simplified Arabic"/>
                <w:i/>
              </w:rPr>
            </w:pPr>
            <w:r w:rsidRPr="00FF3102">
              <w:rPr>
                <w:rFonts w:ascii="Simplified Arabic" w:hAnsi="Simplified Arabic" w:cs="Simplified Arabic"/>
                <w:i/>
                <w:rtl/>
              </w:rPr>
              <w:t xml:space="preserve"> </w:t>
            </w: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بيان 15 تقنية جديدة في مناطق المشروع بحلول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rtl/>
              </w:rPr>
              <w:t>الاتفاق على نموذج بديل للشراكات بين القطاعين العام والخاص في إدارة الري</w:t>
            </w: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جارية: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الإدارة المتكاملة لتحسين الري (البنك الدولي للإنشاء والتعمير-200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المشروع القومي للصرف الزراعي (البنك الدولي للإنشاء والتعمير-80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تحديث الري على مستوى المزارع (البنك الدولي للإنشاء والتعمير- 100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الإدارة المُحسَّنة للموارد المائية (مساعدة فنية 6.7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استثمار في مجموعة الوادي وهي لاعب رئيسي في مجال الصناعات الزراعية بمصر (مؤسسة التمويل الدولية 25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تسهيل تقاسم المخاطر مع بنك إقليمي من أجل السلع الزراعية (مؤسسة التمويل الدولية 20 مليون دولار) </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برنامج التنمية الزراعية المتكاملة (البنك الدولي للإنشاء والتعمير)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استثمارات محتملة لمؤسسة التمويل الدولية في الصناعات الزراعية وقطاعات السلع الاستهلاكية سريعة الدوران.</w:t>
            </w: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حيازة الأراضي والإصلاح المؤسسي</w:t>
            </w:r>
          </w:p>
          <w:p w:rsidR="00810BAC" w:rsidRPr="00FF3102" w:rsidRDefault="00810BAC" w:rsidP="00810BAC">
            <w:pPr>
              <w:tabs>
                <w:tab w:val="left" w:pos="252"/>
              </w:tabs>
              <w:bidi/>
              <w:rPr>
                <w:rFonts w:ascii="Simplified Arabic" w:hAnsi="Simplified Arabic" w:cs="Simplified Arabic"/>
              </w:rPr>
            </w:pP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2: تحسين فرص خلق الوظائف بالقطاع الخاص</w:t>
      </w:r>
      <w:r w:rsidRPr="00FF3102">
        <w:rPr>
          <w:rFonts w:ascii="Simplified Arabic" w:eastAsiaTheme="minorEastAsia" w:hAnsi="Simplified Arabic" w:cs="Simplified Arabic"/>
          <w:b/>
        </w:rPr>
        <w:t xml:space="preserve"> </w:t>
      </w:r>
    </w:p>
    <w:p w:rsidR="00810BAC" w:rsidRPr="00FF3102" w:rsidRDefault="00810BAC" w:rsidP="00810BAC">
      <w:pPr>
        <w:bidi/>
        <w:rPr>
          <w:rFonts w:ascii="Simplified Arabic" w:hAnsi="Simplified Arabic" w:cs="Simplified Arabic"/>
        </w:rPr>
      </w:pPr>
    </w:p>
    <w:tbl>
      <w:tblPr>
        <w:bidiVisual/>
        <w:tblW w:w="10890"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5"/>
        <w:gridCol w:w="2835"/>
        <w:gridCol w:w="5220"/>
      </w:tblGrid>
      <w:tr w:rsidR="00810BAC" w:rsidRPr="00FF3102">
        <w:trPr>
          <w:cantSplit/>
        </w:trPr>
        <w:tc>
          <w:tcPr>
            <w:tcW w:w="10890"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2.5 لإطار الشراكة الإستراتيجية: تحسين سبل حصول المشروعات المتوسطة والصغيرة ومتناهية الصغر على التمويل</w:t>
            </w:r>
          </w:p>
        </w:tc>
      </w:tr>
      <w:tr w:rsidR="00810BAC" w:rsidRPr="00FF3102">
        <w:trPr>
          <w:cantSplit/>
        </w:trPr>
        <w:tc>
          <w:tcPr>
            <w:tcW w:w="5670"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تفتقر المشروعات المتوسطة والصغيرة والمتناهية الصغر إلى القدرة على الحصول على التمويل، سواء بالنسبة لرأس المال التشغيلي أو الاستثماري.</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 تفتقر المشروعات المتوسطة والصغيرة والمتناهية الصغر إلى القدرة على إعداد خطط العمل وطلبات القروض، وقوائمها المالية تتسم بالغموض أو لا وجود لها، وليست لديها ضمانات كافية</w:t>
            </w:r>
          </w:p>
          <w:p w:rsidR="00810BAC" w:rsidRPr="00FF3102" w:rsidRDefault="00810BAC" w:rsidP="001E71BE">
            <w:pPr>
              <w:numPr>
                <w:ilvl w:val="0"/>
                <w:numId w:val="24"/>
              </w:numPr>
              <w:bidi/>
              <w:rPr>
                <w:rFonts w:ascii="Simplified Arabic" w:eastAsiaTheme="minorEastAsia" w:hAnsi="Simplified Arabic" w:cs="Simplified Arabic"/>
                <w:b/>
              </w:rPr>
            </w:pPr>
            <w:r w:rsidRPr="00FF3102">
              <w:rPr>
                <w:rFonts w:ascii="Simplified Arabic" w:eastAsiaTheme="minorEastAsia" w:hAnsi="Simplified Arabic" w:cs="Simplified Arabic"/>
                <w:rtl/>
              </w:rPr>
              <w:t>تواجه المشروعات المتوسطة والصغيرة والمتناهية الصغر مشاكل غير مالية، منها إطار قانوني وتنظيمي مرهق، ونظام شديد البيروقراطية.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لا تستطيع أغلبية كبيرة من النساء الوصول إلى القطاع المالي الرسمي.</w:t>
            </w:r>
          </w:p>
          <w:p w:rsidR="00810BAC" w:rsidRPr="00FF3102" w:rsidRDefault="00810BAC" w:rsidP="00810BAC">
            <w:pPr>
              <w:bidi/>
              <w:ind w:left="360"/>
              <w:rPr>
                <w:rFonts w:ascii="Simplified Arabic" w:hAnsi="Simplified Arabic" w:cs="Simplified Arabic"/>
              </w:rPr>
            </w:pPr>
          </w:p>
        </w:tc>
        <w:tc>
          <w:tcPr>
            <w:tcW w:w="5220" w:type="dxa"/>
          </w:tcPr>
          <w:p w:rsidR="00810BAC" w:rsidRPr="00FF3102" w:rsidRDefault="00810BAC" w:rsidP="00810BAC">
            <w:pPr>
              <w:bidi/>
              <w:spacing w:before="60"/>
              <w:outlineLvl w:val="7"/>
              <w:rPr>
                <w:rFonts w:ascii="Simplified Arabic" w:eastAsiaTheme="minorEastAsia" w:hAnsi="Simplified Arabic" w:cs="Simplified Arabic"/>
                <w:b/>
                <w:i/>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rPr>
                <w:rFonts w:ascii="Simplified Arabic" w:eastAsiaTheme="minorEastAsia" w:hAnsi="Simplified Arabic" w:cs="Simplified Arabic"/>
                <w:i/>
              </w:rPr>
            </w:pPr>
            <w:r w:rsidRPr="00FF3102">
              <w:rPr>
                <w:rFonts w:ascii="Simplified Arabic" w:eastAsiaTheme="minorEastAsia" w:hAnsi="Simplified Arabic" w:cs="Simplified Arabic"/>
                <w:rtl/>
              </w:rPr>
              <w:t>تسهيلات ائتمانية للمشروعات المتوسطة والصغيرة والمتناهية الصغر</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rPr>
                <w:rFonts w:ascii="Simplified Arabic" w:eastAsiaTheme="minorEastAsia" w:hAnsi="Simplified Arabic" w:cs="Simplified Arabic"/>
                <w:i/>
              </w:rPr>
            </w:pPr>
            <w:r w:rsidRPr="00FF3102">
              <w:rPr>
                <w:rFonts w:ascii="Simplified Arabic" w:eastAsiaTheme="minorEastAsia" w:hAnsi="Simplified Arabic" w:cs="Simplified Arabic"/>
                <w:rtl/>
              </w:rPr>
              <w:t>إصلاحات لتبسيط الإطار التنظيمي والقانوني وتحسينه، ومن ذلك قانون المعاملات المضمونة وسجل الأصول المنقولة.</w:t>
            </w:r>
          </w:p>
          <w:p w:rsidR="00810BAC" w:rsidRPr="00FF3102" w:rsidRDefault="00810BAC" w:rsidP="001E71BE">
            <w:pPr>
              <w:numPr>
                <w:ilvl w:val="0"/>
                <w:numId w:val="24"/>
              </w:numPr>
              <w:bidi/>
              <w:rPr>
                <w:rFonts w:ascii="Simplified Arabic" w:eastAsiaTheme="minorEastAsia" w:hAnsi="Simplified Arabic" w:cs="Simplified Arabic"/>
                <w:i/>
              </w:rPr>
            </w:pPr>
            <w:r w:rsidRPr="00FF3102">
              <w:rPr>
                <w:rFonts w:ascii="Simplified Arabic" w:eastAsiaTheme="minorEastAsia" w:hAnsi="Simplified Arabic" w:cs="Simplified Arabic"/>
                <w:rtl/>
              </w:rPr>
              <w:t>تعبئة الاستثمارات في القطاع المالي للمساعدة على تيسير الحصول على التمويل للمشروعات المتوسطة والصغيرة والمتناهية الصغر.</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استهداف شرائح المجتمع التي تعاني نقص الخدمات ومنها النساء في المناطق الريفية.</w:t>
            </w:r>
          </w:p>
          <w:p w:rsidR="00810BAC" w:rsidRPr="00FF3102" w:rsidRDefault="00810BAC" w:rsidP="001E71BE">
            <w:pPr>
              <w:numPr>
                <w:ilvl w:val="0"/>
                <w:numId w:val="24"/>
              </w:numPr>
              <w:bidi/>
              <w:rPr>
                <w:rFonts w:ascii="Simplified Arabic" w:eastAsiaTheme="minorEastAsia" w:hAnsi="Simplified Arabic" w:cs="Simplified Arabic"/>
              </w:rPr>
            </w:pPr>
            <w:r w:rsidRPr="00FF3102">
              <w:rPr>
                <w:rFonts w:ascii="Simplified Arabic" w:eastAsiaTheme="minorEastAsia" w:hAnsi="Simplified Arabic" w:cs="Simplified Arabic"/>
                <w:rtl/>
              </w:rPr>
              <w:t>تقديم الخدمات الاستشارية للبنوك ومؤسسات التمويل المتناهي الصغر لخدمة زبائن المشروعات المتوسطة والصغيرة والمتناهية الصغر.</w:t>
            </w:r>
          </w:p>
          <w:p w:rsidR="00810BAC" w:rsidRPr="00FF3102" w:rsidRDefault="00810BAC" w:rsidP="001E71BE">
            <w:pPr>
              <w:numPr>
                <w:ilvl w:val="0"/>
                <w:numId w:val="24"/>
              </w:numPr>
              <w:bidi/>
              <w:rPr>
                <w:rFonts w:ascii="Simplified Arabic" w:hAnsi="Simplified Arabic" w:cs="Simplified Arabic"/>
              </w:rPr>
            </w:pPr>
          </w:p>
        </w:tc>
      </w:tr>
      <w:tr w:rsidR="00810BAC" w:rsidRPr="00FF3102">
        <w:trPr>
          <w:cantSplit/>
        </w:trPr>
        <w:tc>
          <w:tcPr>
            <w:tcW w:w="2835"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35"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Pr>
        <w:tc>
          <w:tcPr>
            <w:tcW w:w="2835"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2.5.1 حافظة تمويل المشروعات المتوسطة والصغيرة والمتناهية الصغر لدى المؤسسات المالية المشاركة في إجراءات تدخلية تمولها مجموعة البنك الدولي</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3.2 مليار دولار (2014)</w:t>
            </w:r>
          </w:p>
          <w:p w:rsidR="00810BAC" w:rsidRPr="00FF3102" w:rsidRDefault="00810BAC" w:rsidP="001E71BE">
            <w:pPr>
              <w:numPr>
                <w:ilvl w:val="0"/>
                <w:numId w:val="32"/>
              </w:numPr>
              <w:bidi/>
              <w:rPr>
                <w:rFonts w:ascii="Simplified Arabic" w:eastAsiaTheme="minorEastAsia" w:hAnsi="Simplified Arabic" w:cs="Simplified Arabic"/>
              </w:rPr>
            </w:pPr>
            <w:r w:rsidRPr="00FF3102">
              <w:rPr>
                <w:rFonts w:ascii="Simplified Arabic" w:eastAsiaTheme="minorEastAsia" w:hAnsi="Simplified Arabic" w:cs="Simplified Arabic"/>
                <w:rtl/>
              </w:rPr>
              <w:t>البنك الدولي: 1.9 مليار دولار</w:t>
            </w:r>
          </w:p>
          <w:p w:rsidR="00810BAC" w:rsidRPr="00FF3102" w:rsidRDefault="00810BAC" w:rsidP="001E71BE">
            <w:pPr>
              <w:numPr>
                <w:ilvl w:val="0"/>
                <w:numId w:val="32"/>
              </w:numPr>
              <w:bidi/>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مؤسسة التمويل الدولية: 1.3 مليار دولار </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14.5 مليار دولار (2019)</w:t>
            </w:r>
            <w:r w:rsidRPr="00FF3102">
              <w:rPr>
                <w:rFonts w:ascii="Simplified Arabic" w:eastAsiaTheme="minorEastAsia" w:hAnsi="Simplified Arabic" w:cs="Simplified Arabic"/>
                <w:i/>
              </w:rPr>
              <w:t xml:space="preserve"> </w:t>
            </w:r>
          </w:p>
          <w:p w:rsidR="00810BAC" w:rsidRPr="00FF3102" w:rsidRDefault="00810BAC" w:rsidP="001E71BE">
            <w:pPr>
              <w:pStyle w:val="ListParagraph"/>
              <w:numPr>
                <w:ilvl w:val="0"/>
                <w:numId w:val="33"/>
              </w:numPr>
              <w:bidi/>
              <w:spacing w:after="0"/>
              <w:contextualSpacing/>
              <w:jc w:val="left"/>
              <w:rPr>
                <w:rFonts w:ascii="Simplified Arabic" w:eastAsiaTheme="minorEastAsia" w:hAnsi="Simplified Arabic" w:cs="Simplified Arabic"/>
                <w:szCs w:val="24"/>
              </w:rPr>
            </w:pPr>
            <w:r w:rsidRPr="00FF3102">
              <w:rPr>
                <w:rFonts w:ascii="Simplified Arabic" w:eastAsiaTheme="minorEastAsia" w:hAnsi="Simplified Arabic" w:cs="Simplified Arabic"/>
                <w:rtl/>
              </w:rPr>
              <w:t>البنك الدولي: 12.5 مليار دولار</w:t>
            </w:r>
          </w:p>
          <w:p w:rsidR="00810BAC" w:rsidRPr="00FF3102" w:rsidRDefault="00810BAC" w:rsidP="001E71BE">
            <w:pPr>
              <w:pStyle w:val="ListParagraph"/>
              <w:numPr>
                <w:ilvl w:val="0"/>
                <w:numId w:val="33"/>
              </w:numPr>
              <w:bidi/>
              <w:spacing w:after="0"/>
              <w:contextualSpacing/>
              <w:jc w:val="left"/>
              <w:rPr>
                <w:rFonts w:ascii="Simplified Arabic" w:eastAsiaTheme="minorEastAsia" w:hAnsi="Simplified Arabic" w:cs="Simplified Arabic"/>
                <w:szCs w:val="24"/>
              </w:rPr>
            </w:pPr>
            <w:r w:rsidRPr="00FF3102">
              <w:rPr>
                <w:rFonts w:ascii="Simplified Arabic" w:eastAsiaTheme="minorEastAsia" w:hAnsi="Simplified Arabic" w:cs="Simplified Arabic"/>
                <w:rtl/>
              </w:rPr>
              <w:t>مؤسسة التمويل الدولية: مليارا دولار</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2.5.2 عدد النساء اللاتي يحصلن على خدمات تسهيلات ائتمانية</w:t>
            </w:r>
          </w:p>
          <w:p w:rsidR="00810BAC" w:rsidRPr="00FF3102" w:rsidRDefault="00810BAC" w:rsidP="00810BAC">
            <w:pPr>
              <w:keepNext/>
              <w:keepLines/>
              <w:tabs>
                <w:tab w:val="left" w:pos="990"/>
              </w:tab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2963 (2014)</w:t>
            </w:r>
          </w:p>
          <w:p w:rsidR="00810BAC" w:rsidRPr="00FF3102" w:rsidRDefault="00810BAC" w:rsidP="00810BAC">
            <w:pPr>
              <w:keepNext/>
              <w:keepLines/>
              <w:tabs>
                <w:tab w:val="left" w:pos="1035"/>
              </w:tab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25 ألفا (2018)</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tabs>
                <w:tab w:val="left" w:pos="1035"/>
              </w:tabs>
              <w:bidi/>
              <w:ind w:left="270"/>
              <w:outlineLvl w:val="0"/>
              <w:rPr>
                <w:rFonts w:ascii="Simplified Arabic" w:hAnsi="Simplified Arabic" w:cs="Simplified Arabic"/>
              </w:rPr>
            </w:pPr>
          </w:p>
        </w:tc>
        <w:tc>
          <w:tcPr>
            <w:tcW w:w="2835"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وضع إستراتيجية لتوسيع فرص الحصول على التمويل، لاسيما في المناطق المحرومة من الخدمات (مثل صعيد مصر) بحلول 2019</w:t>
            </w:r>
          </w:p>
          <w:p w:rsidR="00810BAC" w:rsidRPr="00FF3102" w:rsidRDefault="00810BAC" w:rsidP="00810BAC">
            <w:pPr>
              <w:keepNext/>
              <w:keepLines/>
              <w:bidi/>
              <w:outlineLvl w:val="0"/>
              <w:rPr>
                <w:rFonts w:ascii="Simplified Arabic" w:hAnsi="Simplified Arabic" w:cs="Simplified Arabic"/>
                <w:i/>
              </w:rPr>
            </w:pP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إنشاء هيئة تنظيمية للمؤسسات المالية غير المصرفية وهيئة أشمل للرقابة المالية المصرية.</w:t>
            </w:r>
          </w:p>
          <w:p w:rsidR="00810BAC" w:rsidRPr="00FF3102" w:rsidRDefault="00810BAC" w:rsidP="00810BAC">
            <w:pPr>
              <w:bidi/>
              <w:rPr>
                <w:rFonts w:ascii="Simplified Arabic" w:hAnsi="Simplified Arabic" w:cs="Simplified Arabic"/>
                <w:highlight w:val="yellow"/>
              </w:rPr>
            </w:pPr>
          </w:p>
          <w:p w:rsidR="00810BAC" w:rsidRPr="00FF3102" w:rsidRDefault="00810BAC" w:rsidP="00810BAC">
            <w:pPr>
              <w:keepNext/>
              <w:keepLines/>
              <w:bidi/>
              <w:outlineLvl w:val="0"/>
              <w:rPr>
                <w:rFonts w:ascii="Simplified Arabic" w:hAnsi="Simplified Arabic" w:cs="Simplified Arabic"/>
                <w:b/>
                <w:smallCaps/>
                <w:highlight w:val="yellow"/>
              </w:rPr>
            </w:pP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حافظة المشروعات الجارية: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مشروع تعزيز قدرة </w:t>
            </w:r>
            <w:r w:rsidRPr="00FF3102">
              <w:rPr>
                <w:rFonts w:ascii="Simplified Arabic" w:eastAsiaTheme="minorEastAsia" w:hAnsi="Simplified Arabic" w:cs="Simplified Arabic"/>
                <w:iCs/>
                <w:rtl/>
              </w:rPr>
              <w:t>المشروعات المتوسطة والصغيرة والمتناهية الصغر على الحصول على التمويل (البنك الدولي للإنشاء والتعمير- 300 مليون دولار)</w:t>
            </w:r>
            <w:r w:rsidRPr="00FF3102">
              <w:rPr>
                <w:rFonts w:ascii="Simplified Arabic" w:eastAsiaTheme="minorEastAsia" w:hAnsi="Simplified Arabic" w:cs="Simplified Arabic"/>
              </w:rPr>
              <w:t xml:space="preserve">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تعزيز الابتكار من أجل إتاحة الخدمات المالية للجميع (البنك الدولي للإنشاء والتعمير-300 مليون دولار)</w:t>
            </w:r>
          </w:p>
          <w:p w:rsidR="00810BAC" w:rsidRPr="00FF3102" w:rsidRDefault="00810BAC" w:rsidP="00810BAC">
            <w:pPr>
              <w:tabs>
                <w:tab w:val="left" w:pos="252"/>
              </w:tabs>
              <w:bidi/>
              <w:rPr>
                <w:rFonts w:ascii="Simplified Arabic" w:hAnsi="Simplified Arabic" w:cs="Simplified Arabic"/>
                <w:u w:val="single"/>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مع تلقي طلبات من الشركات: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القواعد التنظيمية الشاملة للتمويل المتناهي الصغر (البنك الدولي للإنشاء والتعمير- صندوق التحوٌّل)</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استثمارات محتملة في الديون/أسهم رأس المال في مؤسسات تمويلية لمساندة المشروعات المتوسطة والصغيرة والمتناهية الصغر بما في ذلك مساندة من برنامج تمويل التجارة العالمية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الصندوق الإقليمي للمشروعات المتوسطة والصغيرة والمتناهية الصغر في الشرق الأوسط وشمال أفريقيا (مشترك بين البنك الدولي ومؤسسة التمويل الدولية)</w:t>
            </w:r>
          </w:p>
          <w:p w:rsidR="00810BAC" w:rsidRPr="00FF3102" w:rsidRDefault="00810BAC" w:rsidP="00810BAC">
            <w:pPr>
              <w:tabs>
                <w:tab w:val="left" w:pos="252"/>
              </w:tabs>
              <w:bidi/>
              <w:rPr>
                <w:rFonts w:ascii="Simplified Arabic" w:hAnsi="Simplified Arabic" w:cs="Simplified Arabic"/>
                <w:b/>
              </w:rPr>
            </w:pP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bCs/>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التمويل المتناهي الصغر (مساعدة فنية من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أنشطة مصرفية للمشروعات الصغيرة والمتوسطة من خلال برنامج بيزنيس إيدج ومجموعة الأدوات لمؤسسة التمويل الدولية (مساعدة فنية من مؤسسة التمويل الدولية)</w:t>
            </w:r>
            <w:r w:rsidRPr="00FF3102">
              <w:rPr>
                <w:rFonts w:ascii="Simplified Arabic" w:eastAsiaTheme="minorEastAsia" w:hAnsi="Simplified Arabic" w:cs="Simplified Arabic"/>
              </w:rPr>
              <w:t xml:space="preserve">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حوكمة الشركات (مساعدة فنية من مؤسسة التمويل الدولية)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الأعمال المصرفية للشركات الصغيرة والمتوسطة (مساعدة فنية من مؤسسة التمويل الدولية)</w:t>
            </w: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tbl>
      <w:tblPr>
        <w:tblpPr w:leftFromText="180" w:rightFromText="180" w:vertAnchor="text" w:horzAnchor="margin" w:tblpXSpec="center" w:tblpY="-691"/>
        <w:bidiVisual/>
        <w:tblW w:w="11016" w:type="dxa"/>
        <w:tblLayout w:type="fixed"/>
        <w:tblLook w:val="00A0" w:firstRow="1" w:lastRow="0" w:firstColumn="1" w:lastColumn="0" w:noHBand="0" w:noVBand="0"/>
      </w:tblPr>
      <w:tblGrid>
        <w:gridCol w:w="11016"/>
      </w:tblGrid>
      <w:tr w:rsidR="00A5321B" w:rsidRPr="00FF3102" w:rsidTr="00A5321B">
        <w:trPr>
          <w:trHeight w:val="329"/>
        </w:trPr>
        <w:tc>
          <w:tcPr>
            <w:tcW w:w="11016" w:type="dxa"/>
          </w:tcPr>
          <w:p w:rsidR="00A5321B" w:rsidRPr="00FF3102" w:rsidRDefault="00A5321B" w:rsidP="00A5321B">
            <w:pPr>
              <w:bidi/>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tc>
      </w:tr>
      <w:tr w:rsidR="00A5321B" w:rsidRPr="00FF3102" w:rsidTr="00A5321B">
        <w:trPr>
          <w:trHeight w:val="329"/>
        </w:trPr>
        <w:tc>
          <w:tcPr>
            <w:tcW w:w="11016" w:type="dxa"/>
          </w:tcPr>
          <w:p w:rsidR="00A5321B" w:rsidRPr="00FF3102" w:rsidRDefault="00A5321B" w:rsidP="00A5321B">
            <w:pPr>
              <w:bidi/>
              <w:outlineLvl w:val="6"/>
              <w:rPr>
                <w:rFonts w:ascii="Simplified Arabic" w:eastAsiaTheme="minorEastAsia" w:hAnsi="Simplified Arabic" w:cs="Simplified Arabic"/>
              </w:rPr>
            </w:pPr>
            <w:r w:rsidRPr="00FF3102">
              <w:rPr>
                <w:rFonts w:ascii="Simplified Arabic" w:eastAsiaTheme="minorEastAsia" w:hAnsi="Simplified Arabic" w:cs="Simplified Arabic"/>
                <w:bCs/>
                <w:iCs/>
                <w:rtl/>
              </w:rPr>
              <w:t>بما يتسق والركيزة الثالثة للبرنامج الاقتصادي للحكومة المصرية: تعزيز الحماية الاجتماعية وتقديم الخدمات الاجتماعية</w:t>
            </w:r>
          </w:p>
        </w:tc>
      </w:tr>
    </w:tbl>
    <w:p w:rsidR="00810BAC" w:rsidRPr="00FF3102" w:rsidRDefault="00B82445" w:rsidP="00A5321B">
      <w:pPr>
        <w:bidi/>
        <w:rPr>
          <w:rFonts w:ascii="Simplified Arabic" w:hAnsi="Simplified Arabic" w:cs="Simplified Arabic"/>
        </w:rPr>
      </w:pPr>
      <w:r w:rsidRPr="00FF3102">
        <w:rPr>
          <w:rFonts w:ascii="Simplified Arabic" w:hAnsi="Simplified Arabic" w:cs="Simplified Arabic"/>
          <w:noProof/>
          <w:snapToGrid/>
        </w:rPr>
        <w:drawing>
          <wp:anchor distT="0" distB="0" distL="187452" distR="114300" simplePos="0" relativeHeight="251656704" behindDoc="1" locked="0" layoutInCell="1" allowOverlap="1" wp14:anchorId="11BE0D24" wp14:editId="430AE03D">
            <wp:simplePos x="0" y="0"/>
            <wp:positionH relativeFrom="margin">
              <wp:align>center</wp:align>
            </wp:positionH>
            <wp:positionV relativeFrom="paragraph">
              <wp:posOffset>179070</wp:posOffset>
            </wp:positionV>
            <wp:extent cx="7185660" cy="8427085"/>
            <wp:effectExtent l="38100" t="0" r="34290" b="0"/>
            <wp:wrapNone/>
            <wp:docPr id="11"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tbl>
      <w:tblPr>
        <w:bidiVisual/>
        <w:tblW w:w="0" w:type="auto"/>
        <w:tblInd w:w="-585" w:type="dxa"/>
        <w:tblBorders>
          <w:top w:val="single" w:sz="4" w:space="0" w:color="auto"/>
          <w:bottom w:val="single" w:sz="4" w:space="0" w:color="auto"/>
        </w:tblBorders>
        <w:tblLayout w:type="fixed"/>
        <w:tblLook w:val="00A0" w:firstRow="1" w:lastRow="0" w:firstColumn="1" w:lastColumn="0" w:noHBand="0" w:noVBand="0"/>
      </w:tblPr>
      <w:tblGrid>
        <w:gridCol w:w="1226"/>
        <w:gridCol w:w="2719"/>
        <w:gridCol w:w="2629"/>
        <w:gridCol w:w="2786"/>
      </w:tblGrid>
      <w:tr w:rsidR="00810BAC" w:rsidRPr="00FF3102" w:rsidTr="00A5321B">
        <w:tc>
          <w:tcPr>
            <w:tcW w:w="1226" w:type="dxa"/>
            <w:tcBorders>
              <w:top w:val="single" w:sz="4" w:space="0" w:color="auto"/>
              <w:bottom w:val="single" w:sz="4" w:space="0" w:color="auto"/>
            </w:tcBorders>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أهداف مجموعة البنك الدولي</w:t>
            </w:r>
          </w:p>
        </w:tc>
        <w:tc>
          <w:tcPr>
            <w:tcW w:w="2719" w:type="dxa"/>
            <w:tcBorders>
              <w:top w:val="single" w:sz="4" w:space="0" w:color="auto"/>
              <w:bottom w:val="single" w:sz="4" w:space="0" w:color="auto"/>
            </w:tcBorders>
          </w:tcPr>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مجالات تركيز إطار الشراكة الإستراتيجية</w:t>
            </w:r>
          </w:p>
        </w:tc>
        <w:tc>
          <w:tcPr>
            <w:tcW w:w="2629" w:type="dxa"/>
            <w:tcBorders>
              <w:top w:val="single" w:sz="4" w:space="0" w:color="auto"/>
              <w:bottom w:val="single" w:sz="4" w:space="0" w:color="auto"/>
            </w:tcBorders>
          </w:tcPr>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أهداف إطار الشراكة الإستراتيجية</w:t>
            </w:r>
          </w:p>
        </w:tc>
        <w:tc>
          <w:tcPr>
            <w:tcW w:w="2786" w:type="dxa"/>
            <w:tcBorders>
              <w:top w:val="single" w:sz="4" w:space="0" w:color="auto"/>
              <w:bottom w:val="single" w:sz="4" w:space="0" w:color="auto"/>
            </w:tcBorders>
          </w:tcPr>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التحديات التي تواجهها مصر</w:t>
            </w:r>
          </w:p>
        </w:tc>
      </w:tr>
    </w:tbl>
    <w:p w:rsidR="00810BAC" w:rsidRPr="00FF3102" w:rsidRDefault="00810BAC" w:rsidP="00810BAC">
      <w:pPr>
        <w:bidi/>
        <w:jc w:val="right"/>
        <w:rPr>
          <w:rFonts w:ascii="Simplified Arabic" w:hAnsi="Simplified Arabic" w:cs="Simplified Arabic"/>
        </w:rPr>
      </w:pPr>
      <w:r w:rsidRPr="00FF3102">
        <w:rPr>
          <w:rFonts w:ascii="Simplified Arabic" w:hAnsi="Simplified Arabic" w:cs="Simplified Arabic"/>
          <w:noProof/>
        </w:rPr>
        <w:t xml:space="preserve"> </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محور التركيز 3: الاحتواء الاجتماعي</w:t>
      </w:r>
    </w:p>
    <w:p w:rsidR="00810BAC" w:rsidRPr="00FF3102" w:rsidRDefault="00810BAC" w:rsidP="00810BAC">
      <w:pPr>
        <w:bidi/>
        <w:rPr>
          <w:rFonts w:ascii="Simplified Arabic" w:hAnsi="Simplified Arabic" w:cs="Simplified Arabic"/>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3.1 لإطار الشراكة الإستراتيجية: تحسين سبل حصول الفقراء على فرص للدخل قصيرة الأجل وتوسيع نطاق تغطية منظومة شبكات الأمان الاجتماعي</w:t>
            </w:r>
          </w:p>
        </w:tc>
      </w:tr>
      <w:tr w:rsidR="00810BAC" w:rsidRPr="00FF3102">
        <w:trPr>
          <w:cantSplit/>
          <w:trHeight w:val="20"/>
        </w:trPr>
        <w:tc>
          <w:tcPr>
            <w:tcW w:w="5778"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تعقد برامج شبكات الأمان الاجتماعي وتفتُّتها، مما يؤدي إلى عدم الكفاءة وضعف نظام استهداف الفقراء.</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ما زال عدد المنتفعين أقل كثيرا من تقديرات عدد الفقراء، ومقدار الإعانات النقدية أقل كثيرا من المطلوب لانتشال المنتفعين من براثن الفقر.</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هناك حاجة إلى إجراء إصلاحات لشبكات الأمان الاجتماعي لتخفيف الآثار السلبية لإصلاح نظام دعم منتجات الطاقة.</w:t>
            </w:r>
          </w:p>
        </w:tc>
        <w:tc>
          <w:tcPr>
            <w:tcW w:w="5220" w:type="dxa"/>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أشغال عامة كثيفة الاستخدام للأيدي العاملة هدفها خلق فرص عمل قصيرة الأجل وتوفير البنية التحتية الأساسية.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مساندة إنشاء قاعدة بيانات لنظام شبكات الأمان الاجتماعي المُوجَّهة.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تحسين فهم الآثار التوزيعية لنظام الدعم الحالي والآثار المحتملة للتعديلات المقترحة في أسعار الطاقة.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تعزيز الجهود الإعلامية من أجل إصلاح تسعير منتجات الطاقة وضمان شفافية هذه العملية.</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3.1.1 عدد المنتفعين بالبرنامج الجاري للأشغال العامة كثيفة الاستخدام للأيدي العاملة</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240 ألفا</w:t>
            </w:r>
            <w:r w:rsidRPr="00FF3102">
              <w:rPr>
                <w:rFonts w:ascii="Simplified Arabic" w:eastAsiaTheme="minorEastAsia" w:hAnsi="Simplified Arabic" w:cs="Simplified Arabic"/>
                <w:i/>
              </w:rPr>
              <w:t xml:space="preserve"> </w:t>
            </w:r>
          </w:p>
          <w:p w:rsidR="00810BAC" w:rsidRPr="00FF3102" w:rsidRDefault="00810BAC" w:rsidP="00810BAC">
            <w:pPr>
              <w:bidi/>
              <w:ind w:left="517" w:hanging="180"/>
              <w:rPr>
                <w:rFonts w:ascii="Simplified Arabic" w:eastAsiaTheme="minorEastAsia" w:hAnsi="Simplified Arabic" w:cs="Simplified Arabic"/>
              </w:rPr>
            </w:pPr>
            <w:r w:rsidRPr="00FF3102">
              <w:rPr>
                <w:rFonts w:ascii="Simplified Arabic" w:eastAsiaTheme="minorEastAsia" w:hAnsi="Simplified Arabic" w:cs="Simplified Arabic"/>
                <w:iCs/>
                <w:rtl/>
              </w:rPr>
              <w:t>أ) 40 في المائة من النساء</w:t>
            </w:r>
            <w:r w:rsidRPr="00FF3102">
              <w:rPr>
                <w:rFonts w:ascii="Simplified Arabic" w:eastAsiaTheme="minorEastAsia" w:hAnsi="Simplified Arabic" w:cs="Simplified Arabic"/>
                <w:i/>
              </w:rPr>
              <w:t xml:space="preserve"> </w:t>
            </w:r>
          </w:p>
          <w:p w:rsidR="00810BAC" w:rsidRPr="00FF3102" w:rsidRDefault="00810BAC" w:rsidP="00810BAC">
            <w:pPr>
              <w:bidi/>
              <w:ind w:left="517" w:hanging="180"/>
              <w:rPr>
                <w:rFonts w:ascii="Simplified Arabic" w:eastAsiaTheme="minorEastAsia" w:hAnsi="Simplified Arabic" w:cs="Simplified Arabic"/>
                <w:i/>
              </w:rPr>
            </w:pPr>
            <w:r w:rsidRPr="00FF3102">
              <w:rPr>
                <w:rFonts w:ascii="Simplified Arabic" w:eastAsiaTheme="minorEastAsia" w:hAnsi="Simplified Arabic" w:cs="Simplified Arabic"/>
                <w:iCs/>
                <w:rtl/>
              </w:rPr>
              <w:t>ب) 70 في المائة من صعيد مصر</w:t>
            </w:r>
          </w:p>
          <w:p w:rsidR="00810BAC" w:rsidRPr="00FF3102" w:rsidRDefault="00810BAC" w:rsidP="00810BAC">
            <w:pPr>
              <w:bidi/>
              <w:ind w:left="517" w:hanging="180"/>
              <w:rPr>
                <w:rFonts w:ascii="Simplified Arabic" w:eastAsiaTheme="minorEastAsia" w:hAnsi="Simplified Arabic" w:cs="Simplified Arabic"/>
                <w:i/>
              </w:rPr>
            </w:pPr>
            <w:r w:rsidRPr="00FF3102">
              <w:rPr>
                <w:rFonts w:ascii="Simplified Arabic" w:eastAsiaTheme="minorEastAsia" w:hAnsi="Simplified Arabic" w:cs="Simplified Arabic"/>
                <w:iCs/>
                <w:rtl/>
              </w:rPr>
              <w:t>ج) 60 في المائة من الشباب</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3.1.2 عدد الأسر المُسجَّلة في السجل الموحَّد لشبكة الأمان الاجتماعي</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10 ملايين (بحلول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3.1.3 عدد الأسر الفقيرة المستفيدة من البرنامج الجديد للتحويلات النقدية</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0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1.5 مليون</w:t>
            </w:r>
            <w:r w:rsidRPr="00FF3102">
              <w:rPr>
                <w:rFonts w:ascii="Simplified Arabic" w:eastAsiaTheme="minorEastAsia" w:hAnsi="Simplified Arabic" w:cs="Simplified Arabic"/>
                <w:i/>
              </w:rPr>
              <w:t xml:space="preserve"> </w:t>
            </w:r>
          </w:p>
          <w:p w:rsidR="00810BAC" w:rsidRPr="00FF3102" w:rsidRDefault="00810BAC" w:rsidP="00810BAC">
            <w:pPr>
              <w:bidi/>
              <w:rPr>
                <w:rFonts w:ascii="Simplified Arabic" w:hAnsi="Simplified Arabic" w:cs="Simplified Arabic"/>
              </w:rPr>
            </w:pPr>
          </w:p>
        </w:tc>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يجري تنفيذ 1380 مشروعا فرعيا للأشغال العامة كثيفة الاستخدام للأيدي العاملة</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وضع خطة عمل بحلول 2016 لاعتماد السجل الموحد لشبكة الأمان الاجتماعي بالتنسيق مع وزارة التنمية الإدارية </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إتمام مسح أولي بحلول 2016 للمنتفعين لتحديد النقص في تغطية الفقراء والمحرومين في البرامج القائمة </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إعداد إستراتيجية تواصل إعلامي لإصلاح دعم الوقود شاملة التشاور مع الجمهور بحلول ديسمبر 2015 </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وضع إستراتيجية لتسعير منتجات الطاقة والتحوُّل إلى الوقود البديل بما في ذلك خطة عمل لتخفيف آثار إلغاء الدعم بحلول ديسمبر 2016 </w:t>
            </w: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u w:val="single"/>
                <w:rtl/>
              </w:rPr>
              <w:t>جارية</w:t>
            </w:r>
            <w:r w:rsidRPr="00FF3102">
              <w:rPr>
                <w:rFonts w:ascii="Simplified Arabic" w:eastAsiaTheme="minorEastAsia" w:hAnsi="Simplified Arabic" w:cs="Simplified Arabic"/>
                <w:u w:val="single"/>
              </w:rPr>
              <w:t xml:space="preserve">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المشروع الطارئ للاستثمارات كثيفة الاستخدام للأيدي العاملة (البنك الدولي للإنشاء والتعمير- 200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المشروع الطارئ للاستثمار في التشغيل ( البنك الدولي للإنشاء والتعمير والصندوق الاستئماني للاتحاد الأوروبي)</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منحة من صندوق التحوُّل لتنفيذ السجل الموحد ومجموعة العمل الفني بشأن برنامج التحويلات النقدية (الصندوق الاستئماني للبنك الدولي للإنشاء والتعمير)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شبكات الأمان الاجتماعي (البنك الدولي للإنشاء والتعمير 400 مليون دولار)</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المساعدة الفنية بشأن شبكات الأمان الاجتماعي / معاشات التقاعد (البنك الدولي للإنشاء والتعمير الصندوق الاستئماني متعدد المانحين)</w:t>
            </w:r>
          </w:p>
          <w:p w:rsidR="00810BAC" w:rsidRPr="00FF3102" w:rsidRDefault="00810BAC" w:rsidP="00810BAC">
            <w:pPr>
              <w:tabs>
                <w:tab w:val="left" w:pos="252"/>
              </w:tabs>
              <w:bidi/>
              <w:rPr>
                <w:rFonts w:ascii="Simplified Arabic" w:hAnsi="Simplified Arabic" w:cs="Simplified Arabic"/>
                <w:b/>
              </w:rPr>
            </w:pP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p w:rsidR="00810BAC" w:rsidRPr="00FF3102" w:rsidRDefault="00810BAC" w:rsidP="00810BAC">
      <w:pPr>
        <w:bidi/>
        <w:rPr>
          <w:rFonts w:ascii="Simplified Arabic" w:hAnsi="Simplified Arabic" w:cs="Simplified Arabic"/>
          <w:b/>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3.2 لإطار الشراكة الإستراتيجية: زيادة سبل الحصول على خدمات الرعاية الصحية ذات الجودة</w:t>
            </w:r>
            <w:r w:rsidRPr="00FF3102">
              <w:rPr>
                <w:rFonts w:ascii="Simplified Arabic" w:eastAsiaTheme="minorEastAsia" w:hAnsi="Simplified Arabic" w:cs="Simplified Arabic"/>
                <w:b/>
              </w:rPr>
              <w:t xml:space="preserve"> </w:t>
            </w:r>
          </w:p>
        </w:tc>
      </w:tr>
      <w:tr w:rsidR="00810BAC" w:rsidRPr="00FF3102">
        <w:trPr>
          <w:cantSplit/>
          <w:trHeight w:val="20"/>
        </w:trPr>
        <w:tc>
          <w:tcPr>
            <w:tcW w:w="5778"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استمرار التفاوت الشديد في الحصول على الرعاية الصحية بين مناطق البلد.</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تباين مستويات جودة الرعاية الصحية، لاسيما بين فئات الدخل وفي المناطق الريفية، ويعاني الكثير من المنشآت من سوء التجهيز والصيانة ونقص الموظفين والافتقار إلى الأدوية والمستلزمات الأساسية.</w:t>
            </w:r>
            <w:r w:rsidRPr="00FF3102">
              <w:rPr>
                <w:rFonts w:ascii="Simplified Arabic" w:eastAsiaTheme="minorEastAsia" w:hAnsi="Simplified Arabic" w:cs="Simplified Arabic"/>
              </w:rPr>
              <w:t xml:space="preserve"> </w:t>
            </w:r>
          </w:p>
          <w:p w:rsidR="00810BAC" w:rsidRPr="00FF3102" w:rsidRDefault="00810BAC" w:rsidP="00810BAC">
            <w:pPr>
              <w:bidi/>
              <w:ind w:left="720"/>
              <w:contextualSpacing/>
              <w:rPr>
                <w:rFonts w:ascii="Simplified Arabic" w:hAnsi="Simplified Arabic" w:cs="Simplified Arabic"/>
              </w:rPr>
            </w:pPr>
          </w:p>
        </w:tc>
        <w:tc>
          <w:tcPr>
            <w:tcW w:w="5220" w:type="dxa"/>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توسيع خدمات صحة الأسرة التي تستهدف أفقر 40 في المائة من السكان.</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التشجيع على إنشاء شراكات بين القطاعين العام والخاص لتقديم خدمات صحة الأسرة، لاسيما في الأحياء الفقيرة بالمناطق الحضرية. </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3.2.1 تلقِّي منشآت الرعاية الصحية المختارة في أفقر عشر محافظات شهادات اعتماد</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400 (2017)</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3.2.2 الأشخاص الذين يمكنهم الحصول على حزمة أساسية من خدمات الرعاية الصحية أو التغذية أو الخدمات السكانية</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(2015)</w:t>
            </w: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 xml:space="preserve">المستهدف: مليون (2017). عدد الذين يمكنهم الحصول على حزمة أساسية من خدمات الرعاية الصحية أو التغذية أو الصحة الإنجابية. </w:t>
            </w:r>
          </w:p>
          <w:p w:rsidR="00810BAC" w:rsidRPr="00FF3102" w:rsidRDefault="00810BAC" w:rsidP="00810BAC">
            <w:pPr>
              <w:bidi/>
              <w:rPr>
                <w:rFonts w:ascii="Simplified Arabic" w:hAnsi="Simplified Arabic" w:cs="Simplified Arabic"/>
                <w:i/>
              </w:rPr>
            </w:pPr>
          </w:p>
        </w:tc>
        <w:tc>
          <w:tcPr>
            <w:tcW w:w="2889" w:type="dxa"/>
            <w:shd w:val="clear" w:color="auto" w:fill="FFFFFF"/>
          </w:tcPr>
          <w:p w:rsidR="00810BAC" w:rsidRPr="00FF3102" w:rsidRDefault="00810BAC" w:rsidP="00810BAC">
            <w:pPr>
              <w:bidi/>
              <w:spacing w:after="200"/>
              <w:contextualSpacing/>
              <w:rPr>
                <w:rFonts w:ascii="Simplified Arabic" w:eastAsiaTheme="minorEastAsia" w:hAnsi="Simplified Arabic" w:cs="Simplified Arabic"/>
                <w:i/>
              </w:rPr>
            </w:pPr>
            <w:r w:rsidRPr="00FF3102">
              <w:rPr>
                <w:rFonts w:ascii="Simplified Arabic" w:eastAsiaTheme="minorEastAsia" w:hAnsi="Simplified Arabic" w:cs="Simplified Arabic"/>
                <w:iCs/>
                <w:rtl/>
              </w:rPr>
              <w:t>منشآت الرعاية الصحية الأسرية المستهدفة في أفقر عشر محافظات قدمت خطط تحسين الجودة والصيانة بحلول 2016</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contextualSpacing/>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1,000 (2016)</w:t>
            </w:r>
          </w:p>
          <w:p w:rsidR="00810BAC" w:rsidRPr="00FF3102" w:rsidRDefault="00810BAC" w:rsidP="00810BAC">
            <w:pPr>
              <w:bidi/>
              <w:spacing w:after="200"/>
              <w:contextualSpacing/>
              <w:rPr>
                <w:rFonts w:ascii="Simplified Arabic" w:hAnsi="Simplified Arabic" w:cs="Simplified Arabic"/>
                <w:i/>
              </w:rPr>
            </w:pP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مشروعات جارية: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تحسين جودة الرعاية الصحية ( البنك الدولي للإنشاء والتعمير – 75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عمليتا استثمار في أسهم رأس المال في مجموعة المغربي مصر ودار الفؤاد (مؤسسة التمويل الدولية 29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ساندت مؤسسة التمويل الدولية الشراكات بين القطاعين العام والخاص في مستشفيات الأسكندرية (مؤسسة التمويل الدولية)</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hAnsi="Simplified Arabic" w:cs="Simplified Arabic"/>
              </w:rPr>
            </w:pP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b/>
        </w:rPr>
      </w:pPr>
      <w:r w:rsidRPr="00FF3102">
        <w:rPr>
          <w:rFonts w:ascii="Simplified Arabic" w:hAnsi="Simplified Arabic" w:cs="Simplified Arabic"/>
        </w:rPr>
        <w:br w:type="page"/>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p w:rsidR="00810BAC" w:rsidRPr="00FF3102" w:rsidRDefault="00810BAC" w:rsidP="00810BAC">
      <w:pPr>
        <w:bidi/>
        <w:rPr>
          <w:rFonts w:ascii="Simplified Arabic" w:hAnsi="Simplified Arabic" w:cs="Simplified Arabic"/>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trHeight w:val="265"/>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3.3 لإطار الشراكة الإستراتيجية: زيادة سبل حصول الأسر محدودة الدخل على مسكن</w:t>
            </w:r>
          </w:p>
        </w:tc>
      </w:tr>
      <w:tr w:rsidR="00810BAC" w:rsidRPr="00FF3102">
        <w:trPr>
          <w:trHeight w:val="1929"/>
        </w:trPr>
        <w:tc>
          <w:tcPr>
            <w:tcW w:w="5778"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عجز الأسر ذات الدخل المنخفض والمتوسط عن الحصول على مسكن ميسور التكلفة.</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قطاع الإسكان الاجتماعي مُفتَّت وبرامجه تعاني سوء الإدارة وضعف التنسيق.</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الافتقار إلى سياسة إسكان شاملة وطويلة الأجل لتوجيه برامج الإسكان وضمان تلبية احتياجات كل شرائح المجتمع.</w:t>
            </w:r>
          </w:p>
        </w:tc>
        <w:tc>
          <w:tcPr>
            <w:tcW w:w="5220" w:type="dxa"/>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إنشاء صندوق جديد للإسكان الاجتماعي ليكون الهيئة الموحدة المسؤولة عن برامج الإسكان الاجتماعي في مصر.</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إنشاء نظام للدعم يتسم بالكفاءة الاقتصادية وتُحرِّكه اعتبارات جانب الطلب لتسهيل حصول الأسرة منخفضة الدخل على مساكن جديدة وقائمة.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إصلاح النظام الحالي لدعم الإسكان الذي تُحرِّكه اعتبارات العرض للقطاعات ذات الدخل المنخفض والمتوسط.</w:t>
            </w:r>
          </w:p>
        </w:tc>
      </w:tr>
      <w:tr w:rsidR="00810BAC" w:rsidRPr="00FF3102">
        <w:trPr>
          <w:trHeight w:hRule="exact" w:val="568"/>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rsidTr="00AA001B">
        <w:trPr>
          <w:trHeight w:val="6407"/>
        </w:trPr>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3.3.1 عدد الأسر المستهدف حصولها على وحدات سكنية بالتملُّك والإيجار بمساندة من البرنامج</w:t>
            </w:r>
          </w:p>
          <w:p w:rsidR="00810BAC" w:rsidRPr="00FF3102" w:rsidRDefault="00810BAC" w:rsidP="00810BAC">
            <w:pPr>
              <w:tabs>
                <w:tab w:val="center" w:pos="1746"/>
              </w:tabs>
              <w:bidi/>
              <w:rPr>
                <w:rFonts w:ascii="Simplified Arabic" w:eastAsiaTheme="minorEastAsia" w:hAnsi="Simplified Arabic" w:cs="Simplified Arabic"/>
                <w:b/>
                <w:i/>
              </w:rPr>
            </w:pPr>
            <w:r w:rsidRPr="00FF3102">
              <w:rPr>
                <w:rFonts w:ascii="Simplified Arabic" w:eastAsiaTheme="minorEastAsia" w:hAnsi="Simplified Arabic" w:cs="Simplified Arabic"/>
                <w:bCs/>
                <w:iCs/>
                <w:rtl/>
              </w:rPr>
              <w:t>الإجمالي</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خط الأساس: صفر (2015) المستهدف: 575 ألفا (2019) </w:t>
            </w:r>
            <w:r w:rsidRPr="00FF3102">
              <w:rPr>
                <w:rFonts w:ascii="Simplified Arabic" w:eastAsiaTheme="minorEastAsia" w:hAnsi="Simplified Arabic" w:cs="Simplified Arabic"/>
                <w:i/>
              </w:rPr>
              <w:t>575,000 (2019)</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b/>
                <w:i/>
              </w:rPr>
            </w:pPr>
            <w:r w:rsidRPr="00FF3102">
              <w:rPr>
                <w:rFonts w:ascii="Simplified Arabic" w:eastAsiaTheme="minorEastAsia" w:hAnsi="Simplified Arabic" w:cs="Simplified Arabic"/>
                <w:bCs/>
                <w:iCs/>
                <w:rtl/>
              </w:rPr>
              <w:t>منها في أدنى 20 في المائة على سلم توزيع الدخل</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(2015)</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50% (2019)</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b/>
                <w:i/>
              </w:rPr>
            </w:pPr>
            <w:r w:rsidRPr="00FF3102">
              <w:rPr>
                <w:rFonts w:ascii="Simplified Arabic" w:eastAsiaTheme="minorEastAsia" w:hAnsi="Simplified Arabic" w:cs="Simplified Arabic"/>
                <w:bCs/>
                <w:iCs/>
                <w:rtl/>
              </w:rPr>
              <w:t>منها أسر تعولها نساء</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(2015)</w:t>
            </w:r>
          </w:p>
          <w:p w:rsidR="00810BAC" w:rsidRPr="00FF3102" w:rsidRDefault="00810BAC" w:rsidP="00AA001B">
            <w:pPr>
              <w:bidi/>
              <w:rPr>
                <w:rFonts w:ascii="Simplified Arabic" w:hAnsi="Simplified Arabic" w:cs="Simplified Arabic"/>
                <w:i/>
              </w:rPr>
            </w:pPr>
            <w:r w:rsidRPr="00FF3102">
              <w:rPr>
                <w:rFonts w:ascii="Simplified Arabic" w:eastAsiaTheme="minorEastAsia" w:hAnsi="Simplified Arabic" w:cs="Simplified Arabic"/>
                <w:iCs/>
                <w:rtl/>
              </w:rPr>
              <w:t>المستهدف: 20% (2019)</w:t>
            </w:r>
          </w:p>
        </w:tc>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عدد الأسر المستهدفة التي تسكن في وحدات "جديدة" بمساندة من البرنامج</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110 آلاف (2016)</w:t>
            </w:r>
            <w:r w:rsidRPr="00FF3102">
              <w:rPr>
                <w:rFonts w:ascii="Simplified Arabic" w:eastAsiaTheme="minorEastAsia" w:hAnsi="Simplified Arabic" w:cs="Simplified Arabic"/>
                <w:i/>
              </w:rPr>
              <w:t xml:space="preserve"> </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عدد الأسر المستهدفة التي تسكن في وحدات "قائمة من قبل " بمساندة من البرنامج</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خط الأساس : صفر </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20 ألفا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نظام متابعة وتقييم المساكن يعمل ويثري الخطة متعددة السنوات والأهداف السنوية</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لا يوجد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نعم (2016)</w:t>
            </w:r>
          </w:p>
        </w:tc>
        <w:tc>
          <w:tcPr>
            <w:tcW w:w="5220" w:type="dxa"/>
            <w:shd w:val="clear" w:color="auto" w:fill="FFFFFF"/>
          </w:tcPr>
          <w:p w:rsidR="00810BAC" w:rsidRPr="00FF3102" w:rsidRDefault="00810BAC" w:rsidP="00810BAC">
            <w:pPr>
              <w:bidi/>
              <w:ind w:left="72"/>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مشروعات جارية: </w:t>
            </w:r>
          </w:p>
          <w:p w:rsidR="00810BAC" w:rsidRPr="00FF3102" w:rsidRDefault="00810BAC" w:rsidP="00AA001B">
            <w:pPr>
              <w:bidi/>
              <w:ind w:left="72"/>
              <w:rPr>
                <w:rFonts w:ascii="Simplified Arabic" w:hAnsi="Simplified Arabic" w:cs="Simplified Arabic"/>
              </w:rPr>
            </w:pPr>
            <w:r w:rsidRPr="00FF3102">
              <w:rPr>
                <w:rFonts w:ascii="Simplified Arabic" w:eastAsiaTheme="minorEastAsia" w:hAnsi="Simplified Arabic" w:cs="Simplified Arabic"/>
                <w:rtl/>
              </w:rPr>
              <w:t>برنامج تمويل الإسكان الشامل (البنك الدولي للإنشاء والتعمير 500 مليون دولار)</w:t>
            </w:r>
          </w:p>
        </w:tc>
      </w:tr>
    </w:tbl>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p w:rsidR="00810BAC" w:rsidRPr="00FF3102" w:rsidRDefault="00810BAC" w:rsidP="00810BAC">
      <w:pPr>
        <w:bidi/>
        <w:rPr>
          <w:rFonts w:ascii="Simplified Arabic" w:hAnsi="Simplified Arabic" w:cs="Simplified Arabic"/>
          <w:b/>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3.4 لإطار الشراكة الإستراتيجية: زيادة سبل الحصول على خدمات الصرف الصحي المحسَّنة في المناطق الريفية</w:t>
            </w:r>
          </w:p>
        </w:tc>
      </w:tr>
      <w:tr w:rsidR="00810BAC" w:rsidRPr="00FF3102">
        <w:trPr>
          <w:cantSplit/>
          <w:trHeight w:val="20"/>
        </w:trPr>
        <w:tc>
          <w:tcPr>
            <w:tcW w:w="5778" w:type="dxa"/>
            <w:gridSpan w:val="2"/>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85 في المائة على الأقل من الأسر الريفية لديها نوع ما من مرافق الصرف الصحي (في العادة خزان تعفُّن)، لكن نسبة مئوية محدودة من القرى لديها مرافق للتجميع الآمن لمياه الصرف، ونقلها ومعالجتها.</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مياه الصرف يتم التخلُّص منها (دون معالجة في العادة) في المصارف الزراعية، وفي بعض الأحيان في الترع والقنوات، فتُسبِّب خطرا بالغا على الصحة العامة.</w:t>
            </w:r>
            <w:r w:rsidRPr="00FF3102">
              <w:rPr>
                <w:rFonts w:ascii="Simplified Arabic" w:eastAsiaTheme="minorEastAsia" w:hAnsi="Simplified Arabic" w:cs="Simplified Arabic"/>
              </w:rPr>
              <w:t xml:space="preserve">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قطاع المياه والصرف في مصر يعمل بنظام يقوم على سياسات تسعير مُقيَّدة، وبرامج استثمار محدودة، ويعاني نقص التمويل لأنشطة التشغيل.</w:t>
            </w:r>
          </w:p>
          <w:p w:rsidR="00810BAC" w:rsidRPr="00FF3102" w:rsidRDefault="00810BAC" w:rsidP="001E71BE">
            <w:pPr>
              <w:numPr>
                <w:ilvl w:val="0"/>
                <w:numId w:val="24"/>
              </w:numPr>
              <w:bidi/>
              <w:contextualSpacing/>
              <w:rPr>
                <w:rFonts w:ascii="Simplified Arabic" w:hAnsi="Simplified Arabic" w:cs="Simplified Arabic"/>
              </w:rPr>
            </w:pPr>
          </w:p>
        </w:tc>
        <w:tc>
          <w:tcPr>
            <w:tcW w:w="5220" w:type="dxa"/>
            <w:shd w:val="clear" w:color="auto" w:fill="FFFFFF"/>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زيادة قدرة السكان في المحافظات المُستهدفة على الحصول على خدمات مُحسَّنة للصرف الصحي والمجاري</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تقوية الإطار المؤسسي لمعالجة قضايا الصرف الصحي في المناطق الريفية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بناء مؤسسات فاعلة في القطاع لتقديم خدمات الصرف من خلال الاستفادة من الموارد العامة، واجتذاب القطاع الخاص، وإيجاد دور للقطاع غير الرسمي</w:t>
            </w:r>
            <w:r w:rsidRPr="00FF3102">
              <w:rPr>
                <w:rFonts w:ascii="Simplified Arabic" w:eastAsiaTheme="minorEastAsia" w:hAnsi="Simplified Arabic" w:cs="Simplified Arabic"/>
              </w:rPr>
              <w:t xml:space="preserve"> </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shd w:val="clear" w:color="auto" w:fill="FFFFFF"/>
          </w:tcPr>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3.4.2 عدد المستخدمين في المناطق الريفية الذين يحصلون على خدمات مُحسَّنة للصرف الصحي</w:t>
            </w:r>
            <w:r w:rsidRPr="00FF3102">
              <w:rPr>
                <w:rFonts w:ascii="Simplified Arabic" w:eastAsiaTheme="minorEastAsia" w:hAnsi="Simplified Arabic" w:cs="Simplified Arabic"/>
                <w:i/>
              </w:rPr>
              <w:t xml:space="preserve"> </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مليونان و483 ألفا (2019)</w:t>
            </w:r>
          </w:p>
          <w:p w:rsidR="00810BAC" w:rsidRPr="00FF3102" w:rsidRDefault="00810BAC" w:rsidP="00810BAC">
            <w:pPr>
              <w:bidi/>
              <w:rPr>
                <w:rFonts w:ascii="Simplified Arabic" w:hAnsi="Simplified Arabic" w:cs="Simplified Arabic"/>
                <w:i/>
              </w:rPr>
            </w:pPr>
          </w:p>
        </w:tc>
        <w:tc>
          <w:tcPr>
            <w:tcW w:w="2889" w:type="dxa"/>
            <w:shd w:val="clear" w:color="auto" w:fill="FFFFFF"/>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تنفيذ 45 شبكة لامركزية لمعالجة مياه الصرف بالمناطق الريفية بحلول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نسبة الأسر المساهمة في تشغيل وصيانة الشبكات اللامركزية تصل إلى 25% بحلول 2016 صعودا من صفر% في 2014</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اعتماد الإستراتيجية الوطنية المُعدَّلة للصرف الصحي بالمناطق الريفية (2017)</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إعداد هيكل وطني جديد لرسوم الاستهلاك يتيح الاسترداد المستدام للتكاليف والموافقة عليه (السنة المالية 2017)</w:t>
            </w:r>
          </w:p>
        </w:tc>
        <w:tc>
          <w:tcPr>
            <w:tcW w:w="5220" w:type="dxa"/>
            <w:shd w:val="clear" w:color="auto" w:fill="FFFFFF"/>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مشروعات جارية: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المشروعان 1 و2 للبنية التحتية المتكاملة للصرف الصحي والمجاري (البنك الدولي للإنشاء والتعمير 120 مليون دولار و200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الصرف الصحي بالمناطق الريفية (البنك الدولي للإنشاء والتعمير 550 مليون دولار)</w:t>
            </w:r>
          </w:p>
          <w:p w:rsidR="00810BAC" w:rsidRPr="00FF3102" w:rsidRDefault="00810BAC" w:rsidP="00810BAC">
            <w:pPr>
              <w:tabs>
                <w:tab w:val="left" w:pos="252"/>
              </w:tabs>
              <w:bidi/>
              <w:rPr>
                <w:rFonts w:ascii="Simplified Arabic" w:hAnsi="Simplified Arabic" w:cs="Simplified Arabic"/>
                <w:u w:val="single"/>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استثمارات محتملة لمؤسسة التمويل الدولية في مساندة الشراكات بين القطاعين العام والخاص/استثمارات في خدمات مياه الصرف (مؤسسة التمويل الدولية)</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hAnsi="Simplified Arabic" w:cs="Simplified Arabic"/>
              </w:rPr>
            </w:pPr>
          </w:p>
        </w:tc>
      </w:tr>
    </w:tbl>
    <w:p w:rsidR="00810BAC" w:rsidRPr="00FF3102" w:rsidRDefault="00810BAC" w:rsidP="00810BAC">
      <w:pPr>
        <w:widowControl w:val="0"/>
        <w:autoSpaceDE w:val="0"/>
        <w:autoSpaceDN w:val="0"/>
        <w:bidi/>
        <w:adjustRightInd w:val="0"/>
        <w:rPr>
          <w:rFonts w:ascii="Simplified Arabic" w:hAnsi="Simplified Arabic" w:cs="Simplified Arabic"/>
        </w:rPr>
      </w:pPr>
    </w:p>
    <w:p w:rsidR="00810BAC" w:rsidRPr="00FF3102" w:rsidRDefault="00810BAC" w:rsidP="00810BAC">
      <w:pPr>
        <w:widowControl w:val="0"/>
        <w:autoSpaceDE w:val="0"/>
        <w:autoSpaceDN w:val="0"/>
        <w:bidi/>
        <w:adjustRightInd w:val="0"/>
        <w:rPr>
          <w:rFonts w:ascii="Simplified Arabic" w:hAnsi="Simplified Arabic" w:cs="Simplified Arabic"/>
        </w:rPr>
      </w:pPr>
    </w:p>
    <w:p w:rsidR="00810BAC" w:rsidRPr="00FF3102" w:rsidRDefault="00810BAC" w:rsidP="00810BAC">
      <w:pPr>
        <w:widowControl w:val="0"/>
        <w:autoSpaceDE w:val="0"/>
        <w:autoSpaceDN w:val="0"/>
        <w:bidi/>
        <w:adjustRightInd w:val="0"/>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p w:rsidR="00810BAC" w:rsidRPr="00FF3102" w:rsidRDefault="00810BAC" w:rsidP="00810BAC">
      <w:pPr>
        <w:bidi/>
        <w:ind w:left="360"/>
        <w:outlineLvl w:val="5"/>
        <w:rPr>
          <w:rFonts w:ascii="Simplified Arabic" w:hAnsi="Simplified Arabic" w:cs="Simplified Arabic"/>
          <w:b/>
        </w:rPr>
      </w:pPr>
    </w:p>
    <w:tbl>
      <w:tblPr>
        <w:bidiVisual/>
        <w:tblW w:w="10998"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3.5 لإطار الشراكة الإستراتيجية: التوسع في توصيل الغاز الطبيعي إلى المنازل</w:t>
            </w:r>
          </w:p>
        </w:tc>
      </w:tr>
      <w:tr w:rsidR="00810BAC" w:rsidRPr="00FF3102">
        <w:trPr>
          <w:cantSplit/>
          <w:trHeight w:val="20"/>
        </w:trPr>
        <w:tc>
          <w:tcPr>
            <w:tcW w:w="5778" w:type="dxa"/>
            <w:gridSpan w:val="2"/>
          </w:tcPr>
          <w:p w:rsidR="00810BAC" w:rsidRPr="00FF3102" w:rsidRDefault="00810BAC" w:rsidP="00810BAC">
            <w:pPr>
              <w:bidi/>
              <w:spacing w:before="60"/>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تفتقر الأسر إلى مصدر مأمون ويُعوَّل عليه للطاقة من أجل الطهي، وظهرت حالات نقص في إمدادات غاز البترول المسال خلال السنوات الثلاث الماضية.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النساء يتضررن كثيرا بوجه خاص من نقص الغاز، لأنه يتعيَّن عليهن التعامل مع شبكة توزيع تفتقر إلى الكفاءة، ومواجهة النقص المزمن في المعروض، ودفع أسعار السوق غير الرسمية التي تنطوي في الغالب على فروق فادحة.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دعم الوقود بما في ذلك الدعم المرتبط بغاز البترول المسال للاستخدام المنزلي سبب رئيسي للعجز الكبير في الموازنة العامة.</w:t>
            </w:r>
          </w:p>
        </w:tc>
        <w:tc>
          <w:tcPr>
            <w:tcW w:w="5220" w:type="dxa"/>
          </w:tcPr>
          <w:p w:rsidR="00810BAC" w:rsidRPr="00FF3102" w:rsidRDefault="00810BAC" w:rsidP="00810BAC">
            <w:pPr>
              <w:bidi/>
              <w:spacing w:before="60"/>
              <w:outlineLvl w:val="7"/>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الاستثمار في زيادة المعروض من الغاز المنزلي، أو استهداف المناطق التي تعاني حاليا نقص إمدادات غاز الطهي أو تُضطر فيها الأسر إلى دفع أسعار مرتفعة بدرجة مفرطة.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إصلاح القطاع لاسيما فيما يتصل بتنظيم القطاع واستجابة المستهلكين.</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مساندة خفض النفقات الحكومية المتصلة بدعم الوقود من خلال التحول من استخدام غاز البترول المسال إلى الغاز الطبيعي.</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13457"/>
        </w:trPr>
        <w:tc>
          <w:tcPr>
            <w:tcW w:w="2889" w:type="dxa"/>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3.5.1 عدد الأسر التي تم ربطها بشبكات الغاز الطبيعي في إطار البرنامج</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1.5 مليون (2019)</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3.5.2 مضاعفة عدد الأسر الفقيرة المرتبطة بشبكات الغاز الطبيعي</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300 ألف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600 ألف (2019)</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3.5.2 نسبة النساء بين المستفيدين من مشروع توصيلات الغاز للمنازل</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خط الأساس: صفر</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50% (2019)</w:t>
            </w:r>
          </w:p>
        </w:tc>
        <w:tc>
          <w:tcPr>
            <w:tcW w:w="2889" w:type="dxa"/>
          </w:tcPr>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مد 4500 كيلومتر من شبكات توزيع الغاز الجديدة للمنازل في المناطق المستهدفة بحلول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وضع خطة إدارة الشؤون المالية ونُظُم الإبلاغ للمشروعات المستهدفة المملوكة للدولة</w:t>
            </w: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بحلول عام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lang w:val="fr-FR"/>
              </w:rPr>
            </w:pPr>
            <w:r w:rsidRPr="00FF3102">
              <w:rPr>
                <w:rFonts w:ascii="Simplified Arabic" w:eastAsiaTheme="minorEastAsia" w:hAnsi="Simplified Arabic" w:cs="Simplified Arabic"/>
                <w:iCs/>
                <w:rtl/>
              </w:rPr>
              <w:t>الوفورات السنوية للحكومة من خفض واردات غاز البترول المسال نتيجة لتناقص استهلاك هذا الغاز في مناطق المشروع المستهدفة</w:t>
            </w:r>
            <w:r w:rsidRPr="00FF3102">
              <w:rPr>
                <w:rFonts w:ascii="Simplified Arabic" w:eastAsiaTheme="minorEastAsia" w:hAnsi="Simplified Arabic" w:cs="Simplified Arabic"/>
                <w:i/>
              </w:rPr>
              <w:t xml:space="preserve"> </w:t>
            </w:r>
            <w:r w:rsidRPr="00FF3102">
              <w:rPr>
                <w:rFonts w:ascii="Simplified Arabic" w:eastAsiaTheme="minorEastAsia" w:hAnsi="Simplified Arabic" w:cs="Simplified Arabic"/>
                <w:iCs/>
                <w:rtl/>
              </w:rPr>
              <w:t>(بالجنيه المصري)</w:t>
            </w:r>
          </w:p>
          <w:p w:rsidR="00810BAC" w:rsidRPr="00FF3102" w:rsidRDefault="00810BAC" w:rsidP="00810BAC">
            <w:pPr>
              <w:bidi/>
              <w:rPr>
                <w:rFonts w:ascii="Simplified Arabic" w:eastAsiaTheme="minorEastAsia" w:hAnsi="Simplified Arabic" w:cs="Simplified Arabic"/>
                <w:lang w:val="fr-FR"/>
              </w:rPr>
            </w:pPr>
            <w:r w:rsidRPr="00FF3102">
              <w:rPr>
                <w:rFonts w:ascii="Simplified Arabic" w:eastAsiaTheme="minorEastAsia" w:hAnsi="Simplified Arabic" w:cs="Simplified Arabic"/>
                <w:iCs/>
                <w:rtl/>
              </w:rPr>
              <w:t>خط الأساس: صفر (2014)</w:t>
            </w:r>
          </w:p>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298 مليون جنيه (2018)</w:t>
            </w:r>
          </w:p>
        </w:tc>
        <w:tc>
          <w:tcPr>
            <w:tcW w:w="5220" w:type="dxa"/>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مشروعات جارية:</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مشروعات توصيلات الغاز الطبيعي للمنازل (البنك الدولي للإنشاء والتعمير- 500 مليون دولار)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إصلاح قطاع الطاقة وشبكات الأمان الاجتماعي من صندوق التحوُّل (مساعدة فنية من البنك الدولي للإنشاء والتعمير)</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تغطية ضمانية لمشروع أباتشي إنرجي لتطوير النفط والغاز (الوكالة الدولية لضمان الاستثمار)</w:t>
            </w:r>
          </w:p>
          <w:p w:rsidR="00810BAC" w:rsidRPr="00FF3102" w:rsidRDefault="00810BAC" w:rsidP="00810BAC">
            <w:pPr>
              <w:tabs>
                <w:tab w:val="left" w:pos="252"/>
              </w:tabs>
              <w:bidi/>
              <w:rPr>
                <w:rFonts w:ascii="Simplified Arabic" w:hAnsi="Simplified Arabic" w:cs="Simplified Arabic"/>
                <w:u w:val="single"/>
              </w:rPr>
            </w:pPr>
          </w:p>
          <w:p w:rsidR="00810BAC" w:rsidRPr="00FF3102" w:rsidRDefault="00810BAC" w:rsidP="00810BAC">
            <w:pPr>
              <w:tabs>
                <w:tab w:val="left" w:pos="252"/>
              </w:tabs>
              <w:bidi/>
              <w:rPr>
                <w:rFonts w:ascii="Simplified Arabic" w:eastAsiaTheme="minorEastAsia" w:hAnsi="Simplified Arabic" w:cs="Simplified Arabic"/>
                <w:u w:val="single"/>
                <w:lang w:val="fr-FR"/>
              </w:rPr>
            </w:pPr>
            <w:r w:rsidRPr="00FF3102">
              <w:rPr>
                <w:rFonts w:ascii="Simplified Arabic" w:eastAsiaTheme="minorEastAsia" w:hAnsi="Simplified Arabic" w:cs="Simplified Arabic"/>
                <w:u w:val="single"/>
                <w:rtl/>
              </w:rPr>
              <w:t xml:space="preserve">الخدمات التحليلية والاستشارية: </w:t>
            </w:r>
          </w:p>
          <w:p w:rsidR="00810BAC" w:rsidRPr="00FF3102" w:rsidRDefault="00810BAC" w:rsidP="00810BAC">
            <w:pPr>
              <w:tabs>
                <w:tab w:val="left" w:pos="252"/>
              </w:tabs>
              <w:bidi/>
              <w:rPr>
                <w:rFonts w:ascii="Simplified Arabic" w:eastAsiaTheme="minorEastAsia" w:hAnsi="Simplified Arabic" w:cs="Simplified Arabic"/>
                <w:lang w:val="fr-FR"/>
              </w:rPr>
            </w:pPr>
            <w:r w:rsidRPr="00FF3102">
              <w:rPr>
                <w:rFonts w:ascii="Simplified Arabic" w:eastAsiaTheme="minorEastAsia" w:hAnsi="Simplified Arabic" w:cs="Simplified Arabic"/>
                <w:rtl/>
              </w:rPr>
              <w:t>المساعدة الفنية البرامجية-الحوار بشأن الطاقة (البنك الدولي للإنشاء والتعمير)</w:t>
            </w:r>
          </w:p>
          <w:p w:rsidR="00810BAC" w:rsidRPr="00FF3102" w:rsidRDefault="00810BAC" w:rsidP="00810BAC">
            <w:pPr>
              <w:tabs>
                <w:tab w:val="left" w:pos="252"/>
              </w:tabs>
              <w:bidi/>
              <w:rPr>
                <w:rFonts w:ascii="Simplified Arabic" w:hAnsi="Simplified Arabic" w:cs="Simplified Arabic"/>
                <w:lang w:val="fr-FR"/>
              </w:rPr>
            </w:pPr>
          </w:p>
        </w:tc>
      </w:tr>
    </w:tbl>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مجال التركيز 3: الاحتواء الاجتماعي</w:t>
      </w:r>
    </w:p>
    <w:tbl>
      <w:tblPr>
        <w:tblpPr w:leftFromText="180" w:rightFromText="180" w:vertAnchor="text" w:horzAnchor="margin" w:tblpXSpec="center" w:tblpY="116"/>
        <w:bidiVisual/>
        <w:tblW w:w="10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89"/>
        <w:gridCol w:w="2889"/>
        <w:gridCol w:w="5220"/>
      </w:tblGrid>
      <w:tr w:rsidR="00810BAC" w:rsidRPr="00FF3102">
        <w:trPr>
          <w:cantSplit/>
          <w:trHeight w:val="20"/>
        </w:trPr>
        <w:tc>
          <w:tcPr>
            <w:tcW w:w="10998" w:type="dxa"/>
            <w:gridSpan w:val="3"/>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الهدف 3.6 لإطار الشراكة الإستراتيجية: تحسين حوكمة قطاع التعليم</w:t>
            </w:r>
          </w:p>
        </w:tc>
      </w:tr>
      <w:tr w:rsidR="00810BAC" w:rsidRPr="00FF3102">
        <w:trPr>
          <w:cantSplit/>
          <w:trHeight w:val="20"/>
        </w:trPr>
        <w:tc>
          <w:tcPr>
            <w:tcW w:w="5778" w:type="dxa"/>
            <w:gridSpan w:val="2"/>
          </w:tcPr>
          <w:p w:rsidR="00810BAC" w:rsidRPr="00FF3102" w:rsidRDefault="00810BAC" w:rsidP="00810BAC">
            <w:pPr>
              <w:bidi/>
              <w:spacing w:before="60"/>
              <w:jc w:val="both"/>
              <w:outlineLvl w:val="7"/>
              <w:rPr>
                <w:rFonts w:ascii="Simplified Arabic" w:eastAsiaTheme="minorEastAsia" w:hAnsi="Simplified Arabic" w:cs="Simplified Arabic"/>
                <w:b/>
              </w:rPr>
            </w:pPr>
            <w:r w:rsidRPr="00FF3102">
              <w:rPr>
                <w:rFonts w:ascii="Simplified Arabic" w:eastAsiaTheme="minorEastAsia" w:hAnsi="Simplified Arabic" w:cs="Simplified Arabic"/>
                <w:bCs/>
                <w:rtl/>
              </w:rPr>
              <w:t xml:space="preserve">التحديات: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يتسم النظام التعليمي بالتفاوتات في جودة وكمية الخدمات التعليمية</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تفتُّت عملية وضع السياسات والافتقار إلى الوضوح في التمويل وأدوار الإدارة والمسؤوليات.</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ندرة العمالة الماهرة.</w:t>
            </w:r>
          </w:p>
        </w:tc>
        <w:tc>
          <w:tcPr>
            <w:tcW w:w="5220" w:type="dxa"/>
          </w:tcPr>
          <w:p w:rsidR="00810BAC" w:rsidRPr="00FF3102" w:rsidRDefault="00810BAC" w:rsidP="00810BAC">
            <w:pPr>
              <w:bidi/>
              <w:spacing w:before="60"/>
              <w:outlineLvl w:val="7"/>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الحلول التي تساندها مجموعة البنك الدولي: </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مساعدة فنية برامجية لإثراء عملية مقترحة للبنك الدولي للإنشاء والتعمير تتعلق بالتمويل وضبط الجودة للتعليم العالي.</w:t>
            </w:r>
          </w:p>
          <w:p w:rsidR="00810BAC" w:rsidRPr="00FF3102" w:rsidRDefault="00810BAC" w:rsidP="001E71BE">
            <w:pPr>
              <w:numPr>
                <w:ilvl w:val="0"/>
                <w:numId w:val="24"/>
              </w:numPr>
              <w:bidi/>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تشجيع مبادرات إقليمية تهدف إلى تحسين الجودة والمساءلة في النظام التعليمي (مبادرة التعليم من أجل التنافسية)</w:t>
            </w:r>
          </w:p>
        </w:tc>
      </w:tr>
      <w:tr w:rsidR="00810BAC" w:rsidRPr="00FF3102">
        <w:trPr>
          <w:cantSplit/>
          <w:trHeight w:val="20"/>
        </w:trPr>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إطار الشراكة الإستراتيجية (2018)</w:t>
            </w:r>
          </w:p>
        </w:tc>
        <w:tc>
          <w:tcPr>
            <w:tcW w:w="2889"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مُؤشِّرات التقدم المُحرَز التكميلية (2016)</w:t>
            </w:r>
          </w:p>
        </w:tc>
        <w:tc>
          <w:tcPr>
            <w:tcW w:w="5220" w:type="dxa"/>
            <w:shd w:val="clear" w:color="auto" w:fill="DBE5F1"/>
          </w:tcPr>
          <w:p w:rsidR="00810BAC" w:rsidRPr="00FF3102" w:rsidRDefault="00810BAC" w:rsidP="00810BAC">
            <w:pPr>
              <w:bidi/>
              <w:ind w:left="360"/>
              <w:outlineLvl w:val="5"/>
              <w:rPr>
                <w:rFonts w:ascii="Simplified Arabic" w:eastAsiaTheme="minorEastAsia" w:hAnsi="Simplified Arabic" w:cs="Simplified Arabic"/>
              </w:rPr>
            </w:pPr>
            <w:r w:rsidRPr="00FF3102">
              <w:rPr>
                <w:rFonts w:ascii="Simplified Arabic" w:eastAsiaTheme="minorEastAsia" w:hAnsi="Simplified Arabic" w:cs="Simplified Arabic"/>
                <w:bCs/>
                <w:rtl/>
              </w:rPr>
              <w:t>برنامج مجموعة البنك الدولي</w:t>
            </w:r>
          </w:p>
        </w:tc>
      </w:tr>
      <w:tr w:rsidR="00810BAC" w:rsidRPr="00FF3102">
        <w:trPr>
          <w:cantSplit/>
          <w:trHeight w:val="20"/>
        </w:trPr>
        <w:tc>
          <w:tcPr>
            <w:tcW w:w="2889" w:type="dxa"/>
          </w:tcPr>
          <w:p w:rsidR="00810BAC" w:rsidRPr="00FF3102" w:rsidRDefault="00810BAC" w:rsidP="00810BAC">
            <w:pPr>
              <w:bidi/>
              <w:jc w:val="right"/>
              <w:rPr>
                <w:rFonts w:ascii="Simplified Arabic" w:hAnsi="Simplified Arabic" w:cs="Simplified Arabic"/>
                <w:i/>
              </w:rPr>
            </w:pPr>
            <w:r w:rsidRPr="00FF3102">
              <w:rPr>
                <w:rFonts w:ascii="Simplified Arabic" w:hAnsi="Simplified Arabic" w:cs="Simplified Arabic"/>
                <w:i/>
              </w:rPr>
              <w:t>3.6.1</w:t>
            </w:r>
          </w:p>
          <w:p w:rsidR="00810BAC" w:rsidRPr="00FF3102" w:rsidRDefault="00810BAC" w:rsidP="00810BAC">
            <w:pPr>
              <w:bidi/>
              <w:jc w:val="right"/>
              <w:rPr>
                <w:rFonts w:ascii="Simplified Arabic" w:eastAsiaTheme="minorEastAsia" w:hAnsi="Simplified Arabic" w:cs="Simplified Arabic"/>
              </w:rPr>
            </w:pPr>
            <w:r w:rsidRPr="00FF3102">
              <w:rPr>
                <w:rFonts w:ascii="Simplified Arabic" w:eastAsiaTheme="minorEastAsia" w:hAnsi="Simplified Arabic" w:cs="Simplified Arabic"/>
                <w:iCs/>
                <w:rtl/>
              </w:rPr>
              <w:t xml:space="preserve"> وضع تشخيص دقيق وخطة عملية لتحسين حوكمة النظام التعليمي</w:t>
            </w:r>
            <w:r w:rsidRPr="00FF3102">
              <w:rPr>
                <w:rFonts w:ascii="Simplified Arabic" w:eastAsiaTheme="minorEastAsia" w:hAnsi="Simplified Arabic" w:cs="Simplified Arabic"/>
                <w:i/>
              </w:rPr>
              <w:t xml:space="preserve"> </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3.6.2 إصدار قانون التعليم العالي وإستراتيجية التعليم العالي وفقا للممارسات الدولية الجيدة</w:t>
            </w:r>
          </w:p>
          <w:p w:rsidR="00810BAC" w:rsidRPr="00FF3102" w:rsidRDefault="00810BAC" w:rsidP="00810BAC">
            <w:pPr>
              <w:keepNext/>
              <w:keepLines/>
              <w:bidi/>
              <w:outlineLvl w:val="0"/>
              <w:rPr>
                <w:rFonts w:ascii="Simplified Arabic" w:eastAsiaTheme="minorEastAsia" w:hAnsi="Simplified Arabic" w:cs="Simplified Arabic"/>
                <w:i/>
              </w:rPr>
            </w:pPr>
            <w:r w:rsidRPr="00FF3102">
              <w:rPr>
                <w:rFonts w:ascii="Simplified Arabic" w:eastAsiaTheme="minorEastAsia" w:hAnsi="Simplified Arabic" w:cs="Simplified Arabic"/>
                <w:iCs/>
                <w:rtl/>
              </w:rPr>
              <w:t>خط الأساس: صفر (2015)</w:t>
            </w:r>
          </w:p>
          <w:p w:rsidR="00810BAC" w:rsidRPr="00FF3102" w:rsidRDefault="00810BAC" w:rsidP="00810BAC">
            <w:pPr>
              <w:keepNext/>
              <w:keepLines/>
              <w:bidi/>
              <w:outlineLvl w:val="0"/>
              <w:rPr>
                <w:rFonts w:ascii="Simplified Arabic" w:eastAsiaTheme="minorEastAsia" w:hAnsi="Simplified Arabic" w:cs="Simplified Arabic"/>
              </w:rPr>
            </w:pPr>
            <w:r w:rsidRPr="00FF3102">
              <w:rPr>
                <w:rFonts w:ascii="Simplified Arabic" w:eastAsiaTheme="minorEastAsia" w:hAnsi="Simplified Arabic" w:cs="Simplified Arabic"/>
                <w:iCs/>
                <w:rtl/>
              </w:rPr>
              <w:t>المستهدف: 1 (2018)</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p w:rsidR="00810BAC" w:rsidRPr="00FF3102" w:rsidRDefault="00810BAC" w:rsidP="00810BAC">
            <w:pPr>
              <w:keepNext/>
              <w:keepLines/>
              <w:bidi/>
              <w:outlineLvl w:val="0"/>
              <w:rPr>
                <w:rFonts w:ascii="Simplified Arabic" w:hAnsi="Simplified Arabic" w:cs="Simplified Arabic"/>
                <w:b/>
                <w:i/>
                <w:smallCaps/>
              </w:rPr>
            </w:pPr>
          </w:p>
          <w:p w:rsidR="00810BAC" w:rsidRPr="00FF3102" w:rsidRDefault="00810BAC" w:rsidP="00810BAC">
            <w:pPr>
              <w:keepNext/>
              <w:keepLines/>
              <w:bidi/>
              <w:outlineLvl w:val="0"/>
              <w:rPr>
                <w:rFonts w:ascii="Simplified Arabic" w:hAnsi="Simplified Arabic" w:cs="Simplified Arabic"/>
                <w:b/>
                <w:i/>
                <w:smallCaps/>
              </w:rPr>
            </w:pPr>
          </w:p>
          <w:p w:rsidR="00810BAC" w:rsidRPr="00FF3102" w:rsidRDefault="00810BAC" w:rsidP="00810BAC">
            <w:pPr>
              <w:keepNext/>
              <w:keepLines/>
              <w:bidi/>
              <w:outlineLvl w:val="0"/>
              <w:rPr>
                <w:rFonts w:ascii="Simplified Arabic" w:hAnsi="Simplified Arabic" w:cs="Simplified Arabic"/>
                <w:b/>
                <w:i/>
                <w:smallCaps/>
              </w:rPr>
            </w:pPr>
          </w:p>
        </w:tc>
        <w:tc>
          <w:tcPr>
            <w:tcW w:w="2889" w:type="dxa"/>
          </w:tcPr>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اكتمال مبادرة نهج النظم من أجل تحسين نتائج التعليم – نظام إدارة معلومات التعليم (</w:t>
            </w:r>
            <w:r w:rsidRPr="00FF3102">
              <w:rPr>
                <w:rFonts w:ascii="Simplified Arabic" w:eastAsiaTheme="minorEastAsia" w:hAnsi="Simplified Arabic" w:cs="Simplified Arabic"/>
                <w:iCs/>
              </w:rPr>
              <w:t>SABER – EMIS</w:t>
            </w:r>
            <w:r w:rsidRPr="00FF3102">
              <w:rPr>
                <w:rFonts w:ascii="Simplified Arabic" w:eastAsiaTheme="minorEastAsia" w:hAnsi="Simplified Arabic" w:cs="Simplified Arabic"/>
                <w:iCs/>
                <w:rtl/>
              </w:rPr>
              <w:t>)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ستُقدِّم مبادرة نهج النظم من أجل تحسين نتائج التعليم – نظام إدارة معلومات التعليم تشخيصا دقيقا وخطة عملية من أجل تحسين تبادل المعلومات والمساءلة على مستوى المدرسة.</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مُذكِّرات السياسات لمساندة وضع الصيغة النهائية لإستراتيجية التعليم العالي وقانون التعليم العالي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خطة عمل لصندوق تطوير التعليم استنادا إلى تقييم الحوكمة (2016)</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eastAsiaTheme="minorEastAsia" w:hAnsi="Simplified Arabic" w:cs="Simplified Arabic"/>
                <w:i/>
              </w:rPr>
            </w:pPr>
            <w:r w:rsidRPr="00FF3102">
              <w:rPr>
                <w:rFonts w:ascii="Simplified Arabic" w:eastAsiaTheme="minorEastAsia" w:hAnsi="Simplified Arabic" w:cs="Simplified Arabic"/>
                <w:iCs/>
                <w:rtl/>
              </w:rPr>
              <w:t>دليل الإجراءات من أجل تحسين المساءلة في وضع الميزانيات على مستوى المدارس</w:t>
            </w:r>
          </w:p>
          <w:p w:rsidR="00810BAC" w:rsidRPr="00FF3102" w:rsidRDefault="00810BAC" w:rsidP="00810BAC">
            <w:pPr>
              <w:bidi/>
              <w:rPr>
                <w:rFonts w:ascii="Simplified Arabic" w:hAnsi="Simplified Arabic" w:cs="Simplified Arabic"/>
                <w:i/>
              </w:rPr>
            </w:pPr>
          </w:p>
          <w:p w:rsidR="00810BAC" w:rsidRPr="00FF3102" w:rsidRDefault="00810BAC" w:rsidP="00810BAC">
            <w:pPr>
              <w:bidi/>
              <w:rPr>
                <w:rFonts w:ascii="Simplified Arabic" w:hAnsi="Simplified Arabic" w:cs="Simplified Arabic"/>
                <w:i/>
              </w:rPr>
            </w:pPr>
          </w:p>
        </w:tc>
        <w:tc>
          <w:tcPr>
            <w:tcW w:w="5220" w:type="dxa"/>
          </w:tcPr>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مشروع تحديث مهارات التعليم (البنك الدولي للإنشاء والتعمير)</w:t>
            </w:r>
          </w:p>
          <w:p w:rsidR="00810BAC" w:rsidRPr="00FF3102" w:rsidRDefault="00810BAC" w:rsidP="00810BAC">
            <w:pPr>
              <w:tabs>
                <w:tab w:val="left" w:pos="252"/>
              </w:tabs>
              <w:bidi/>
              <w:rPr>
                <w:rFonts w:ascii="Simplified Arabic" w:hAnsi="Simplified Arabic" w:cs="Simplified Arabic"/>
              </w:rPr>
            </w:pPr>
          </w:p>
          <w:p w:rsidR="00810BAC" w:rsidRPr="00FF3102" w:rsidRDefault="00810BAC" w:rsidP="00810BAC">
            <w:pPr>
              <w:tabs>
                <w:tab w:val="left" w:pos="252"/>
              </w:tabs>
              <w:bidi/>
              <w:rPr>
                <w:rFonts w:ascii="Simplified Arabic" w:eastAsiaTheme="minorEastAsia" w:hAnsi="Simplified Arabic" w:cs="Simplified Arabic"/>
                <w:u w:val="single"/>
              </w:rPr>
            </w:pPr>
            <w:r w:rsidRPr="00FF3102">
              <w:rPr>
                <w:rFonts w:ascii="Simplified Arabic" w:eastAsiaTheme="minorEastAsia" w:hAnsi="Simplified Arabic" w:cs="Simplified Arabic"/>
                <w:u w:val="single"/>
                <w:rtl/>
              </w:rPr>
              <w:t xml:space="preserve">جديدة: </w:t>
            </w:r>
          </w:p>
          <w:p w:rsidR="00810BAC" w:rsidRPr="00FF3102" w:rsidRDefault="00810BAC" w:rsidP="00810BAC">
            <w:pPr>
              <w:tabs>
                <w:tab w:val="left" w:pos="252"/>
              </w:tabs>
              <w:bidi/>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مساعدة فنية برامجية بشأن: </w:t>
            </w:r>
          </w:p>
          <w:p w:rsidR="00810BAC" w:rsidRPr="00FF3102" w:rsidRDefault="00810BAC" w:rsidP="001E71BE">
            <w:pPr>
              <w:numPr>
                <w:ilvl w:val="0"/>
                <w:numId w:val="34"/>
              </w:numPr>
              <w:tabs>
                <w:tab w:val="left" w:pos="252"/>
              </w:tabs>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إصلاح ميزانية قطاع التعليم</w:t>
            </w:r>
          </w:p>
          <w:p w:rsidR="00810BAC" w:rsidRPr="00FF3102" w:rsidRDefault="00810BAC" w:rsidP="001E71BE">
            <w:pPr>
              <w:numPr>
                <w:ilvl w:val="0"/>
                <w:numId w:val="34"/>
              </w:numPr>
              <w:tabs>
                <w:tab w:val="left" w:pos="252"/>
              </w:tabs>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نظام إدارة معلومات التعليم</w:t>
            </w:r>
          </w:p>
          <w:p w:rsidR="00810BAC" w:rsidRPr="00FF3102" w:rsidRDefault="00810BAC" w:rsidP="001E71BE">
            <w:pPr>
              <w:numPr>
                <w:ilvl w:val="0"/>
                <w:numId w:val="34"/>
              </w:numPr>
              <w:tabs>
                <w:tab w:val="left" w:pos="252"/>
              </w:tabs>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إصلاح السياسة المتصلة بإعداد المدرسين</w:t>
            </w:r>
          </w:p>
          <w:p w:rsidR="00810BAC" w:rsidRPr="00FF3102" w:rsidRDefault="00810BAC" w:rsidP="001E71BE">
            <w:pPr>
              <w:numPr>
                <w:ilvl w:val="0"/>
                <w:numId w:val="34"/>
              </w:numPr>
              <w:tabs>
                <w:tab w:val="left" w:pos="252"/>
              </w:tabs>
              <w:bidi/>
              <w:jc w:val="both"/>
              <w:rPr>
                <w:rFonts w:ascii="Simplified Arabic" w:eastAsiaTheme="minorEastAsia" w:hAnsi="Simplified Arabic" w:cs="Simplified Arabic"/>
              </w:rPr>
            </w:pPr>
            <w:r w:rsidRPr="00FF3102">
              <w:rPr>
                <w:rFonts w:ascii="Simplified Arabic" w:eastAsiaTheme="minorEastAsia" w:hAnsi="Simplified Arabic" w:cs="Simplified Arabic"/>
                <w:rtl/>
              </w:rPr>
              <w:t>التعليم العالي: تمويل وضمان الجودة في الجامعات</w:t>
            </w:r>
          </w:p>
          <w:p w:rsidR="00810BAC" w:rsidRPr="00FF3102" w:rsidRDefault="00810BAC" w:rsidP="00810BAC">
            <w:pPr>
              <w:tabs>
                <w:tab w:val="left" w:pos="252"/>
              </w:tabs>
              <w:bidi/>
              <w:rPr>
                <w:rFonts w:ascii="Simplified Arabic" w:hAnsi="Simplified Arabic" w:cs="Simplified Arabic"/>
              </w:rPr>
            </w:pPr>
          </w:p>
        </w:tc>
      </w:tr>
    </w:tbl>
    <w:p w:rsidR="00810BAC" w:rsidRPr="00FF3102" w:rsidRDefault="00810BAC" w:rsidP="00810BAC">
      <w:pPr>
        <w:bidi/>
        <w:ind w:left="360"/>
        <w:outlineLvl w:val="5"/>
        <w:rPr>
          <w:rFonts w:ascii="Simplified Arabic" w:hAnsi="Simplified Arabic" w:cs="Simplified Arabic"/>
          <w:b/>
        </w:rPr>
      </w:pPr>
    </w:p>
    <w:p w:rsidR="00810BAC" w:rsidRPr="00FF3102" w:rsidRDefault="00810BAC" w:rsidP="00810BAC">
      <w:pPr>
        <w:pStyle w:val="Heading2Annexes"/>
        <w:bidi/>
        <w:jc w:val="left"/>
        <w:rPr>
          <w:rFonts w:ascii="Simplified Arabic" w:hAnsi="Simplified Arabic" w:cs="Simplified Arabic"/>
          <w:bCs w:val="0"/>
          <w:i/>
          <w:iCs w:val="0"/>
          <w:szCs w:val="24"/>
          <w:u w:color="000000"/>
        </w:rPr>
      </w:pPr>
    </w:p>
    <w:p w:rsidR="00810BAC" w:rsidRPr="00FF3102" w:rsidRDefault="00810BAC" w:rsidP="00810BAC">
      <w:pPr>
        <w:bidi/>
        <w:rPr>
          <w:rFonts w:ascii="Simplified Arabic" w:hAnsi="Simplified Arabic" w:cs="Simplified Arabic"/>
          <w:b/>
          <w:i/>
          <w:smallCaps/>
          <w:u w:color="000000"/>
        </w:rPr>
      </w:pPr>
      <w:r w:rsidRPr="00FF3102">
        <w:rPr>
          <w:rFonts w:ascii="Simplified Arabic" w:hAnsi="Simplified Arabic" w:cs="Simplified Arabic"/>
          <w:u w:color="000000"/>
        </w:rPr>
        <w:br w:type="page"/>
      </w:r>
    </w:p>
    <w:p w:rsidR="00810BAC" w:rsidRPr="00FF3102" w:rsidRDefault="00810BAC" w:rsidP="00A3197D">
      <w:pPr>
        <w:pStyle w:val="Annex"/>
        <w:rPr>
          <w:szCs w:val="20"/>
        </w:rPr>
      </w:pPr>
      <w:bookmarkStart w:id="923" w:name="_Toc439184188"/>
      <w:bookmarkStart w:id="924" w:name="_Toc439184800"/>
      <w:r w:rsidRPr="00FF3102">
        <w:rPr>
          <w:u w:color="000000"/>
          <w:rtl/>
        </w:rPr>
        <w:t>الملحق 2: استعراض الإنجاز والتعلُّم</w:t>
      </w:r>
      <w:bookmarkEnd w:id="923"/>
      <w:bookmarkEnd w:id="924"/>
    </w:p>
    <w:p w:rsidR="00810BAC" w:rsidRDefault="00810BAC" w:rsidP="00810BAC">
      <w:pPr>
        <w:autoSpaceDE w:val="0"/>
        <w:autoSpaceDN w:val="0"/>
        <w:bidi/>
        <w:adjustRightInd w:val="0"/>
        <w:rPr>
          <w:rFonts w:ascii="Simplified Arabic" w:eastAsia="SimSun" w:hAnsi="Simplified Arabic" w:cs="Simplified Arabic"/>
          <w:b/>
          <w:color w:val="000000"/>
          <w:rtl/>
        </w:rPr>
      </w:pPr>
    </w:p>
    <w:p w:rsidR="00132A21" w:rsidRDefault="00132A21" w:rsidP="00132A21">
      <w:pPr>
        <w:autoSpaceDE w:val="0"/>
        <w:autoSpaceDN w:val="0"/>
        <w:bidi/>
        <w:adjustRightInd w:val="0"/>
        <w:rPr>
          <w:rFonts w:ascii="Simplified Arabic" w:eastAsia="SimSun" w:hAnsi="Simplified Arabic" w:cs="Simplified Arabic"/>
          <w:b/>
          <w:color w:val="000000"/>
          <w:rtl/>
        </w:rPr>
      </w:pPr>
    </w:p>
    <w:p w:rsidR="00132A21" w:rsidRDefault="00132A21" w:rsidP="00132A21">
      <w:pPr>
        <w:autoSpaceDE w:val="0"/>
        <w:autoSpaceDN w:val="0"/>
        <w:bidi/>
        <w:adjustRightInd w:val="0"/>
        <w:rPr>
          <w:rFonts w:ascii="Simplified Arabic" w:eastAsia="SimSun" w:hAnsi="Simplified Arabic" w:cs="Simplified Arabic"/>
          <w:b/>
          <w:color w:val="000000"/>
          <w:rtl/>
        </w:rPr>
      </w:pPr>
    </w:p>
    <w:p w:rsidR="00132A21" w:rsidRPr="00FF3102" w:rsidRDefault="00132A21" w:rsidP="00132A21">
      <w:pPr>
        <w:autoSpaceDE w:val="0"/>
        <w:autoSpaceDN w:val="0"/>
        <w:bidi/>
        <w:adjustRightInd w:val="0"/>
        <w:rPr>
          <w:rFonts w:ascii="Simplified Arabic" w:eastAsia="SimSun" w:hAnsi="Simplified Arabic" w:cs="Simplified Arabic"/>
          <w:b/>
          <w:color w:val="000000"/>
        </w:rPr>
      </w:pPr>
    </w:p>
    <w:p w:rsidR="00810BAC" w:rsidRPr="00FF3102" w:rsidRDefault="00810BAC" w:rsidP="00810BAC">
      <w:pPr>
        <w:keepNext/>
        <w:keepLines/>
        <w:bidi/>
        <w:spacing w:before="300" w:after="240"/>
        <w:ind w:left="360"/>
        <w:jc w:val="center"/>
        <w:outlineLvl w:val="1"/>
        <w:rPr>
          <w:rFonts w:ascii="Simplified Arabic" w:eastAsiaTheme="minorEastAsia" w:hAnsi="Simplified Arabic" w:cs="Simplified Arabic"/>
          <w:b/>
          <w:i/>
          <w:smallCaps/>
          <w:sz w:val="36"/>
          <w:szCs w:val="36"/>
        </w:rPr>
      </w:pPr>
      <w:r w:rsidRPr="00FF3102">
        <w:rPr>
          <w:rFonts w:ascii="Simplified Arabic" w:eastAsiaTheme="minorEastAsia" w:hAnsi="Simplified Arabic" w:cs="Simplified Arabic"/>
          <w:bCs/>
          <w:i/>
          <w:smallCaps/>
          <w:sz w:val="36"/>
          <w:szCs w:val="36"/>
          <w:rtl/>
        </w:rPr>
        <w:t>جمهورية مصر العربية</w:t>
      </w:r>
    </w:p>
    <w:p w:rsidR="00810BAC" w:rsidRPr="00FF3102" w:rsidRDefault="00810BAC" w:rsidP="00810BAC">
      <w:pPr>
        <w:keepNext/>
        <w:keepLines/>
        <w:bidi/>
        <w:spacing w:before="300" w:after="240"/>
        <w:ind w:left="36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
          <w:sz w:val="36"/>
          <w:szCs w:val="36"/>
          <w:u w:color="000000"/>
          <w:rtl/>
        </w:rPr>
        <w:t xml:space="preserve"> استعراض الإنجاز والتعلُّم، السنوات المالية 2006-2014</w:t>
      </w:r>
    </w:p>
    <w:p w:rsidR="00810BAC" w:rsidRPr="00FF3102" w:rsidRDefault="00810BAC" w:rsidP="00810BAC">
      <w:pPr>
        <w:keepNext/>
        <w:keepLines/>
        <w:bidi/>
        <w:spacing w:before="300" w:after="240"/>
        <w:jc w:val="center"/>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58653D">
      <w:pPr>
        <w:keepNext/>
        <w:keepLines/>
        <w:bidi/>
        <w:spacing w:before="300" w:after="240"/>
        <w:jc w:val="center"/>
        <w:outlineLvl w:val="1"/>
        <w:rPr>
          <w:rFonts w:ascii="Simplified Arabic" w:hAnsi="Simplified Arabic" w:cs="Simplified Arabic"/>
          <w:b/>
          <w:i/>
          <w:smallCaps/>
        </w:rPr>
      </w:pPr>
    </w:p>
    <w:p w:rsidR="00810BAC" w:rsidRPr="00FF3102" w:rsidRDefault="00810BAC" w:rsidP="0058653D">
      <w:pPr>
        <w:keepNext/>
        <w:keepLines/>
        <w:bidi/>
        <w:spacing w:before="300" w:after="24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
          <w:smallCaps/>
          <w:rtl/>
        </w:rPr>
        <w:t>10 أكتوبر 2015</w:t>
      </w:r>
    </w:p>
    <w:p w:rsidR="00810BAC" w:rsidRPr="00FF3102" w:rsidRDefault="00810BAC" w:rsidP="0058653D">
      <w:pPr>
        <w:keepNext/>
        <w:keepLines/>
        <w:bidi/>
        <w:spacing w:before="300" w:after="24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
          <w:smallCaps/>
          <w:rtl/>
        </w:rPr>
        <w:t>إعداد: علياء حسين وبشرى محمد</w:t>
      </w:r>
    </w:p>
    <w:p w:rsidR="00810BAC" w:rsidRPr="00FF3102" w:rsidRDefault="00810BAC" w:rsidP="00810BAC">
      <w:pPr>
        <w:keepNext/>
        <w:keepLines/>
        <w:bidi/>
        <w:spacing w:before="300" w:after="240"/>
        <w:outlineLvl w:val="1"/>
        <w:rPr>
          <w:rFonts w:ascii="Simplified Arabic" w:hAnsi="Simplified Arabic" w:cs="Simplified Arabic"/>
          <w:b/>
          <w:i/>
          <w:smallCaps/>
        </w:rPr>
      </w:pPr>
    </w:p>
    <w:p w:rsidR="00810BAC" w:rsidRPr="00FF3102" w:rsidRDefault="00810BAC" w:rsidP="00810BAC">
      <w:pPr>
        <w:keepNext/>
        <w:keepLines/>
        <w:bidi/>
        <w:spacing w:before="300" w:after="240"/>
        <w:outlineLvl w:val="1"/>
        <w:rPr>
          <w:rFonts w:ascii="Simplified Arabic" w:hAnsi="Simplified Arabic" w:cs="Simplified Arabic"/>
          <w:b/>
          <w:i/>
          <w:smallCaps/>
        </w:rPr>
        <w:sectPr w:rsidR="00810BAC" w:rsidRPr="00FF3102">
          <w:footerReference w:type="default" r:id="rId36"/>
          <w:pgSz w:w="12240" w:h="15840"/>
          <w:pgMar w:top="1440" w:right="1440" w:bottom="1440" w:left="1440" w:header="720" w:footer="720" w:gutter="0"/>
          <w:cols w:space="720"/>
          <w:titlePg/>
          <w:docGrid w:linePitch="360"/>
        </w:sectPr>
      </w:pP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Cs/>
          <w:smallCaps/>
          <w:rtl/>
        </w:rPr>
        <w:t>مقدمـــــة</w:t>
      </w:r>
    </w:p>
    <w:p w:rsidR="00810BAC" w:rsidRPr="00FF3102" w:rsidRDefault="00810BAC" w:rsidP="00810BAC">
      <w:pPr>
        <w:bidi/>
        <w:spacing w:after="160"/>
        <w:contextualSpacing/>
        <w:rPr>
          <w:rFonts w:ascii="Simplified Arabic" w:hAnsi="Simplified Arabic" w:cs="Simplified Arabic"/>
        </w:rPr>
      </w:pP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هذا الاستعراض للإنجاز والتعلُّم </w:t>
      </w:r>
      <w:r w:rsidRPr="00FF3102">
        <w:rPr>
          <w:rFonts w:ascii="Simplified Arabic" w:eastAsiaTheme="minorEastAsia" w:hAnsi="Simplified Arabic" w:cs="Simplified Arabic"/>
          <w:b/>
        </w:rPr>
        <w:t>(CLR)</w:t>
      </w:r>
      <w:r w:rsidRPr="00FF3102">
        <w:rPr>
          <w:rFonts w:ascii="Simplified Arabic" w:eastAsiaTheme="minorEastAsia" w:hAnsi="Simplified Arabic" w:cs="Simplified Arabic"/>
          <w:bCs/>
          <w:rtl/>
        </w:rPr>
        <w:t xml:space="preserve"> هو تقييم ذاتي من جانب مجموعة البنك الدولي لإستراتيجية المساعدة المشتركة الخاصة بمصر (السنوات المالية 2006-2011) ومذكرة الإستراتيجية المؤقتة (السنوات المالية 2012-2014). </w:t>
      </w:r>
      <w:r w:rsidRPr="00FF3102">
        <w:rPr>
          <w:rFonts w:ascii="Simplified Arabic" w:eastAsiaTheme="minorEastAsia" w:hAnsi="Simplified Arabic" w:cs="Simplified Arabic"/>
          <w:rtl/>
        </w:rPr>
        <w:t xml:space="preserve">ويتضمَّن الاستعراض ما يلي: 1) تقييم أداء إستراتيجية المساعدة </w:t>
      </w:r>
      <w:r w:rsidR="009E1457">
        <w:rPr>
          <w:rFonts w:ascii="Simplified Arabic" w:eastAsiaTheme="minorEastAsia" w:hAnsi="Simplified Arabic" w:cs="Simplified Arabic" w:hint="cs"/>
          <w:rtl/>
        </w:rPr>
        <w:t xml:space="preserve">المشتركة </w:t>
      </w:r>
      <w:r w:rsidRPr="00FF3102">
        <w:rPr>
          <w:rFonts w:ascii="Simplified Arabic" w:eastAsiaTheme="minorEastAsia" w:hAnsi="Simplified Arabic" w:cs="Simplified Arabic"/>
          <w:rtl/>
        </w:rPr>
        <w:t>الخاصة بمصر ومذكرة الإستراتيجية المؤقتة في تحقيق النتائج المتوقعة لمجموعة البنك الدولي؛ 2) تقييم أداء مجموعة البنك الدولي في تصميم البرنامج وتنفيذه؛ 3) مناقشة اتساق البرنامج مع هدفي مجموعة البنك الدولي الإستراتيجيين لإنهاء الفقر المدقع وتعزيز الرخاء المشترك على نحو قابل للاستمرار؛ و</w:t>
      </w:r>
      <w:r w:rsidR="009E1457">
        <w:rPr>
          <w:rFonts w:ascii="Simplified Arabic" w:eastAsiaTheme="minorEastAsia" w:hAnsi="Simplified Arabic" w:cs="Simplified Arabic" w:hint="cs"/>
          <w:rtl/>
        </w:rPr>
        <w:t>4</w:t>
      </w:r>
      <w:r w:rsidRPr="00FF3102">
        <w:rPr>
          <w:rFonts w:ascii="Simplified Arabic" w:eastAsiaTheme="minorEastAsia" w:hAnsi="Simplified Arabic" w:cs="Simplified Arabic"/>
          <w:rtl/>
        </w:rPr>
        <w:t>) استخلاص الدروس من أجل إثراء نطاق وهيكل الإطار الجديد للشراكة الإستراتيجية الذي يجري إعداده.</w:t>
      </w: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وقد قدَّم البنك الدولي ومؤسسة التمويل الدولية إستراتيجية مشتركة للمساعدة الخاصة بمصر في مايو 2005 لفترة السنوات المالية 2006-2009 إلى مجلس المديرين التنفيذيين.</w:t>
      </w:r>
      <w:r w:rsidRPr="00FF3102">
        <w:rPr>
          <w:rFonts w:ascii="Simplified Arabic" w:eastAsiaTheme="minorEastAsia" w:hAnsi="Simplified Arabic" w:cs="Simplified Arabic"/>
          <w:rtl/>
        </w:rPr>
        <w:t xml:space="preserve"> وتحدَّدت أهداف هذه الإستراتيجية في ظل السعي لتحسين معدلات النمو والاستثمار، وكانت تتسق على نحو وثيق مع أولويات برنامج الحكومة للإصلاح الاقتصادي. وتتمثَّل الأهداف الكلية للإستراتيجية فيما يلي: 1) تيسير تنمية القطاع الخاص؛ 2) تحسين تقديم الخدمات العامة؛ 3) تشجيع الإنصاف والمساواة. وفي إطار هذه الركائز، تم توخِّي مبدأ الانتقائية، بإيلاء أولوية للقطاعات التي كان فيها للحكومة التزام واضح، وتحمل بين طياتها أكبر إمكانيات لتعزيز نمو يقوده القطاع الخاص. وفي وقت لاحق، تم تقديم تقرير مرحلي عن سير العمل في الإستراتيجية المشتركة إلى مجلس المديرين التنفيذيين في يونيو 2008، وتمديد الفترة التي تغطيها الإستراتيجية من السنة المالية 2009 إلى السنة المالية 2011 لتتزامن الإستراتيجية مع الانتخابات في البلاد.</w:t>
      </w:r>
    </w:p>
    <w:p w:rsidR="00810BAC" w:rsidRPr="00FF3102" w:rsidRDefault="00810BAC" w:rsidP="00E752FD">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وبدأت الأعمال التمهيدية بشأن إعداد إستراتيجية جديدة لمصر في أوائل السنة المالية 2011، لكن توقَّفت بسبب الأحداث </w:t>
      </w:r>
      <w:r w:rsidR="00E752FD">
        <w:rPr>
          <w:rFonts w:ascii="Simplified Arabic" w:eastAsiaTheme="minorEastAsia" w:hAnsi="Simplified Arabic" w:cs="Simplified Arabic" w:hint="cs"/>
          <w:bCs/>
          <w:rtl/>
        </w:rPr>
        <w:t>الغير مسبوقة</w:t>
      </w:r>
      <w:r w:rsidRPr="00FF3102">
        <w:rPr>
          <w:rFonts w:ascii="Simplified Arabic" w:eastAsiaTheme="minorEastAsia" w:hAnsi="Simplified Arabic" w:cs="Simplified Arabic"/>
          <w:bCs/>
          <w:rtl/>
        </w:rPr>
        <w:t xml:space="preserve"> في انتفاضات الربيع العربي في عام 2011.</w:t>
      </w:r>
      <w:r w:rsidRPr="00FF3102">
        <w:rPr>
          <w:rFonts w:ascii="Simplified Arabic" w:eastAsiaTheme="minorEastAsia" w:hAnsi="Simplified Arabic" w:cs="Simplified Arabic"/>
          <w:rtl/>
        </w:rPr>
        <w:t xml:space="preserve"> ونظرا لأنه لم يتم إعداد إستراتيجية جديدة بحلول تلك المرحلة، فإنه لم يتم أيضا إعداد تقرير عن إنجاز إستراتيجية المساعدة لمصر. وفي ضوء حالة عدم اليقين والضبابية الشديدة للأوضاع السياسية والاقتصادية في مصر، تحرك البنك الدولي للإنشاء والتعمير ومؤسسة التمويل الدولية سريعا لتقديم مذكرة إستراتيجية مؤقتة مشتركة في يونيو 2012 تتضمَّن برنامج</w:t>
      </w:r>
      <w:r w:rsidR="00E752FD">
        <w:rPr>
          <w:rFonts w:ascii="Simplified Arabic" w:eastAsiaTheme="minorEastAsia" w:hAnsi="Simplified Arabic" w:cs="Simplified Arabic" w:hint="cs"/>
          <w:rtl/>
        </w:rPr>
        <w:t>ا</w:t>
      </w:r>
      <w:r w:rsidRPr="00FF3102">
        <w:rPr>
          <w:rFonts w:ascii="Simplified Arabic" w:eastAsiaTheme="minorEastAsia" w:hAnsi="Simplified Arabic" w:cs="Simplified Arabic"/>
          <w:rtl/>
        </w:rPr>
        <w:t xml:space="preserve"> إر</w:t>
      </w:r>
      <w:r w:rsidR="00E752FD">
        <w:rPr>
          <w:rFonts w:ascii="Simplified Arabic" w:eastAsiaTheme="minorEastAsia" w:hAnsi="Simplified Arabic" w:cs="Simplified Arabic" w:hint="cs"/>
          <w:rtl/>
        </w:rPr>
        <w:t>ستر</w:t>
      </w:r>
      <w:r w:rsidRPr="00FF3102">
        <w:rPr>
          <w:rFonts w:ascii="Simplified Arabic" w:eastAsiaTheme="minorEastAsia" w:hAnsi="Simplified Arabic" w:cs="Simplified Arabic"/>
          <w:rtl/>
        </w:rPr>
        <w:t>شاديا</w:t>
      </w:r>
      <w:r w:rsidR="00E752FD" w:rsidRPr="00E752FD">
        <w:rPr>
          <w:rFonts w:ascii="Simplified Arabic" w:eastAsiaTheme="minorEastAsia" w:hAnsi="Simplified Arabic" w:cs="Simplified Arabic"/>
          <w:rtl/>
        </w:rPr>
        <w:t xml:space="preserve"> </w:t>
      </w:r>
      <w:r w:rsidR="00E752FD">
        <w:rPr>
          <w:rFonts w:ascii="Simplified Arabic" w:eastAsiaTheme="minorEastAsia" w:hAnsi="Simplified Arabic" w:cs="Simplified Arabic" w:hint="cs"/>
          <w:rtl/>
        </w:rPr>
        <w:t>لل</w:t>
      </w:r>
      <w:r w:rsidR="00E752FD" w:rsidRPr="00FF3102">
        <w:rPr>
          <w:rFonts w:ascii="Simplified Arabic" w:eastAsiaTheme="minorEastAsia" w:hAnsi="Simplified Arabic" w:cs="Simplified Arabic"/>
          <w:rtl/>
        </w:rPr>
        <w:t>مساندة</w:t>
      </w:r>
      <w:r w:rsidRPr="00FF3102">
        <w:rPr>
          <w:rFonts w:ascii="Simplified Arabic" w:eastAsiaTheme="minorEastAsia" w:hAnsi="Simplified Arabic" w:cs="Simplified Arabic"/>
          <w:rtl/>
        </w:rPr>
        <w:t xml:space="preserve"> للفترة من يونيو 2012 حتى ديسمبر 2013. ومع أن مذكرة الإستراتيجية المؤقتة بدأت في سياق مختلف كثيرا عن إستراتيجية المساعدة، فإن ركائزها المتعلقة بالتنمية الاقتصادية والوظائف والاحتواء كانت مماثلة بوجه عام، فيما عدا أن التدهور الحاد للأوضاع الكلية للمالية العامة في الفترة التي أعقبت الثورة تطلَّب تركيزا أشد قوة وأكثر وضوحا على إدارة الاقتصاد على الصعيد الكلي.</w:t>
      </w:r>
      <w:r w:rsidRPr="00FF3102">
        <w:rPr>
          <w:rFonts w:ascii="Simplified Arabic" w:eastAsiaTheme="minorEastAsia" w:hAnsi="Simplified Arabic" w:cs="Simplified Arabic"/>
        </w:rPr>
        <w:t xml:space="preserve"> </w:t>
      </w: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ويُقدِّم هذا الاستعراض تقييما للتقدُّم المحرز في إستراتيجية المساعدة ومذكرة الإستراتيجية المؤقتة، لكنه يفعل ذلك بالمقارنة بالنواتج المُحدَّدة في إطار النتائج لمذكرة الإستراتيجية المؤقتة.</w:t>
      </w:r>
      <w:r w:rsidRPr="00FF3102">
        <w:rPr>
          <w:rFonts w:ascii="Simplified Arabic" w:eastAsiaTheme="minorEastAsia" w:hAnsi="Simplified Arabic" w:cs="Simplified Arabic"/>
          <w:rtl/>
        </w:rPr>
        <w:t xml:space="preserve"> وتستند مبررات هذا النهج إلى عاملين: 1) ركائز المذكرة المؤقتة مستمدة إلى حد كبير من إطار النتائج لإستراتيجية المساعدة القائمة الخاصة بمصر، ولكن تم تحديثها لتراعي سياق العمليات المختلف؛ و2) الإجراءات التدخلية القطاعية الواردة في إستراتيجية المساعدة والمذكرة المؤقتة كانت إلى حد كبير متطابقة (مع أنه أضيفت بعض مؤشرات النواتج ذات الصلة بما استجد من أحداث)، إذ إن محور تركيز المذكرة المؤقتة كان الحفاظ على أداء حافظة المشروعات الجارية وليس بدء عمليات إقراضية جديدة في فترة التنفيذ القصيرة للمذكرة المؤقتة (18 شهرا).</w:t>
      </w:r>
    </w:p>
    <w:p w:rsidR="00810BAC" w:rsidRPr="00FF3102" w:rsidRDefault="00810BAC" w:rsidP="0058653D">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وتم تصنيف التقدم المُحرز بوجه عام في تحقيق أهداف إستراتيجية المساعدة الخاصة بمصر ومذكرة الإستراتيجية المؤقتة على أنه</w:t>
      </w:r>
      <w:r w:rsidRPr="00FF3102">
        <w:rPr>
          <w:rFonts w:ascii="Simplified Arabic" w:eastAsiaTheme="minorEastAsia" w:hAnsi="Simplified Arabic" w:cs="Simplified Arabic"/>
          <w:bCs/>
          <w:iCs/>
          <w:rtl/>
        </w:rPr>
        <w:t xml:space="preserve"> غير مرض إلى حد ما.</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تجدر ملاحظة أنه على الرغم من أن التقييم غير مرض إلى حد ما فإن بعض المجالات شهدت تقدما كبيرا، بما في ذلك في تنمية القطاع الخاص، والقطاع المالي، ونوعية الهواء/المياه، والمساواة بين الجنسين. ومن بين الأهداف الثلاثة عشر لإستراتيجية المساعدة لمصر/مذكرة الإستراتيجية المؤقتة، تحقَّقت أربعة أهداف بشكل كامل، وتحقق أحد الأهداف في معظمه، وتحقَّقت سبعة جزئيا، ولم يتحقَّق أحد الأهداف.</w:t>
      </w:r>
      <w:r w:rsidR="00941C03" w:rsidRPr="00FF3102">
        <w:rPr>
          <w:rStyle w:val="FootnoteReference"/>
          <w:rFonts w:ascii="Simplified Arabic" w:eastAsiaTheme="minorEastAsia" w:hAnsi="Simplified Arabic" w:cs="Simplified Arabic"/>
          <w:rtl/>
        </w:rPr>
        <w:footnoteReference w:id="28"/>
      </w:r>
      <w:r w:rsidR="003A1252">
        <w:rPr>
          <w:rFonts w:ascii="Simplified Arabic" w:eastAsiaTheme="minorEastAsia" w:hAnsi="Simplified Arabic" w:cs="Simplified Arabic"/>
          <w:rtl/>
        </w:rPr>
        <w:t xml:space="preserve"> </w:t>
      </w:r>
    </w:p>
    <w:tbl>
      <w:tblPr>
        <w:tblpPr w:leftFromText="180" w:rightFromText="180" w:vertAnchor="text" w:horzAnchor="margin" w:tblpY="50"/>
        <w:tblOverlap w:val="never"/>
        <w:bidiVisual/>
        <w:tblW w:w="4618" w:type="dxa"/>
        <w:tblLayout w:type="fixed"/>
        <w:tblLook w:val="00A0" w:firstRow="1" w:lastRow="0" w:firstColumn="1" w:lastColumn="0" w:noHBand="0" w:noVBand="0"/>
      </w:tblPr>
      <w:tblGrid>
        <w:gridCol w:w="3798"/>
        <w:gridCol w:w="820"/>
      </w:tblGrid>
      <w:tr w:rsidR="00132A21" w:rsidRPr="00FF3102" w:rsidTr="00132A21">
        <w:trPr>
          <w:cantSplit/>
          <w:trHeight w:val="20"/>
        </w:trPr>
        <w:tc>
          <w:tcPr>
            <w:tcW w:w="4618" w:type="dxa"/>
            <w:gridSpan w:val="2"/>
            <w:tcBorders>
              <w:top w:val="nil"/>
              <w:left w:val="nil"/>
              <w:bottom w:val="nil"/>
              <w:right w:val="nil"/>
            </w:tcBorders>
            <w:noWrap/>
            <w:vAlign w:val="bottom"/>
          </w:tcPr>
          <w:p w:rsidR="00132A21" w:rsidRPr="00FF3102" w:rsidRDefault="00E752FD" w:rsidP="00132A21">
            <w:pPr>
              <w:bidi/>
              <w:rPr>
                <w:rFonts w:ascii="Simplified Arabic" w:hAnsi="Simplified Arabic" w:cs="Simplified Arabic"/>
                <w:sz w:val="28"/>
                <w:szCs w:val="28"/>
              </w:rPr>
            </w:pPr>
            <w:r>
              <w:rPr>
                <w:rFonts w:ascii="Simplified Arabic" w:hAnsi="Simplified Arabic" w:cs="Simplified Arabic"/>
                <w:bCs/>
                <w:sz w:val="28"/>
                <w:szCs w:val="28"/>
                <w:rtl/>
              </w:rPr>
              <w:t>الجدول 1. موجز تصنيفات الأداء</w:t>
            </w:r>
            <w:r w:rsidR="00132A21" w:rsidRPr="00FF3102">
              <w:rPr>
                <w:rFonts w:ascii="Simplified Arabic" w:hAnsi="Simplified Arabic" w:cs="Simplified Arabic"/>
                <w:b/>
                <w:noProof/>
                <w:sz w:val="28"/>
                <w:szCs w:val="28"/>
                <w:vertAlign w:val="superscript"/>
              </w:rPr>
              <w:footnoteReference w:id="29"/>
            </w:r>
          </w:p>
          <w:p w:rsidR="00132A21" w:rsidRPr="00FF3102" w:rsidRDefault="00132A21" w:rsidP="00132A21">
            <w:pPr>
              <w:bidi/>
              <w:rPr>
                <w:rFonts w:ascii="Simplified Arabic" w:hAnsi="Simplified Arabic" w:cs="Simplified Arabic"/>
                <w:b/>
                <w:sz w:val="28"/>
                <w:szCs w:val="28"/>
              </w:rPr>
            </w:pPr>
          </w:p>
        </w:tc>
      </w:tr>
      <w:tr w:rsidR="00132A21" w:rsidRPr="00FF3102" w:rsidTr="00132A21">
        <w:trPr>
          <w:cantSplit/>
          <w:trHeight w:val="20"/>
        </w:trPr>
        <w:tc>
          <w:tcPr>
            <w:tcW w:w="379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الركيزة 1: إدارة الاقتصاد</w:t>
            </w:r>
            <w:r w:rsidRPr="00FF3102">
              <w:rPr>
                <w:rFonts w:ascii="Simplified Arabic" w:eastAsiaTheme="minorEastAsia" w:hAnsi="Simplified Arabic" w:cs="Simplified Arabic"/>
                <w:b/>
                <w:color w:val="000000"/>
                <w:sz w:val="20"/>
                <w:szCs w:val="20"/>
              </w:rPr>
              <w:t xml:space="preserve"> </w:t>
            </w:r>
          </w:p>
        </w:tc>
        <w:tc>
          <w:tcPr>
            <w:tcW w:w="820" w:type="dxa"/>
            <w:tcBorders>
              <w:top w:val="single" w:sz="4" w:space="0" w:color="auto"/>
              <w:left w:val="nil"/>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hAnsi="Simplified Arabic" w:cs="Simplified Arabic"/>
                <w:b/>
                <w:color w:val="000000"/>
                <w:sz w:val="20"/>
                <w:szCs w:val="20"/>
              </w:rPr>
            </w:pP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1.1 خفض عجز الموازنة العامة</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1.2 زيادة الشفافية</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الركيزة 2: الوظائف</w:t>
            </w:r>
            <w:r w:rsidRPr="00FF3102">
              <w:rPr>
                <w:rFonts w:ascii="Simplified Arabic" w:eastAsiaTheme="minorEastAsia" w:hAnsi="Simplified Arabic" w:cs="Simplified Arabic"/>
                <w:b/>
                <w:color w:val="000000"/>
                <w:sz w:val="20"/>
                <w:szCs w:val="20"/>
              </w:rPr>
              <w:t xml:space="preserve"> </w:t>
            </w:r>
          </w:p>
        </w:tc>
        <w:tc>
          <w:tcPr>
            <w:tcW w:w="820" w:type="dxa"/>
            <w:tcBorders>
              <w:top w:val="nil"/>
              <w:left w:val="nil"/>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hAnsi="Simplified Arabic" w:cs="Simplified Arabic"/>
                <w:b/>
                <w:color w:val="000000"/>
                <w:sz w:val="20"/>
                <w:szCs w:val="20"/>
              </w:rPr>
            </w:pP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2.1 تنمية القطاع الخاص</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noProof/>
                <w:color w:val="000000"/>
                <w:sz w:val="20"/>
                <w:szCs w:val="20"/>
                <w:rtl/>
              </w:rPr>
              <w:t>ت</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2.2 تنمية القطاع المالي</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noProof/>
                <w:color w:val="000000"/>
                <w:sz w:val="20"/>
                <w:szCs w:val="20"/>
                <w:rtl/>
              </w:rPr>
              <w:t>ت</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2.3 البنية التحتية (الطاقة/النقل/الاتصالات)</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2.4 التعليم</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م</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2.5 التجارة</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 xml:space="preserve">الركيزة 3: </w:t>
            </w:r>
            <w:r w:rsidRPr="00FF3102">
              <w:rPr>
                <w:rFonts w:ascii="Simplified Arabic" w:eastAsiaTheme="minorEastAsia" w:hAnsi="Simplified Arabic" w:cs="Simplified Arabic"/>
                <w:bCs/>
                <w:noProof/>
                <w:color w:val="000000"/>
                <w:sz w:val="20"/>
                <w:szCs w:val="20"/>
                <w:rtl/>
              </w:rPr>
              <w:t>الاحتواء</w:t>
            </w:r>
          </w:p>
        </w:tc>
        <w:tc>
          <w:tcPr>
            <w:tcW w:w="820" w:type="dxa"/>
            <w:tcBorders>
              <w:top w:val="nil"/>
              <w:left w:val="nil"/>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hAnsi="Simplified Arabic" w:cs="Simplified Arabic"/>
                <w:b/>
                <w:color w:val="000000"/>
                <w:sz w:val="20"/>
                <w:szCs w:val="20"/>
              </w:rPr>
            </w:pP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3.1 المياه/الصرف الصحي</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3.2 نوعية الهواء والمياه</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3.3 الرعاية الصحية</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ل ي</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3.4 شبكات الأمان الاجتماعي</w:t>
            </w:r>
          </w:p>
        </w:tc>
        <w:tc>
          <w:tcPr>
            <w:tcW w:w="820" w:type="dxa"/>
            <w:tcBorders>
              <w:top w:val="nil"/>
              <w:left w:val="nil"/>
              <w:bottom w:val="single" w:sz="4" w:space="0" w:color="auto"/>
              <w:right w:val="single" w:sz="4" w:space="0" w:color="auto"/>
            </w:tcBorders>
            <w:noWrap/>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3.5 صعيد مصر</w:t>
            </w:r>
          </w:p>
        </w:tc>
        <w:tc>
          <w:tcPr>
            <w:tcW w:w="820" w:type="dxa"/>
            <w:tcBorders>
              <w:top w:val="nil"/>
              <w:left w:val="nil"/>
              <w:bottom w:val="single" w:sz="4" w:space="0" w:color="auto"/>
              <w:right w:val="single" w:sz="4" w:space="0" w:color="auto"/>
            </w:tcBorders>
            <w:noWrap/>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3.6 المساواة بين الجنسين</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w:t>
            </w:r>
          </w:p>
        </w:tc>
      </w:tr>
      <w:tr w:rsidR="00132A21" w:rsidRPr="00FF3102" w:rsidTr="00132A21">
        <w:trPr>
          <w:cantSplit/>
          <w:trHeight w:val="20"/>
        </w:trPr>
        <w:tc>
          <w:tcPr>
            <w:tcW w:w="3798"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132A21" w:rsidRPr="00FF3102" w:rsidRDefault="00132A21" w:rsidP="00E752FD">
            <w:pPr>
              <w:bidi/>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
                <w:bCs/>
                <w:noProof/>
                <w:color w:val="000000"/>
                <w:sz w:val="20"/>
                <w:szCs w:val="20"/>
                <w:rtl/>
              </w:rPr>
              <w:t>بيان الاختصارات</w:t>
            </w:r>
          </w:p>
        </w:tc>
        <w:tc>
          <w:tcPr>
            <w:tcW w:w="820" w:type="dxa"/>
            <w:tcBorders>
              <w:top w:val="single" w:sz="4" w:space="0" w:color="auto"/>
              <w:left w:val="nil"/>
              <w:bottom w:val="single" w:sz="4" w:space="0" w:color="auto"/>
              <w:right w:val="single" w:sz="4" w:space="0" w:color="auto"/>
            </w:tcBorders>
            <w:shd w:val="clear" w:color="000000" w:fill="FFFF00"/>
            <w:noWrap/>
            <w:vAlign w:val="bottom"/>
          </w:tcPr>
          <w:p w:rsidR="00132A21" w:rsidRPr="00FF3102" w:rsidRDefault="00132A21" w:rsidP="00132A21">
            <w:pPr>
              <w:bidi/>
              <w:rPr>
                <w:rFonts w:ascii="Simplified Arabic" w:hAnsi="Simplified Arabic" w:cs="Simplified Arabic"/>
                <w:b/>
                <w:color w:val="000000"/>
                <w:sz w:val="20"/>
                <w:szCs w:val="20"/>
              </w:rPr>
            </w:pPr>
            <w:r w:rsidRPr="00FF3102">
              <w:rPr>
                <w:rFonts w:ascii="Simplified Arabic" w:hAnsi="Simplified Arabic" w:cs="Simplified Arabic"/>
                <w:b/>
                <w:color w:val="000000"/>
                <w:sz w:val="20"/>
                <w:szCs w:val="20"/>
              </w:rPr>
              <w:t> </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لم يتحقَّق</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ل ي</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تحقَّق جزئيا</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hAnsi="Simplified Arabic" w:cs="Simplified Arabic"/>
                <w:color w:val="000000"/>
                <w:sz w:val="20"/>
                <w:szCs w:val="20"/>
                <w:rtl/>
              </w:rPr>
            </w:pPr>
            <w:r w:rsidRPr="00FF3102">
              <w:rPr>
                <w:rFonts w:ascii="Simplified Arabic" w:hAnsi="Simplified Arabic" w:cs="Simplified Arabic"/>
                <w:color w:val="000000"/>
                <w:sz w:val="20"/>
                <w:szCs w:val="20"/>
                <w:rtl/>
              </w:rPr>
              <w:t xml:space="preserve"> </w:t>
            </w:r>
            <w:r w:rsidRPr="00FF3102">
              <w:rPr>
                <w:rFonts w:ascii="Simplified Arabic" w:hAnsi="Simplified Arabic" w:cs="Simplified Arabic"/>
                <w:noProof/>
                <w:color w:val="000000"/>
                <w:sz w:val="20"/>
                <w:szCs w:val="20"/>
                <w:rtl/>
              </w:rPr>
              <w:t>ت ج</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تحقَّق في معظمه</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 م</w:t>
            </w:r>
          </w:p>
        </w:tc>
      </w:tr>
      <w:tr w:rsidR="00132A21" w:rsidRPr="00FF3102" w:rsidTr="00132A21">
        <w:trPr>
          <w:cantSplit/>
          <w:trHeight w:val="20"/>
        </w:trPr>
        <w:tc>
          <w:tcPr>
            <w:tcW w:w="3798" w:type="dxa"/>
            <w:tcBorders>
              <w:top w:val="nil"/>
              <w:left w:val="single" w:sz="4" w:space="0" w:color="auto"/>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تحقَّق</w:t>
            </w:r>
            <w:r w:rsidRPr="00FF3102">
              <w:rPr>
                <w:rFonts w:ascii="Simplified Arabic" w:eastAsiaTheme="minorEastAsia" w:hAnsi="Simplified Arabic" w:cs="Simplified Arabic"/>
                <w:color w:val="000000"/>
                <w:sz w:val="20"/>
                <w:szCs w:val="20"/>
              </w:rPr>
              <w:t xml:space="preserve"> </w:t>
            </w:r>
          </w:p>
        </w:tc>
        <w:tc>
          <w:tcPr>
            <w:tcW w:w="820" w:type="dxa"/>
            <w:tcBorders>
              <w:top w:val="nil"/>
              <w:left w:val="nil"/>
              <w:bottom w:val="single" w:sz="4" w:space="0" w:color="auto"/>
              <w:right w:val="single" w:sz="4" w:space="0" w:color="auto"/>
            </w:tcBorders>
            <w:noWrap/>
            <w:vAlign w:val="bottom"/>
          </w:tcPr>
          <w:p w:rsidR="00132A21" w:rsidRPr="00FF3102" w:rsidRDefault="00132A21" w:rsidP="00132A21">
            <w:pPr>
              <w:bidi/>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noProof/>
                <w:color w:val="000000"/>
                <w:sz w:val="20"/>
                <w:szCs w:val="20"/>
                <w:rtl/>
              </w:rPr>
              <w:t>ت</w:t>
            </w:r>
          </w:p>
        </w:tc>
      </w:tr>
    </w:tbl>
    <w:p w:rsidR="00810BAC" w:rsidRPr="00FF3102" w:rsidRDefault="00810BAC" w:rsidP="00941C03">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يُصنَّف الأداء العام لمجموعة البنك الدولي في تصميم إستراتيجيتها وتنفيذها في مرتبة "جيد".</w:t>
      </w:r>
      <w:r w:rsidRPr="00FF3102">
        <w:rPr>
          <w:rFonts w:ascii="Simplified Arabic" w:eastAsiaTheme="minorEastAsia" w:hAnsi="Simplified Arabic" w:cs="Simplified Arabic"/>
          <w:rtl/>
        </w:rPr>
        <w:t xml:space="preserve"> وكان برنامج الأنشطة الإقراضية وغير الإقراضية التي ساندتها مجموعة البنك الدولي ملائما وعالج أولويات الحكومات القائمة خلال هذه الفترة.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وقبل ثورة عام 2011، كان البرنامج يرتكز على أجندة حكومة مبارك للتنمية الوطنية التي عملت على تدعيم الإصلاحات المُشجِّعة للنمو وتعميقها في سياق بيئة عالمية متدهورة (بسبب أزمة الغذاء والأزمة المالية).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وبعد الثورة، كان من الضروري تعديل البرنامج. واستجابت مجموعة البنك الدولي على الفور لاحتياجات البلاد وركزت على زيادة الموارد على قطاعات رئيسية. وبشكل صحيح، حدَّد التقرير المرحلي عن سير العمل في إستراتيجية المساعدة لمصر، ومذكرة الإستراتيجية المؤقتة التي تبعتها، المخاطر على نواتج إستراتيجية المساعدة والإجراءات المناسبة للتخفيف من الآثار.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وساند التقرير المرحلي عن سير العمل في إستراتيجية المساعدة إجراء تعديل في منتصف الفترة، ولاسيما توسيع نطاق مساندة مجموعة البنك الدولي للقطاع المالي والبنية التحتية في ظل أداء اقتصادي قوي في ذك الوقت. ومن حيث الكفاءة، أدَّت هذه المساندة إلى بعض النتائج الجيدة، لاسيما في القطاع المالي، وتنمية القطاع الخاص، ونوعية الهواء/المياه، والمساواة بين الجنسين. غير أن النتائج لم تتحقَّق في بعض المجالات الرئيسية ومنها قطاع الرعاية الصحية.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وكذلك، أثَّرت الاضطرابات السياسية على مشاركة مجموعة البنك، وعلى سبيل المثال عرقل الوضع السياسي التقدم المتوقع في مسألة دعم الطاقة.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تعاون مجموعة البنك الدولي خلال الفترة التي تغطيها الإستراتيجية ذا أهمية كبيرة، وبرزت فيه مؤسسة التمويل الدولية بوصفها إحدى المؤسسات المالية الدولية الرئيسية في مجال تنمية القطاع الخاص.</w:t>
      </w:r>
      <w:r w:rsidR="00941C03" w:rsidRPr="00FF3102">
        <w:rPr>
          <w:rStyle w:val="FootnoteReference"/>
          <w:rFonts w:ascii="Simplified Arabic" w:eastAsiaTheme="minorEastAsia" w:hAnsi="Simplified Arabic" w:cs="Simplified Arabic"/>
          <w:rtl/>
        </w:rPr>
        <w:footnoteReference w:id="30"/>
      </w:r>
      <w:r w:rsidR="003A1252">
        <w:rPr>
          <w:rFonts w:ascii="Simplified Arabic" w:eastAsiaTheme="minorEastAsia" w:hAnsi="Simplified Arabic" w:cs="Simplified Arabic"/>
          <w:rtl/>
        </w:rPr>
        <w:t xml:space="preserve"> </w:t>
      </w:r>
      <w:r w:rsidRPr="00FF3102">
        <w:rPr>
          <w:rFonts w:ascii="Simplified Arabic" w:eastAsiaTheme="minorEastAsia" w:hAnsi="Simplified Arabic" w:cs="Simplified Arabic"/>
          <w:rtl/>
        </w:rPr>
        <w:t>وتعزز التفاعل بين البنك الدولي للإنشاء والتعمير والوكالة الدولية لضمان الاستثمار أيضا بتقديم الوكالة مساهمات في الإستراتيجيتين اللتين يجري استعراضهما.</w:t>
      </w:r>
      <w:r w:rsidRPr="00FF3102">
        <w:rPr>
          <w:rFonts w:ascii="Simplified Arabic" w:eastAsiaTheme="minorEastAsia" w:hAnsi="Simplified Arabic" w:cs="Simplified Arabic"/>
        </w:rPr>
        <w:t xml:space="preserve"> </w:t>
      </w:r>
    </w:p>
    <w:p w:rsidR="00810BAC" w:rsidRPr="00FF3102" w:rsidRDefault="00810BAC" w:rsidP="00E752FD">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وبعد الثورة، أعادت مجموعة البنك الدولي تعديل مشاركتها في مذكرة الإستراتيجية المؤقتة بما يتفق وأولويات الحكومة.</w:t>
      </w:r>
      <w:r w:rsidRPr="00FF3102">
        <w:rPr>
          <w:rFonts w:ascii="Simplified Arabic" w:eastAsiaTheme="minorEastAsia" w:hAnsi="Simplified Arabic" w:cs="Simplified Arabic"/>
          <w:rtl/>
        </w:rPr>
        <w:t xml:space="preserve"> واحتاجت مجموعة البنك الدولي إلى تعزيز الثقة لدى السلطات الجديدة وأصحاب المصلحة الذين قادوا الثورة. وكان البرنامج الإقراضي لمذكرة الإستراتيجية المؤقتة متواضعا، يرتكز على مشروع طارئ كثيف الاستخدام للأيدي العاملة يموله البنك الدولي (تمت الموافقة عليه في يونيو 2012) وكان يتركز على خلق فرص العمل والوظائف. ومع أن البرنامج الإقراضي كان متواضعا، فإن أحد مجالات التركيز الرئيسية في هذه الفترة كان نشر المعارف والخدمات الاستشارية، وبدء حوار واسع في المجالات الرئيسية، ومنها المساواة بين الجنسين، ونظام الإدارة العامة والحوكمة، ودعم منتجات الطاقة، وإصلاحات القطاع المالي والنقل. ووضع ال</w:t>
      </w:r>
      <w:r w:rsidR="00E752FD">
        <w:rPr>
          <w:rFonts w:ascii="Simplified Arabic" w:eastAsiaTheme="minorEastAsia" w:hAnsi="Simplified Arabic" w:cs="Simplified Arabic"/>
          <w:rtl/>
        </w:rPr>
        <w:t xml:space="preserve">بنك الدولي أيضا آلية لاستطلاع </w:t>
      </w:r>
      <w:r w:rsidRPr="00FF3102">
        <w:rPr>
          <w:rFonts w:ascii="Simplified Arabic" w:eastAsiaTheme="minorEastAsia" w:hAnsi="Simplified Arabic" w:cs="Simplified Arabic"/>
          <w:rtl/>
        </w:rPr>
        <w:t xml:space="preserve">آراء </w:t>
      </w:r>
      <w:r w:rsidR="00E752FD">
        <w:rPr>
          <w:rFonts w:ascii="Simplified Arabic" w:eastAsiaTheme="minorEastAsia" w:hAnsi="Simplified Arabic" w:cs="Simplified Arabic" w:hint="cs"/>
          <w:rtl/>
        </w:rPr>
        <w:t>ا</w:t>
      </w:r>
      <w:r w:rsidRPr="00FF3102">
        <w:rPr>
          <w:rFonts w:ascii="Simplified Arabic" w:eastAsiaTheme="minorEastAsia" w:hAnsi="Simplified Arabic" w:cs="Simplified Arabic"/>
          <w:rtl/>
        </w:rPr>
        <w:t xml:space="preserve">لمنتفعين لتحسين الاستجابة لاحتياجات أصحاب المصلحة المباشرة ومطالبهم. </w:t>
      </w:r>
    </w:p>
    <w:p w:rsidR="00810BAC" w:rsidRPr="00132A21" w:rsidRDefault="00810BAC" w:rsidP="00810BAC">
      <w:pPr>
        <w:bidi/>
        <w:rPr>
          <w:rFonts w:ascii="Simplified Arabic" w:eastAsiaTheme="minorEastAsia" w:hAnsi="Simplified Arabic" w:cs="Simplified Arabic"/>
          <w:sz w:val="32"/>
          <w:szCs w:val="32"/>
        </w:rPr>
      </w:pPr>
      <w:r w:rsidRPr="00132A21">
        <w:rPr>
          <w:rFonts w:ascii="Simplified Arabic" w:eastAsiaTheme="minorEastAsia" w:hAnsi="Simplified Arabic" w:cs="Simplified Arabic"/>
          <w:sz w:val="32"/>
          <w:szCs w:val="32"/>
          <w:rtl/>
        </w:rPr>
        <w:t>الأهداف والنواتج</w:t>
      </w:r>
    </w:p>
    <w:p w:rsidR="00810BAC" w:rsidRPr="00FF3102" w:rsidRDefault="00810BAC" w:rsidP="00810BAC">
      <w:pPr>
        <w:bidi/>
        <w:jc w:val="both"/>
        <w:rPr>
          <w:rFonts w:ascii="Simplified Arabic" w:hAnsi="Simplified Arabic" w:cs="Simplified Arabic"/>
        </w:rPr>
      </w:pPr>
    </w:p>
    <w:p w:rsidR="00810BAC" w:rsidRPr="00FF3102" w:rsidRDefault="00810BAC" w:rsidP="00810BAC">
      <w:pPr>
        <w:bidi/>
        <w:spacing w:after="220"/>
        <w:jc w:val="both"/>
        <w:rPr>
          <w:rFonts w:ascii="Simplified Arabic" w:eastAsiaTheme="minorEastAsia" w:hAnsi="Simplified Arabic" w:cs="Simplified Arabic"/>
          <w:i/>
          <w:color w:val="000000"/>
        </w:rPr>
      </w:pPr>
      <w:r w:rsidRPr="00FF3102">
        <w:rPr>
          <w:rFonts w:ascii="Simplified Arabic" w:eastAsiaTheme="minorEastAsia" w:hAnsi="Simplified Arabic" w:cs="Simplified Arabic"/>
          <w:bCs/>
          <w:rtl/>
        </w:rPr>
        <w:t>الركيزة 1: إدارة الاقتصاد</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 xml:space="preserve">يُصنَّف الأداء في هذه الركيزة بأنه </w:t>
      </w:r>
      <w:r w:rsidRPr="00FF3102">
        <w:rPr>
          <w:rFonts w:ascii="Simplified Arabic" w:eastAsiaTheme="minorEastAsia" w:hAnsi="Simplified Arabic" w:cs="Simplified Arabic"/>
          <w:iCs/>
          <w:rtl/>
        </w:rPr>
        <w:t>غير مرض إلى حد ما</w:t>
      </w:r>
      <w:r w:rsidRPr="00FF3102">
        <w:rPr>
          <w:rFonts w:ascii="Simplified Arabic" w:eastAsiaTheme="minorEastAsia" w:hAnsi="Simplified Arabic" w:cs="Simplified Arabic"/>
          <w:rtl/>
        </w:rPr>
        <w:t xml:space="preserve"> لأنه لم يتحقَّق تقدم يذكر في خفض عجز الموازنة العامة، وفي زيادة شفافية إدارة القطاع العام.</w:t>
      </w:r>
    </w:p>
    <w:p w:rsidR="00810BAC" w:rsidRPr="00FF3102" w:rsidRDefault="00810BAC" w:rsidP="00E752FD">
      <w:pPr>
        <w:numPr>
          <w:ilvl w:val="0"/>
          <w:numId w:val="29"/>
        </w:numPr>
        <w:autoSpaceDE w:val="0"/>
        <w:autoSpaceDN w:val="0"/>
        <w:bidi/>
        <w:adjustRightInd w:val="0"/>
        <w:spacing w:after="120"/>
        <w:jc w:val="both"/>
        <w:rPr>
          <w:rFonts w:ascii="Simplified Arabic" w:eastAsiaTheme="minorEastAsia" w:hAnsi="Simplified Arabic" w:cs="Simplified Arabic"/>
          <w:color w:val="000000"/>
        </w:rPr>
      </w:pPr>
      <w:r w:rsidRPr="00FF3102">
        <w:rPr>
          <w:rFonts w:ascii="Simplified Arabic" w:eastAsiaTheme="minorEastAsia" w:hAnsi="Simplified Arabic" w:cs="Simplified Arabic"/>
          <w:bCs/>
          <w:rtl/>
        </w:rPr>
        <w:t>وتحقَّقت جزئيا نتيجة التنفيذ الفاعل لخطة الحكومة لخفض عجز الموازنة العامة تدريجيا.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وعجزت الحكومة عن كبح النفقات العامة، بما في ذلك إعانات الدعم، وتنفيذ الإصلاحات الضريبية الضرورية أثناء فترة إستراتيجية المساعدة الخاصة بمصر. ونتيجة لذلك، زاد عجز الموازنة العامة خلال هذه الفترة. ففي السنة المالية 2010، بلغ العجز 8.1 في المائة من إجمالي الناتج المحلي، وفي السنة المالية 2013، بلغ 13.7 في المائة من الإجمالي، وتحسَّن قليلا إلى 12.8 في المائة في السنة المالية 2014. واشتمل البرنامج الإقراضي لمذكرة الإستراتيجية المؤقتة على قرض لأغراض سياسات التنمية من أجل نظام الإدارة العامة والحوكمة وإصلاح شبكات الأمان في أعقاب برنامج صندوق النقد الدولي، لكن برنامج الصندوق لم يتحقَّق بسبب عجز الحكومة وعدم استعدادها لمعالجة </w:t>
      </w:r>
      <w:r w:rsidR="00E752FD">
        <w:rPr>
          <w:rFonts w:ascii="Simplified Arabic" w:eastAsiaTheme="minorEastAsia" w:hAnsi="Simplified Arabic" w:cs="Simplified Arabic" w:hint="cs"/>
          <w:rtl/>
        </w:rPr>
        <w:t xml:space="preserve">مسألة </w:t>
      </w:r>
      <w:r w:rsidRPr="00FF3102">
        <w:rPr>
          <w:rFonts w:ascii="Simplified Arabic" w:eastAsiaTheme="minorEastAsia" w:hAnsi="Simplified Arabic" w:cs="Simplified Arabic"/>
          <w:rtl/>
        </w:rPr>
        <w:t>إصلاح دعم الطاقة. واستطاع البنك الدولي تعزيز الحوار مع السلطات بشأن استدامة المالية العامة، ولاسيما فيما يتعلق بدعم منتجات الطا</w:t>
      </w:r>
      <w:r w:rsidR="00E752FD">
        <w:rPr>
          <w:rFonts w:ascii="Simplified Arabic" w:eastAsiaTheme="minorEastAsia" w:hAnsi="Simplified Arabic" w:cs="Simplified Arabic"/>
          <w:rtl/>
        </w:rPr>
        <w:t>قة. وأطلقت مصر الآن مبادرة طموح</w:t>
      </w:r>
      <w:r w:rsidR="00E752FD">
        <w:rPr>
          <w:rFonts w:ascii="Simplified Arabic" w:eastAsiaTheme="minorEastAsia" w:hAnsi="Simplified Arabic" w:cs="Simplified Arabic" w:hint="cs"/>
          <w:rtl/>
        </w:rPr>
        <w:t>ة</w:t>
      </w:r>
      <w:r w:rsidRPr="00FF3102">
        <w:rPr>
          <w:rFonts w:ascii="Simplified Arabic" w:eastAsiaTheme="minorEastAsia" w:hAnsi="Simplified Arabic" w:cs="Simplified Arabic"/>
          <w:rtl/>
        </w:rPr>
        <w:t xml:space="preserve"> لإصلاح دعم الطاقة تهدف إلى تحرير أسعار الطاقة خلال السنوات الخمس إلى العشر القادمة.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واتخذت الخطوات الأولية في 2012 – 2013، وذلك أساسا برفع الأسعار للقطاعات كثيفة الاستخدام للطاقة.</w:t>
      </w:r>
      <w:r w:rsidRPr="00FF3102">
        <w:rPr>
          <w:rFonts w:ascii="Simplified Arabic" w:eastAsiaTheme="minorEastAsia" w:hAnsi="Simplified Arabic" w:cs="Simplified Arabic"/>
        </w:rPr>
        <w:t xml:space="preserve"> </w:t>
      </w:r>
    </w:p>
    <w:p w:rsidR="00810BAC" w:rsidRPr="00132A21" w:rsidRDefault="00810BAC" w:rsidP="00556002">
      <w:pPr>
        <w:pStyle w:val="ListParagraph"/>
        <w:numPr>
          <w:ilvl w:val="0"/>
          <w:numId w:val="29"/>
        </w:numPr>
        <w:bidi/>
        <w:rPr>
          <w:rStyle w:val="tw4winMark"/>
          <w:rFonts w:ascii="Simplified Arabic" w:eastAsiaTheme="minorEastAsia" w:hAnsi="Simplified Arabic" w:cs="Simplified Arabic"/>
          <w:rtl/>
        </w:rPr>
      </w:pPr>
      <w:r w:rsidRPr="00132A21">
        <w:rPr>
          <w:rFonts w:ascii="Simplified Arabic" w:eastAsiaTheme="minorEastAsia" w:hAnsi="Simplified Arabic" w:cs="Simplified Arabic"/>
          <w:bCs/>
          <w:rtl/>
        </w:rPr>
        <w:t>وتحقَّقت جزئيا نتيجة زيادة الشفافية وفقا لمعايير الحوكمة التي أصدرتها المراصد المستقلة الرئيسية.</w:t>
      </w:r>
      <w:r w:rsidRPr="00132A21">
        <w:rPr>
          <w:rFonts w:ascii="Simplified Arabic" w:eastAsiaTheme="minorEastAsia" w:hAnsi="Simplified Arabic" w:cs="Simplified Arabic"/>
        </w:rPr>
        <w:t xml:space="preserve"> </w:t>
      </w:r>
      <w:r w:rsidRPr="00132A21">
        <w:rPr>
          <w:rFonts w:ascii="Simplified Arabic" w:eastAsiaTheme="minorEastAsia" w:hAnsi="Simplified Arabic" w:cs="Simplified Arabic"/>
          <w:rtl/>
        </w:rPr>
        <w:t>ومع أنه حدثت بعض التحسُّنات في التصوُّرات السائدة عن الشفافية، فإن الإصلاحات التي أُجريت خلال هذه الفترة لم تحقِّق ما فيه الكفاية لزيادة الشفافية.</w:t>
      </w:r>
      <w:r w:rsidRPr="00132A21">
        <w:rPr>
          <w:rFonts w:ascii="Simplified Arabic" w:eastAsiaTheme="minorEastAsia" w:hAnsi="Simplified Arabic" w:cs="Simplified Arabic"/>
        </w:rPr>
        <w:t xml:space="preserve"> </w:t>
      </w:r>
      <w:r w:rsidRPr="00132A21">
        <w:rPr>
          <w:rFonts w:ascii="Simplified Arabic" w:eastAsiaTheme="minorEastAsia" w:hAnsi="Simplified Arabic" w:cs="Simplified Arabic"/>
          <w:color w:val="000000"/>
          <w:rtl/>
        </w:rPr>
        <w:t>وعلى مدى السنوات الست الماضية، أتاحت مصر للجمهور الاطلاع على مزيد من المعلومات عن الميزانية، وتحسَّنت درجة تصنيف أدائها من 19 في عام 2006 إلى 49 في عام 2010 على مؤشر الميزانية المفتوحة.</w:t>
      </w:r>
      <w:r w:rsidR="00941C03" w:rsidRPr="00FF3102">
        <w:rPr>
          <w:rStyle w:val="FootnoteReference"/>
          <w:rFonts w:ascii="Simplified Arabic" w:eastAsiaTheme="minorEastAsia" w:hAnsi="Simplified Arabic" w:cs="Simplified Arabic"/>
          <w:color w:val="000000"/>
          <w:rtl/>
        </w:rPr>
        <w:footnoteReference w:id="31"/>
      </w:r>
      <w:r w:rsidRPr="00132A21">
        <w:rPr>
          <w:rFonts w:ascii="Simplified Arabic" w:eastAsiaTheme="minorEastAsia" w:hAnsi="Simplified Arabic" w:cs="Simplified Arabic"/>
          <w:color w:val="000000"/>
          <w:rtl/>
        </w:rPr>
        <w:t xml:space="preserve"> ويشير تصنيف مصر في 2010 إلى أن الحكومة كانت تتيح للجمهور الاطلاع على معلومات محدودة عن ميزانية الحكومة المركزية وأنشطتها المالية.</w:t>
      </w:r>
      <w:r w:rsidRPr="00132A21">
        <w:rPr>
          <w:rFonts w:ascii="Simplified Arabic" w:eastAsiaTheme="minorEastAsia" w:hAnsi="Simplified Arabic" w:cs="Simplified Arabic"/>
          <w:color w:val="000000"/>
        </w:rPr>
        <w:t xml:space="preserve"> </w:t>
      </w:r>
      <w:r w:rsidRPr="00132A21">
        <w:rPr>
          <w:rFonts w:ascii="Simplified Arabic" w:eastAsiaTheme="minorEastAsia" w:hAnsi="Simplified Arabic" w:cs="Simplified Arabic"/>
          <w:rtl/>
        </w:rPr>
        <w:t>وحقَّقت الحكومة أيضا تقدما بإعداد مشروعات عدة قوانين تهدف إلى زيادة الشفافية خلال الفترة التي تغطيها مذكرة الإستراتيجية المؤقتة.</w:t>
      </w:r>
      <w:r w:rsidRPr="00132A21">
        <w:rPr>
          <w:rFonts w:ascii="Simplified Arabic" w:eastAsiaTheme="minorEastAsia" w:hAnsi="Simplified Arabic" w:cs="Simplified Arabic"/>
        </w:rPr>
        <w:t xml:space="preserve"> </w:t>
      </w:r>
      <w:r w:rsidRPr="00132A21">
        <w:rPr>
          <w:rFonts w:ascii="Simplified Arabic" w:eastAsiaTheme="minorEastAsia" w:hAnsi="Simplified Arabic" w:cs="Simplified Arabic"/>
          <w:rtl/>
        </w:rPr>
        <w:t>ومن ذلك مشروعات قوانين عن تضارب المصالح</w:t>
      </w:r>
      <w:r w:rsidR="00556002">
        <w:rPr>
          <w:rFonts w:ascii="Simplified Arabic" w:eastAsiaTheme="minorEastAsia" w:hAnsi="Simplified Arabic" w:cs="Simplified Arabic" w:hint="cs"/>
          <w:rtl/>
        </w:rPr>
        <w:t>،</w:t>
      </w:r>
      <w:r w:rsidRPr="00132A21">
        <w:rPr>
          <w:rFonts w:ascii="Simplified Arabic" w:eastAsiaTheme="minorEastAsia" w:hAnsi="Simplified Arabic" w:cs="Simplified Arabic"/>
          <w:rtl/>
        </w:rPr>
        <w:t xml:space="preserve"> وتداول المعلومات، وهيئة مكافحة الفساد، والإبلاغ عن المخالفات، وحماية الشهود، والمشتريات العامة، والجهاز المركزي للمحاسبات، والإفصاح عن الدخل والممتلكات، وحماية المستهلكين.</w:t>
      </w:r>
      <w:r w:rsidRPr="00132A21">
        <w:rPr>
          <w:rFonts w:ascii="Simplified Arabic" w:eastAsiaTheme="minorEastAsia" w:hAnsi="Simplified Arabic" w:cs="Simplified Arabic"/>
        </w:rPr>
        <w:t xml:space="preserve"> </w:t>
      </w:r>
      <w:r w:rsidRPr="00132A21">
        <w:rPr>
          <w:rFonts w:ascii="Simplified Arabic" w:eastAsiaTheme="minorEastAsia" w:hAnsi="Simplified Arabic" w:cs="Simplified Arabic"/>
          <w:rtl/>
        </w:rPr>
        <w:t>وعبَّأ البنك الدولي بنجاح تمويلا في شكل منح من أجل المساندة الفنية لصياغة هذه القوانين.</w:t>
      </w:r>
      <w:r w:rsidRPr="00132A21">
        <w:rPr>
          <w:rFonts w:ascii="Simplified Arabic" w:eastAsiaTheme="minorEastAsia" w:hAnsi="Simplified Arabic" w:cs="Simplified Arabic"/>
          <w:color w:val="5A5A5A"/>
        </w:rPr>
        <w:t xml:space="preserve"> </w:t>
      </w:r>
      <w:r w:rsidRPr="00132A21">
        <w:rPr>
          <w:rFonts w:ascii="Simplified Arabic" w:eastAsiaTheme="minorEastAsia" w:hAnsi="Simplified Arabic" w:cs="Simplified Arabic"/>
          <w:rtl/>
        </w:rPr>
        <w:t>وبالرغم من ذلك، لم تتحقَّق خلال هذه الفترة إصلاحات مثل استئناف نشر موازنة المواطن، وإصدار ورقة إطار الميزانية، ونشر مراجعات لحسابات المؤسسات المملوكة للدولة.</w:t>
      </w:r>
      <w:r w:rsidRPr="00132A21">
        <w:rPr>
          <w:rFonts w:ascii="Simplified Arabic" w:eastAsiaTheme="minorEastAsia" w:hAnsi="Simplified Arabic" w:cs="Simplified Arabic"/>
          <w:bCs/>
          <w:rtl/>
        </w:rPr>
        <w:t xml:space="preserve"> </w:t>
      </w:r>
    </w:p>
    <w:p w:rsidR="00810BAC" w:rsidRPr="00FF3102" w:rsidRDefault="00810BAC" w:rsidP="00810BAC">
      <w:pPr>
        <w:bidi/>
        <w:rPr>
          <w:rFonts w:ascii="Simplified Arabic" w:eastAsiaTheme="minorEastAsia" w:hAnsi="Simplified Arabic" w:cs="Simplified Arabic"/>
        </w:rPr>
      </w:pPr>
    </w:p>
    <w:p w:rsidR="00810BAC" w:rsidRPr="00FF3102" w:rsidRDefault="00810BAC" w:rsidP="00810BAC">
      <w:pPr>
        <w:bidi/>
        <w:rPr>
          <w:rFonts w:ascii="Simplified Arabic" w:hAnsi="Simplified Arabic" w:cs="Simplified Arabic"/>
          <w:rtl/>
        </w:rPr>
      </w:pP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bCs/>
          <w:rtl/>
        </w:rPr>
        <w:t>الركيزة 2: الوظائف.</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 xml:space="preserve">يُصنَّف الأداء في هذه الركيزة بأنه </w:t>
      </w:r>
      <w:r w:rsidRPr="00FF3102">
        <w:rPr>
          <w:rFonts w:ascii="Simplified Arabic" w:eastAsiaTheme="minorEastAsia" w:hAnsi="Simplified Arabic" w:cs="Simplified Arabic"/>
          <w:iCs/>
          <w:rtl/>
        </w:rPr>
        <w:t>مرض إلى حد ما</w:t>
      </w:r>
      <w:r w:rsidRPr="00FF3102">
        <w:rPr>
          <w:rFonts w:ascii="Simplified Arabic" w:eastAsiaTheme="minorEastAsia" w:hAnsi="Simplified Arabic" w:cs="Simplified Arabic"/>
          <w:rtl/>
        </w:rPr>
        <w:t>، إذ تحقَّق تقدُّم ملموس في تنمية القطاع الخاص والقطاع المالي. وحاولت مجموعة البنك الدولي معالجة المُعوِّقات الرئيسية التالية: الصعوبات التي تكتنفها البيئة التنظيمية ومناخ الاستثمار، وضعف القدرة على الحصول على التمويل، و</w:t>
      </w:r>
      <w:r w:rsidR="00556002">
        <w:rPr>
          <w:rFonts w:ascii="Simplified Arabic" w:eastAsiaTheme="minorEastAsia" w:hAnsi="Simplified Arabic" w:cs="Simplified Arabic" w:hint="cs"/>
          <w:rtl/>
        </w:rPr>
        <w:t xml:space="preserve">وجود </w:t>
      </w:r>
      <w:r w:rsidRPr="00FF3102">
        <w:rPr>
          <w:rFonts w:ascii="Simplified Arabic" w:eastAsiaTheme="minorEastAsia" w:hAnsi="Simplified Arabic" w:cs="Simplified Arabic"/>
          <w:rtl/>
        </w:rPr>
        <w:t>فجوات في</w:t>
      </w:r>
      <w:r w:rsidR="00556002">
        <w:rPr>
          <w:rFonts w:ascii="Simplified Arabic" w:eastAsiaTheme="minorEastAsia" w:hAnsi="Simplified Arabic" w:cs="Simplified Arabic" w:hint="cs"/>
          <w:rtl/>
        </w:rPr>
        <w:t>ما يتعلق</w:t>
      </w:r>
      <w:r w:rsidRPr="00FF3102">
        <w:rPr>
          <w:rFonts w:ascii="Simplified Arabic" w:eastAsiaTheme="minorEastAsia" w:hAnsi="Simplified Arabic" w:cs="Simplified Arabic"/>
          <w:rtl/>
        </w:rPr>
        <w:t xml:space="preserve"> </w:t>
      </w:r>
      <w:r w:rsidR="00556002">
        <w:rPr>
          <w:rFonts w:ascii="Simplified Arabic" w:eastAsiaTheme="minorEastAsia" w:hAnsi="Simplified Arabic" w:cs="Simplified Arabic" w:hint="cs"/>
          <w:rtl/>
        </w:rPr>
        <w:t>ب</w:t>
      </w:r>
      <w:r w:rsidRPr="00FF3102">
        <w:rPr>
          <w:rFonts w:ascii="Simplified Arabic" w:eastAsiaTheme="minorEastAsia" w:hAnsi="Simplified Arabic" w:cs="Simplified Arabic"/>
          <w:rtl/>
        </w:rPr>
        <w:t>فرص الحصول على خدمات مستدامة للطاقة والنقل، وتكاليف الاتصالات، وعدم التوافق بين المهارات واحتياجات السوق.</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وبالنظر إلى إمكانيات خلق الوظائف في قطاعات الإنشاءات والخدمات، اشتملت ارتباطات مؤسسة التمويل الدولية على برنامج بقيمة 100 مليون دولار لمساندة عمليات أكبر مجموعة إنشاءات مصرية بوصفها وسيلة لتوجيه الأموال إلى لاعبين آخرين، مثل المقاولين من الباطن، وكذلك استثمار حصة في أسهم رأس المال بقيمة ستة ملايين دولار في شركة خدمات الدفع الإلكتروني الرائدة في مصر من أجل توسيع شبكتها في أنحاء البلاد.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وتتناول الفقرات التالية مناقشة تحقيق النتائج المتصلة بهذه التحديات.</w:t>
      </w:r>
      <w:r w:rsidRPr="00FF3102">
        <w:rPr>
          <w:rFonts w:ascii="Simplified Arabic" w:eastAsiaTheme="minorEastAsia" w:hAnsi="Simplified Arabic" w:cs="Simplified Arabic"/>
        </w:rPr>
        <w:t xml:space="preserve"> </w:t>
      </w:r>
    </w:p>
    <w:p w:rsidR="00810BAC" w:rsidRPr="00FF3102" w:rsidRDefault="00810BAC" w:rsidP="001E71BE">
      <w:pPr>
        <w:numPr>
          <w:ilvl w:val="0"/>
          <w:numId w:val="28"/>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تحقَّقت النواتج الثلاثة المتصلة بخلق بيئة مواتية لاستثمارات القطاع الخاص، ولاسيما تحسين التصنيفات على مؤشر ممارسة أنشطة الأعمال، وإنجاز الإصلاحات التنظيمية بنجاح، وتوسيع القطاع الخاص من خلال إقامة شراكات بين القطاعين العام والخاص.</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وحدث تحسُّن في التصنيفات العامة "لممارسة أنشطة الأعمال" حتى عام 2014 (انظر الشكل 1).</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ودخلت مؤسسة التمويل الدولية في شراكة مع وزارة الاستثمار ووزارة التنمية المحلية لإجراء مسح استقصائي موسع "لممارسة أنشطة الأعمال" على مستوى المحافظات - لصالح تقرير "ممارسة أنشطة الأعمال" الذي تصدره المؤسسة - اشتمل على توسيع قياس أربعة مجالات لأنشطة الأعمال-هي بدء النشاط التجاري (تأسيس الشركات)، واستخراج تراخيص البناء، وتسجيل الملكية، وإنفاذ العقود- ليشمل 14 محافظة ومدينة إضافية خارج القاهرةـ، وتحليل التحديات التي تكتنف التجارة عبر الحدود من خلال خمسة موانئ إستراتيجية. وتمخَّضت مساندة البنك ومؤسسة التمويل الدولية لأجندة الإصلاح التنظيمي عن نتائج،</w:t>
      </w:r>
      <w:r w:rsidRPr="00556002">
        <w:rPr>
          <w:rFonts w:ascii="Simplified Arabic" w:eastAsiaTheme="minorEastAsia" w:hAnsi="Simplified Arabic" w:cs="Simplified Arabic"/>
          <w:b/>
          <w:rtl/>
        </w:rPr>
        <w:t xml:space="preserve"> منها</w:t>
      </w:r>
      <w:r w:rsidRPr="00FF3102">
        <w:rPr>
          <w:rFonts w:ascii="Simplified Arabic" w:eastAsiaTheme="minorEastAsia" w:hAnsi="Simplified Arabic" w:cs="Simplified Arabic"/>
          <w:rtl/>
        </w:rPr>
        <w:t xml:space="preserve"> تبسيط الإجراءات وإصلاحات أخرى في مجال تسوية المنازعات.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وسعت مؤسسة التمويل الدولية أيضا إلى إطلاق عدة شراكات بين القطاعين العام والخاص، في مجالات منها الرعاية الصحية، والتعليم، والصرف الصحي.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ومع أن المؤسسة نجحت في إدخال عدد من الإصلاحات المهمة في المجالات المذكورة، فإن زخم الإصلاحات تباطأ بدرجة كبيرة في أعقاب الأزمة المالية عام 2008، واشتد تباطؤه بعد الثورة في يناير 2011. ويُعزَى هذا إلى حالة عدم اليقين التي سادت البيئة السياسية والسياسات.</w:t>
      </w:r>
    </w:p>
    <w:p w:rsidR="00810BAC" w:rsidRPr="00FF3102" w:rsidRDefault="00B82445" w:rsidP="00810BAC">
      <w:pPr>
        <w:autoSpaceDE w:val="0"/>
        <w:autoSpaceDN w:val="0"/>
        <w:bidi/>
        <w:adjustRightInd w:val="0"/>
        <w:ind w:left="1440"/>
        <w:contextualSpacing/>
        <w:jc w:val="center"/>
        <w:rPr>
          <w:rFonts w:ascii="Simplified Arabic" w:eastAsiaTheme="minorEastAsia" w:hAnsi="Simplified Arabic" w:cs="Simplified Arabic"/>
        </w:rPr>
      </w:pPr>
      <w:r w:rsidRPr="00FF3102">
        <w:rPr>
          <w:rFonts w:ascii="Simplified Arabic" w:eastAsiaTheme="minorEastAsia" w:hAnsi="Simplified Arabic" w:cs="Simplified Arabic"/>
          <w:noProof/>
        </w:rPr>
        <w:drawing>
          <wp:inline distT="0" distB="0" distL="0" distR="0" wp14:anchorId="18AC9BAD" wp14:editId="30DCEDFA">
            <wp:extent cx="3800475" cy="1952625"/>
            <wp:effectExtent l="0" t="0" r="0" b="0"/>
            <wp:docPr id="4"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10BAC" w:rsidRPr="00FF3102" w:rsidRDefault="00810BAC" w:rsidP="00810BAC">
      <w:pPr>
        <w:autoSpaceDE w:val="0"/>
        <w:autoSpaceDN w:val="0"/>
        <w:bidi/>
        <w:adjustRightInd w:val="0"/>
        <w:spacing w:after="240"/>
        <w:ind w:left="720"/>
        <w:contextualSpacing/>
        <w:rPr>
          <w:rFonts w:ascii="Simplified Arabic" w:hAnsi="Simplified Arabic" w:cs="Simplified Arabic"/>
        </w:rPr>
      </w:pP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وتحقَّقت أيضا النواتج الستة المتصلة بمساندة مجموعة البنك الدولي لتحسين القدرة التنافسية والكفاءة في القطاع المالي.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وقدَّمت مؤسسة التمويل الدولية والبنك الدولي مساندة كبيرة لهذا القطاع خلال هذه الفترة في شكل قروض ومساعدات فنية. وتشتمل المنجزات الرئيسية التي تحققت على ما يلي: </w:t>
      </w:r>
    </w:p>
    <w:p w:rsidR="00810BAC" w:rsidRPr="000523EE" w:rsidRDefault="00810BAC" w:rsidP="001E71BE">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rtl/>
        </w:rPr>
        <w:t>تحقيق إستراتيجية لتوسيع سبل الوصول إلى أشد الناس فقرا من خلال قيام الحكومة بتعزيز المشروعات المتوسطة والصغيرة والمتناهية الصغر والصندوق الاجتماعي للتنمية التي تتيح آليات للوصول إلى فئات السكان المستهدفة. ولقيت هذه الأنشطة مساندة من مؤسسة التمويل الدولية والبنك الدولي.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وقدَّمت المؤسسة على وجه الخصوص مساندة فنية لمؤسسات مالية غير حكومية متعددة الأطراف في </w:t>
      </w:r>
      <w:r w:rsidRPr="000523EE">
        <w:rPr>
          <w:rFonts w:ascii="Simplified Arabic" w:eastAsiaTheme="minorEastAsia" w:hAnsi="Simplified Arabic" w:cs="Simplified Arabic"/>
          <w:rtl/>
        </w:rPr>
        <w:t>مصر من أجل (1) تنويع أدوات الإقراض المتاحة؛ و(2) تحسين إدارة المخاطر.</w:t>
      </w:r>
    </w:p>
    <w:p w:rsidR="00810BAC" w:rsidRPr="00FF3102" w:rsidRDefault="00810BAC" w:rsidP="001E71BE">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rtl/>
        </w:rPr>
        <w:t>وعزَّز البنك المركزي قواعد حوكمة الشركات في القطاع المصرفي، وقامت الحكومة بتعديل قانون البنك المركزي والجهاز المصرفي والنقد من أجل تحسين قواعد حوكمتها الداخلية. وعقدت مؤسسة التمويل الدولية بالتعاون مع عدة جمعيات أعمال عدة حلقات دراسية عن حوكمة الشركات لتدريب المشروعات المتوسطة والصغيرة والمتناهية الصغر على أفضل الممارسات لمساعدتها على تحسين الأداء.</w:t>
      </w:r>
      <w:r w:rsidRPr="00FF3102">
        <w:rPr>
          <w:rFonts w:ascii="Simplified Arabic" w:eastAsiaTheme="minorEastAsia" w:hAnsi="Simplified Arabic" w:cs="Simplified Arabic"/>
        </w:rPr>
        <w:t xml:space="preserve"> </w:t>
      </w:r>
    </w:p>
    <w:p w:rsidR="00810BAC" w:rsidRPr="00FF3102" w:rsidRDefault="00810BAC" w:rsidP="001E71BE">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rtl/>
        </w:rPr>
        <w:t>حدثت زيادة في ملكية القطاع الخاص في القطاع المصرفي. وساعدت الإصلاحات التي بدأ تنفيذها في عام 2005 على زيادة المنافسة في القطاع المالي.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وأُجرِيت هذه الإصلاحات بفضل مساندة إقراضية واستشارية نشطة من البنك الدولي ومؤسسة التمويل الدولية، بما في ذلك من خلال برنامج المساعدات الفنية للمشروعات المتوسطة والصغيرة والمتناهية الصغر الذي يجري تنفيذه بالتعاون بين المؤسستين. </w:t>
      </w: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وتحقَّقت جزئيا النتيجة المتوقعة الخاصة بتوسيع البنية التحتية وتحسينها.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وفيما يلي التفاصيل حسب القطاع.</w:t>
      </w:r>
    </w:p>
    <w:p w:rsidR="00810BAC" w:rsidRPr="00FF3102" w:rsidRDefault="00810BAC" w:rsidP="00556002">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rtl/>
        </w:rPr>
        <w:t>تعلقت النواتج التي تحققت في معظمها بتحسين البنية التحتية لقطاع الكهرباء، ولاسيما زيادة طاقة توليد الكهرباء بمقدار 27 ألف ميجاوات، وتوسيع شبكة توزيع الغاز الطبيعي من خلال ربط 300 ألف أسرة بها، وإصلاح دعم الطاقة. وتحقَّقت جزئيا نتيجة توسيع طاقة توليد الكهرباء. وعلى الرغم من أن الأرقام المستهدفة لم تتحقق، فإن البنك الدولي أحرز تقدما كبيرا في مساعدة البلاد على زيادة طاقتها لتوليد الكهرباء.</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مشروع توليد الكهرباء سريع التنفيذ (2100 ميجاوات) أحد العوامل الدافعة الرئيسية لزيادة القدرة المركبة إلى ما يبلغ إجمالا 29 ألف ميجاوات. وفي الفترة من السنة المالية 2006 وحتى السنة المالية 2014، قام البنك الدولي بتمويل إنشاء أربع محطات توليد تعمل بالغاز (التبين</w:t>
      </w:r>
      <w:r w:rsidR="00941C03" w:rsidRPr="00FF3102">
        <w:rPr>
          <w:rStyle w:val="FootnoteReference"/>
          <w:rFonts w:ascii="Simplified Arabic" w:eastAsiaTheme="minorEastAsia" w:hAnsi="Simplified Arabic" w:cs="Simplified Arabic"/>
          <w:rtl/>
        </w:rPr>
        <w:footnoteReference w:id="32"/>
      </w:r>
      <w:r w:rsidRPr="00FF3102">
        <w:rPr>
          <w:rFonts w:ascii="Simplified Arabic" w:eastAsiaTheme="minorEastAsia" w:hAnsi="Simplified Arabic" w:cs="Simplified Arabic"/>
          <w:rtl/>
        </w:rPr>
        <w:t xml:space="preserve"> والعين السخنة وشمال الجيزة وجنوب حلوان)، وساند أيضا برنامجا لإنتاج الطاقة المتجددة. وساندت مؤسسة التمويل الدولية برنامج الحكومة المصرية للكهرباء من خلال تطوير مشروع محطة الكهرباء المستقلة التي تعمل بالغاز في ديروط وطاقتها 2250 ميجاوات بقيامها بدور المستشار الرئيسي في الصفقة.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التقدم المحرز في تنفيذ العملية بطيئا جدا بعد الثورة بسبب عدة قضايا، منها على سبيل المثال الحاجة إلى ضمانة سيادية، وتحديد حجم المحطة، وإمدادات الوقود.</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وساند البنك الدولي جهود الحكومة المصرية لزيادة ربط الأسر بشبكة الغاز الطبيعي في القاهرة الكبرى من خلال مشروع توصيل الغاز الطبيعي للمنازل الذي بلغت تكلفته 75 مليون دولار. وموَّل هذا المشروع بنجاح توصيل الغاز الطبيعي إلى 365637 أسرة (متجاوزا الهدف الأصلي بتوصيل الغاز إلى 300 ألف أسرة) أو 15 في المائة من الأسر التي تم ربطها بالشبكة.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وساعدت استثمارات مؤسسة التمويل الدولية في قطاع النفط والغاز بمصر وعلى مستوى المحافظات أيضا البلاد في تلبية الاحتياجات المحلية إلى الغاز، ولاسيما في القطاع الصناعي.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وفيما يتعلق بدعم منتجات الطاقة، كما ذكرنا آنفا، حدثت زيادة في رسوم استهلاك الكهرباء لمجموعة من الصناعات كثيفة الاستخدام للطاقة، وتم أيضا تنفيذ تعديلات للرسوم الخاصة بالمستهلكين.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وقدم البنك الدولي مشورة مهمة بشأن السياسات في هذا المجال. </w:t>
      </w:r>
    </w:p>
    <w:p w:rsidR="00810BAC" w:rsidRPr="00FF3102" w:rsidRDefault="00810BAC" w:rsidP="001E71BE">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kern w:val="1"/>
          <w:rtl/>
        </w:rPr>
        <w:t>وفي قطاع النقل، تحقَّقت النتائج جزئيا فيما يتصل بالنواتج التالية: زيادة الطاقة الاستيعابية للمطارات، وتحسُّن الجدوى المالية لهيئة السكك الحديدية، وزيادة التمويل لأعمال صيانة الطرق، وتحسن النقل في المناطق الحضرية.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وسوف تزداد الطاقة الاستيعابية للمطارات من 3.5 مليون راكب سنويا إلى 7.5 مليون. وكانت أعمال إعادة التأهيل والتوسعة لمبنى الركاب الثاني بمطار القاهرة أبطأ مما كان متوقعا عند الموافقة على المشروع لكن تسارعت خطاها منذ ذلك الحين.</w:t>
      </w:r>
      <w:r w:rsidRPr="00FF3102">
        <w:rPr>
          <w:rFonts w:ascii="Simplified Arabic" w:eastAsiaTheme="minorEastAsia" w:hAnsi="Simplified Arabic" w:cs="Simplified Arabic"/>
          <w:kern w:val="1"/>
        </w:rPr>
        <w:t xml:space="preserve"> </w:t>
      </w:r>
      <w:r w:rsidRPr="00FF3102">
        <w:rPr>
          <w:rFonts w:ascii="Simplified Arabic" w:eastAsiaTheme="minorEastAsia" w:hAnsi="Simplified Arabic" w:cs="Simplified Arabic"/>
          <w:rtl/>
        </w:rPr>
        <w:t xml:space="preserve">وأُجرِيت </w:t>
      </w:r>
      <w:r w:rsidRPr="00FF3102">
        <w:rPr>
          <w:rFonts w:ascii="Simplified Arabic" w:eastAsiaTheme="minorEastAsia" w:hAnsi="Simplified Arabic" w:cs="Simplified Arabic"/>
          <w:kern w:val="1"/>
          <w:rtl/>
        </w:rPr>
        <w:t xml:space="preserve">أيضا دراسة لتحرير النقل الجوي، ويجري تنفيذ توصياتها. </w:t>
      </w:r>
      <w:r w:rsidRPr="00FF3102">
        <w:rPr>
          <w:rFonts w:ascii="Simplified Arabic" w:eastAsiaTheme="minorEastAsia" w:hAnsi="Simplified Arabic" w:cs="Simplified Arabic"/>
          <w:rtl/>
        </w:rPr>
        <w:t>وساند البنك الدولي أيضا الحكومة في إعداد عقود الإدارة للمطارات.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وتجري إعادة تنظيم الهيئة القومية لسكك حديد مصر وفق الأهداف الواردة في مذكرة الإستراتيجية المؤقتة، وقيد التنفيذ أيضا تحديث نُظُم الإشارات على خط القاهرة</w:t>
      </w:r>
      <w:r w:rsidR="00556002">
        <w:rPr>
          <w:rFonts w:ascii="Simplified Arabic" w:eastAsiaTheme="minorEastAsia" w:hAnsi="Simplified Arabic" w:cs="Simplified Arabic" w:hint="cs"/>
          <w:rtl/>
        </w:rPr>
        <w:t xml:space="preserve"> </w:t>
      </w:r>
      <w:r w:rsidRPr="00FF3102">
        <w:rPr>
          <w:rFonts w:ascii="Simplified Arabic" w:eastAsiaTheme="minorEastAsia" w:hAnsi="Simplified Arabic" w:cs="Simplified Arabic"/>
          <w:rtl/>
        </w:rPr>
        <w:t>-</w:t>
      </w:r>
      <w:r w:rsidR="00556002">
        <w:rPr>
          <w:rFonts w:ascii="Simplified Arabic" w:eastAsiaTheme="minorEastAsia" w:hAnsi="Simplified Arabic" w:cs="Simplified Arabic" w:hint="cs"/>
          <w:rtl/>
        </w:rPr>
        <w:t xml:space="preserve"> </w:t>
      </w:r>
      <w:r w:rsidRPr="00FF3102">
        <w:rPr>
          <w:rFonts w:ascii="Simplified Arabic" w:eastAsiaTheme="minorEastAsia" w:hAnsi="Simplified Arabic" w:cs="Simplified Arabic"/>
          <w:rtl/>
        </w:rPr>
        <w:t>أسيوط.</w:t>
      </w:r>
      <w:r w:rsidRPr="00FF3102">
        <w:rPr>
          <w:rFonts w:ascii="Simplified Arabic" w:eastAsiaTheme="minorEastAsia" w:hAnsi="Simplified Arabic" w:cs="Simplified Arabic"/>
          <w:kern w:val="1"/>
        </w:rPr>
        <w:t xml:space="preserve"> </w:t>
      </w:r>
      <w:r w:rsidRPr="00FF3102">
        <w:rPr>
          <w:rFonts w:ascii="Simplified Arabic" w:eastAsiaTheme="minorEastAsia" w:hAnsi="Simplified Arabic" w:cs="Simplified Arabic"/>
          <w:kern w:val="1"/>
          <w:rtl/>
        </w:rPr>
        <w:t>و</w:t>
      </w:r>
      <w:r w:rsidR="00556002">
        <w:rPr>
          <w:rFonts w:ascii="Simplified Arabic" w:eastAsiaTheme="minorEastAsia" w:hAnsi="Simplified Arabic" w:cs="Simplified Arabic" w:hint="cs"/>
          <w:kern w:val="1"/>
          <w:rtl/>
        </w:rPr>
        <w:t xml:space="preserve">قد </w:t>
      </w:r>
      <w:r w:rsidRPr="00FF3102">
        <w:rPr>
          <w:rFonts w:ascii="Simplified Arabic" w:eastAsiaTheme="minorEastAsia" w:hAnsi="Simplified Arabic" w:cs="Simplified Arabic"/>
          <w:kern w:val="1"/>
          <w:rtl/>
        </w:rPr>
        <w:t>سجَّلت الجدوى المالية لهيئة السكك الحديدية تحسُّنا، لكنها تراجعت بسبب عدم الاستقرار السياسي.</w:t>
      </w:r>
      <w:r w:rsidRPr="00FF3102">
        <w:rPr>
          <w:rFonts w:ascii="Simplified Arabic" w:eastAsiaTheme="minorEastAsia" w:hAnsi="Simplified Arabic" w:cs="Simplified Arabic"/>
          <w:kern w:val="1"/>
        </w:rPr>
        <w:t xml:space="preserve"> </w:t>
      </w:r>
      <w:r w:rsidRPr="00FF3102">
        <w:rPr>
          <w:rFonts w:ascii="Simplified Arabic" w:eastAsiaTheme="minorEastAsia" w:hAnsi="Simplified Arabic" w:cs="Simplified Arabic"/>
          <w:kern w:val="1"/>
          <w:rtl/>
        </w:rPr>
        <w:t>ويناقش البنك الدولي تحديث السكك الحديدية مع الأجهزة المختصة من أجل تحسين حوكمة وكفاءة إدارة السكك الحديدية.</w:t>
      </w:r>
      <w:r w:rsidRPr="00FF3102">
        <w:rPr>
          <w:rFonts w:ascii="Simplified Arabic" w:eastAsiaTheme="minorEastAsia" w:hAnsi="Simplified Arabic" w:cs="Simplified Arabic"/>
          <w:kern w:val="1"/>
        </w:rPr>
        <w:t xml:space="preserve"> </w:t>
      </w:r>
      <w:r w:rsidRPr="00FF3102">
        <w:rPr>
          <w:rFonts w:ascii="Simplified Arabic" w:eastAsiaTheme="minorEastAsia" w:hAnsi="Simplified Arabic" w:cs="Simplified Arabic"/>
          <w:kern w:val="1"/>
          <w:rtl/>
        </w:rPr>
        <w:t>وتماشيا مع الهدف الوارد في إستراتيجية المساعدة الخاصة بمصر/مذكرة الإستراتيجية المؤقتة، اعتمدت الحكومة إستراتيجية لإدارة مرافق الطرق تهدف، على سبيل المثال لا الحصر، إلى تحسين صيانة الطرق.</w:t>
      </w:r>
      <w:r w:rsidRPr="00FF3102">
        <w:rPr>
          <w:rFonts w:ascii="Simplified Arabic" w:eastAsiaTheme="minorEastAsia" w:hAnsi="Simplified Arabic" w:cs="Simplified Arabic"/>
          <w:kern w:val="1"/>
        </w:rPr>
        <w:t xml:space="preserve"> </w:t>
      </w:r>
      <w:r w:rsidRPr="00FF3102">
        <w:rPr>
          <w:rFonts w:ascii="Simplified Arabic" w:eastAsiaTheme="minorEastAsia" w:hAnsi="Simplified Arabic" w:cs="Simplified Arabic"/>
          <w:kern w:val="1"/>
          <w:rtl/>
        </w:rPr>
        <w:t xml:space="preserve">وتأسس جهاز تنظيم النقل الحضري بالقاهرة الكبرى، ويُقدِّم البنك الدولي المساندة للحكومة حتى تدخل حيز التشغيل الكامل. </w:t>
      </w:r>
    </w:p>
    <w:p w:rsidR="00810BAC" w:rsidRPr="00FF3102" w:rsidRDefault="00810BAC" w:rsidP="00556002">
      <w:pPr>
        <w:numPr>
          <w:ilvl w:val="1"/>
          <w:numId w:val="27"/>
        </w:numPr>
        <w:bidi/>
        <w:spacing w:after="240"/>
        <w:ind w:left="1440"/>
        <w:jc w:val="both"/>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وفي مجالات </w:t>
      </w:r>
      <w:r w:rsidRPr="00556002">
        <w:rPr>
          <w:rFonts w:ascii="Simplified Arabic" w:eastAsiaTheme="minorEastAsia" w:hAnsi="Simplified Arabic" w:cs="Simplified Arabic"/>
          <w:b/>
          <w:i/>
          <w:rtl/>
        </w:rPr>
        <w:t>الاتصالات</w:t>
      </w:r>
      <w:r w:rsidRPr="00FF3102">
        <w:rPr>
          <w:rFonts w:ascii="Simplified Arabic" w:eastAsiaTheme="minorEastAsia" w:hAnsi="Simplified Arabic" w:cs="Simplified Arabic"/>
          <w:rtl/>
        </w:rPr>
        <w:t>، فإنه نظرا لعدم توفر المعلومات بسهولة بشأن خفض التكاليف، وهي النتيجة المتوقعة، لم تتحقَّق النتائج المتوخاة.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وتحدَّدت مشاركة البنك الدولي في إطار برنامج موسَّع </w:t>
      </w:r>
      <w:r w:rsidR="00556002">
        <w:rPr>
          <w:rFonts w:ascii="Simplified Arabic" w:eastAsiaTheme="minorEastAsia" w:hAnsi="Simplified Arabic" w:cs="Simplified Arabic" w:hint="cs"/>
          <w:rtl/>
        </w:rPr>
        <w:t>"</w:t>
      </w:r>
      <w:r w:rsidRPr="00FF3102">
        <w:rPr>
          <w:rFonts w:ascii="Simplified Arabic" w:eastAsiaTheme="minorEastAsia" w:hAnsi="Simplified Arabic" w:cs="Simplified Arabic"/>
          <w:rtl/>
        </w:rPr>
        <w:t>للخدمات الاستشارية</w:t>
      </w:r>
      <w:r w:rsidR="00556002">
        <w:rPr>
          <w:rFonts w:ascii="Simplified Arabic" w:eastAsiaTheme="minorEastAsia" w:hAnsi="Simplified Arabic" w:cs="Simplified Arabic" w:hint="cs"/>
          <w:rtl/>
        </w:rPr>
        <w:t xml:space="preserve"> غير المدفوعة"</w:t>
      </w:r>
      <w:r w:rsidRPr="00FF3102">
        <w:rPr>
          <w:rFonts w:ascii="Simplified Arabic" w:eastAsiaTheme="minorEastAsia" w:hAnsi="Simplified Arabic" w:cs="Simplified Arabic"/>
          <w:rtl/>
        </w:rPr>
        <w:t xml:space="preserve"> لا يتصل على نحو مُحدَّد بخفض النفقات، لكن ببناء القدرات فيما يتصل بالإحصاءات، والسياسة القانونية واتصالات النطاق العريض. يُشار هنا إلى أن البنك الدولي قدَّم خدمتين استشاريتين تُرَد تكاليفهما بشأن "الخيارات الإستراتيجية لسياسة النطاق العريض" و "تطوير اتصالات النطاق العريض: التقييم الاجتماعي والاقتصادي."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واستفادت الحكومة من هذين العملين في صياغة الخطة القومية لنشر خدمات الإنترنت فائق السرعة </w:t>
      </w:r>
      <w:r w:rsidRPr="00FF3102">
        <w:rPr>
          <w:rFonts w:ascii="Simplified Arabic" w:eastAsiaTheme="minorEastAsia" w:hAnsi="Simplified Arabic" w:cs="Simplified Arabic"/>
        </w:rPr>
        <w:t>eMisr</w:t>
      </w:r>
      <w:r w:rsidRPr="00FF3102">
        <w:rPr>
          <w:rFonts w:ascii="Simplified Arabic" w:eastAsiaTheme="minorEastAsia" w:hAnsi="Simplified Arabic" w:cs="Simplified Arabic"/>
          <w:rtl/>
        </w:rPr>
        <w:t>، وهي إستراتيجية شاملة لتطوير القطاع من أجل تيسير الوصول إلى خدمات النطاق العريض لثمانية ملايين أسرة مصرية.</w:t>
      </w: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تحقَّقت إلى حد كبير النتيجتان المتصلتان بالتعليم: 1) النجاح في توسيع نطاق برامج تجريبية لتحسين جودة التعليم وملاءمته؛ و2) تحسين مناهج التعليم الثانوي.</w:t>
      </w:r>
      <w:r w:rsidRPr="00FF3102">
        <w:rPr>
          <w:rFonts w:ascii="Simplified Arabic" w:eastAsiaTheme="minorEastAsia" w:hAnsi="Simplified Arabic" w:cs="Simplified Arabic"/>
          <w:rtl/>
        </w:rPr>
        <w:t xml:space="preserve"> وقد تحقَّقت النتيجة الأولى وهي نجاح اختبار (قبل التوسعة النهائية) البرامج التجريبية المعنية بتحسين نوعية/ وملاءمة: 1) التعليم العالي، 2) تنمية المهارات، 3) تنمية الطفولة المبكرة. وقدَّم البنك الدولي مساهمات مهمة في تطوير التعليم العالي في مصر بمساعدته في إنشاء الهيئة القومية لضمان جودة التعليم والاعتماد، ووحدات ضمان الجودة في كل المحافظات، وكذلك صندوق مشروع تطوير التعليم العالي وهو صندوق تنافسي.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وفيما يتعلق بتطوير المهارات، أنشأ مشروع تطوير المهارات الذي يُموِّله البنك الدولي للإنشاء والتعمير آلية تمويل تساند التدريب للعاملين أثناء الخدمة والمحتملين من خلال نهج تنافسي يقوم على تقاسم التكاليف.</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وفضلا عن ذلك، تم تقديم مساعدة فنية للأداة التشخيصية التي يطلق عليها نهج</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النظم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أجل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تحسين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نواتج</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التعليم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إطار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خطة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تنمية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القوى</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العاملة </w:t>
      </w:r>
      <w:r w:rsidRPr="00FF3102">
        <w:rPr>
          <w:rFonts w:ascii="Simplified Arabic" w:eastAsiaTheme="minorEastAsia" w:hAnsi="Simplified Arabic" w:cs="Simplified Arabic"/>
        </w:rPr>
        <w:t>SABER-WfD</w:t>
      </w:r>
      <w:r w:rsidRPr="00FF3102">
        <w:rPr>
          <w:rFonts w:ascii="Simplified Arabic" w:eastAsiaTheme="minorEastAsia" w:hAnsi="Simplified Arabic" w:cs="Simplified Arabic"/>
          <w:rtl/>
        </w:rPr>
        <w:t>،</w:t>
      </w:r>
      <w:r w:rsidR="00941C03" w:rsidRPr="00FF3102">
        <w:rPr>
          <w:rStyle w:val="FootnoteReference"/>
          <w:rFonts w:ascii="Simplified Arabic" w:eastAsiaTheme="minorEastAsia" w:hAnsi="Simplified Arabic" w:cs="Simplified Arabic"/>
          <w:rtl/>
        </w:rPr>
        <w:footnoteReference w:id="33"/>
      </w:r>
      <w:r w:rsidRPr="00FF3102">
        <w:rPr>
          <w:rFonts w:ascii="Simplified Arabic" w:eastAsiaTheme="minorEastAsia" w:hAnsi="Simplified Arabic" w:cs="Simplified Arabic"/>
          <w:rtl/>
        </w:rPr>
        <w:t xml:space="preserve"> وذلك لتسهيل الخطوات التالية للحوار بشأن السياسات في تطوير المهارات.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وبالنسبة لتنمية الطفولة المبكرة، كان الإنجاز الرئيسي هو التوسُّع في برامج التعليم، عن طريق مساندة المنظمات غير الحكومية، وكذلك المدارس الحكومية؛ وإعداد وتصميم معايير ومناهج جديدة لتنمية الطفولة المبكرة؛ وابتكار مواد تدريس جديدة لمساندة تنفيذ المعايير الجديدة.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وكانت المنجزات المتصلة بالنتيجة الثانية الخاصة بتحسين المناهج للتعليم الثانوي متفاوتة. وعلى الرغم من أن وزارة التعليم وافقت على إطار المناهج الجديدة للتعليم الثانوي، فإنها عجزت عن ترجمة هذا الإطار إلى وثيقة متطوِّرة للمناهج الجديدة بسبب غياب التعاون بين المؤسسات التعليمية ومجتمع الأعمال.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ومن أجل مساندة تنمية القطاع الخاص في مجال التعليم، ارتبطت مؤسسة التمويل الدولية بتقديم استثمار قيمته 15 مليون دولار إلى شركة القاهرة للاستثمار والتنمية العقارية، وهي مؤسسة تعليمية رائدة (من رياض الأطفال إلى الصف الدراسي الثاني عشر) من أجل خطتها للتوسع في المحافظات.</w:t>
      </w:r>
    </w:p>
    <w:p w:rsidR="00810BAC" w:rsidRPr="00FF3102" w:rsidRDefault="00810BAC" w:rsidP="001E71BE">
      <w:pPr>
        <w:numPr>
          <w:ilvl w:val="0"/>
          <w:numId w:val="16"/>
        </w:numPr>
        <w:bidi/>
        <w:spacing w:after="240"/>
        <w:jc w:val="both"/>
        <w:rPr>
          <w:rFonts w:ascii="Simplified Arabic" w:eastAsiaTheme="minorEastAsia" w:hAnsi="Simplified Arabic" w:cs="Simplified Arabic"/>
          <w:b/>
        </w:rPr>
      </w:pPr>
      <w:r w:rsidRPr="00FF3102">
        <w:rPr>
          <w:rFonts w:ascii="Simplified Arabic" w:eastAsiaTheme="minorEastAsia" w:hAnsi="Simplified Arabic" w:cs="Simplified Arabic"/>
          <w:bCs/>
          <w:rtl/>
        </w:rPr>
        <w:t>تحقَّقت جزئيا النتيجة المتوقعة والخاصة بالنجاح في تطوير نظم لتحسين الصلات بين المُورِّدين والأسواق الخارجية، وذلك أساسا من خلال الإجراءات التدخلية لمؤسسة التمويل الدولية.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وخلال فترة إستراتيجية المساعدة الخاصة بمصر، قدَّم البنك الدولي ومؤسسة التمويل الدولية مساندة معرفية في تحسين قدرة مصر على المنافسة، ولاسيما من خلال الحوار بشأن مؤشرات "ممارسة أنشطة الأعمال".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إلا أن هذا الحوار لم يستمر في فترة ما بعد عام 2011 بسبب الاضطرابات السياسية.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b/>
          <w:rtl/>
        </w:rPr>
        <w:t>واستخدمت مؤسسة التمويل أداتها الاستشارية برنامج بيزنيس إيدج (وهي برنامج لبناء قدرات الإدارة المباشرة) لتدريب 7434 فردا (20 في المائة منهم نساء) بين يوليو 2005 وديسمبر 2013. ومن هؤلاء، كان 1721 شخصا من 130 شركة مختلفة من الشركات الصغيرة والمتوسطة، وهم جزء من سلسلة توريد أربع شركات رائدة كبيرة في قطاعات تكنولوجيا المعلومات والاتصالات، والسلع الاستهلاكية سريعة الدوران، والمنتجات الدوائية، والاتصالات.</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b/>
          <w:rtl/>
        </w:rPr>
        <w:t>وساعدت هذه الإجراءات التدخلية في سلاسل القيمة على تقوية سلاسل القيمة بوجه عام، وتحسين الصلات مع الشركة الرائدة، وهو ما أدَّى إلى زيادة مبيعات الشركات.</w:t>
      </w:r>
    </w:p>
    <w:p w:rsidR="00810BAC" w:rsidRPr="00FF3102" w:rsidRDefault="00810BAC" w:rsidP="00810BAC">
      <w:pPr>
        <w:bidi/>
        <w:rPr>
          <w:rFonts w:ascii="Simplified Arabic" w:hAnsi="Simplified Arabic" w:cs="Simplified Arabic"/>
          <w:rtl/>
        </w:rPr>
      </w:pPr>
    </w:p>
    <w:p w:rsidR="00810BAC" w:rsidRPr="00FF3102" w:rsidRDefault="00810BAC" w:rsidP="00216525">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الركيزة 3: الاحتواء. </w:t>
      </w:r>
      <w:r w:rsidRPr="00FF3102">
        <w:rPr>
          <w:rFonts w:ascii="Simplified Arabic" w:eastAsiaTheme="minorEastAsia" w:hAnsi="Simplified Arabic" w:cs="Simplified Arabic"/>
          <w:rtl/>
        </w:rPr>
        <w:t>استهدفت جهود مجموعة البنك الدولي توسيع إمكانيات حصول الشرائح المحرومة من السكان –النساء والشباب والمناطق الجغرافية المتأخرة- على خدمات البنية التحتية والخدمات الاجتماعية.</w:t>
      </w:r>
      <w:r w:rsidRPr="00FF3102">
        <w:rPr>
          <w:rFonts w:ascii="Simplified Arabic" w:eastAsiaTheme="minorEastAsia" w:hAnsi="Simplified Arabic" w:cs="Simplified Arabic"/>
        </w:rPr>
        <w:t xml:space="preserve"> </w:t>
      </w:r>
      <w:r w:rsidR="00216525">
        <w:rPr>
          <w:rFonts w:ascii="Simplified Arabic" w:eastAsiaTheme="minorEastAsia" w:hAnsi="Simplified Arabic" w:cs="Simplified Arabic" w:hint="cs"/>
          <w:rtl/>
        </w:rPr>
        <w:t>وقد حصلت</w:t>
      </w:r>
      <w:r w:rsidRPr="00FF3102">
        <w:rPr>
          <w:rFonts w:ascii="Simplified Arabic" w:eastAsiaTheme="minorEastAsia" w:hAnsi="Simplified Arabic" w:cs="Simplified Arabic"/>
          <w:rtl/>
        </w:rPr>
        <w:t xml:space="preserve"> هذه الركيزة </w:t>
      </w:r>
      <w:r w:rsidR="00216525">
        <w:rPr>
          <w:rFonts w:ascii="Simplified Arabic" w:eastAsiaTheme="minorEastAsia" w:hAnsi="Simplified Arabic" w:cs="Simplified Arabic" w:hint="cs"/>
          <w:rtl/>
        </w:rPr>
        <w:t xml:space="preserve">علي </w:t>
      </w:r>
      <w:r w:rsidRPr="00FF3102">
        <w:rPr>
          <w:rFonts w:ascii="Simplified Arabic" w:eastAsiaTheme="minorEastAsia" w:hAnsi="Simplified Arabic" w:cs="Simplified Arabic"/>
          <w:rtl/>
        </w:rPr>
        <w:t xml:space="preserve">تصنيف </w:t>
      </w:r>
      <w:r w:rsidRPr="00FF3102">
        <w:rPr>
          <w:rFonts w:ascii="Simplified Arabic" w:eastAsiaTheme="minorEastAsia" w:hAnsi="Simplified Arabic" w:cs="Simplified Arabic"/>
          <w:iCs/>
          <w:rtl/>
        </w:rPr>
        <w:t>غير مرض إلى حد ما</w:t>
      </w:r>
      <w:r w:rsidRPr="00FF3102">
        <w:rPr>
          <w:rFonts w:ascii="Simplified Arabic" w:eastAsiaTheme="minorEastAsia" w:hAnsi="Simplified Arabic" w:cs="Simplified Arabic"/>
          <w:rtl/>
        </w:rPr>
        <w:t>، مع تحقُّق تقدم ملموس في تخفيض تلوُّث المياه والهواء، وإمكانية حصول النساء على الائتمان.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وترد فيما يلي مناقشة سير التقدُّم في تحقيق النواتج المتوقعة.</w:t>
      </w:r>
    </w:p>
    <w:p w:rsidR="00810BAC" w:rsidRPr="00FF3102" w:rsidRDefault="00810BAC" w:rsidP="001E71BE">
      <w:pPr>
        <w:numPr>
          <w:ilvl w:val="0"/>
          <w:numId w:val="16"/>
        </w:numPr>
        <w:bidi/>
        <w:spacing w:after="240"/>
        <w:jc w:val="both"/>
        <w:rPr>
          <w:rFonts w:ascii="Simplified Arabic" w:eastAsiaTheme="minorEastAsia" w:hAnsi="Simplified Arabic" w:cs="Simplified Arabic"/>
          <w:u w:val="single"/>
        </w:rPr>
      </w:pPr>
      <w:r w:rsidRPr="00FF3102">
        <w:rPr>
          <w:rFonts w:ascii="Simplified Arabic" w:eastAsiaTheme="minorEastAsia" w:hAnsi="Simplified Arabic" w:cs="Simplified Arabic"/>
          <w:bCs/>
          <w:rtl/>
        </w:rPr>
        <w:t>تحقَّقت جزئيا النتيجة المتوقعة الخاصة بنجاح اختبار برامج تجريبية لتوسيع خدمات الصرف الصحي في المناطق الريفية، وزيادة الكفاءة ومشاركة المنتفعين في مشروعات الصرف، وتكوين شراكات بين القطاعين العام والخاص، وذلك بفضل ما تحقَّق من تقدم في مجال الري والصرف.</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وحدث تحسُّن في خدمات الري والصرف المُقدَّمة إلى أكثر من 300 ألف مزارع، وذلك بفضل مشروع الإدارة المتكاملة وتحسين الري الذي يُموِّله البنك الدولي، والمرحلة الثانية من المشروع القومي للصرف الزراعي اللذين حقَّقا أيضا النتائج المرجوة لزيادة مشاركة المنتفعين.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وفيما يتعلق بالصرف الصحي، كانت النتائج أكثر تفاوتا.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فالعمل يمضي قُدُما لبلوغ هدف توسيع البنية التحتية لشبكات الصرف الصحي في المناطق الريفية في إطار مشروعي البنية التحتية المتكاملة للصرف الصحي الأول والثاني اللذين يمولهما البنك الدولي (بالتعاون مع صندوق استئماني للصرف الصحي)</w:t>
      </w:r>
      <w:r w:rsidR="00216525">
        <w:rPr>
          <w:rFonts w:ascii="Simplified Arabic" w:eastAsiaTheme="minorEastAsia" w:hAnsi="Simplified Arabic" w:cs="Simplified Arabic"/>
          <w:rtl/>
        </w:rPr>
        <w:t>، لكن تأخر تحقيقه بسبب التأخير</w:t>
      </w:r>
      <w:r w:rsidRPr="00FF3102">
        <w:rPr>
          <w:rFonts w:ascii="Simplified Arabic" w:eastAsiaTheme="minorEastAsia" w:hAnsi="Simplified Arabic" w:cs="Simplified Arabic"/>
          <w:rtl/>
        </w:rPr>
        <w:t xml:space="preserve"> في إعداد التصميمات التفصيلية، وإجراء المناقصات، وتقييم الآثار البيئية والاجتماعية، واعتراضات المجتمعات المحلية، وقضايا نزع ملكية الأراضي.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وقدَّمت مؤسسة التمويل الدولية بنجاح المشورة للحكومة بشأن أول عملية لها بنظام الشراكات بين القطاعين العام والخاص في مجال مياه الصرف في البلاد، وذلك من خلال تنفيذ مشروع محطة مياه الصرف بالقاهرة الجديدة.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واجتذب المشروع استثمارات خاصة بقيمة 120 مليون دولار وتم إقفاله ماليا في عام 2010، وهو الآن في مرحلة التشغيل الكامل.</w:t>
      </w:r>
      <w:r w:rsidRPr="00FF3102">
        <w:rPr>
          <w:rFonts w:ascii="Simplified Arabic" w:eastAsiaTheme="minorEastAsia" w:hAnsi="Simplified Arabic" w:cs="Simplified Arabic"/>
        </w:rPr>
        <w:t xml:space="preserve"> </w:t>
      </w: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تحقَّقت النتيجة البيئية المتوقعة في إستراتيجية المساعدة الخاصة بمصر ومذكرة الإستراتيجية المؤقتة –وهي النجاح في توسيع نطاق جهود الحد من التلوُّث وإدارة مياه الصرف.</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وجاء تحقيق هذه النتيجة في إطار المرحلة الأولى من مشروع الحد من التلوُّث في مصر الذي يموله البنك الدولي. وأسهمت المرحلة الثانية للمشروع في إحداث تخفيضات في الانبعاثات من قطاع الإسمنت ومصانع الطوب، وهما من أكبر القطاعات تسبُّبا في التلوُّث.</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وشارك البنك الدولي أيضا في قطاعات أخرى ستؤدي إلى تحسُّن نوعية الهواء، مثل مشروع توصيلات الغاز الطبيعي للمنازل، وبرنامج تخريد سيارات الأجرة القديمة، ودراسة التكدس المروري بالقاهرة.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ومن الابتكارات في مشاركة البنك الدولي في الأنشطة البيئية أنه تم تنفيذ المشروع الثاني للحد من التلوث باستخدام النُّظُم البيئية للبلد المعني في عام 2006. واتخذت إجراءات مختلفة مثل إصدار إرشادات مُعدَّلة لتقييم الآثار البيئية، وأحكام تنص على ضرورة فرض عقوبات مغلظة على إنشاء/تشغيل منشآت بدون إجراء تقييم الآثار البيئية، وإصدار إرشادات قطاعية جديدة لتقييم الآثار البيئية لمحطات الطاقة الكهربائية الحرارية وصناعة البتروكيماويات والمنسوجات والإسمنت والأسمدة. ولقيت هذه الأنشطة مساندة من المُكوِّن الخاص بالمساعدة الفنية في المشروع الثاني للحد من التلوث.</w:t>
      </w:r>
      <w:r w:rsidRPr="00FF3102">
        <w:rPr>
          <w:rFonts w:ascii="Simplified Arabic" w:eastAsiaTheme="minorEastAsia" w:hAnsi="Simplified Arabic" w:cs="Simplified Arabic"/>
        </w:rPr>
        <w:t xml:space="preserve"> </w:t>
      </w:r>
    </w:p>
    <w:p w:rsidR="00810BAC" w:rsidRPr="00FF3102" w:rsidRDefault="00810BAC" w:rsidP="00216525">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ولم تتحقَّق النتيجة المتوقعة الخاصة بتوسيع فرص الحصول على الرعاية الصحية.</w:t>
      </w:r>
      <w:r w:rsidRPr="00FF3102">
        <w:rPr>
          <w:rFonts w:ascii="Simplified Arabic" w:eastAsiaTheme="minorEastAsia" w:hAnsi="Simplified Arabic" w:cs="Simplified Arabic"/>
          <w:rtl/>
        </w:rPr>
        <w:t xml:space="preserve"> وكانت الأداة الرئيسية للإستراتيجية في قطاع الرعاية الصحية هي مشروع تطوير أنظمة التأمين الصحي الذي يُموِّله البنك الدولي.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وعلى الرغم من أن المشروع تمت الموافقة عليه في السنة المالية 2010، فإن الحكومة الجديدة في ذلك الوقت لم تقم بتنفيذه لأنه لم يكن يتسق مع أولوياتها.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وأعيد تصميم مشروع تطوير أنظمة التأمين الصحي من أجل توجيه الخدمات على نحو أفضل إلى أفقر ألف قرية في مصر، من خلال اعتماد مرافق صحة الأسرة التي تلبِّي المعايير الوطنية لجودة الرعاية الصحية.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وقامت مؤسسة التمويل الدولية بتمويل إنشاء أربعة مرافق صحية يديرها القطاع الخاص، دخل ثلاث منها حيز التشغيل الكامل.</w:t>
      </w:r>
      <w:r w:rsidRPr="00FF3102">
        <w:rPr>
          <w:rFonts w:ascii="Simplified Arabic" w:eastAsiaTheme="minorEastAsia" w:hAnsi="Simplified Arabic" w:cs="Simplified Arabic"/>
        </w:rPr>
        <w:t xml:space="preserve"> </w:t>
      </w: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spacing w:val="-2"/>
          <w:rtl/>
        </w:rPr>
        <w:t>وتحقَّقت جزئيا النتيجة المتوقعة الخاصة بزيادة الاستثمارات في صعيد مصر، وذلك أساسا من خلال عمليات إقراضية، على الرغم من أنه تم تعميم بعض الأعمال التحليلية التي تتركَّز على صعيد مصر.</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ولم يخرج إلى حيز الواقع مشروع مُخصَّص لصعيد مصر اقترح في مذكرة الإستراتيجية المؤقتة، وذلك بسبب استمرار عدم الاستقرار السياسي في البلاد.</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إلا أنه تمت الموافقة في السنة المالية 2012 على مشروع الاستثمار الطارئ كثيف الاستخدام للأيدي العاملة الذي يُموله البنك الدولي وورد ذكره أيضا في مذكرة الإستراتيجية المؤقتة ويستهدف صعيد مصر.</w:t>
      </w:r>
      <w:r w:rsidRPr="00FF3102">
        <w:rPr>
          <w:rFonts w:ascii="Simplified Arabic" w:eastAsiaTheme="minorEastAsia" w:hAnsi="Simplified Arabic" w:cs="Simplified Arabic"/>
          <w:b/>
          <w:spacing w:val="-2"/>
        </w:rPr>
        <w:t xml:space="preserve"> </w:t>
      </w:r>
      <w:r w:rsidRPr="00FF3102">
        <w:rPr>
          <w:rFonts w:ascii="Simplified Arabic" w:eastAsiaTheme="minorEastAsia" w:hAnsi="Simplified Arabic" w:cs="Simplified Arabic"/>
          <w:spacing w:val="-2"/>
          <w:rtl/>
        </w:rPr>
        <w:t>وعلى القدر نفسه من الأهمية، كانت قدرة البنك على تعبئة تمويل في شكل منحة من الاتحاد الأوروبي لهذا المشروع في حدود 70 مليون يورو، وهو ما عزَّز الأموال المُخصَّصة لصعيد مصر وجعل الاقتراض أكثر تيسيرا للحكومة.</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وركَّز البنك الدولي أيضا على تدعيم القاعدة التحليلية للقرارات الخاصة بالسياسات والاستثمارات التي تؤثِّر في صعيد مصر.</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 xml:space="preserve">وفي عام 2013، نشر البنك الدولي دراسة بعنوان " </w:t>
      </w:r>
      <w:r w:rsidRPr="00FF3102">
        <w:rPr>
          <w:rFonts w:ascii="Simplified Arabic" w:eastAsiaTheme="minorEastAsia" w:hAnsi="Simplified Arabic" w:cs="Simplified Arabic"/>
          <w:rtl/>
        </w:rPr>
        <w:t>رسم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سبل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تراعي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المساواة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بين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الجنسين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أمام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احتواء</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الشباب: وضع سياسة معنية بالشباب في صعيد مصر".</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b/>
          <w:spacing w:val="-2"/>
          <w:rtl/>
        </w:rPr>
        <w:t>وقدَّمت هذه الدراسة تحليلا لظروف الشباب من الرجال والنساء في الشريحة العمرية 15-29 عاما الذين يعيشون في صعيد مصر، ومفاهيمهم فيما يتعلق بمختلف العوامل التي تؤدِّي إلى تسهيل احتوائهم الاجتماعي والاقتصادي أو الحد منه.</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ويستهدف مشروع توصيلات الغاز الطبيعي للمنازل الذي يُموِّله البنك الدولي ومشروع لاحق مرتبط به تمت الموافقة عليه في السنة المالية 2014، المناطق التي تعاني نقص الخدمات، ومنها ما هو في صعيد مصر.</w:t>
      </w:r>
    </w:p>
    <w:p w:rsidR="00810BAC" w:rsidRPr="00216525" w:rsidRDefault="00810BAC" w:rsidP="00216525">
      <w:pPr>
        <w:numPr>
          <w:ilvl w:val="0"/>
          <w:numId w:val="16"/>
        </w:numPr>
        <w:bidi/>
        <w:spacing w:after="240"/>
        <w:jc w:val="both"/>
        <w:rPr>
          <w:rFonts w:ascii="Simplified Arabic" w:eastAsiaTheme="minorEastAsia" w:hAnsi="Simplified Arabic" w:cs="Simplified Arabic"/>
          <w:i/>
          <w:spacing w:val="-2"/>
        </w:rPr>
      </w:pPr>
      <w:r w:rsidRPr="00FF3102">
        <w:rPr>
          <w:rFonts w:ascii="Simplified Arabic" w:eastAsiaTheme="minorEastAsia" w:hAnsi="Simplified Arabic" w:cs="Simplified Arabic"/>
          <w:bCs/>
          <w:spacing w:val="-2"/>
          <w:rtl/>
        </w:rPr>
        <w:t>وتحقَّقت جزئيا النتيجة المتوقعة الخاصة بتقوية شبكات الأمان الاجتماعي من خلال وضع وتنفيذ خطة سديدة للتحرك نحو نظام أكثر شفافية واستدامة وقواعد تنظيمية جديدة لمعاشات التقاعد تستند إلى أفضل الممارسات الدولية.</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وكما ذكرنا آنفا، لم يخرج إلى حيز الواقع قرض سياسات التنمية لنظام الإدارة العامة والحوكمة وشبكات الأمان الاجتماعي الذي كان يستند إلى جهد إصلاحي في هذا المجال.</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وانخرط البنك الدولي في حوار متواصل لتدعيم وتقوية نظام الحماية الاجتماعية في مصر.</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وكان أحد المنجزات الرئيسية لمساندة البنك في هذا المجال مساندة جهود وضع خريطة لأوضاع الفقر لتحسين آلية توجيه الإجراءات التدخلية لشبكات الأمان الاجتماعي.</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وساند البنك أيضا تصميم إصلاح شامل للتأمينات الاجتماعية من خلال برنامج متعدد السنوات للمساعدات الفنية.</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وفي يونيو 2010، وافق البرلمان المصري على قانون جديد للتأمينات الاجتماعية والمعاشات استحدث إصلاحا منهجيا كان من المتوقع أن يُمثِّل معلما بارزا في منطقة الشرق الأوسط.</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 xml:space="preserve">وكان من المقرر أن يبدأ </w:t>
      </w:r>
      <w:r w:rsidR="00216525">
        <w:rPr>
          <w:rFonts w:ascii="Simplified Arabic" w:eastAsiaTheme="minorEastAsia" w:hAnsi="Simplified Arabic" w:cs="Simplified Arabic" w:hint="cs"/>
          <w:spacing w:val="-2"/>
          <w:rtl/>
        </w:rPr>
        <w:t>تنفي</w:t>
      </w:r>
      <w:r w:rsidRPr="00FF3102">
        <w:rPr>
          <w:rFonts w:ascii="Simplified Arabic" w:eastAsiaTheme="minorEastAsia" w:hAnsi="Simplified Arabic" w:cs="Simplified Arabic"/>
          <w:spacing w:val="-2"/>
          <w:rtl/>
        </w:rPr>
        <w:t>ذ النظام الجديد في يناير 2012، لكن تأخر التنفيذ بعد الثورة، وفي أوائل عام 2013، قررت الحكومة إلغاء القانون.</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وقدَّم البنك الدولي مساعدات فنية من خلال برنامج متعدد السنوات يتألَّف من مرحلتين.</w:t>
      </w:r>
      <w:r w:rsidRPr="00FF3102">
        <w:rPr>
          <w:rFonts w:ascii="Simplified Arabic" w:eastAsiaTheme="minorEastAsia" w:hAnsi="Simplified Arabic" w:cs="Simplified Arabic"/>
          <w:spacing w:val="-2"/>
        </w:rPr>
        <w:t xml:space="preserve"> </w:t>
      </w:r>
      <w:r w:rsidRPr="00FF3102">
        <w:rPr>
          <w:rFonts w:ascii="Simplified Arabic" w:eastAsiaTheme="minorEastAsia" w:hAnsi="Simplified Arabic" w:cs="Simplified Arabic"/>
          <w:spacing w:val="-2"/>
          <w:rtl/>
        </w:rPr>
        <w:t>وتسبَّب قرار الحكومة بإلغاء قانون التأمينات الاجتماعية في تأخير</w:t>
      </w:r>
      <w:r w:rsidR="00216525">
        <w:rPr>
          <w:rFonts w:ascii="Simplified Arabic" w:eastAsiaTheme="minorEastAsia" w:hAnsi="Simplified Arabic" w:cs="Simplified Arabic" w:hint="cs"/>
          <w:spacing w:val="-2"/>
          <w:rtl/>
        </w:rPr>
        <w:t xml:space="preserve"> التوصل إلي </w:t>
      </w:r>
      <w:r w:rsidRPr="00FF3102">
        <w:rPr>
          <w:rFonts w:ascii="Simplified Arabic" w:eastAsiaTheme="minorEastAsia" w:hAnsi="Simplified Arabic" w:cs="Simplified Arabic"/>
          <w:spacing w:val="-2"/>
          <w:rtl/>
        </w:rPr>
        <w:t xml:space="preserve">حل </w:t>
      </w:r>
      <w:r w:rsidR="00216525">
        <w:rPr>
          <w:rFonts w:ascii="Simplified Arabic" w:eastAsiaTheme="minorEastAsia" w:hAnsi="Simplified Arabic" w:cs="Simplified Arabic" w:hint="cs"/>
          <w:spacing w:val="-2"/>
          <w:rtl/>
        </w:rPr>
        <w:t>لمواطن</w:t>
      </w:r>
      <w:r w:rsidRPr="00FF3102">
        <w:rPr>
          <w:rFonts w:ascii="Simplified Arabic" w:eastAsiaTheme="minorEastAsia" w:hAnsi="Simplified Arabic" w:cs="Simplified Arabic"/>
          <w:spacing w:val="-2"/>
          <w:rtl/>
        </w:rPr>
        <w:t xml:space="preserve"> القصور الشديد في نظام</w:t>
      </w:r>
      <w:r w:rsidR="00216525">
        <w:rPr>
          <w:rFonts w:ascii="Simplified Arabic" w:eastAsiaTheme="minorEastAsia" w:hAnsi="Simplified Arabic" w:cs="Simplified Arabic" w:hint="cs"/>
          <w:spacing w:val="-2"/>
          <w:rtl/>
        </w:rPr>
        <w:t xml:space="preserve"> معاشات التقاعد</w:t>
      </w:r>
      <w:r w:rsidR="00216525">
        <w:rPr>
          <w:rFonts w:ascii="Simplified Arabic" w:eastAsiaTheme="minorEastAsia" w:hAnsi="Simplified Arabic" w:cs="Simplified Arabic"/>
          <w:spacing w:val="-2"/>
          <w:rtl/>
        </w:rPr>
        <w:t xml:space="preserve"> الحالي</w:t>
      </w:r>
      <w:r w:rsidRPr="00FF3102">
        <w:rPr>
          <w:rFonts w:ascii="Simplified Arabic" w:eastAsiaTheme="minorEastAsia" w:hAnsi="Simplified Arabic" w:cs="Simplified Arabic"/>
          <w:spacing w:val="-2"/>
          <w:rtl/>
        </w:rPr>
        <w:t>، ولاسيما فيما يتعلق بآثار العجز المتوقع في أنظمة التأمينات القائمة على المالية العامة (على الرغم من الفروق الضريبية المرتفعة على الأيدي العاملة)، والافتقار إلى التغطية التأمينية لعدد كبير من العمال المصريين، والتقلُّب الشديد للقيمة الحقيقية للمعاشات بسبب ممارسات الربط التقديري "غير المناسبة"</w:t>
      </w:r>
      <w:r w:rsidRPr="00FF3102">
        <w:rPr>
          <w:rFonts w:ascii="Simplified Arabic" w:eastAsiaTheme="minorEastAsia" w:hAnsi="Simplified Arabic" w:cs="Simplified Arabic"/>
          <w:iCs/>
          <w:rtl/>
        </w:rPr>
        <w:t xml:space="preserve">، </w:t>
      </w:r>
      <w:r w:rsidRPr="00216525">
        <w:rPr>
          <w:rFonts w:ascii="Simplified Arabic" w:eastAsiaTheme="minorEastAsia" w:hAnsi="Simplified Arabic" w:cs="Simplified Arabic"/>
          <w:i/>
          <w:rtl/>
        </w:rPr>
        <w:t>وضعف آليات التوجيه لمعاشات التقاعد التي لا تقوم على الاشتراكات.</w:t>
      </w:r>
      <w:r w:rsidRPr="00216525">
        <w:rPr>
          <w:rFonts w:ascii="Simplified Arabic" w:eastAsiaTheme="minorEastAsia" w:hAnsi="Simplified Arabic" w:cs="Simplified Arabic"/>
          <w:i/>
          <w:spacing w:val="-2"/>
        </w:rPr>
        <w:t xml:space="preserve"> </w:t>
      </w:r>
      <w:r w:rsidRPr="00216525">
        <w:rPr>
          <w:rFonts w:ascii="Simplified Arabic" w:eastAsiaTheme="minorEastAsia" w:hAnsi="Simplified Arabic" w:cs="Simplified Arabic"/>
          <w:i/>
          <w:spacing w:val="-2"/>
          <w:rtl/>
        </w:rPr>
        <w:t>وعبَّرت الحكومة عن القلق بشأن هذه القضايا، وتجري دراسة إصلاح جديد (ذي نهج مختلف)، ولكن لم يتضح بعد نطاق هذا الإصلاح ومضمونه وتأثيره المحتمل.</w:t>
      </w:r>
      <w:r w:rsidRPr="00216525">
        <w:rPr>
          <w:rFonts w:ascii="Simplified Arabic" w:eastAsiaTheme="minorEastAsia" w:hAnsi="Simplified Arabic" w:cs="Simplified Arabic"/>
          <w:i/>
        </w:rPr>
        <w:t xml:space="preserve"> </w:t>
      </w:r>
    </w:p>
    <w:p w:rsidR="00810BAC" w:rsidRPr="00FF3102" w:rsidRDefault="00810BAC" w:rsidP="001E71BE">
      <w:pPr>
        <w:numPr>
          <w:ilvl w:val="0"/>
          <w:numId w:val="16"/>
        </w:numPr>
        <w:bidi/>
        <w:spacing w:after="240"/>
        <w:jc w:val="both"/>
        <w:rPr>
          <w:rFonts w:ascii="Simplified Arabic" w:eastAsiaTheme="minorEastAsia" w:hAnsi="Simplified Arabic" w:cs="Simplified Arabic"/>
        </w:rPr>
      </w:pPr>
      <w:r w:rsidRPr="00FF3102">
        <w:rPr>
          <w:rFonts w:ascii="Simplified Arabic" w:eastAsiaTheme="minorEastAsia" w:hAnsi="Simplified Arabic" w:cs="Simplified Arabic"/>
          <w:bCs/>
          <w:spacing w:val="-2"/>
          <w:rtl/>
        </w:rPr>
        <w:t>وتحقَّقت بالكامل النتيجتان المتوقعتان فيما يتصل بالمساواة بين الجنسين – وهما الإسهام في الدعوة المستنيرة في قضية المساواة بين الجنسين والتمويل المتخصِّص الموجَّه للنساء.</w:t>
      </w:r>
      <w:r w:rsidRPr="00FF3102">
        <w:rPr>
          <w:rFonts w:ascii="Simplified Arabic" w:eastAsiaTheme="minorEastAsia" w:hAnsi="Simplified Arabic" w:cs="Simplified Arabic"/>
          <w:color w:val="000000"/>
          <w:spacing w:val="-2"/>
        </w:rPr>
        <w:t xml:space="preserve"> </w:t>
      </w:r>
      <w:r w:rsidRPr="00FF3102">
        <w:rPr>
          <w:rFonts w:ascii="Simplified Arabic" w:eastAsiaTheme="minorEastAsia" w:hAnsi="Simplified Arabic" w:cs="Simplified Arabic"/>
          <w:color w:val="000000"/>
          <w:spacing w:val="-2"/>
          <w:rtl/>
        </w:rPr>
        <w:t>وكان هناك حوار نشط ومتواصل في قضايا المساواة بين الجنسين في البلاد.</w:t>
      </w:r>
      <w:r w:rsidRPr="00FF3102">
        <w:rPr>
          <w:rFonts w:ascii="Simplified Arabic" w:eastAsiaTheme="minorEastAsia" w:hAnsi="Simplified Arabic" w:cs="Simplified Arabic"/>
          <w:color w:val="000000"/>
          <w:spacing w:val="-2"/>
        </w:rPr>
        <w:t xml:space="preserve"> </w:t>
      </w:r>
      <w:r w:rsidRPr="00FF3102">
        <w:rPr>
          <w:rFonts w:ascii="Simplified Arabic" w:eastAsiaTheme="minorEastAsia" w:hAnsi="Simplified Arabic" w:cs="Simplified Arabic"/>
          <w:color w:val="000000"/>
          <w:spacing w:val="-2"/>
          <w:rtl/>
        </w:rPr>
        <w:t>وتناول تقرير تقييم أوضاع المساواة بين الجنسين 2010 أبعاد هذه القضية في سوق العمل المصرية، وتم تعميمه في البلاد ولاقى كثيرا من الاهتمام من أصحاب المصلحة.</w:t>
      </w:r>
      <w:r w:rsidRPr="00FF3102">
        <w:rPr>
          <w:rFonts w:ascii="Simplified Arabic" w:eastAsiaTheme="minorEastAsia" w:hAnsi="Simplified Arabic" w:cs="Simplified Arabic"/>
          <w:color w:val="000000"/>
          <w:spacing w:val="-2"/>
        </w:rPr>
        <w:t xml:space="preserve"> </w:t>
      </w:r>
      <w:r w:rsidRPr="00FF3102">
        <w:rPr>
          <w:rFonts w:ascii="Simplified Arabic" w:eastAsiaTheme="minorEastAsia" w:hAnsi="Simplified Arabic" w:cs="Simplified Arabic"/>
          <w:color w:val="000000"/>
          <w:spacing w:val="-2"/>
          <w:rtl/>
        </w:rPr>
        <w:t>وأسهمت النتائج التي توصَّل إليها هذا التقرير في دراسة للبنك الدولي عن سوق العمل المصرية.</w:t>
      </w:r>
      <w:r w:rsidRPr="00FF3102">
        <w:rPr>
          <w:rFonts w:ascii="Simplified Arabic" w:eastAsiaTheme="minorEastAsia" w:hAnsi="Simplified Arabic" w:cs="Simplified Arabic"/>
          <w:color w:val="000000"/>
          <w:spacing w:val="-2"/>
        </w:rPr>
        <w:t xml:space="preserve"> </w:t>
      </w:r>
      <w:r w:rsidRPr="00FF3102">
        <w:rPr>
          <w:rFonts w:ascii="Simplified Arabic" w:eastAsiaTheme="minorEastAsia" w:hAnsi="Simplified Arabic" w:cs="Simplified Arabic"/>
          <w:color w:val="000000"/>
          <w:spacing w:val="-2"/>
          <w:rtl/>
        </w:rPr>
        <w:t xml:space="preserve">وتمخَّض الحوار المُكثَّف بشأن السياسات فيما يتصل بقضية المساواة بين الجنسين عن عدد من العمليات التي تراعي اعتبارات هذه المساواة في مصر، وتتركَّز على زيادة توظيف النساء من خلال التدريب على تطوير الأعمال والحصول على التمويل، ومن ذلك برنامج سوق التنمية في مصر 2012 الذي كان يهدف إلى مساندة مشروعات الصناعات الزراعية والحرف اليدوية في أنحاء مصر، مع تركيز خاص على صعيد مصر. وفي إطار مشروع </w:t>
      </w:r>
      <w:r w:rsidRPr="00FF3102">
        <w:rPr>
          <w:rFonts w:ascii="Simplified Arabic" w:eastAsiaTheme="minorEastAsia" w:hAnsi="Simplified Arabic" w:cs="Simplified Arabic"/>
          <w:rtl/>
        </w:rPr>
        <w:t>تعزيز</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قدرة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المشروعات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الصغيرة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والمتناهية الصغر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على</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الحصول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على</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التمويل</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مصر، كان الأثر واضحا على النساء في زيادة عدد هذه المشروعات المملوكة للنساء من نحو 4500 في يونيو 2012 إلى 20 ألفا في يونيو 2013. وسعت مؤسسة التمويل الدولية إلى معالجة قضايا التفاوتات بين الجنسين من خلال برنامجيها الاستشاريين بيزنيس إيدج والحصول على التمويل كما هو موضَّح أعلاه.</w:t>
      </w: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
          <w:smallCaps/>
          <w:rtl/>
        </w:rPr>
        <w:t>أداء مجموعة البنك الدولي</w:t>
      </w:r>
    </w:p>
    <w:p w:rsidR="00810BAC" w:rsidRPr="00FF3102" w:rsidRDefault="00810BAC" w:rsidP="00216525">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كان البرنامج الذي تم تصميمه في إستراتيجية المساعدة الخاصة بمصر 2005 مستجيبا للاحتياجات الفعلية، واتسمت مذكرة الإستراتيجية المؤقتة بالمرونة.</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وفي ضوء تحسُّن السياق الخاص بالإصلاحات الاقتصادية التي بدأت في عام 2004، اقترح التقرير المرحلي عن سير العمل في إستراتيجية المساعدة الخاصة بمصر ومذكرة الإستراتيجية المؤقتة زيادة المساندة المُقدَّمة لمصر. وتم تعزيز هذه المساندة لمصر، إذ زادت ارتباطات البنك إلى أكثر من الضعف في الفترة من السنة المالية 2006 إلى السنة المالية 2014.</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وبالمثل، زادت حافظة استثمارات مؤسسة التمويل الدولية إلى ثلاثة أمثال خلال هذه الفترة. ولعبت المؤسسة دورا قويا في مواجهة تقلُّبات الدورة الاقتصادية، وساعدت في تعبئة رأس المال من مستثمرين خارجيين للاستثمار في مصر خلال فترة السنوات المالية 2011-2014، وهو ما لم تفعله على هذا النطاق خلال الفترات السابقة لإستراتيجية المساعدة الخاصة بمصر.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وغيَّرت مجموعة البنك الدولي مسارها فيما يتصل بمذكرة الإستراتيجية المؤقتة في أعقاب الاضطرابات السياسية التي شهدتها مصر.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هذا وقتا عصيبا لمشاركة مجموعة البنك الدولي بسبب غياب رؤية متماسكة للحكومة خلال هذه الفترة. ومن المسائل التي تتصل بمذكرة الإستراتيجية المؤقتة هل كان هناك توازن بين المرونة والحرص على ضمان المصداقية. وكان الافتقار إلى إطار متسق للسياسات الحكومية في فترة ما بعد الثورة حائلا دون استطاعة البنك الدولي تحقيق تقدُّم فيما يتصل بأجندة عملياته. ولذلك، كان هناك تصحيح للمسار فيما يتعلق بمذكرة الإستراتيجية المؤقتة، لكن في الواقع كان التركيز في فترة ما بعد الثورة على تنفيذ حافظة المشروعات الجارية.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واتسم تصميم البرنامج الإقراضي في سياق عدم اليقين بالمرونة، مع البناء على العمليات الجارية، وفي الوقت نفسه سار الانتقال إلى مجالات جديدة ذات أولوية بخطى متواضعة.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وكان إطار النتائج الخاص بمذكرة الإستراتيجية المؤقتة متواضعا، ويكشف عن انتهاج الواقعية، ويبني على إطار النتائج الخاص بالتقرير المرحلي عن سير العمل في إستراتيجية المساعدة الخاصة بمصر الذي يتركز على النتائج المتوقعة من العمليات الجارية. </w:t>
      </w:r>
    </w:p>
    <w:p w:rsidR="00810BAC" w:rsidRPr="00FF3102" w:rsidRDefault="00810BAC" w:rsidP="00216525">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وأجرى البنك الدولي ومؤسسة التمويل الدولية مشاورات مع مسؤولين حكوميين وغيرهم من أصحاب المصلحة في وقت تمر فيه البلاد بتحوُّل سياسي</w:t>
      </w:r>
      <w:r w:rsidRPr="00FF3102">
        <w:rPr>
          <w:rFonts w:ascii="Simplified Arabic" w:eastAsiaTheme="minorEastAsia" w:hAnsi="Simplified Arabic" w:cs="Simplified Arabic"/>
          <w:rtl/>
        </w:rPr>
        <w:t xml:space="preserve"> (انظر الملحق الخامس للاطلاع على تفاصيل نتائج المشاورات المتصلة بمذكرة الإستراتيجية المؤقتة). وفي فترة ما بعد الثورة تواصلت مجموعة البنك الدولي مع مختلف الجهات ذات المصلحة (ومنها القطاع الخاص) وقوى التغيير الجديدة وقادة وأنصار الإصلاح </w:t>
      </w:r>
      <w:r w:rsidR="00216525">
        <w:rPr>
          <w:rFonts w:ascii="Simplified Arabic" w:eastAsiaTheme="minorEastAsia" w:hAnsi="Simplified Arabic" w:cs="Simplified Arabic" w:hint="cs"/>
          <w:rtl/>
        </w:rPr>
        <w:t xml:space="preserve">المتوقعين </w:t>
      </w:r>
      <w:r w:rsidRPr="00FF3102">
        <w:rPr>
          <w:rFonts w:ascii="Simplified Arabic" w:eastAsiaTheme="minorEastAsia" w:hAnsi="Simplified Arabic" w:cs="Simplified Arabic"/>
          <w:rtl/>
        </w:rPr>
        <w:t>مستقبل</w:t>
      </w:r>
      <w:r w:rsidR="00216525">
        <w:rPr>
          <w:rFonts w:ascii="Simplified Arabic" w:eastAsiaTheme="minorEastAsia" w:hAnsi="Simplified Arabic" w:cs="Simplified Arabic" w:hint="cs"/>
          <w:rtl/>
        </w:rPr>
        <w:t>ا</w:t>
      </w:r>
      <w:r w:rsidRPr="00FF3102">
        <w:rPr>
          <w:rFonts w:ascii="Simplified Arabic" w:eastAsiaTheme="minorEastAsia" w:hAnsi="Simplified Arabic" w:cs="Simplified Arabic"/>
          <w:rtl/>
        </w:rPr>
        <w:t xml:space="preserve"> طلبا لوجهات نظرهم في القضايا والأولويات الرئيسية لمصر الجديدة التي تمر بطور التحوُّل السياسي.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هدف المشاورات (الرسمية وغير الرسمية) تحديد أفضل السبل التي يمكن من خلالها لمجموعة البنك الدولي مساندة مصر في هذه البيئة الجديدة.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وبوجه عام، كانت هذه الحوارات المبكرة واللقاءات التشاورية للعديد من أصحاب المصلحة المباشرة مفيدة في إثراء مذكرة الإستراتيجية المؤقتة بشأن: (أ) ما هي أولويات التنمية لمصر؛ و(ب) أين يلعب البنك الدولي دورا في نظر أصحاب المصلحة المباشرة. وتُمثِّل القضايا الرئيسية التي أثيرت خلال المشاورات، ومنها الجهود المتصلة بشبكات الأمان، والمساندة للمشروعات الصغيرة والمتوسطة، وجودة التعليم، والغاز الطبيعي- جزءا كبيرا من العمل الحالي للبنك. </w:t>
      </w:r>
    </w:p>
    <w:p w:rsidR="002241AE" w:rsidRDefault="002241AE" w:rsidP="00810BAC">
      <w:pPr>
        <w:bidi/>
        <w:spacing w:before="60" w:after="60"/>
        <w:jc w:val="center"/>
        <w:rPr>
          <w:rFonts w:ascii="Simplified Arabic" w:eastAsiaTheme="minorEastAsia" w:hAnsi="Simplified Arabic" w:cs="Simplified Arabic"/>
          <w:bCs/>
          <w:rtl/>
        </w:rPr>
      </w:pPr>
    </w:p>
    <w:p w:rsidR="00810BAC" w:rsidRPr="00FF3102" w:rsidRDefault="00810BAC" w:rsidP="002241AE">
      <w:pPr>
        <w:bidi/>
        <w:spacing w:before="60" w:after="60"/>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الجدول 2: توصيات </w:t>
      </w:r>
      <w:r w:rsidRPr="00216525">
        <w:rPr>
          <w:rFonts w:ascii="Simplified Arabic" w:eastAsiaTheme="minorEastAsia" w:hAnsi="Simplified Arabic" w:cs="Simplified Arabic"/>
          <w:bCs/>
          <w:i/>
          <w:rtl/>
        </w:rPr>
        <w:t>مجموعة التقييم المستقلة</w:t>
      </w:r>
      <w:r w:rsidRPr="00FF3102">
        <w:rPr>
          <w:rFonts w:ascii="Simplified Arabic" w:eastAsiaTheme="minorEastAsia" w:hAnsi="Simplified Arabic" w:cs="Simplified Arabic"/>
          <w:bCs/>
          <w:iCs/>
          <w:rtl/>
        </w:rPr>
        <w:t xml:space="preserve"> </w:t>
      </w:r>
      <w:r w:rsidRPr="00FF3102">
        <w:rPr>
          <w:rFonts w:ascii="Simplified Arabic" w:eastAsiaTheme="minorEastAsia" w:hAnsi="Simplified Arabic" w:cs="Simplified Arabic"/>
          <w:bCs/>
          <w:rtl/>
        </w:rPr>
        <w:t>وما يتصل بها من الإجراءات التدخلية للبنك الدولي</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8"/>
        <w:gridCol w:w="4770"/>
      </w:tblGrid>
      <w:tr w:rsidR="00810BAC" w:rsidRPr="00FF3102">
        <w:trPr>
          <w:jc w:val="center"/>
        </w:trPr>
        <w:tc>
          <w:tcPr>
            <w:tcW w:w="3078"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rPr>
            </w:pPr>
            <w:r w:rsidRPr="00FF3102">
              <w:rPr>
                <w:rFonts w:ascii="Simplified Arabic" w:eastAsiaTheme="minorEastAsia" w:hAnsi="Simplified Arabic" w:cs="Simplified Arabic"/>
                <w:bCs/>
                <w:iCs/>
                <w:rtl/>
              </w:rPr>
              <w:t>توصية مجموعة التقييم المستقلة</w:t>
            </w:r>
          </w:p>
        </w:tc>
        <w:tc>
          <w:tcPr>
            <w:tcW w:w="4770"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rPr>
            </w:pPr>
            <w:r w:rsidRPr="00FF3102">
              <w:rPr>
                <w:rFonts w:ascii="Simplified Arabic" w:eastAsiaTheme="minorEastAsia" w:hAnsi="Simplified Arabic" w:cs="Simplified Arabic"/>
                <w:bCs/>
                <w:iCs/>
                <w:rtl/>
              </w:rPr>
              <w:t>إجراءات تدخلية مختارة للبنك الدولي</w:t>
            </w:r>
          </w:p>
        </w:tc>
      </w:tr>
      <w:tr w:rsidR="00810BAC" w:rsidRPr="00FF3102">
        <w:trPr>
          <w:jc w:val="center"/>
        </w:trPr>
        <w:tc>
          <w:tcPr>
            <w:tcW w:w="3078"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توجيه شبكات الأمان الاجتماعي</w:t>
            </w:r>
          </w:p>
        </w:tc>
        <w:tc>
          <w:tcPr>
            <w:tcW w:w="4770" w:type="dxa"/>
          </w:tcPr>
          <w:p w:rsidR="00810BAC" w:rsidRPr="00FF3102" w:rsidRDefault="00810BAC" w:rsidP="001E71BE">
            <w:pPr>
              <w:numPr>
                <w:ilvl w:val="0"/>
                <w:numId w:val="30"/>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مشروع صندوق التحوُّل بشأن شبكات الأمان؛ </w:t>
            </w:r>
          </w:p>
          <w:p w:rsidR="00810BAC" w:rsidRPr="00FF3102" w:rsidRDefault="00810BAC" w:rsidP="001E71BE">
            <w:pPr>
              <w:numPr>
                <w:ilvl w:val="0"/>
                <w:numId w:val="30"/>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المشروع الطارئ كثيف الاستخدام للأيدي العاملة؛ </w:t>
            </w:r>
          </w:p>
          <w:p w:rsidR="00810BAC" w:rsidRPr="00FF3102" w:rsidRDefault="00810BAC" w:rsidP="001E71BE">
            <w:pPr>
              <w:numPr>
                <w:ilvl w:val="0"/>
                <w:numId w:val="30"/>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دراسة عدم تكافؤ الفرص</w:t>
            </w:r>
          </w:p>
        </w:tc>
      </w:tr>
      <w:tr w:rsidR="00810BAC" w:rsidRPr="00FF3102">
        <w:trPr>
          <w:jc w:val="center"/>
        </w:trPr>
        <w:tc>
          <w:tcPr>
            <w:tcW w:w="3078"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تحليل عن قضايا الاقتصاد الكلي والتفاوت في الدخول</w:t>
            </w:r>
          </w:p>
        </w:tc>
        <w:tc>
          <w:tcPr>
            <w:tcW w:w="4770" w:type="dxa"/>
          </w:tcPr>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حوار بشأن دعم الطاقة؛ </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دراسة عدم تكافؤ الدخول</w:t>
            </w:r>
          </w:p>
        </w:tc>
      </w:tr>
      <w:tr w:rsidR="00810BAC" w:rsidRPr="00FF3102">
        <w:trPr>
          <w:jc w:val="center"/>
        </w:trPr>
        <w:tc>
          <w:tcPr>
            <w:tcW w:w="3078"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إصلاحات القطاع المالي ومكافحة الفساد</w:t>
            </w:r>
          </w:p>
        </w:tc>
        <w:tc>
          <w:tcPr>
            <w:tcW w:w="4770" w:type="dxa"/>
          </w:tcPr>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قروض سياسات التنمية للقطاع المالي (الأول والثاني والثالث)</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قرض سياسات التنمية للتمويل العقاري المُيسَّر</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 مساندة المشروعات المتوسطة والصغيرة والمتناهية الصغر</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مساعدة فنية بشأن نظام الإدارة العامة والحوكمة</w:t>
            </w:r>
          </w:p>
        </w:tc>
      </w:tr>
      <w:tr w:rsidR="00810BAC" w:rsidRPr="00FF3102">
        <w:trPr>
          <w:jc w:val="center"/>
        </w:trPr>
        <w:tc>
          <w:tcPr>
            <w:tcW w:w="3078" w:type="dxa"/>
          </w:tcPr>
          <w:p w:rsidR="00810BAC" w:rsidRPr="00FF3102" w:rsidRDefault="00810BAC" w:rsidP="00810BAC">
            <w:p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البنية التحتية والإصلاح المؤسسي لقطاع الطاقة</w:t>
            </w:r>
          </w:p>
        </w:tc>
        <w:tc>
          <w:tcPr>
            <w:tcW w:w="4770" w:type="dxa"/>
          </w:tcPr>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 محطة توليد الكهرباء بجنوب حلوان</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 تطوير المطارات</w:t>
            </w:r>
          </w:p>
          <w:p w:rsidR="00810BAC" w:rsidRPr="00FF3102" w:rsidRDefault="00810BAC" w:rsidP="001E71BE">
            <w:pPr>
              <w:numPr>
                <w:ilvl w:val="0"/>
                <w:numId w:val="31"/>
              </w:numPr>
              <w:tabs>
                <w:tab w:val="left" w:pos="180"/>
              </w:tabs>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 السكك الحديدية</w:t>
            </w: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spacing w:val="-4"/>
          <w:rtl/>
        </w:rPr>
        <w:t>اعتمدت مذكرة الإستراتيجية المؤقتة توصيات المجلس المستقاة من تقييم المساعدة الخاصة بمصر لمجموعة التقييم المستقلة في عام 2009.</w:t>
      </w:r>
      <w:r w:rsidRPr="00FF3102">
        <w:rPr>
          <w:rFonts w:ascii="Simplified Arabic" w:eastAsiaTheme="minorEastAsia" w:hAnsi="Simplified Arabic" w:cs="Simplified Arabic"/>
          <w:spacing w:val="-4"/>
          <w:rtl/>
        </w:rPr>
        <w:t xml:space="preserve"> وأوصى ذلك التقييم على وجه الخصوص بأن تراعي إستراتيجية البنك الدولي في المستقبل وضع مصر بوصفها دولة متوسطة الدخل من خلال تضمينها برنامج إقراض مرنا والتركيز على الخدمات المعرفية.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وأوصى أيضا بأن يبذل البنك المزيد من الجهد لتقوية الشراكة التي لاقت نجاحا في الآونة الأخيرة، وذلك من خلال: (1) تحديد الإجراءات التدخلية المباشرة وغير المباشرة التي يمكن أن تساعد على تقليل التفاوت في الدخول عن طريق تحسين توجيه شبكات الأمان الاجتماعي؛ (2) تركيز تقارير العمل التحليلي على تحليل الاقتصاد الكلي والتفاوت في مستويات الدخل، ونشرها على نحو أفضل؛ (3) إجراء المزيد من إصلاحات القطاع المالي والتشجيع على الإصلاحات التي تكافح الفساد على نحوٍ غير مباشر (إدارة شؤون المالية العامة، وتبسيط الإجراءات الضريبية، وإجراءات ممارسة أنشطة الأعمال، وقانون تداول المعلومات)؛ (4) التأكيد على الإستراتيجيات القطاعية وإصلاحات السياسات والمؤسسات في مجالات البنية التحتية والطاقة.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ولمجموعة البنك الدولي مشاركة نشطة في كل هذه المجالات (انظر الجدول 2 للاطلاع على أمثلة).</w:t>
      </w: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tbl>
      <w:tblPr>
        <w:bidiVisual/>
        <w:tblW w:w="9288" w:type="dxa"/>
        <w:jc w:val="center"/>
        <w:tblLayout w:type="fixed"/>
        <w:tblLook w:val="00A0" w:firstRow="1" w:lastRow="0" w:firstColumn="1" w:lastColumn="0" w:noHBand="0" w:noVBand="0"/>
      </w:tblPr>
      <w:tblGrid>
        <w:gridCol w:w="468"/>
        <w:gridCol w:w="3960"/>
        <w:gridCol w:w="1260"/>
        <w:gridCol w:w="2700"/>
        <w:gridCol w:w="900"/>
      </w:tblGrid>
      <w:tr w:rsidR="00810BAC" w:rsidRPr="00FF3102" w:rsidTr="00FF3102">
        <w:trPr>
          <w:cantSplit/>
          <w:trHeight w:val="20"/>
          <w:jc w:val="center"/>
        </w:trPr>
        <w:tc>
          <w:tcPr>
            <w:tcW w:w="9288" w:type="dxa"/>
            <w:gridSpan w:val="5"/>
            <w:tcBorders>
              <w:bottom w:val="single" w:sz="4" w:space="0" w:color="auto"/>
            </w:tcBorders>
            <w:noWrap/>
            <w:vAlign w:val="center"/>
          </w:tcPr>
          <w:p w:rsidR="00810BAC" w:rsidRPr="00FF3102" w:rsidRDefault="00810BAC" w:rsidP="00810BAC">
            <w:pPr>
              <w:bidi/>
              <w:spacing w:before="60" w:after="60"/>
              <w:jc w:val="center"/>
              <w:rPr>
                <w:rFonts w:ascii="Simplified Arabic" w:eastAsiaTheme="minorEastAsia" w:hAnsi="Simplified Arabic" w:cs="Simplified Arabic"/>
              </w:rPr>
            </w:pPr>
            <w:r w:rsidRPr="00FF3102">
              <w:rPr>
                <w:rFonts w:ascii="Simplified Arabic" w:eastAsiaTheme="minorEastAsia" w:hAnsi="Simplified Arabic" w:cs="Simplified Arabic"/>
              </w:rPr>
              <w:br w:type="page"/>
            </w:r>
            <w:r w:rsidRPr="00FF3102">
              <w:rPr>
                <w:rFonts w:ascii="Simplified Arabic" w:eastAsiaTheme="minorEastAsia" w:hAnsi="Simplified Arabic" w:cs="Simplified Arabic"/>
                <w:bCs/>
                <w:rtl/>
              </w:rPr>
              <w:t xml:space="preserve">الجدول 3: العمليات المقترحة في إستراتيجية المساعدة الخاصة بمصر/مذكرة الإستراتيجية المؤقتة وما تم تنفيذه </w:t>
            </w:r>
          </w:p>
        </w:tc>
      </w:tr>
      <w:tr w:rsidR="00810BAC" w:rsidRPr="00FF3102" w:rsidTr="00FF3102">
        <w:trPr>
          <w:cantSplit/>
          <w:trHeight w:val="20"/>
          <w:jc w:val="center"/>
        </w:trPr>
        <w:tc>
          <w:tcPr>
            <w:tcW w:w="4428" w:type="dxa"/>
            <w:gridSpan w:val="2"/>
            <w:tcBorders>
              <w:top w:val="single" w:sz="4" w:space="0" w:color="auto"/>
              <w:left w:val="single" w:sz="8" w:space="0" w:color="auto"/>
              <w:bottom w:val="single" w:sz="4" w:space="0" w:color="auto"/>
              <w:right w:val="single" w:sz="8" w:space="0" w:color="000000"/>
            </w:tcBorders>
            <w:noWrap/>
            <w:vAlign w:val="center"/>
          </w:tcPr>
          <w:p w:rsidR="00810BAC" w:rsidRPr="00FF3102" w:rsidRDefault="00810BAC" w:rsidP="00810BAC">
            <w:pPr>
              <w:bidi/>
              <w:jc w:val="center"/>
              <w:rPr>
                <w:rFonts w:ascii="Simplified Arabic" w:eastAsiaTheme="minorEastAsia" w:hAnsi="Simplified Arabic" w:cs="Simplified Arabic"/>
                <w:sz w:val="18"/>
                <w:szCs w:val="18"/>
              </w:rPr>
            </w:pPr>
            <w:r w:rsidRPr="00FF3102">
              <w:rPr>
                <w:rFonts w:ascii="Simplified Arabic" w:eastAsiaTheme="minorEastAsia" w:hAnsi="Simplified Arabic" w:cs="Simplified Arabic"/>
                <w:bCs/>
                <w:color w:val="000000"/>
                <w:sz w:val="18"/>
                <w:szCs w:val="18"/>
                <w:rtl/>
              </w:rPr>
              <w:t>العمليات المقترحة للبنك الدولي</w:t>
            </w:r>
          </w:p>
        </w:tc>
        <w:tc>
          <w:tcPr>
            <w:tcW w:w="4860" w:type="dxa"/>
            <w:gridSpan w:val="3"/>
            <w:tcBorders>
              <w:top w:val="single" w:sz="4" w:space="0" w:color="auto"/>
              <w:left w:val="nil"/>
              <w:bottom w:val="single" w:sz="4" w:space="0" w:color="auto"/>
              <w:right w:val="single" w:sz="8" w:space="0" w:color="000000"/>
            </w:tcBorders>
            <w:noWrap/>
            <w:vAlign w:val="center"/>
          </w:tcPr>
          <w:p w:rsidR="00810BAC" w:rsidRPr="00FF3102" w:rsidRDefault="00810BAC" w:rsidP="00810BAC">
            <w:pPr>
              <w:bidi/>
              <w:jc w:val="center"/>
              <w:rPr>
                <w:rFonts w:ascii="Simplified Arabic" w:eastAsiaTheme="minorEastAsia" w:hAnsi="Simplified Arabic" w:cs="Simplified Arabic"/>
                <w:sz w:val="18"/>
                <w:szCs w:val="18"/>
              </w:rPr>
            </w:pPr>
            <w:r w:rsidRPr="00FF3102">
              <w:rPr>
                <w:rFonts w:ascii="Simplified Arabic" w:eastAsiaTheme="minorEastAsia" w:hAnsi="Simplified Arabic" w:cs="Simplified Arabic"/>
                <w:bCs/>
                <w:color w:val="000000"/>
                <w:sz w:val="18"/>
                <w:szCs w:val="18"/>
                <w:rtl/>
              </w:rPr>
              <w:t>عمليات البنك التي تم تنفيذها</w:t>
            </w:r>
          </w:p>
        </w:tc>
      </w:tr>
      <w:tr w:rsidR="00810BAC" w:rsidRPr="00FF3102" w:rsidTr="00FF3102">
        <w:trPr>
          <w:cantSplit/>
          <w:trHeight w:val="20"/>
          <w:jc w:val="center"/>
        </w:trPr>
        <w:tc>
          <w:tcPr>
            <w:tcW w:w="468" w:type="dxa"/>
            <w:tcBorders>
              <w:top w:val="single" w:sz="4" w:space="0" w:color="auto"/>
              <w:left w:val="single" w:sz="8" w:space="0" w:color="auto"/>
              <w:bottom w:val="single" w:sz="4" w:space="0" w:color="auto"/>
            </w:tcBorders>
            <w:noWrap/>
            <w:tcMar>
              <w:left w:w="0" w:type="dxa"/>
              <w:right w:w="0" w:type="dxa"/>
            </w:tcMar>
            <w:vAlign w:val="center"/>
          </w:tcPr>
          <w:p w:rsidR="00810BAC" w:rsidRPr="00FF3102" w:rsidRDefault="00810BAC" w:rsidP="00810BAC">
            <w:pPr>
              <w:bidi/>
              <w:jc w:val="center"/>
              <w:rPr>
                <w:rFonts w:ascii="Simplified Arabic" w:eastAsiaTheme="minorEastAsia" w:hAnsi="Simplified Arabic" w:cs="Simplified Arabic"/>
                <w:sz w:val="18"/>
                <w:szCs w:val="18"/>
              </w:rPr>
            </w:pPr>
            <w:r w:rsidRPr="00FF3102">
              <w:rPr>
                <w:rFonts w:ascii="Simplified Arabic" w:eastAsiaTheme="minorEastAsia" w:hAnsi="Simplified Arabic" w:cs="Simplified Arabic"/>
                <w:bCs/>
                <w:color w:val="000000"/>
                <w:sz w:val="18"/>
                <w:szCs w:val="18"/>
                <w:rtl/>
              </w:rPr>
              <w:t>السنة المالية</w:t>
            </w:r>
          </w:p>
        </w:tc>
        <w:tc>
          <w:tcPr>
            <w:tcW w:w="3960" w:type="dxa"/>
            <w:tcBorders>
              <w:top w:val="single" w:sz="4" w:space="0" w:color="auto"/>
              <w:bottom w:val="single" w:sz="4" w:space="0" w:color="auto"/>
            </w:tcBorders>
            <w:noWrap/>
            <w:tcMar>
              <w:left w:w="0" w:type="dxa"/>
              <w:right w:w="0" w:type="dxa"/>
            </w:tcMar>
            <w:vAlign w:val="center"/>
          </w:tcPr>
          <w:p w:rsidR="00810BAC" w:rsidRPr="00FF3102" w:rsidRDefault="00810BAC" w:rsidP="00810BAC">
            <w:pPr>
              <w:bidi/>
              <w:jc w:val="center"/>
              <w:rPr>
                <w:rFonts w:ascii="Simplified Arabic" w:eastAsiaTheme="minorEastAsia" w:hAnsi="Simplified Arabic" w:cs="Simplified Arabic"/>
                <w:sz w:val="18"/>
                <w:szCs w:val="18"/>
              </w:rPr>
            </w:pPr>
            <w:r w:rsidRPr="00FF3102">
              <w:rPr>
                <w:rFonts w:ascii="Simplified Arabic" w:eastAsiaTheme="minorEastAsia" w:hAnsi="Simplified Arabic" w:cs="Simplified Arabic"/>
                <w:bCs/>
                <w:color w:val="000000"/>
                <w:sz w:val="18"/>
                <w:szCs w:val="18"/>
                <w:rtl/>
              </w:rPr>
              <w:t>النشاط</w:t>
            </w:r>
          </w:p>
        </w:tc>
        <w:tc>
          <w:tcPr>
            <w:tcW w:w="1260" w:type="dxa"/>
            <w:tcBorders>
              <w:top w:val="single" w:sz="4" w:space="0" w:color="auto"/>
              <w:bottom w:val="single" w:sz="4" w:space="0" w:color="auto"/>
            </w:tcBorders>
            <w:noWrap/>
            <w:tcMar>
              <w:left w:w="0" w:type="dxa"/>
              <w:right w:w="0" w:type="dxa"/>
            </w:tcMar>
            <w:vAlign w:val="center"/>
          </w:tcPr>
          <w:p w:rsidR="00810BAC" w:rsidRPr="00FF3102" w:rsidRDefault="00810BAC" w:rsidP="00810BAC">
            <w:pPr>
              <w:bidi/>
              <w:jc w:val="center"/>
              <w:rPr>
                <w:rFonts w:ascii="Simplified Arabic" w:eastAsiaTheme="minorEastAsia" w:hAnsi="Simplified Arabic" w:cs="Simplified Arabic"/>
                <w:sz w:val="18"/>
                <w:szCs w:val="18"/>
              </w:rPr>
            </w:pPr>
            <w:r w:rsidRPr="00FF3102">
              <w:rPr>
                <w:rFonts w:ascii="Simplified Arabic" w:eastAsiaTheme="minorEastAsia" w:hAnsi="Simplified Arabic" w:cs="Simplified Arabic"/>
                <w:bCs/>
                <w:color w:val="000000"/>
                <w:sz w:val="18"/>
                <w:szCs w:val="18"/>
                <w:rtl/>
              </w:rPr>
              <w:t>المشروع</w:t>
            </w:r>
          </w:p>
        </w:tc>
        <w:tc>
          <w:tcPr>
            <w:tcW w:w="3600" w:type="dxa"/>
            <w:gridSpan w:val="2"/>
            <w:tcBorders>
              <w:top w:val="single" w:sz="4" w:space="0" w:color="auto"/>
              <w:bottom w:val="single" w:sz="4" w:space="0" w:color="auto"/>
              <w:right w:val="single" w:sz="8" w:space="0" w:color="auto"/>
            </w:tcBorders>
            <w:tcMar>
              <w:left w:w="0" w:type="dxa"/>
              <w:right w:w="0" w:type="dxa"/>
            </w:tcMar>
            <w:vAlign w:val="center"/>
          </w:tcPr>
          <w:p w:rsidR="00810BAC" w:rsidRPr="00FF3102" w:rsidRDefault="00216525" w:rsidP="00810BAC">
            <w:pPr>
              <w:bidi/>
              <w:jc w:val="center"/>
              <w:rPr>
                <w:rFonts w:ascii="Simplified Arabic" w:eastAsiaTheme="minorEastAsia" w:hAnsi="Simplified Arabic" w:cs="Simplified Arabic"/>
                <w:sz w:val="18"/>
                <w:szCs w:val="18"/>
              </w:rPr>
            </w:pPr>
            <w:r>
              <w:rPr>
                <w:rFonts w:ascii="Simplified Arabic" w:eastAsiaTheme="minorEastAsia" w:hAnsi="Simplified Arabic" w:cs="Simplified Arabic" w:hint="cs"/>
                <w:bCs/>
                <w:color w:val="000000"/>
                <w:sz w:val="18"/>
                <w:szCs w:val="18"/>
                <w:rtl/>
              </w:rPr>
              <w:t xml:space="preserve">                                       </w:t>
            </w:r>
            <w:r w:rsidR="00810BAC" w:rsidRPr="00FF3102">
              <w:rPr>
                <w:rFonts w:ascii="Simplified Arabic" w:eastAsiaTheme="minorEastAsia" w:hAnsi="Simplified Arabic" w:cs="Simplified Arabic"/>
                <w:bCs/>
                <w:color w:val="000000"/>
                <w:sz w:val="18"/>
                <w:szCs w:val="18"/>
                <w:rtl/>
              </w:rPr>
              <w:t xml:space="preserve"> الارتباط</w:t>
            </w:r>
          </w:p>
        </w:tc>
      </w:tr>
      <w:tr w:rsidR="00810BAC" w:rsidRPr="00FF3102" w:rsidTr="00FF3102">
        <w:trPr>
          <w:cantSplit/>
          <w:trHeight w:val="20"/>
          <w:jc w:val="center"/>
        </w:trPr>
        <w:tc>
          <w:tcPr>
            <w:tcW w:w="468" w:type="dxa"/>
            <w:vMerge w:val="restart"/>
            <w:tcBorders>
              <w:top w:val="single" w:sz="4" w:space="0" w:color="auto"/>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06</w:t>
            </w:r>
          </w:p>
        </w:tc>
        <w:tc>
          <w:tcPr>
            <w:tcW w:w="3960" w:type="dxa"/>
            <w:tcBorders>
              <w:top w:val="single" w:sz="4" w:space="0" w:color="auto"/>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البنية التحتية للري في غرب الدلتا</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single" w:sz="4" w:space="0" w:color="auto"/>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الحفاظ على المياه وإعادة تأهيل الري في غرب الدلتا</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145</w:t>
            </w:r>
          </w:p>
        </w:tc>
      </w:tr>
      <w:tr w:rsidR="00810BAC" w:rsidRPr="00FF3102" w:rsidTr="00FF3102">
        <w:trPr>
          <w:cantSplit/>
          <w:trHeight w:val="20"/>
          <w:jc w:val="center"/>
        </w:trPr>
        <w:tc>
          <w:tcPr>
            <w:tcW w:w="468" w:type="dxa"/>
            <w:vMerge/>
            <w:tcBorders>
              <w:top w:val="single" w:sz="4" w:space="0" w:color="auto"/>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محطة التبين لتوليد الكهرباء</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محطة التبين لتوليد الكهرباء</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259.6</w:t>
            </w:r>
          </w:p>
        </w:tc>
      </w:tr>
      <w:tr w:rsidR="00810BAC" w:rsidRPr="00FF3102" w:rsidTr="00FF3102">
        <w:trPr>
          <w:cantSplit/>
          <w:trHeight w:val="20"/>
          <w:jc w:val="center"/>
        </w:trPr>
        <w:tc>
          <w:tcPr>
            <w:tcW w:w="468" w:type="dxa"/>
            <w:vMerge/>
            <w:tcBorders>
              <w:top w:val="single" w:sz="4" w:space="0" w:color="auto"/>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التمويل العقاري</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التمويل العقاري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37.1</w:t>
            </w:r>
          </w:p>
        </w:tc>
      </w:tr>
      <w:tr w:rsidR="00810BAC" w:rsidRPr="00FF3102" w:rsidTr="00FF3102">
        <w:trPr>
          <w:cantSplit/>
          <w:trHeight w:val="20"/>
          <w:jc w:val="center"/>
        </w:trPr>
        <w:tc>
          <w:tcPr>
            <w:tcW w:w="468" w:type="dxa"/>
            <w:vMerge/>
            <w:tcBorders>
              <w:top w:val="single" w:sz="4" w:space="0" w:color="auto"/>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single" w:sz="4" w:space="0" w:color="auto"/>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تطوير قطاع الموانئ</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single" w:sz="4" w:space="0" w:color="auto"/>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single" w:sz="4" w:space="0" w:color="auto"/>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07</w:t>
            </w:r>
          </w:p>
        </w:tc>
        <w:tc>
          <w:tcPr>
            <w:tcW w:w="3960" w:type="dxa"/>
            <w:tcBorders>
              <w:top w:val="single" w:sz="4" w:space="0" w:color="auto"/>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بؤرات النمو خارج الأسكندرية</w:t>
            </w:r>
          </w:p>
        </w:tc>
        <w:tc>
          <w:tcPr>
            <w:tcW w:w="3960" w:type="dxa"/>
            <w:gridSpan w:val="2"/>
            <w:tcBorders>
              <w:top w:val="single" w:sz="4" w:space="0" w:color="auto"/>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تطوير مدينة الأسكندرية</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100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التنمية المتكاملة للمحافظات</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المرحلة الرابعة من الصندوق الاجتماعي للتنمية</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الثاني لتحسين التعليم</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الثاني للحد من التلوث</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الثاني للحد من التلوُّث</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20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الطاقة الشمسية الحرارية</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single" w:sz="4" w:space="0" w:color="auto"/>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قرض إعادة هيكلة القطاع المالي</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قرض سياسات التنمية لإصلاح القطاع المالي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500</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08</w:t>
            </w:r>
          </w:p>
        </w:tc>
        <w:tc>
          <w:tcPr>
            <w:tcW w:w="3960" w:type="dxa"/>
            <w:tcBorders>
              <w:top w:val="single" w:sz="4" w:space="0" w:color="auto"/>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إدارة مرافق النقل/الطرق</w:t>
            </w:r>
          </w:p>
        </w:tc>
        <w:tc>
          <w:tcPr>
            <w:tcW w:w="3960" w:type="dxa"/>
            <w:gridSpan w:val="2"/>
            <w:tcBorders>
              <w:top w:val="single" w:sz="4" w:space="0" w:color="auto"/>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u w:val="single"/>
              </w:rPr>
            </w:pP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u w:val="single"/>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الثاني للتنمية المتكاملة للمحافظات</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السكك الحديدية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 xml:space="preserve"> مشروع إعادة هيكلة هيئة سكك حديد مصر</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270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البنية التحتية المتكاملة للصرف الصحي في الدلتا</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البنية التحتية المتكاملة للصرف الصحي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120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single" w:sz="4" w:space="0" w:color="auto"/>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القرض الثاني لسياسات التنمية المعنية بالقطاع المالي</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القرض الثاني لسياسات التنمية المعنية بالقطاع المالي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500</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09</w:t>
            </w:r>
          </w:p>
        </w:tc>
        <w:tc>
          <w:tcPr>
            <w:tcW w:w="3960" w:type="dxa"/>
            <w:tcBorders>
              <w:top w:val="single" w:sz="4" w:space="0" w:color="auto"/>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التمويل الإضافي لتنمية السوق العقارية</w:t>
            </w:r>
          </w:p>
        </w:tc>
        <w:tc>
          <w:tcPr>
            <w:tcW w:w="3960" w:type="dxa"/>
            <w:gridSpan w:val="2"/>
            <w:tcBorders>
              <w:top w:val="single" w:sz="4" w:space="0" w:color="auto"/>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قرض سياسات التنمية للتمويل العقاري الميسر</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300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الإسكان الاجتماعي لمحدودي الدخل</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محطة توليد كهرباء العين السخنة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محطة توليد كهرباء العين السخنة</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600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إعادة هيكلة السكك الحديدية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إعادة هيكلة الهيئة القومية لسكك حديد مصر</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330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single" w:sz="4" w:space="0" w:color="auto"/>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القومي للصرف الزراعي (تمويل إضافي)</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تمويل إضافي للمشروع الثاني للصرف القومي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30</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10</w:t>
            </w:r>
          </w:p>
        </w:tc>
        <w:tc>
          <w:tcPr>
            <w:tcW w:w="3960" w:type="dxa"/>
            <w:tcBorders>
              <w:top w:val="single" w:sz="4" w:space="0" w:color="auto"/>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تسهيل الحصول على التمويل</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single" w:sz="4" w:space="0" w:color="auto"/>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 تسهيل الحصول على التمويل للمشروعات المتوسطة والصغيرة</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300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البنية التحتية للغاز</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توصيلات الغاز الطبيعي للمنازل</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75 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الثاني لتطوير المطارات</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تمويل إضافي لتطوير المطارات</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40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إدارة مرافق الطرق</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إصلاح المراحل التالية للتعليم الأساسي</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قرض سياسات التنمية للحماية الاجتماعية</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تطوير أنظمة التأمين الصحي</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مصر-تطوير أنظمة التأمين الصحي</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75</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single" w:sz="4" w:space="0" w:color="auto"/>
              <w:bottom w:val="single" w:sz="4" w:space="0" w:color="auto"/>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التنمية المتكاملة لمحافظات صعيد مصر</w:t>
            </w:r>
          </w:p>
        </w:tc>
        <w:tc>
          <w:tcPr>
            <w:tcW w:w="3960" w:type="dxa"/>
            <w:gridSpan w:val="2"/>
            <w:tcBorders>
              <w:top w:val="nil"/>
              <w:left w:val="single" w:sz="4" w:space="0" w:color="auto"/>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11</w:t>
            </w:r>
          </w:p>
        </w:tc>
        <w:tc>
          <w:tcPr>
            <w:tcW w:w="396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المرحلة الثالثة للطاقة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single" w:sz="4" w:space="0" w:color="auto"/>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 مشروع محطة كهرباء شمال الجيزة</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600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التكنولوجيا النظيفة للطاقة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مصر-مشروع تطوير الطاقة الريحية</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70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البنية التحتية للنقل في المناطق الحضرية</w:t>
            </w:r>
          </w:p>
        </w:tc>
        <w:tc>
          <w:tcPr>
            <w:tcW w:w="3960" w:type="dxa"/>
            <w:gridSpan w:val="2"/>
            <w:tcBorders>
              <w:top w:val="nil"/>
              <w:left w:val="nil"/>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النفايات الصلبة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nil"/>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الزراعة/إنعاش صناعة الدواجن</w:t>
            </w:r>
          </w:p>
        </w:tc>
        <w:tc>
          <w:tcPr>
            <w:tcW w:w="3960" w:type="dxa"/>
            <w:gridSpan w:val="2"/>
            <w:tcBorders>
              <w:top w:val="nil"/>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مصر-مشروع تطوير الري على مستوى المزرعة</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100</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12</w:t>
            </w:r>
          </w:p>
        </w:tc>
        <w:tc>
          <w:tcPr>
            <w:tcW w:w="396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محطة كهرباء شمال الجيزة (تمويل إضافي)</w:t>
            </w:r>
          </w:p>
        </w:tc>
        <w:tc>
          <w:tcPr>
            <w:tcW w:w="3960" w:type="dxa"/>
            <w:gridSpan w:val="2"/>
            <w:tcBorders>
              <w:top w:val="single" w:sz="4" w:space="0" w:color="auto"/>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 xml:space="preserve">مصر-تمويل إضافي لمشروع محطة كهرباء شمال الجيزة </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240</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المشروع الطارئ كثيف الاستخدام للأيدي العاملة</w:t>
            </w:r>
            <w:r w:rsidRPr="00FF3102">
              <w:rPr>
                <w:rFonts w:ascii="Simplified Arabic" w:eastAsiaTheme="minorEastAsia" w:hAnsi="Simplified Arabic" w:cs="Simplified Arabic"/>
                <w:color w:val="000000"/>
                <w:sz w:val="18"/>
                <w:szCs w:val="18"/>
              </w:rPr>
              <w:t xml:space="preserve"> </w:t>
            </w:r>
          </w:p>
        </w:tc>
        <w:tc>
          <w:tcPr>
            <w:tcW w:w="3960" w:type="dxa"/>
            <w:gridSpan w:val="2"/>
            <w:tcBorders>
              <w:top w:val="nil"/>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مصر-الاستثمار الطارئ كثيف الاستخدام للأيدي العاملة</w:t>
            </w: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200</w:t>
            </w:r>
          </w:p>
        </w:tc>
      </w:tr>
      <w:tr w:rsidR="00810BAC" w:rsidRPr="00FF3102" w:rsidTr="00FF3102">
        <w:trPr>
          <w:cantSplit/>
          <w:trHeight w:val="20"/>
          <w:jc w:val="center"/>
        </w:trPr>
        <w:tc>
          <w:tcPr>
            <w:tcW w:w="468" w:type="dxa"/>
            <w:vMerge w:val="restart"/>
            <w:tcBorders>
              <w:top w:val="nil"/>
              <w:left w:val="single" w:sz="4" w:space="0" w:color="auto"/>
              <w:bottom w:val="single" w:sz="4" w:space="0" w:color="auto"/>
              <w:right w:val="single" w:sz="4" w:space="0" w:color="auto"/>
            </w:tcBorders>
            <w:noWrap/>
            <w:tcMar>
              <w:left w:w="0" w:type="dxa"/>
              <w:right w:w="0" w:type="dxa"/>
            </w:tcMar>
          </w:tcPr>
          <w:p w:rsidR="00810BAC" w:rsidRPr="00FF3102" w:rsidRDefault="00810BAC" w:rsidP="00810BAC">
            <w:pPr>
              <w:bidi/>
              <w:jc w:val="center"/>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13</w:t>
            </w:r>
          </w:p>
        </w:tc>
        <w:tc>
          <w:tcPr>
            <w:tcW w:w="396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محطة كهرباء جنوب حلوان</w:t>
            </w:r>
          </w:p>
        </w:tc>
        <w:tc>
          <w:tcPr>
            <w:tcW w:w="3960" w:type="dxa"/>
            <w:gridSpan w:val="2"/>
            <w:tcBorders>
              <w:top w:val="single" w:sz="4" w:space="0" w:color="auto"/>
              <w:left w:val="nil"/>
              <w:bottom w:val="nil"/>
              <w:right w:val="nil"/>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مصر - مشروع محطة كهرباء جنوب حلوان</w:t>
            </w:r>
          </w:p>
        </w:tc>
        <w:tc>
          <w:tcPr>
            <w:tcW w:w="900" w:type="dxa"/>
            <w:tcBorders>
              <w:top w:val="single" w:sz="4" w:space="0" w:color="auto"/>
              <w:left w:val="nil"/>
              <w:bottom w:val="nil"/>
              <w:right w:val="single" w:sz="4" w:space="0" w:color="auto"/>
            </w:tcBorders>
            <w:noWrap/>
          </w:tcPr>
          <w:p w:rsidR="00810BAC" w:rsidRPr="00FF3102" w:rsidRDefault="00810BAC" w:rsidP="00810BAC">
            <w:pPr>
              <w:bidi/>
              <w:rPr>
                <w:rFonts w:ascii="Simplified Arabic" w:hAnsi="Simplified Arabic" w:cs="Simplified Arabic"/>
                <w:color w:val="000000"/>
                <w:sz w:val="18"/>
                <w:szCs w:val="18"/>
              </w:rPr>
            </w:pPr>
            <w:r w:rsidRPr="00FF3102">
              <w:rPr>
                <w:rFonts w:ascii="Simplified Arabic" w:hAnsi="Simplified Arabic" w:cs="Simplified Arabic"/>
                <w:color w:val="000000"/>
                <w:sz w:val="18"/>
                <w:szCs w:val="18"/>
              </w:rPr>
              <w:t>585.4</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Pr>
          <w:p w:rsidR="00810BAC" w:rsidRPr="00FF3102" w:rsidRDefault="00810BAC" w:rsidP="00810BAC">
            <w:pPr>
              <w:bidi/>
              <w:rPr>
                <w:rFonts w:ascii="Simplified Arabic" w:hAnsi="Simplified Arabic" w:cs="Simplified Arabic"/>
                <w:color w:val="000000"/>
                <w:sz w:val="18"/>
                <w:szCs w:val="18"/>
              </w:rPr>
            </w:pPr>
          </w:p>
        </w:tc>
        <w:tc>
          <w:tcPr>
            <w:tcW w:w="3960" w:type="dxa"/>
            <w:tcBorders>
              <w:top w:val="nil"/>
              <w:left w:val="nil"/>
              <w:bottom w:val="nil"/>
              <w:right w:val="single" w:sz="4" w:space="0" w:color="auto"/>
            </w:tcBorders>
            <w:noWrap/>
          </w:tcPr>
          <w:p w:rsidR="00810BAC" w:rsidRPr="00FF3102" w:rsidRDefault="00810BAC" w:rsidP="00810BAC">
            <w:pPr>
              <w:bidi/>
              <w:rPr>
                <w:rFonts w:ascii="Simplified Arabic" w:eastAsiaTheme="minorEastAsia" w:hAnsi="Simplified Arabic" w:cs="Simplified Arabic"/>
                <w:sz w:val="18"/>
                <w:szCs w:val="18"/>
              </w:rPr>
            </w:pPr>
            <w:r w:rsidRPr="00FF3102">
              <w:rPr>
                <w:rFonts w:ascii="Simplified Arabic" w:eastAsiaTheme="minorEastAsia" w:hAnsi="Simplified Arabic" w:cs="Simplified Arabic"/>
                <w:color w:val="000000"/>
                <w:sz w:val="18"/>
                <w:szCs w:val="18"/>
                <w:rtl/>
              </w:rPr>
              <w:t>مشروع كوم أمبو للطاقة الشمسية</w:t>
            </w:r>
          </w:p>
        </w:tc>
        <w:tc>
          <w:tcPr>
            <w:tcW w:w="3960" w:type="dxa"/>
            <w:gridSpan w:val="2"/>
            <w:tcBorders>
              <w:top w:val="nil"/>
              <w:left w:val="nil"/>
              <w:bottom w:val="nil"/>
              <w:right w:val="nil"/>
            </w:tcBorders>
            <w:noWrap/>
          </w:tcPr>
          <w:p w:rsidR="00810BAC" w:rsidRPr="00FF3102" w:rsidRDefault="00810BAC" w:rsidP="00810BAC">
            <w:pPr>
              <w:bidi/>
              <w:rPr>
                <w:rFonts w:ascii="Simplified Arabic" w:hAnsi="Simplified Arabic" w:cs="Simplified Arabic"/>
                <w:color w:val="000000"/>
                <w:sz w:val="18"/>
                <w:szCs w:val="18"/>
              </w:rPr>
            </w:pPr>
          </w:p>
        </w:tc>
        <w:tc>
          <w:tcPr>
            <w:tcW w:w="900" w:type="dxa"/>
            <w:tcBorders>
              <w:top w:val="nil"/>
              <w:left w:val="nil"/>
              <w:bottom w:val="nil"/>
              <w:right w:val="single" w:sz="4" w:space="0" w:color="auto"/>
            </w:tcBorders>
            <w:noWrap/>
          </w:tcPr>
          <w:p w:rsidR="00810BAC" w:rsidRPr="00FF3102" w:rsidRDefault="00810BAC" w:rsidP="00810BAC">
            <w:pPr>
              <w:bidi/>
              <w:rPr>
                <w:rFonts w:ascii="Simplified Arabic" w:hAnsi="Simplified Arabic" w:cs="Simplified Arabic"/>
                <w:sz w:val="18"/>
                <w:szCs w:val="18"/>
              </w:rPr>
            </w:pPr>
            <w:r w:rsidRPr="00FF3102">
              <w:rPr>
                <w:rFonts w:ascii="Simplified Arabic" w:hAnsi="Simplified Arabic" w:cs="Simplified Arabic"/>
                <w:color w:val="000000"/>
                <w:sz w:val="18"/>
                <w:szCs w:val="18"/>
              </w:rPr>
              <w:t> </w:t>
            </w:r>
          </w:p>
        </w:tc>
      </w:tr>
      <w:tr w:rsidR="00810BAC" w:rsidRPr="00FF3102" w:rsidTr="00FF3102">
        <w:trPr>
          <w:cantSplit/>
          <w:trHeight w:val="20"/>
          <w:jc w:val="center"/>
        </w:trPr>
        <w:tc>
          <w:tcPr>
            <w:tcW w:w="468" w:type="dxa"/>
            <w:vMerge/>
            <w:tcBorders>
              <w:top w:val="nil"/>
              <w:left w:val="single" w:sz="4" w:space="0" w:color="auto"/>
              <w:bottom w:val="single" w:sz="4" w:space="0" w:color="auto"/>
              <w:right w:val="single" w:sz="4" w:space="0" w:color="auto"/>
            </w:tcBorders>
          </w:tcPr>
          <w:p w:rsidR="00810BAC" w:rsidRPr="00FF3102" w:rsidRDefault="00810BAC" w:rsidP="00810BAC">
            <w:pPr>
              <w:bidi/>
              <w:rPr>
                <w:rFonts w:ascii="Simplified Arabic" w:hAnsi="Simplified Arabic" w:cs="Simplified Arabic"/>
                <w:color w:val="000000"/>
              </w:rPr>
            </w:pPr>
          </w:p>
        </w:tc>
        <w:tc>
          <w:tcPr>
            <w:tcW w:w="3960" w:type="dxa"/>
            <w:tcBorders>
              <w:top w:val="nil"/>
              <w:left w:val="nil"/>
              <w:bottom w:val="single" w:sz="4" w:space="0" w:color="auto"/>
              <w:right w:val="single" w:sz="4" w:space="0" w:color="auto"/>
            </w:tcBorders>
            <w:noWrap/>
          </w:tcPr>
          <w:p w:rsidR="00810BAC" w:rsidRPr="001F1C0D" w:rsidRDefault="00810BAC" w:rsidP="00810BAC">
            <w:pPr>
              <w:bidi/>
              <w:rPr>
                <w:rFonts w:ascii="Simplified Arabic" w:eastAsiaTheme="minorEastAsia" w:hAnsi="Simplified Arabic" w:cs="Simplified Arabic"/>
                <w:sz w:val="18"/>
                <w:szCs w:val="18"/>
              </w:rPr>
            </w:pPr>
            <w:r w:rsidRPr="001F1C0D">
              <w:rPr>
                <w:rFonts w:ascii="Simplified Arabic" w:eastAsiaTheme="minorEastAsia" w:hAnsi="Simplified Arabic" w:cs="Simplified Arabic"/>
                <w:color w:val="000000"/>
                <w:sz w:val="18"/>
                <w:szCs w:val="18"/>
                <w:rtl/>
              </w:rPr>
              <w:t>مشروع البنية التحتية للنقل في المناطق الحضرية</w:t>
            </w:r>
          </w:p>
        </w:tc>
        <w:tc>
          <w:tcPr>
            <w:tcW w:w="3960" w:type="dxa"/>
            <w:gridSpan w:val="2"/>
            <w:tcBorders>
              <w:top w:val="nil"/>
              <w:left w:val="nil"/>
              <w:bottom w:val="single" w:sz="4" w:space="0" w:color="auto"/>
              <w:right w:val="nil"/>
            </w:tcBorders>
            <w:noWrap/>
          </w:tcPr>
          <w:p w:rsidR="00810BAC" w:rsidRPr="00FF3102" w:rsidRDefault="00810BAC" w:rsidP="00810BAC">
            <w:pPr>
              <w:bidi/>
              <w:rPr>
                <w:rFonts w:ascii="Simplified Arabic" w:hAnsi="Simplified Arabic" w:cs="Simplified Arabic"/>
                <w:color w:val="000000"/>
              </w:rPr>
            </w:pPr>
            <w:r w:rsidRPr="00FF3102">
              <w:rPr>
                <w:rFonts w:ascii="Simplified Arabic" w:hAnsi="Simplified Arabic" w:cs="Simplified Arabic"/>
                <w:color w:val="000000"/>
              </w:rPr>
              <w:t> </w:t>
            </w:r>
          </w:p>
        </w:tc>
        <w:tc>
          <w:tcPr>
            <w:tcW w:w="900" w:type="dxa"/>
            <w:tcBorders>
              <w:top w:val="nil"/>
              <w:left w:val="nil"/>
              <w:bottom w:val="single" w:sz="4" w:space="0" w:color="auto"/>
              <w:right w:val="single" w:sz="4" w:space="0" w:color="auto"/>
            </w:tcBorders>
            <w:noWrap/>
          </w:tcPr>
          <w:p w:rsidR="00810BAC" w:rsidRPr="00FF3102" w:rsidRDefault="00810BAC" w:rsidP="00810BAC">
            <w:pPr>
              <w:bidi/>
              <w:rPr>
                <w:rFonts w:ascii="Simplified Arabic" w:hAnsi="Simplified Arabic" w:cs="Simplified Arabic"/>
                <w:color w:val="000000"/>
              </w:rPr>
            </w:pPr>
            <w:r w:rsidRPr="00FF3102">
              <w:rPr>
                <w:rFonts w:ascii="Simplified Arabic" w:hAnsi="Simplified Arabic" w:cs="Simplified Arabic"/>
                <w:color w:val="000000"/>
              </w:rPr>
              <w:t> </w:t>
            </w: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spacing w:val="-4"/>
          <w:rtl/>
        </w:rPr>
        <w:t>وأكَّد البنك الدولي على الآليات المناسبة للمشتريات وإدارة الشؤون المالية لتحسين سير التنفيذ ومعدلات الصرف من القرض وبناء قدرات البلاد.</w:t>
      </w:r>
      <w:r w:rsidRPr="00FF3102">
        <w:rPr>
          <w:rFonts w:ascii="Simplified Arabic" w:eastAsiaTheme="minorEastAsia" w:hAnsi="Simplified Arabic" w:cs="Simplified Arabic"/>
          <w:b/>
          <w:spacing w:val="-4"/>
        </w:rPr>
        <w:t xml:space="preserve"> </w:t>
      </w:r>
      <w:r w:rsidRPr="00FF3102">
        <w:rPr>
          <w:rFonts w:ascii="Simplified Arabic" w:eastAsiaTheme="minorEastAsia" w:hAnsi="Simplified Arabic" w:cs="Simplified Arabic"/>
          <w:spacing w:val="-4"/>
          <w:rtl/>
        </w:rPr>
        <w:t>ويساند البنك الحكومة في إعداد وثائق المشتريات قبل الموافقة على المشروعات، وتيسير عملية تدفق الأموال من خلال زيادة استخدام الصرف الإلكتروني، وتحسين الاستعداد لتنفيذ المشروعات، وتقديم مساندة مسبقة للإجراءات الوقائية البيئية والاجتماعية.</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وساعدت المشاركة المكثفة للبنك في مشروعات البنية التحتية على وضع أحدث ترتيبات التنفيذ، ومنها ما يتعلق بإدارة الشؤون المالية، والمشتريات، والرصد والتقييم في مجالات الطاقة والمياه والنقل، وذلك على سبيل المثال لا الحصر.</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واجتذب هذا أيضا المانحين لتجميع الموارد مع البنك الدولي (مثل مشروع جنوب حلوان)، وسيكون ذا أهمية في الاستيعاب الفاعل في المستقبل لموارد البنك وغيره من المانحين، ومنها الأموال التي قدمها بلدان الخليج.</w:t>
      </w:r>
      <w:r w:rsidRPr="00FF3102">
        <w:rPr>
          <w:rFonts w:ascii="Simplified Arabic" w:eastAsiaTheme="minorEastAsia" w:hAnsi="Simplified Arabic" w:cs="Simplified Arabic"/>
          <w:spacing w:val="-4"/>
        </w:rPr>
        <w:t xml:space="preserve"> </w:t>
      </w:r>
    </w:p>
    <w:p w:rsidR="00810BAC" w:rsidRPr="00FF3102" w:rsidRDefault="00810BAC" w:rsidP="00810BAC">
      <w:pPr>
        <w:bidi/>
        <w:spacing w:after="220"/>
        <w:jc w:val="both"/>
        <w:rPr>
          <w:rFonts w:ascii="Simplified Arabic" w:eastAsiaTheme="minorEastAsia" w:hAnsi="Simplified Arabic" w:cs="Simplified Arabic"/>
        </w:rPr>
      </w:pPr>
      <w:r w:rsidRPr="00FF3102">
        <w:rPr>
          <w:rFonts w:ascii="Simplified Arabic" w:eastAsiaTheme="minorEastAsia" w:hAnsi="Simplified Arabic" w:cs="Simplified Arabic"/>
          <w:bCs/>
          <w:spacing w:val="-4"/>
          <w:rtl/>
        </w:rPr>
        <w:t>وحشد البنك الدولي ومؤسسة التمويل الدولية خدمات إقراضية وغير إقراضية لمساندة البرنامج في إستراتيجية المساعدة الخاصة بمصر وفي مذكرة الإستراتيجية المؤقتة.</w:t>
      </w:r>
      <w:r w:rsidRPr="00FF3102">
        <w:rPr>
          <w:rFonts w:ascii="Simplified Arabic" w:eastAsiaTheme="minorEastAsia" w:hAnsi="Simplified Arabic" w:cs="Simplified Arabic"/>
          <w:b/>
          <w:spacing w:val="-4"/>
        </w:rPr>
        <w:t xml:space="preserve"> </w:t>
      </w:r>
      <w:r w:rsidRPr="00FF3102">
        <w:rPr>
          <w:rFonts w:ascii="Simplified Arabic" w:eastAsiaTheme="minorEastAsia" w:hAnsi="Simplified Arabic" w:cs="Simplified Arabic"/>
          <w:spacing w:val="-4"/>
          <w:rtl/>
        </w:rPr>
        <w:t>وبلغت القروض التي قدمها البنك الدولي في السنوات المالية 2006-2012 في المتوسط 934 مليون دولار سنويا، وتحقَّقت إلى حد كبير المستويات المُتصَّورة لحجم الإقراض في مذكرة الإستراتيجية المؤقتة (انظر الجدول 3).</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color w:val="000000"/>
          <w:spacing w:val="-4"/>
          <w:rtl/>
        </w:rPr>
        <w:t>وأجرى البنك أنشطة تحليلية واستشارية في عدد من المجالات، منها تقييم أوضاع الفقر، ودراسات عدم التكافؤ، والتعليم، وتحليل الجغرافيا الاقتصادية.</w:t>
      </w:r>
      <w:r w:rsidRPr="00FF3102">
        <w:rPr>
          <w:rFonts w:ascii="Simplified Arabic" w:eastAsiaTheme="minorEastAsia" w:hAnsi="Simplified Arabic" w:cs="Simplified Arabic"/>
          <w:color w:val="000000"/>
          <w:spacing w:val="-4"/>
        </w:rPr>
        <w:t xml:space="preserve"> </w:t>
      </w:r>
      <w:r w:rsidRPr="00FF3102">
        <w:rPr>
          <w:rFonts w:ascii="Simplified Arabic" w:eastAsiaTheme="minorEastAsia" w:hAnsi="Simplified Arabic" w:cs="Simplified Arabic"/>
          <w:spacing w:val="-4"/>
          <w:rtl/>
        </w:rPr>
        <w:t>وستثري الدراسة الخاصة بصعيد مصر ودراسة عدم التكافؤ إطار الشراكة الإستراتيجية الجديد لمجموعة البنك الدولي الذي من المتوقع أن يتركَّز على قضايا عدم التكافؤ والتفاوتات المكانية داخل البلاد.</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وقام البنك الدولي بتعبئة أحجام إقراض منخفضة في قطاعات حيوية بالإضافة إلى تعزيز المعارف من خلال الخدمات التحليلية والاستشارية، في التعليم على سبيل المثال، حيث أدَّت هذه الخدمات إلى وضع نُهُج جديدة لدخول الجامعات وامتحانات التخرج من المرحلة الثانوية. وتخطَّت مؤسسة التمويل الدولية أيضا اتجاهاتها الاستثمارية التاريخية في فترات سابقة لإستراتيجية المساعدة الخاصة بمصر.</w:t>
      </w:r>
      <w:r w:rsidRPr="00FF3102">
        <w:rPr>
          <w:rFonts w:ascii="Simplified Arabic" w:eastAsiaTheme="minorEastAsia" w:hAnsi="Simplified Arabic" w:cs="Simplified Arabic"/>
          <w:spacing w:val="-4"/>
        </w:rPr>
        <w:t xml:space="preserve"> </w:t>
      </w:r>
      <w:r w:rsidRPr="00FF3102">
        <w:rPr>
          <w:rFonts w:ascii="Simplified Arabic" w:eastAsiaTheme="minorEastAsia" w:hAnsi="Simplified Arabic" w:cs="Simplified Arabic"/>
          <w:spacing w:val="-4"/>
          <w:rtl/>
        </w:rPr>
        <w:t>وارتبطت المؤسسة بتقديم ما مجموعه 2.2 مليار دولار (منها تعبئة 392 مليون دولار) خلال الفترة التي تغطيها إستراتيجية المساعدة الخاصة بمصر ومذكرة الإستراتيجية المؤقتة (السنوات المالية 2006-2014). ومن هذا المبلغ كان 1.8 مليار دولار خلال السنوات المالية 2006-2012 والباقي في الفترة التي تغطيها مذكرة الإستراتيجية المؤقتة.</w:t>
      </w:r>
      <w:r w:rsidRPr="00FF3102">
        <w:rPr>
          <w:rFonts w:ascii="Simplified Arabic" w:eastAsiaTheme="minorEastAsia" w:hAnsi="Simplified Arabic" w:cs="Simplified Arabic"/>
          <w:color w:val="000000"/>
          <w:spacing w:val="-4"/>
          <w:rtl/>
        </w:rPr>
        <w:t xml:space="preserve"> </w:t>
      </w:r>
    </w:p>
    <w:p w:rsidR="00810BAC" w:rsidRPr="00FF3102" w:rsidRDefault="00810BAC" w:rsidP="0086058A">
      <w:pPr>
        <w:bidi/>
        <w:spacing w:after="220"/>
        <w:jc w:val="both"/>
        <w:rPr>
          <w:rFonts w:ascii="Simplified Arabic" w:eastAsiaTheme="minorEastAsia" w:hAnsi="Simplified Arabic" w:cs="Simplified Arabic"/>
          <w:rtl/>
        </w:rPr>
      </w:pPr>
      <w:r w:rsidRPr="00FF3102">
        <w:rPr>
          <w:rFonts w:ascii="Simplified Arabic" w:eastAsiaTheme="minorEastAsia" w:hAnsi="Simplified Arabic" w:cs="Simplified Arabic"/>
          <w:bCs/>
          <w:rtl/>
        </w:rPr>
        <w:t>أداء حافظة مشروعات البنك الدولي.</w:t>
      </w:r>
      <w:r w:rsidRPr="00FF3102">
        <w:rPr>
          <w:rFonts w:ascii="Simplified Arabic" w:eastAsiaTheme="minorEastAsia" w:hAnsi="Simplified Arabic" w:cs="Simplified Arabic"/>
          <w:color w:val="1F497D"/>
          <w:rtl/>
        </w:rPr>
        <w:t xml:space="preserve"> </w:t>
      </w:r>
      <w:r w:rsidRPr="00FF3102">
        <w:rPr>
          <w:rFonts w:ascii="Simplified Arabic" w:eastAsiaTheme="minorEastAsia" w:hAnsi="Simplified Arabic" w:cs="Simplified Arabic"/>
          <w:rtl/>
        </w:rPr>
        <w:t>على الرغم من أن البنك بذل جهودا حثيثة لتحسين أداء حافظة مشروعاته،</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فإن أداء الحافظة كان ضعيفا في م</w:t>
      </w:r>
      <w:r w:rsidR="0086058A">
        <w:rPr>
          <w:rFonts w:ascii="Simplified Arabic" w:eastAsiaTheme="minorEastAsia" w:hAnsi="Simplified Arabic" w:cs="Simplified Arabic"/>
          <w:rtl/>
        </w:rPr>
        <w:t>عظم الفترة، كما اتضح في التأخير</w:t>
      </w:r>
      <w:r w:rsidRPr="00FF3102">
        <w:rPr>
          <w:rFonts w:ascii="Simplified Arabic" w:eastAsiaTheme="minorEastAsia" w:hAnsi="Simplified Arabic" w:cs="Simplified Arabic"/>
          <w:rtl/>
        </w:rPr>
        <w:t xml:space="preserve"> في التنفيذ، وتقييم مخاطر الحافظة، وتدنِّي نسبة المنصرف من حصيلة القروض. وأسهمت الفوضى السياسية </w:t>
      </w:r>
      <w:r w:rsidR="0086058A">
        <w:rPr>
          <w:rFonts w:ascii="Simplified Arabic" w:eastAsiaTheme="minorEastAsia" w:hAnsi="Simplified Arabic" w:cs="Simplified Arabic" w:hint="cs"/>
          <w:rtl/>
        </w:rPr>
        <w:t>خلال</w:t>
      </w:r>
      <w:r w:rsidRPr="00FF3102">
        <w:rPr>
          <w:rFonts w:ascii="Simplified Arabic" w:eastAsiaTheme="minorEastAsia" w:hAnsi="Simplified Arabic" w:cs="Simplified Arabic"/>
          <w:rtl/>
        </w:rPr>
        <w:t xml:space="preserve"> </w:t>
      </w:r>
      <w:r w:rsidR="0086058A">
        <w:rPr>
          <w:rFonts w:ascii="Simplified Arabic" w:eastAsiaTheme="minorEastAsia" w:hAnsi="Simplified Arabic" w:cs="Simplified Arabic"/>
          <w:rtl/>
        </w:rPr>
        <w:t xml:space="preserve">بعض </w:t>
      </w:r>
      <w:r w:rsidR="0086058A">
        <w:rPr>
          <w:rFonts w:ascii="Simplified Arabic" w:eastAsiaTheme="minorEastAsia" w:hAnsi="Simplified Arabic" w:cs="Simplified Arabic" w:hint="cs"/>
          <w:rtl/>
        </w:rPr>
        <w:t xml:space="preserve">مراحل </w:t>
      </w:r>
      <w:r w:rsidR="0086058A">
        <w:rPr>
          <w:rFonts w:ascii="Simplified Arabic" w:eastAsiaTheme="minorEastAsia" w:hAnsi="Simplified Arabic" w:cs="Simplified Arabic"/>
          <w:rtl/>
        </w:rPr>
        <w:t>هذه الفترة أيضا في التأخير</w:t>
      </w:r>
      <w:r w:rsidRPr="00FF3102">
        <w:rPr>
          <w:rFonts w:ascii="Simplified Arabic" w:eastAsiaTheme="minorEastAsia" w:hAnsi="Simplified Arabic" w:cs="Simplified Arabic"/>
          <w:rtl/>
        </w:rPr>
        <w:t>.</w:t>
      </w:r>
      <w:r w:rsidRPr="00FF3102">
        <w:rPr>
          <w:rFonts w:ascii="Simplified Arabic" w:eastAsiaTheme="minorEastAsia" w:hAnsi="Simplified Arabic" w:cs="Simplified Arabic"/>
        </w:rPr>
        <w:t xml:space="preserve"> </w:t>
      </w:r>
      <w:r w:rsidR="0086058A">
        <w:rPr>
          <w:rFonts w:ascii="Simplified Arabic" w:eastAsiaTheme="minorEastAsia" w:hAnsi="Simplified Arabic" w:cs="Simplified Arabic"/>
          <w:rtl/>
        </w:rPr>
        <w:t>ومع أن التأخير</w:t>
      </w:r>
      <w:r w:rsidRPr="00FF3102">
        <w:rPr>
          <w:rFonts w:ascii="Simplified Arabic" w:eastAsiaTheme="minorEastAsia" w:hAnsi="Simplified Arabic" w:cs="Simplified Arabic"/>
          <w:rtl/>
        </w:rPr>
        <w:t xml:space="preserve"> في التنفيذ ونسبة المنصرف من القروض تحسَّنت خلال الفترة، فإن نسبة المشروعات التي تنطوي على مشكلات لا تزال مرتفعة (انظر الجدول 4). وعقد النظراء المصريون والبنك الدولي اجتماعات ربع سنوية لاستعراض أداء الحافظة، وركَّزوا على إعادة الهيكلة وإلغاء المشروعات غير العاملة، وبناء القدرات في مجال المشتريات من أجل حل اختناقات التنفيذ. وساعدت الدروس المستفادة من الإدارة النشطة للحافظة أيضا على تحسين مشروعات جديدة لضمان الإعداد الكافي وتحقيق نتائج أفضل على الأرض. </w:t>
      </w:r>
    </w:p>
    <w:p w:rsidR="00FF3102" w:rsidRPr="00FF3102" w:rsidRDefault="00FF3102" w:rsidP="00FF3102">
      <w:pPr>
        <w:bidi/>
        <w:spacing w:after="220"/>
        <w:jc w:val="both"/>
        <w:rPr>
          <w:rFonts w:ascii="Simplified Arabic" w:eastAsiaTheme="minorEastAsia" w:hAnsi="Simplified Arabic" w:cs="Simplified Arabic"/>
          <w:rtl/>
        </w:rPr>
      </w:pPr>
    </w:p>
    <w:p w:rsidR="00FF3102" w:rsidRPr="00FF3102" w:rsidRDefault="00FF3102" w:rsidP="00FF3102">
      <w:pPr>
        <w:bidi/>
        <w:spacing w:after="220"/>
        <w:jc w:val="both"/>
        <w:rPr>
          <w:rFonts w:ascii="Simplified Arabic" w:eastAsiaTheme="minorEastAsia" w:hAnsi="Simplified Arabic" w:cs="Simplified Arabic"/>
        </w:rPr>
      </w:pPr>
    </w:p>
    <w:tbl>
      <w:tblPr>
        <w:bidiVisual/>
        <w:tblW w:w="7945" w:type="dxa"/>
        <w:jc w:val="center"/>
        <w:tblLayout w:type="fixed"/>
        <w:tblLook w:val="00A0" w:firstRow="1" w:lastRow="0" w:firstColumn="1" w:lastColumn="0" w:noHBand="0" w:noVBand="0"/>
      </w:tblPr>
      <w:tblGrid>
        <w:gridCol w:w="2814"/>
        <w:gridCol w:w="855"/>
        <w:gridCol w:w="855"/>
        <w:gridCol w:w="855"/>
        <w:gridCol w:w="855"/>
        <w:gridCol w:w="855"/>
        <w:gridCol w:w="856"/>
      </w:tblGrid>
      <w:tr w:rsidR="00810BAC" w:rsidRPr="00FF3102">
        <w:trPr>
          <w:trHeight w:val="238"/>
          <w:jc w:val="center"/>
        </w:trPr>
        <w:tc>
          <w:tcPr>
            <w:tcW w:w="7945" w:type="dxa"/>
            <w:gridSpan w:val="7"/>
            <w:tcBorders>
              <w:top w:val="single" w:sz="4" w:space="0" w:color="auto"/>
              <w:left w:val="single" w:sz="4" w:space="0" w:color="auto"/>
              <w:bottom w:val="nil"/>
              <w:right w:val="single" w:sz="4" w:space="0" w:color="000000"/>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الجدول 4. نظرة سريعة إلى حافظة مشروعات مصر، السنوات المالية 2009-2014</w:t>
            </w:r>
          </w:p>
        </w:tc>
      </w:tr>
      <w:tr w:rsidR="00810BAC" w:rsidRPr="00FF3102">
        <w:trPr>
          <w:trHeight w:val="250"/>
          <w:jc w:val="center"/>
        </w:trPr>
        <w:tc>
          <w:tcPr>
            <w:tcW w:w="2814" w:type="dxa"/>
            <w:tcBorders>
              <w:top w:val="single" w:sz="4" w:space="0" w:color="auto"/>
              <w:left w:val="single" w:sz="4" w:space="0" w:color="auto"/>
              <w:bottom w:val="single" w:sz="8" w:space="0" w:color="auto"/>
              <w:right w:val="nil"/>
            </w:tcBorders>
            <w:vAlign w:val="center"/>
          </w:tcPr>
          <w:p w:rsidR="00810BAC" w:rsidRPr="00FF3102" w:rsidRDefault="00810BAC" w:rsidP="00810BAC">
            <w:pPr>
              <w:bidi/>
              <w:jc w:val="center"/>
              <w:rPr>
                <w:rFonts w:ascii="Simplified Arabic" w:hAnsi="Simplified Arabic" w:cs="Simplified Arabic"/>
                <w:sz w:val="20"/>
                <w:szCs w:val="20"/>
              </w:rPr>
            </w:pPr>
            <w:r w:rsidRPr="00FF3102">
              <w:rPr>
                <w:rFonts w:ascii="Simplified Arabic" w:hAnsi="Simplified Arabic" w:cs="Simplified Arabic"/>
                <w:b/>
                <w:i/>
                <w:color w:val="000000"/>
                <w:sz w:val="20"/>
                <w:szCs w:val="20"/>
              </w:rPr>
              <w:t> </w:t>
            </w:r>
          </w:p>
        </w:tc>
        <w:tc>
          <w:tcPr>
            <w:tcW w:w="855" w:type="dxa"/>
            <w:tcBorders>
              <w:top w:val="single" w:sz="4" w:space="0" w:color="auto"/>
              <w:left w:val="nil"/>
              <w:bottom w:val="single" w:sz="8" w:space="0" w:color="auto"/>
              <w:right w:val="nil"/>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2009</w:t>
            </w:r>
          </w:p>
        </w:tc>
        <w:tc>
          <w:tcPr>
            <w:tcW w:w="855" w:type="dxa"/>
            <w:tcBorders>
              <w:top w:val="single" w:sz="4" w:space="0" w:color="auto"/>
              <w:left w:val="nil"/>
              <w:bottom w:val="single" w:sz="8" w:space="0" w:color="auto"/>
              <w:right w:val="nil"/>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2010</w:t>
            </w:r>
          </w:p>
        </w:tc>
        <w:tc>
          <w:tcPr>
            <w:tcW w:w="855" w:type="dxa"/>
            <w:tcBorders>
              <w:top w:val="single" w:sz="4" w:space="0" w:color="auto"/>
              <w:left w:val="nil"/>
              <w:bottom w:val="single" w:sz="8" w:space="0" w:color="auto"/>
              <w:right w:val="nil"/>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2011</w:t>
            </w:r>
          </w:p>
        </w:tc>
        <w:tc>
          <w:tcPr>
            <w:tcW w:w="855" w:type="dxa"/>
            <w:tcBorders>
              <w:top w:val="single" w:sz="4" w:space="0" w:color="auto"/>
              <w:left w:val="nil"/>
              <w:bottom w:val="single" w:sz="8" w:space="0" w:color="auto"/>
              <w:right w:val="nil"/>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2012</w:t>
            </w:r>
          </w:p>
        </w:tc>
        <w:tc>
          <w:tcPr>
            <w:tcW w:w="855" w:type="dxa"/>
            <w:tcBorders>
              <w:top w:val="single" w:sz="4" w:space="0" w:color="auto"/>
              <w:left w:val="nil"/>
              <w:bottom w:val="single" w:sz="8" w:space="0" w:color="auto"/>
              <w:right w:val="nil"/>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2013</w:t>
            </w:r>
          </w:p>
        </w:tc>
        <w:tc>
          <w:tcPr>
            <w:tcW w:w="856" w:type="dxa"/>
            <w:tcBorders>
              <w:top w:val="single" w:sz="4" w:space="0" w:color="auto"/>
              <w:left w:val="nil"/>
              <w:bottom w:val="single" w:sz="8" w:space="0" w:color="auto"/>
              <w:right w:val="single" w:sz="4" w:space="0" w:color="auto"/>
            </w:tcBorders>
            <w:vAlign w:val="center"/>
          </w:tcPr>
          <w:p w:rsidR="00810BAC" w:rsidRPr="00FF3102" w:rsidRDefault="00810BAC" w:rsidP="00810BAC">
            <w:pPr>
              <w:bidi/>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السنة المالية 2014</w:t>
            </w:r>
          </w:p>
        </w:tc>
      </w:tr>
      <w:tr w:rsidR="00810BAC" w:rsidRPr="00FF3102">
        <w:trPr>
          <w:trHeight w:val="250"/>
          <w:jc w:val="center"/>
        </w:trPr>
        <w:tc>
          <w:tcPr>
            <w:tcW w:w="7945" w:type="dxa"/>
            <w:gridSpan w:val="7"/>
            <w:tcBorders>
              <w:top w:val="single" w:sz="8" w:space="0" w:color="auto"/>
              <w:left w:val="single" w:sz="4" w:space="0" w:color="auto"/>
              <w:bottom w:val="single" w:sz="8" w:space="0" w:color="auto"/>
              <w:right w:val="single" w:sz="4" w:space="0" w:color="000000"/>
            </w:tcBorders>
            <w:shd w:val="clear" w:color="000000" w:fill="D9D9D9"/>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أداء الحافظة ونسبة المنصرف من القروض</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مشروعات جارية (#)</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23</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25</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26</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صافي الارتباطات (بالمليون دولار)</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1,794</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3,400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3,894</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4,072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4,615</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4,908</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أرصدة غير منصرفة من القروض (بالمليون دولار)</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1,542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2,884</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3,205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3,242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3,380</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3,308</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المبالغ المنصرفة من القروض في السنة المالية (بالمليون دولار)</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113</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298</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173</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378</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448</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372</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المنصرف من حصيلة القرض</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14%</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7%</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14%</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11%</w:t>
            </w:r>
          </w:p>
        </w:tc>
      </w:tr>
      <w:tr w:rsidR="00810BAC" w:rsidRPr="00FF3102">
        <w:trPr>
          <w:trHeight w:val="250"/>
          <w:jc w:val="center"/>
        </w:trPr>
        <w:tc>
          <w:tcPr>
            <w:tcW w:w="2814" w:type="dxa"/>
            <w:tcBorders>
              <w:top w:val="nil"/>
              <w:left w:val="single" w:sz="4" w:space="0" w:color="auto"/>
              <w:bottom w:val="single" w:sz="8"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البطء في صرف القروض</w:t>
            </w:r>
          </w:p>
        </w:tc>
        <w:tc>
          <w:tcPr>
            <w:tcW w:w="855" w:type="dxa"/>
            <w:tcBorders>
              <w:top w:val="nil"/>
              <w:left w:val="nil"/>
              <w:bottom w:val="single" w:sz="8" w:space="0" w:color="auto"/>
              <w:right w:val="nil"/>
            </w:tcBorders>
            <w:noWrap/>
            <w:vAlign w:val="center"/>
          </w:tcPr>
          <w:p w:rsidR="00810BAC" w:rsidRPr="00FF3102" w:rsidRDefault="00810BAC" w:rsidP="00810BAC">
            <w:pPr>
              <w:bidi/>
              <w:rPr>
                <w:rFonts w:ascii="Simplified Arabic" w:hAnsi="Simplified Arabic" w:cs="Simplified Arabic"/>
                <w:color w:val="003366"/>
                <w:sz w:val="20"/>
                <w:szCs w:val="20"/>
              </w:rPr>
            </w:pPr>
            <w:r w:rsidRPr="00FF3102">
              <w:rPr>
                <w:rFonts w:ascii="Simplified Arabic" w:hAnsi="Simplified Arabic" w:cs="Simplified Arabic"/>
                <w:color w:val="003366"/>
                <w:sz w:val="20"/>
                <w:szCs w:val="20"/>
              </w:rPr>
              <w:t>7%</w:t>
            </w:r>
          </w:p>
        </w:tc>
        <w:tc>
          <w:tcPr>
            <w:tcW w:w="855" w:type="dxa"/>
            <w:tcBorders>
              <w:top w:val="nil"/>
              <w:left w:val="nil"/>
              <w:bottom w:val="single" w:sz="8" w:space="0" w:color="auto"/>
              <w:right w:val="nil"/>
            </w:tcBorders>
            <w:noWrap/>
            <w:vAlign w:val="center"/>
          </w:tcPr>
          <w:p w:rsidR="00810BAC" w:rsidRPr="00FF3102" w:rsidRDefault="00810BAC" w:rsidP="00810BAC">
            <w:pPr>
              <w:bidi/>
              <w:rPr>
                <w:rFonts w:ascii="Simplified Arabic" w:hAnsi="Simplified Arabic" w:cs="Simplified Arabic"/>
                <w:color w:val="003366"/>
                <w:sz w:val="20"/>
                <w:szCs w:val="20"/>
              </w:rPr>
            </w:pPr>
            <w:r w:rsidRPr="00FF3102">
              <w:rPr>
                <w:rFonts w:ascii="Simplified Arabic" w:hAnsi="Simplified Arabic" w:cs="Simplified Arabic"/>
                <w:color w:val="003366"/>
                <w:sz w:val="20"/>
                <w:szCs w:val="20"/>
              </w:rPr>
              <w:t>5%</w:t>
            </w:r>
          </w:p>
        </w:tc>
        <w:tc>
          <w:tcPr>
            <w:tcW w:w="855" w:type="dxa"/>
            <w:tcBorders>
              <w:top w:val="nil"/>
              <w:left w:val="nil"/>
              <w:bottom w:val="single" w:sz="8" w:space="0" w:color="auto"/>
              <w:right w:val="nil"/>
            </w:tcBorders>
            <w:noWrap/>
            <w:vAlign w:val="center"/>
          </w:tcPr>
          <w:p w:rsidR="00810BAC" w:rsidRPr="00FF3102" w:rsidRDefault="00810BAC" w:rsidP="00810BAC">
            <w:pPr>
              <w:bidi/>
              <w:rPr>
                <w:rFonts w:ascii="Simplified Arabic" w:hAnsi="Simplified Arabic" w:cs="Simplified Arabic"/>
                <w:color w:val="003366"/>
                <w:sz w:val="20"/>
                <w:szCs w:val="20"/>
              </w:rPr>
            </w:pPr>
            <w:r w:rsidRPr="00FF3102">
              <w:rPr>
                <w:rFonts w:ascii="Simplified Arabic" w:hAnsi="Simplified Arabic" w:cs="Simplified Arabic"/>
                <w:color w:val="003366"/>
                <w:sz w:val="20"/>
                <w:szCs w:val="20"/>
              </w:rPr>
              <w:t>5%</w:t>
            </w:r>
          </w:p>
        </w:tc>
        <w:tc>
          <w:tcPr>
            <w:tcW w:w="855" w:type="dxa"/>
            <w:tcBorders>
              <w:top w:val="nil"/>
              <w:left w:val="nil"/>
              <w:bottom w:val="single" w:sz="8" w:space="0" w:color="auto"/>
              <w:right w:val="nil"/>
            </w:tcBorders>
            <w:noWrap/>
            <w:vAlign w:val="center"/>
          </w:tcPr>
          <w:p w:rsidR="00810BAC" w:rsidRPr="00FF3102" w:rsidRDefault="00810BAC" w:rsidP="00810BAC">
            <w:pPr>
              <w:bidi/>
              <w:rPr>
                <w:rFonts w:ascii="Simplified Arabic" w:hAnsi="Simplified Arabic" w:cs="Simplified Arabic"/>
                <w:sz w:val="20"/>
                <w:szCs w:val="20"/>
              </w:rPr>
            </w:pPr>
            <w:r w:rsidRPr="00FF3102">
              <w:rPr>
                <w:rFonts w:ascii="Simplified Arabic" w:hAnsi="Simplified Arabic" w:cs="Simplified Arabic"/>
                <w:color w:val="003366"/>
                <w:sz w:val="20"/>
                <w:szCs w:val="20"/>
              </w:rPr>
              <w:t> </w:t>
            </w:r>
          </w:p>
        </w:tc>
        <w:tc>
          <w:tcPr>
            <w:tcW w:w="855" w:type="dxa"/>
            <w:tcBorders>
              <w:top w:val="nil"/>
              <w:left w:val="nil"/>
              <w:bottom w:val="single" w:sz="8" w:space="0" w:color="auto"/>
              <w:right w:val="nil"/>
            </w:tcBorders>
            <w:noWrap/>
            <w:vAlign w:val="center"/>
          </w:tcPr>
          <w:p w:rsidR="00810BAC" w:rsidRPr="00FF3102" w:rsidRDefault="00810BAC" w:rsidP="00810BAC">
            <w:pPr>
              <w:bidi/>
              <w:rPr>
                <w:rFonts w:ascii="Simplified Arabic" w:hAnsi="Simplified Arabic" w:cs="Simplified Arabic"/>
                <w:color w:val="003366"/>
                <w:sz w:val="20"/>
                <w:szCs w:val="20"/>
              </w:rPr>
            </w:pPr>
            <w:r w:rsidRPr="00FF3102">
              <w:rPr>
                <w:rFonts w:ascii="Simplified Arabic" w:hAnsi="Simplified Arabic" w:cs="Simplified Arabic"/>
                <w:color w:val="003366"/>
                <w:sz w:val="20"/>
                <w:szCs w:val="20"/>
              </w:rPr>
              <w:t>9%</w:t>
            </w:r>
          </w:p>
        </w:tc>
        <w:tc>
          <w:tcPr>
            <w:tcW w:w="856" w:type="dxa"/>
            <w:tcBorders>
              <w:top w:val="nil"/>
              <w:left w:val="nil"/>
              <w:bottom w:val="single" w:sz="8" w:space="0" w:color="auto"/>
              <w:right w:val="single" w:sz="4" w:space="0" w:color="auto"/>
            </w:tcBorders>
            <w:noWrap/>
            <w:vAlign w:val="center"/>
          </w:tcPr>
          <w:p w:rsidR="00810BAC" w:rsidRPr="00FF3102" w:rsidRDefault="00810BAC" w:rsidP="00810BAC">
            <w:pPr>
              <w:bidi/>
              <w:rPr>
                <w:rFonts w:ascii="Simplified Arabic" w:hAnsi="Simplified Arabic" w:cs="Simplified Arabic"/>
                <w:color w:val="003366"/>
                <w:sz w:val="20"/>
                <w:szCs w:val="20"/>
              </w:rPr>
            </w:pPr>
            <w:r w:rsidRPr="00FF3102">
              <w:rPr>
                <w:rFonts w:ascii="Simplified Arabic" w:hAnsi="Simplified Arabic" w:cs="Simplified Arabic"/>
                <w:color w:val="003366"/>
                <w:sz w:val="20"/>
                <w:szCs w:val="20"/>
              </w:rPr>
              <w:t>12%</w:t>
            </w:r>
          </w:p>
        </w:tc>
      </w:tr>
      <w:tr w:rsidR="00810BAC" w:rsidRPr="00FF3102">
        <w:trPr>
          <w:trHeight w:val="250"/>
          <w:jc w:val="center"/>
        </w:trPr>
        <w:tc>
          <w:tcPr>
            <w:tcW w:w="7945" w:type="dxa"/>
            <w:gridSpan w:val="7"/>
            <w:tcBorders>
              <w:top w:val="single" w:sz="8" w:space="0" w:color="auto"/>
              <w:left w:val="single" w:sz="4" w:space="0" w:color="auto"/>
              <w:bottom w:val="single" w:sz="8" w:space="0" w:color="auto"/>
              <w:right w:val="single" w:sz="4" w:space="0" w:color="000000"/>
            </w:tcBorders>
            <w:shd w:val="clear" w:color="000000" w:fill="D9D9D9"/>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تقييم مخاطر الحافظة</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مشروعات ذات مشكلات فعلية (#)</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w:t>
            </w:r>
          </w:p>
        </w:tc>
      </w:tr>
      <w:tr w:rsidR="00810BAC" w:rsidRPr="00FF3102">
        <w:trPr>
          <w:trHeight w:val="382"/>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المشروعات التي تواجه مشكلات فعلية</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23%</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المشروعات التي تواجه مخاطر</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27%</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25%</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23%</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الارتباطات التي تواجه مخاطر</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16%</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4%</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9%</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مؤشر التفاعل</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67%</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50%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60%</w:t>
            </w:r>
          </w:p>
        </w:tc>
      </w:tr>
      <w:tr w:rsidR="00810BAC" w:rsidRPr="00FF3102">
        <w:trPr>
          <w:trHeight w:val="238"/>
          <w:jc w:val="center"/>
        </w:trPr>
        <w:tc>
          <w:tcPr>
            <w:tcW w:w="2814" w:type="dxa"/>
            <w:tcBorders>
              <w:top w:val="nil"/>
              <w:left w:val="single" w:sz="4" w:space="0" w:color="auto"/>
              <w:bottom w:val="dotted"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مؤشر الواقعية (%)</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sz w:val="20"/>
                <w:szCs w:val="20"/>
              </w:rPr>
            </w:pPr>
            <w:r w:rsidRPr="00FF3102">
              <w:rPr>
                <w:rFonts w:ascii="Simplified Arabic" w:hAnsi="Simplified Arabic" w:cs="Simplified Arabic"/>
                <w:color w:val="000000"/>
                <w:sz w:val="20"/>
                <w:szCs w:val="20"/>
              </w:rPr>
              <w:t> </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100%</w:t>
            </w:r>
          </w:p>
        </w:tc>
        <w:tc>
          <w:tcPr>
            <w:tcW w:w="855" w:type="dxa"/>
            <w:tcBorders>
              <w:top w:val="nil"/>
              <w:left w:val="nil"/>
              <w:bottom w:val="dotted"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100%</w:t>
            </w:r>
          </w:p>
        </w:tc>
        <w:tc>
          <w:tcPr>
            <w:tcW w:w="856" w:type="dxa"/>
            <w:tcBorders>
              <w:top w:val="nil"/>
              <w:left w:val="nil"/>
              <w:bottom w:val="dotted" w:sz="4" w:space="0" w:color="auto"/>
              <w:right w:val="single" w:sz="4" w:space="0" w:color="auto"/>
            </w:tcBorders>
            <w:vAlign w:val="center"/>
          </w:tcPr>
          <w:p w:rsidR="00810BAC" w:rsidRPr="00FF3102" w:rsidRDefault="00810BAC" w:rsidP="00810BAC">
            <w:pPr>
              <w:bidi/>
              <w:rPr>
                <w:rFonts w:ascii="Simplified Arabic" w:hAnsi="Simplified Arabic" w:cs="Simplified Arabic"/>
                <w:sz w:val="20"/>
                <w:szCs w:val="20"/>
              </w:rPr>
            </w:pPr>
            <w:r w:rsidRPr="00FF3102">
              <w:rPr>
                <w:rFonts w:ascii="Simplified Arabic" w:hAnsi="Simplified Arabic" w:cs="Simplified Arabic"/>
                <w:color w:val="000000"/>
                <w:sz w:val="20"/>
                <w:szCs w:val="20"/>
              </w:rPr>
              <w:t> </w:t>
            </w:r>
          </w:p>
        </w:tc>
      </w:tr>
      <w:tr w:rsidR="00810BAC" w:rsidRPr="00FF3102">
        <w:trPr>
          <w:trHeight w:val="238"/>
          <w:jc w:val="center"/>
        </w:trPr>
        <w:tc>
          <w:tcPr>
            <w:tcW w:w="2814" w:type="dxa"/>
            <w:tcBorders>
              <w:top w:val="nil"/>
              <w:left w:val="single" w:sz="4" w:space="0" w:color="auto"/>
              <w:bottom w:val="single" w:sz="4" w:space="0" w:color="auto"/>
              <w:right w:val="nil"/>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نسبة التنفيذ يوميا</w:t>
            </w:r>
          </w:p>
        </w:tc>
        <w:tc>
          <w:tcPr>
            <w:tcW w:w="855" w:type="dxa"/>
            <w:tcBorders>
              <w:top w:val="nil"/>
              <w:left w:val="nil"/>
              <w:bottom w:val="single"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33%</w:t>
            </w:r>
          </w:p>
        </w:tc>
        <w:tc>
          <w:tcPr>
            <w:tcW w:w="855" w:type="dxa"/>
            <w:tcBorders>
              <w:top w:val="nil"/>
              <w:left w:val="nil"/>
              <w:bottom w:val="single"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c>
          <w:tcPr>
            <w:tcW w:w="855" w:type="dxa"/>
            <w:tcBorders>
              <w:top w:val="nil"/>
              <w:left w:val="nil"/>
              <w:bottom w:val="single"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20%</w:t>
            </w:r>
          </w:p>
        </w:tc>
        <w:tc>
          <w:tcPr>
            <w:tcW w:w="855" w:type="dxa"/>
            <w:tcBorders>
              <w:top w:val="nil"/>
              <w:left w:val="nil"/>
              <w:bottom w:val="single"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25%</w:t>
            </w:r>
          </w:p>
        </w:tc>
        <w:tc>
          <w:tcPr>
            <w:tcW w:w="855" w:type="dxa"/>
            <w:tcBorders>
              <w:top w:val="nil"/>
              <w:left w:val="nil"/>
              <w:bottom w:val="single" w:sz="4" w:space="0" w:color="auto"/>
              <w:right w:val="nil"/>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14%</w:t>
            </w:r>
          </w:p>
        </w:tc>
        <w:tc>
          <w:tcPr>
            <w:tcW w:w="856" w:type="dxa"/>
            <w:tcBorders>
              <w:top w:val="nil"/>
              <w:left w:val="nil"/>
              <w:bottom w:val="single" w:sz="4" w:space="0" w:color="auto"/>
              <w:right w:val="single" w:sz="4" w:space="0" w:color="auto"/>
            </w:tcBorders>
            <w:vAlign w:val="center"/>
          </w:tcPr>
          <w:p w:rsidR="00810BAC" w:rsidRPr="00FF3102" w:rsidRDefault="00810BAC" w:rsidP="00810BAC">
            <w:pPr>
              <w:bidi/>
              <w:rPr>
                <w:rFonts w:ascii="Simplified Arabic" w:hAnsi="Simplified Arabic" w:cs="Simplified Arabic"/>
                <w:color w:val="000000"/>
                <w:sz w:val="20"/>
                <w:szCs w:val="20"/>
              </w:rPr>
            </w:pPr>
            <w:r w:rsidRPr="00FF3102">
              <w:rPr>
                <w:rFonts w:ascii="Simplified Arabic" w:hAnsi="Simplified Arabic" w:cs="Simplified Arabic"/>
                <w:color w:val="000000"/>
                <w:sz w:val="20"/>
                <w:szCs w:val="20"/>
              </w:rPr>
              <w:t>12%</w:t>
            </w:r>
          </w:p>
        </w:tc>
      </w:tr>
      <w:tr w:rsidR="00810BAC" w:rsidRPr="00FF3102">
        <w:trPr>
          <w:trHeight w:val="382"/>
          <w:jc w:val="center"/>
        </w:trPr>
        <w:tc>
          <w:tcPr>
            <w:tcW w:w="7945" w:type="dxa"/>
            <w:gridSpan w:val="7"/>
            <w:tcBorders>
              <w:top w:val="nil"/>
              <w:left w:val="single" w:sz="4" w:space="0" w:color="auto"/>
              <w:bottom w:val="single" w:sz="4" w:space="0" w:color="auto"/>
              <w:right w:val="single" w:sz="4" w:space="0" w:color="000000"/>
            </w:tcBorders>
            <w:vAlign w:val="center"/>
          </w:tcPr>
          <w:p w:rsidR="00810BAC" w:rsidRPr="00FF3102" w:rsidRDefault="00810BAC" w:rsidP="00810BAC">
            <w:pPr>
              <w:bidi/>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ملاحظة: لا شيء من المشروعات وعمليات الصرف والارتباطات يشتمل على صناديق استئمانية صغيرة ينفذها البلد -أي أقل من 5 ملايين دولار، وكل المؤشرات الأخرى تستبعد هذه الصناديق الصغيرة.</w:t>
            </w:r>
          </w:p>
        </w:tc>
      </w:tr>
    </w:tbl>
    <w:p w:rsidR="00810BAC" w:rsidRPr="00FF3102" w:rsidRDefault="00810BAC" w:rsidP="00810BAC">
      <w:pPr>
        <w:pStyle w:val="NoSpacing"/>
        <w:bidi/>
        <w:rPr>
          <w:rFonts w:ascii="Simplified Arabic" w:hAnsi="Simplified Arabic" w:cs="Simplified Arabic"/>
          <w:szCs w:val="24"/>
        </w:rPr>
      </w:pP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أداء حافظة عمليات مؤسسة التمويل الدولية.</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اتخذت مؤسسة التمويل الدولية نهجا استباقيا في إدارة الحافظة، بما في ذلك اختبار القدرة على تحمُّل كل حالات التعرض للمخاطر، ومساعدة المتعاملين مع المؤسسة على إعادة هيكلة ميزانياتهم، وإلغاء الارتباطات غير المنصرفة بصورة انتقائية في اتفاقيات مع المتعاملين.</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وحتى 30 يونيو 2014، بلغ إجمالي الحافظة 977 مليون دولار، منها أقل من 163 مليون دولار غير منصرف (نحو 17 في المائة من الإجمالي).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وباستثناء ثلاثة استثمارات كان أداؤها ضعيفا قبل بدء الثورة، فإن حافظة عمليات المؤسسة حاليا لا تتضمَّن أي تأخير في السداد حتى الآن.</w:t>
      </w:r>
      <w:r w:rsidRPr="00FF3102">
        <w:rPr>
          <w:rFonts w:ascii="Simplified Arabic" w:eastAsiaTheme="minorEastAsia" w:hAnsi="Simplified Arabic" w:cs="Simplified Arabic"/>
        </w:rPr>
        <w:t xml:space="preserve"> </w:t>
      </w: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أداء حافظة عمليات الوكالة الدولية لضمان الاستثمار.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قبل الثورة، لم تلق الوكالة الدولية لضمان الاستثمار سوى اهتمام ضئيل بخدماتها للتأمين من المخاطر السياسية.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لكن الحال اختلفت بعد الثورة حيث تلقت الوكالة المزيد من الاستفسارات، وبين السنتين الماليتين 2013 و2014، قدَّمت الوكالة ضمانات بقيمة 120 مليون دولار في قطاعات النفط والغاز والصناعات التحويلية. وسجَّلت المشروعات المشمولة بالضمانات أداء مُرضِيا.</w:t>
      </w:r>
      <w:r w:rsidRPr="00FF3102">
        <w:rPr>
          <w:rFonts w:ascii="Simplified Arabic" w:eastAsiaTheme="minorEastAsia" w:hAnsi="Simplified Arabic" w:cs="Simplified Arabic"/>
        </w:rPr>
        <w:t xml:space="preserve"> </w:t>
      </w: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b/>
          <w:i/>
          <w:smallCaps/>
        </w:rPr>
      </w:pPr>
      <w:r w:rsidRPr="00FF3102">
        <w:rPr>
          <w:rFonts w:ascii="Simplified Arabic" w:eastAsiaTheme="minorEastAsia" w:hAnsi="Simplified Arabic" w:cs="Simplified Arabic"/>
          <w:bCs/>
          <w:i/>
          <w:smallCaps/>
          <w:rtl/>
        </w:rPr>
        <w:t>الاتساق مع هدفي مجموعة البنك الدولي</w:t>
      </w: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تُظهِر الدراسة التشخيصية المنهجية الخاصة بمصر التي أنجزت في الآونة الأخيرة أن العمليات السابقة للبنك لم تعالج دائما الأسباب المحركة الرئيسية لإنهاء الفقر وزيادة الرخاء المشترك على نحو قابل للاستمرار.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وكانت الأهداف الإستراتيجية في إستراتيجية المساعدة الخاصة بمصر للسنوات المالية 2006-2011 هي تسهيل تنمية القطاع الخاص، وتحسين تقديم الخدمات العامة، وتعزيز الإنصاف.</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وأكَّدت الدراسة التشخيصية على أهمية إدارة الاقتصاد الكلي، ولاسيما قضايا الدعم ونظام الإدارة العامة والحوكمة، بوصفها مجالات مهمة تحتاج إلى الإصلاح.</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وكما يُظهِر تصنيف أداء الركيزة الأولى (إدارة الاقتصاد) بدرجة غير مرض إلى حد ما، لم تكن مشاركة البنك الدولي في إدارة الاقتصاد الكلي وقضايا الحوكمة ناجحة. والجدير بالذكر، أنه تحقق تقدم ضئيل في خفض إعانات الدعم، كما أكَّدت الدراسة التشخيصية.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ومع أن مشاركة البنك الدولي كانت أكثر نجاحا في الركيزة الثانية (الوظائف)، فإنه تحقَّق تقدم طفيف في معالجة القضايا المؤسسية الخاصة بالحوكمة القطاعية التي أكَّدت عليها الدراسة التشخيصية.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وكانت معظم مشاركة البنك في العمليات الإقراضية لمشروعات البنية التحتية، ومنها الطاقة والنقل والتمويل التي تحقَّق فيها تقدم لا بأس به من حيث تحقيق النتائج.</w:t>
      </w: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rtl/>
        </w:rPr>
        <w:t>وعلى الرغم من الافتقار إلى التركيز في بعض المجالات، فإنه كانت هناك بعض المجالات المهمة المذكورة في الدراسة التشخيصية التي حقَّق فيها البنك تقدما في حث خُطَى عملية الإصلاح.</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وساندت مؤسسة التمويل الدولية الإصلاحات التنظيمية من أجل تحسين بيئة ممارسة أنشطة الأعمال. وشارك البنك الدولي أيضا في تحسين آليات شبكات الأمان خلال هذه الفترة، ومن ذلك رسم خريطة أوضاع الفقر من أجل وضع آلية توجيه لتحسين الوصول إلى أشد الناس فقرا.</w:t>
      </w:r>
      <w:r w:rsidRPr="00FF3102">
        <w:rPr>
          <w:rFonts w:ascii="Simplified Arabic" w:eastAsiaTheme="minorEastAsia" w:hAnsi="Simplified Arabic" w:cs="Simplified Arabic"/>
        </w:rPr>
        <w:t xml:space="preserve"> </w:t>
      </w:r>
    </w:p>
    <w:p w:rsidR="00810BAC" w:rsidRPr="00FF3102" w:rsidRDefault="00810BAC" w:rsidP="00810BAC">
      <w:pPr>
        <w:bidi/>
        <w:jc w:val="center"/>
        <w:rPr>
          <w:rFonts w:ascii="Simplified Arabic" w:eastAsiaTheme="minorEastAsia" w:hAnsi="Simplified Arabic" w:cs="Simplified Arabic"/>
          <w:b/>
          <w:caps/>
        </w:rPr>
      </w:pPr>
      <w:r w:rsidRPr="00FF3102">
        <w:rPr>
          <w:rFonts w:ascii="Simplified Arabic" w:eastAsiaTheme="minorEastAsia" w:hAnsi="Simplified Arabic" w:cs="Simplified Arabic"/>
          <w:bCs/>
          <w:rtl/>
        </w:rPr>
        <w:t>الدروس المستفادة والمقترحات من أجل الإطار القادم للشراكة الإستراتيجية</w:t>
      </w:r>
    </w:p>
    <w:p w:rsidR="00810BAC" w:rsidRPr="00FF3102" w:rsidRDefault="00810BAC" w:rsidP="00810BAC">
      <w:pPr>
        <w:bidi/>
        <w:rPr>
          <w:rFonts w:ascii="Simplified Arabic" w:hAnsi="Simplified Arabic" w:cs="Simplified Arabic"/>
        </w:rPr>
      </w:pP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يجب أن تصاحب مشروعات البنية التحتية الكبيرة إجراءات مؤسسية، وأن تُستخدَم بوصفها وسيلةً للإصلاح المؤسسي بشرط أن تكون هذه الإجراءات مُتضمَّنة في المشروعات. </w:t>
      </w:r>
      <w:r w:rsidRPr="00FF3102">
        <w:rPr>
          <w:rFonts w:ascii="Simplified Arabic" w:eastAsiaTheme="minorEastAsia" w:hAnsi="Simplified Arabic" w:cs="Simplified Arabic"/>
          <w:rtl/>
        </w:rPr>
        <w:t>وأظهرت مشاركة البنك في قطاع النقل أن إجراءات الإصلاح المؤسسي، مثل عقود الإدارة لضمان كفاءة القطاع الخاص، يمكن تضمينها في عمليات الإقراض لأغراض الاستثمار.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فعلي سبيل المثال، يتضمَّن مشروع محطة كهرباء جنوب حلوان الذي يموله البنك الدولي تغييرا مؤسسيا في تصميم المشروع، ومن ذلك آليات لتسوية المظالم.</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ولم يكن الحال كذلك دائما في كل مشروعات قطاع الطاقة التي يمولها البنك. ويمكن في المستقبل تضمين تصميم المشروعات بناء المؤسسات والقدرات على نحو أكثر منهجية. وسيكون من الضروري التركيز على الإصلاحات القطاعية (لاسيما في المجالات المهمة مثل توليد الكهرباء) وترتيب أولويات هذه الإصلاحات في الإطار الجديد للشراكة الإستراتيجية، من أجل زيادة مشاركة القطاع الخاص.</w:t>
      </w:r>
    </w:p>
    <w:p w:rsidR="00810BAC" w:rsidRPr="00FF3102" w:rsidRDefault="00810BAC" w:rsidP="0086058A">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تكتس</w:t>
      </w:r>
      <w:r w:rsidR="0086058A">
        <w:rPr>
          <w:rFonts w:ascii="Simplified Arabic" w:eastAsiaTheme="minorEastAsia" w:hAnsi="Simplified Arabic" w:cs="Simplified Arabic" w:hint="cs"/>
          <w:bCs/>
          <w:rtl/>
        </w:rPr>
        <w:t>ب</w:t>
      </w:r>
      <w:r w:rsidRPr="00FF3102">
        <w:rPr>
          <w:rFonts w:ascii="Simplified Arabic" w:eastAsiaTheme="minorEastAsia" w:hAnsi="Simplified Arabic" w:cs="Simplified Arabic"/>
          <w:bCs/>
          <w:rtl/>
        </w:rPr>
        <w:t xml:space="preserve"> المرونة أهمية كبيرة في بيئة تشتد فيها المخاطر السياسية مثل مصر.</w:t>
      </w:r>
      <w:r w:rsidRPr="00FF3102">
        <w:rPr>
          <w:rFonts w:ascii="Simplified Arabic" w:eastAsiaTheme="minorEastAsia" w:hAnsi="Simplified Arabic" w:cs="Simplified Arabic"/>
          <w:b/>
          <w:i/>
        </w:rPr>
        <w:t xml:space="preserve"> </w:t>
      </w:r>
      <w:r w:rsidRPr="00FF3102">
        <w:rPr>
          <w:rFonts w:ascii="Simplified Arabic" w:eastAsiaTheme="minorEastAsia" w:hAnsi="Simplified Arabic" w:cs="Simplified Arabic"/>
          <w:rtl/>
        </w:rPr>
        <w:t>وساعدت الاستجابة المرنة للبنك الدولي ومؤسسة التمويل الدولية لأحداث عام 2011 والتغيُّرات في السياق الذي تشهده البلاد على تعديل الإستراتيجية من أجل تحسين الاستجابة لمقتضيات الثورة المصرية.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بيئة سياسية شديدة التقلُّب، ينبغي للبنك الدولي ومؤسسة التمويل الدولية التركيز على الاحتياجات الملحة للبلاد بمزيج من الأدوات.</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حالة دعم</w:t>
      </w:r>
      <w:r w:rsidR="0086058A">
        <w:rPr>
          <w:rFonts w:ascii="Simplified Arabic" w:eastAsiaTheme="minorEastAsia" w:hAnsi="Simplified Arabic" w:cs="Simplified Arabic" w:hint="cs"/>
          <w:rtl/>
        </w:rPr>
        <w:t xml:space="preserve"> الطاقة</w:t>
      </w:r>
      <w:r w:rsidRPr="00FF3102">
        <w:rPr>
          <w:rFonts w:ascii="Simplified Arabic" w:eastAsiaTheme="minorEastAsia" w:hAnsi="Simplified Arabic" w:cs="Simplified Arabic"/>
          <w:rtl/>
        </w:rPr>
        <w:t>، استطاع البنك تجميع فريق متعدد القطاعات لتعزيز الحوار حول هذه المسألة في حالة عدم وجود قرض سياسات التنمية المُتصوَّر في مذكرة الإستراتيجية المؤقتة.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لقرار جهاز إدارة مؤسسة التمويل الدولية تقديم مساندة للقطاع الخاص في مواجهة تقلبات الدورة الاقتصادية وتعزيز الثقة (على الرغم من البيئة الشديدة المخاطر التي كانت صور التمويل التجاري الأخرى فيها في الطريق إلى النضوب) دور في المساعدة على خلق فرص العمل والحفاظ عليها.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وقد يساعد هذا النهج الذي استخدم في الفترة السابقة لإستراتيجية المساعدة الخاصة بمصر/ مذكرة الإستراتيجية المؤقتة في توجيه الإجراءات التدخلية لمؤسسة التمويل الدولية في الفترة الجديدة التي يغطيها إطار الشراكة الإستراتيجية.</w:t>
      </w:r>
    </w:p>
    <w:p w:rsidR="00810BAC" w:rsidRPr="00FF3102" w:rsidRDefault="00810BAC" w:rsidP="00810BAC">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الواقعية في إطار النتائج ذات أهمية حاسمة.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يجب أن تتركَّز النواتج المتوقعة على ما يكون له تأثير من حيث النتائج، وما يمكن تحقيقه في الإطار الزمني لإستراتيجية المساعدة الخاصة بمصر/مذكرة الإستراتيجية المؤقتة.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فترة إستراتيجية المساعدة الخاصة بمصر/مذكرة الإستراتيجية المؤقتة، أبقت المُذكِّرة على إطار النتائج الأصلي للتقرير المرحلي عن سير العمل في إستراتيجية المساعدة بنية أن النتائج لن تتحقَّق إلا في مشروعات يجري بالفعل تنفيذها.</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وبات واضحا فيما بعد، أن تقليص إطار النتائج هذا كان هو القرار الصحيح.</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وكان الاستثناء الوحيد هو النتيجة الخاصة بالاقتصاد الكلي، حيث إن المستوى المستهدف لعجز الموازنة العامة لم يكن يخضع لسيطرة البنك الدولي.</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 xml:space="preserve">ويجب أن يستمر البنك ومؤسسة التمويل الدولية في نهجهما الواقعي وتقييم المخاطر والمكاسب عند وضع النتائج على مستوى المشروع والبرنامج بالنظر إلى استمرار الضبابية في الساحة السياسية والاقتصادية. </w:t>
      </w:r>
    </w:p>
    <w:p w:rsidR="00810BAC" w:rsidRPr="00FF3102" w:rsidRDefault="00810BAC" w:rsidP="0086058A">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ولنهج العمل التفاعلي مع مجتمع المانحين أهمية كبيرة في تعبئة مساندتنا.</w:t>
      </w:r>
      <w:r w:rsidRPr="00FF3102">
        <w:rPr>
          <w:rFonts w:ascii="Simplified Arabic" w:eastAsiaTheme="minorEastAsia" w:hAnsi="Simplified Arabic" w:cs="Simplified Arabic"/>
        </w:rPr>
        <w:t xml:space="preserve"> </w:t>
      </w:r>
      <w:r w:rsidR="0086058A">
        <w:rPr>
          <w:rFonts w:ascii="Simplified Arabic" w:eastAsiaTheme="minorEastAsia" w:hAnsi="Simplified Arabic" w:cs="Simplified Arabic" w:hint="cs"/>
          <w:rtl/>
        </w:rPr>
        <w:t xml:space="preserve">فقد </w:t>
      </w:r>
      <w:r w:rsidRPr="00FF3102">
        <w:rPr>
          <w:rFonts w:ascii="Simplified Arabic" w:eastAsiaTheme="minorEastAsia" w:hAnsi="Simplified Arabic" w:cs="Simplified Arabic"/>
          <w:rtl/>
        </w:rPr>
        <w:t>نجح البنك في تعبئة مساندة المانحين في عدد من المشروعات، كان أحدثها المشروع الطارئ للاستثمار كثيف الاستخدام للأيدي العاملة الذي يموله البنك، ومشروع محطة كهرباء جنوب حلوان، والعمليات الاستشارية، مثل برنامج المساعدة الفنية للمشروعات المتوسطة والصغيرة والمتناهية الصغر.</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بيئة تتسم ف</w:t>
      </w:r>
      <w:r w:rsidR="0086058A">
        <w:rPr>
          <w:rFonts w:ascii="Simplified Arabic" w:eastAsiaTheme="minorEastAsia" w:hAnsi="Simplified Arabic" w:cs="Simplified Arabic"/>
          <w:rtl/>
        </w:rPr>
        <w:t>يها المساندة التي قدمها البنك ب</w:t>
      </w:r>
      <w:r w:rsidR="0086058A">
        <w:rPr>
          <w:rFonts w:ascii="Simplified Arabic" w:eastAsiaTheme="minorEastAsia" w:hAnsi="Simplified Arabic" w:cs="Simplified Arabic" w:hint="cs"/>
          <w:rtl/>
        </w:rPr>
        <w:t>كون</w:t>
      </w:r>
      <w:r w:rsidRPr="00FF3102">
        <w:rPr>
          <w:rFonts w:ascii="Simplified Arabic" w:eastAsiaTheme="minorEastAsia" w:hAnsi="Simplified Arabic" w:cs="Simplified Arabic"/>
          <w:rtl/>
        </w:rPr>
        <w:t>ها صغيرة نسبيا بالمقارنة بالاحتياجات، يكتسب مواصلة التفاعل مع مجتمع المانحين أهمية كبيرة.</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وفي القطاعات الاجتماعية التي تحجم فيها الحكومة عن اقتراض موارد من البنك الدولي للإنشاء والتعمير، يستطيع البنك تعبئة تمويل من خلال المِنَح.</w:t>
      </w:r>
      <w:r w:rsidRPr="00FF3102">
        <w:rPr>
          <w:rFonts w:ascii="Simplified Arabic" w:eastAsiaTheme="minorEastAsia" w:hAnsi="Simplified Arabic" w:cs="Simplified Arabic"/>
        </w:rPr>
        <w:t xml:space="preserve"> </w:t>
      </w:r>
    </w:p>
    <w:p w:rsidR="00810BAC" w:rsidRPr="00FF3102" w:rsidRDefault="00810BAC" w:rsidP="0086058A">
      <w:pPr>
        <w:bidi/>
        <w:spacing w:after="220"/>
        <w:ind w:left="360"/>
        <w:jc w:val="both"/>
        <w:rPr>
          <w:rFonts w:ascii="Simplified Arabic" w:eastAsiaTheme="minorEastAsia" w:hAnsi="Simplified Arabic" w:cs="Simplified Arabic"/>
        </w:rPr>
      </w:pPr>
      <w:r w:rsidRPr="00FF3102">
        <w:rPr>
          <w:rFonts w:ascii="Simplified Arabic" w:eastAsiaTheme="minorEastAsia" w:hAnsi="Simplified Arabic" w:cs="Simplified Arabic"/>
          <w:bCs/>
          <w:rtl/>
        </w:rPr>
        <w:t xml:space="preserve">ومن الضروري دمج آليات </w:t>
      </w:r>
      <w:r w:rsidR="0086058A">
        <w:rPr>
          <w:rFonts w:ascii="Simplified Arabic" w:eastAsiaTheme="minorEastAsia" w:hAnsi="Simplified Arabic" w:cs="Simplified Arabic" w:hint="cs"/>
          <w:bCs/>
          <w:rtl/>
        </w:rPr>
        <w:t>لآراء</w:t>
      </w:r>
      <w:r w:rsidRPr="00FF3102">
        <w:rPr>
          <w:rFonts w:ascii="Simplified Arabic" w:eastAsiaTheme="minorEastAsia" w:hAnsi="Simplified Arabic" w:cs="Simplified Arabic"/>
          <w:bCs/>
          <w:rtl/>
        </w:rPr>
        <w:t xml:space="preserve"> المواطنين والمساءلة والتواصل مع أصحاب المصلحة.</w:t>
      </w:r>
      <w:r w:rsidRPr="00FF3102">
        <w:rPr>
          <w:rFonts w:ascii="Simplified Arabic" w:eastAsiaTheme="minorEastAsia" w:hAnsi="Simplified Arabic" w:cs="Simplified Arabic"/>
          <w:b/>
        </w:rPr>
        <w:t xml:space="preserve"> </w:t>
      </w:r>
      <w:r w:rsidRPr="00FF3102">
        <w:rPr>
          <w:rFonts w:ascii="Simplified Arabic" w:eastAsiaTheme="minorEastAsia" w:hAnsi="Simplified Arabic" w:cs="Simplified Arabic"/>
          <w:rtl/>
        </w:rPr>
        <w:t xml:space="preserve">وينبغي </w:t>
      </w:r>
      <w:r w:rsidR="0086058A">
        <w:rPr>
          <w:rFonts w:ascii="Simplified Arabic" w:eastAsiaTheme="minorEastAsia" w:hAnsi="Simplified Arabic" w:cs="Simplified Arabic" w:hint="cs"/>
          <w:rtl/>
        </w:rPr>
        <w:t>علي ا</w:t>
      </w:r>
      <w:r w:rsidRPr="00FF3102">
        <w:rPr>
          <w:rFonts w:ascii="Simplified Arabic" w:eastAsiaTheme="minorEastAsia" w:hAnsi="Simplified Arabic" w:cs="Simplified Arabic"/>
          <w:rtl/>
        </w:rPr>
        <w:t xml:space="preserve">لبنك أن </w:t>
      </w:r>
      <w:r w:rsidR="0086058A">
        <w:rPr>
          <w:rFonts w:ascii="Simplified Arabic" w:eastAsiaTheme="minorEastAsia" w:hAnsi="Simplified Arabic" w:cs="Simplified Arabic" w:hint="cs"/>
          <w:rtl/>
        </w:rPr>
        <w:t>يسعي لل</w:t>
      </w:r>
      <w:r w:rsidRPr="00FF3102">
        <w:rPr>
          <w:rFonts w:ascii="Simplified Arabic" w:eastAsiaTheme="minorEastAsia" w:hAnsi="Simplified Arabic" w:cs="Simplified Arabic"/>
          <w:rtl/>
        </w:rPr>
        <w:t>تواصل مع منظمات المجتمع المدني وغيرهم من أصحاب المصلحة في تصميم المشروعات والبرامج. وكان هذا واضحا على وجه الخصوص في تنفيذ مشروع البنية التحتية المتكاملة للصرف الصحي الذي يُموِّله البنك. وفضلا عن ذلك، فإن وضع آليات للتعرُّف على الآراء التقييمية للمنتفعين ضروري لتحقيق النتائج في الإجراءات التدخلية للبنك الدولي.</w:t>
      </w:r>
      <w:r w:rsidR="003A1252">
        <w:rPr>
          <w:rFonts w:ascii="Simplified Arabic" w:eastAsiaTheme="minorEastAsia" w:hAnsi="Simplified Arabic" w:cs="Simplified Arabic"/>
          <w:rtl/>
        </w:rPr>
        <w:t xml:space="preserve"> </w:t>
      </w:r>
    </w:p>
    <w:p w:rsidR="00810BAC" w:rsidRPr="00FF3102" w:rsidRDefault="00810BAC" w:rsidP="00810BAC">
      <w:pPr>
        <w:bidi/>
        <w:spacing w:after="220"/>
        <w:ind w:left="360" w:hanging="360"/>
        <w:jc w:val="both"/>
        <w:rPr>
          <w:rFonts w:ascii="Simplified Arabic" w:hAnsi="Simplified Arabic" w:cs="Simplified Arabic"/>
        </w:rPr>
      </w:pPr>
    </w:p>
    <w:p w:rsidR="00810BAC" w:rsidRPr="00FF3102" w:rsidRDefault="00810BAC" w:rsidP="00810BAC">
      <w:pPr>
        <w:bidi/>
        <w:spacing w:after="220"/>
        <w:ind w:left="360" w:hanging="360"/>
        <w:rPr>
          <w:rFonts w:ascii="Simplified Arabic" w:hAnsi="Simplified Arabic" w:cs="Simplified Arabic"/>
        </w:rPr>
        <w:sectPr w:rsidR="00810BAC" w:rsidRPr="00FF3102">
          <w:pgSz w:w="12240" w:h="15840"/>
          <w:pgMar w:top="1440" w:right="1440" w:bottom="1440" w:left="1440" w:header="720" w:footer="720" w:gutter="0"/>
          <w:cols w:space="720"/>
          <w:titlePg/>
          <w:rtlGutter/>
          <w:docGrid w:linePitch="360"/>
        </w:sectPr>
      </w:pP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i/>
        </w:rPr>
      </w:pPr>
      <w:r w:rsidRPr="00FF3102">
        <w:rPr>
          <w:rFonts w:ascii="Simplified Arabic" w:eastAsiaTheme="minorEastAsia" w:hAnsi="Simplified Arabic" w:cs="Simplified Arabic"/>
          <w:bCs/>
          <w:i/>
          <w:smallCaps/>
          <w:rtl/>
        </w:rPr>
        <w:t>ملحق 1</w:t>
      </w:r>
      <w:r w:rsidRPr="00FF3102">
        <w:rPr>
          <w:rFonts w:ascii="Simplified Arabic" w:eastAsiaTheme="minorEastAsia" w:hAnsi="Simplified Arabic" w:cs="Simplified Arabic"/>
          <w:b/>
          <w:i/>
          <w:smallCaps/>
        </w:rPr>
        <w:t xml:space="preserve"> </w:t>
      </w: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i/>
        </w:rPr>
      </w:pPr>
      <w:r w:rsidRPr="00FF3102">
        <w:rPr>
          <w:rFonts w:ascii="Simplified Arabic" w:eastAsiaTheme="minorEastAsia" w:hAnsi="Simplified Arabic" w:cs="Simplified Arabic"/>
          <w:bCs/>
          <w:i/>
          <w:smallCaps/>
          <w:rtl/>
        </w:rPr>
        <w:t>استعراض الإنجاز والتعلم: تحقيق النتائج في إطار مذكرة الإستراتيجية المؤقتة ومصفوفة النتائج لإستراتيجية المساعدة الخاصة بمصر، السنوات المالية 2006-2014</w:t>
      </w:r>
    </w:p>
    <w:tbl>
      <w:tblPr>
        <w:bidiVisual/>
        <w:tblW w:w="5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6"/>
        <w:gridCol w:w="1724"/>
        <w:gridCol w:w="2505"/>
      </w:tblGrid>
      <w:tr w:rsidR="00810BAC" w:rsidRPr="00FF3102">
        <w:trPr>
          <w:trHeight w:val="20"/>
          <w:tblHeader/>
          <w:jc w:val="center"/>
        </w:trPr>
        <w:tc>
          <w:tcPr>
            <w:tcW w:w="2861" w:type="pct"/>
            <w:shd w:val="clear" w:color="auto" w:fill="FFFFFF"/>
            <w:vAlign w:val="center"/>
          </w:tcPr>
          <w:p w:rsidR="00810BAC" w:rsidRPr="00FF3102" w:rsidRDefault="00810BAC" w:rsidP="00810BAC">
            <w:pPr>
              <w:bidi/>
              <w:spacing w:before="60" w:after="60"/>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نواتج/مجموعة نواتج ومعالم مذكرة الإستراتيجية المؤقتة وملخص الوضع والتقييم</w:t>
            </w:r>
          </w:p>
        </w:tc>
        <w:tc>
          <w:tcPr>
            <w:tcW w:w="872" w:type="pct"/>
            <w:shd w:val="clear" w:color="auto" w:fill="FFFFFF"/>
            <w:vAlign w:val="center"/>
          </w:tcPr>
          <w:p w:rsidR="00810BAC" w:rsidRPr="00FF3102" w:rsidRDefault="00810BAC" w:rsidP="00810BAC">
            <w:pPr>
              <w:bidi/>
              <w:spacing w:before="60" w:after="60"/>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أنشطة مجموعة البنك الدولي التي أسهمت في تحقيق هذه النواتج</w:t>
            </w:r>
            <w:r w:rsidRPr="00FF3102">
              <w:rPr>
                <w:rFonts w:ascii="Simplified Arabic" w:eastAsiaTheme="minorEastAsia" w:hAnsi="Simplified Arabic" w:cs="Simplified Arabic"/>
                <w:b/>
                <w:sz w:val="20"/>
                <w:szCs w:val="20"/>
              </w:rPr>
              <w:t xml:space="preserve"> </w:t>
            </w:r>
          </w:p>
        </w:tc>
        <w:tc>
          <w:tcPr>
            <w:tcW w:w="1267" w:type="pct"/>
            <w:shd w:val="clear" w:color="auto" w:fill="FFFFFF"/>
            <w:vAlign w:val="center"/>
          </w:tcPr>
          <w:p w:rsidR="00810BAC" w:rsidRPr="00FF3102" w:rsidRDefault="00810BAC" w:rsidP="00810BAC">
            <w:pPr>
              <w:bidi/>
              <w:spacing w:before="60" w:after="60"/>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الدروس المستفادة</w:t>
            </w:r>
          </w:p>
        </w:tc>
      </w:tr>
      <w:tr w:rsidR="00810BAC" w:rsidRPr="00FF3102">
        <w:trPr>
          <w:trHeight w:val="20"/>
          <w:jc w:val="center"/>
        </w:trPr>
        <w:tc>
          <w:tcPr>
            <w:tcW w:w="5000" w:type="pct"/>
            <w:gridSpan w:val="3"/>
            <w:shd w:val="clear" w:color="auto" w:fill="FFFFFF"/>
            <w:vAlign w:val="center"/>
          </w:tcPr>
          <w:p w:rsidR="00810BAC" w:rsidRPr="00FF3102" w:rsidRDefault="00810BAC" w:rsidP="00810BAC">
            <w:pPr>
              <w:bidi/>
              <w:spacing w:before="60" w:after="60"/>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الهدف الإستراتيجي/الركيزة 1: إدارة الاقتصاد</w:t>
            </w:r>
          </w:p>
        </w:tc>
      </w:tr>
      <w:tr w:rsidR="00810BAC" w:rsidRPr="00FF3102">
        <w:trPr>
          <w:trHeight w:val="20"/>
          <w:jc w:val="center"/>
        </w:trPr>
        <w:tc>
          <w:tcPr>
            <w:tcW w:w="5000" w:type="pct"/>
            <w:gridSpan w:val="3"/>
            <w:shd w:val="clear" w:color="auto" w:fill="FFFFFF"/>
            <w:vAlign w:val="center"/>
          </w:tcPr>
          <w:p w:rsidR="00810BAC" w:rsidRPr="00FF3102" w:rsidRDefault="00FF3102" w:rsidP="00810BAC">
            <w:pPr>
              <w:bidi/>
              <w:spacing w:before="60" w:after="60"/>
              <w:rPr>
                <w:rFonts w:ascii="Simplified Arabic" w:eastAsiaTheme="minorEastAsia" w:hAnsi="Simplified Arabic" w:cs="Simplified Arabic"/>
                <w:sz w:val="20"/>
                <w:szCs w:val="20"/>
              </w:rPr>
            </w:pPr>
            <w:r>
              <w:rPr>
                <w:rFonts w:ascii="Simplified Arabic" w:eastAsiaTheme="minorEastAsia" w:hAnsi="Simplified Arabic" w:cs="Simplified Arabic" w:hint="cs"/>
                <w:b/>
                <w:sz w:val="20"/>
                <w:szCs w:val="20"/>
                <w:rtl/>
              </w:rPr>
              <w:t>1.1.</w:t>
            </w:r>
            <w:r w:rsidR="00810BAC" w:rsidRPr="00FF3102">
              <w:rPr>
                <w:rFonts w:ascii="Simplified Arabic" w:eastAsiaTheme="minorEastAsia" w:hAnsi="Simplified Arabic" w:cs="Simplified Arabic"/>
                <w:b/>
                <w:sz w:val="20"/>
                <w:szCs w:val="20"/>
              </w:rPr>
              <w:t xml:space="preserve"> </w:t>
            </w:r>
            <w:r w:rsidR="00810BAC" w:rsidRPr="00FF3102">
              <w:rPr>
                <w:rFonts w:ascii="Simplified Arabic" w:eastAsiaTheme="minorEastAsia" w:hAnsi="Simplified Arabic" w:cs="Simplified Arabic"/>
                <w:bCs/>
                <w:sz w:val="20"/>
                <w:szCs w:val="20"/>
                <w:rtl/>
              </w:rPr>
              <w:t>احتواء عجز الموازنة العامة: تحقَّق جزئيا</w:t>
            </w:r>
          </w:p>
        </w:tc>
      </w:tr>
      <w:tr w:rsidR="00810BAC" w:rsidRPr="00FF3102">
        <w:trPr>
          <w:trHeight w:val="20"/>
          <w:jc w:val="center"/>
        </w:trPr>
        <w:tc>
          <w:tcPr>
            <w:tcW w:w="2861" w:type="pct"/>
            <w:shd w:val="clear" w:color="auto" w:fill="FFFFFF"/>
          </w:tcPr>
          <w:p w:rsidR="00810BAC" w:rsidRPr="00FF3102" w:rsidRDefault="00810BAC" w:rsidP="00810BAC">
            <w:pPr>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التنفيذ الفاعل لخطة الحكومة الرامية إلى التخفيض التدريجي لعجز الموازنة العامة بنهاية الفترة التي تغطيها مذكرة الإستراتيجية المؤقتة</w:t>
            </w:r>
            <w:r w:rsidRPr="00FF3102">
              <w:rPr>
                <w:rFonts w:ascii="Simplified Arabic" w:eastAsiaTheme="minorEastAsia" w:hAnsi="Simplified Arabic" w:cs="Simplified Arabic"/>
                <w:b/>
                <w:sz w:val="20"/>
                <w:szCs w:val="20"/>
              </w:rPr>
              <w:t xml:space="preserve"> </w:t>
            </w:r>
            <w:r w:rsidRPr="00FF3102">
              <w:rPr>
                <w:rFonts w:ascii="Simplified Arabic" w:eastAsiaTheme="minorEastAsia" w:hAnsi="Simplified Arabic" w:cs="Simplified Arabic"/>
                <w:b/>
                <w:sz w:val="20"/>
                <w:szCs w:val="20"/>
              </w:rPr>
              <w:br/>
            </w: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36"/>
              </w:numPr>
              <w:autoSpaceDE w:val="0"/>
              <w:autoSpaceDN w:val="0"/>
              <w:bidi/>
              <w:adjustRightInd w:val="0"/>
              <w:spacing w:after="22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بدء الإلغاء التدريجي لدعم الطاقة للصناعات كثيفة الاستخدام للطاقة</w:t>
            </w:r>
          </w:p>
          <w:p w:rsidR="00810BAC" w:rsidRPr="00FF3102" w:rsidRDefault="00810BAC" w:rsidP="00810BAC">
            <w:pPr>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يسير حوار السياسات بشأن الأهداف الاقتصادية الكلية والأنشطة ذات الأولوية في مجراه الصحيح بإيجابية. ففي السنوات الأولى من تنفيذ إستراتيجية المساعدة الخاصة بمصر، استهدفت الحكومة تحقيق خفض قدره واحد في المائة في عجز الموازنة العامة ماضية في مسارها، لكن العجز آخذ في الزيادة باطراد منذ ذلك الحين من 8 في المائة من إجمالي الناتج المحلي في السنة المالية 2010 إلى 14 في المائة من الإجمالي في 2013.</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ويرجع هذا إلى ضعف معدل النمو، الذي بلغ في المتوسط اثنين في المائة فحسب خلال الأعوام الثلاثة الماضية. ولوحظ بعض التحسُّن في وضع الموازنة ا</w:t>
            </w:r>
            <w:r w:rsidR="00431D65">
              <w:rPr>
                <w:rFonts w:ascii="Simplified Arabic" w:eastAsiaTheme="minorEastAsia" w:hAnsi="Simplified Arabic" w:cs="Simplified Arabic"/>
                <w:sz w:val="20"/>
                <w:szCs w:val="20"/>
                <w:rtl/>
              </w:rPr>
              <w:t>لعامة في السنة المالية 2014، إذ</w:t>
            </w:r>
            <w:r w:rsidRPr="00FF3102">
              <w:rPr>
                <w:rFonts w:ascii="Simplified Arabic" w:eastAsiaTheme="minorEastAsia" w:hAnsi="Simplified Arabic" w:cs="Simplified Arabic"/>
                <w:sz w:val="20"/>
                <w:szCs w:val="20"/>
                <w:rtl/>
              </w:rPr>
              <w:t xml:space="preserve"> انخفض العجز إلى 12.8 في المائة. وتضمَّنت خطة الحكومة لخفض عجز الموازنة العامة تقليص دعم الطاقة.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وكان أحد مجالات التركيز الرئيسية لحوار البنك الدولي دعم الطاقة، وتحقَّق بعض التقدم في الآونة الأخيرة.</w:t>
            </w:r>
            <w:r w:rsidR="00431D65">
              <w:rPr>
                <w:rFonts w:ascii="Simplified Arabic" w:eastAsiaTheme="minorEastAsia" w:hAnsi="Simplified Arabic" w:cs="Simplified Arabic"/>
                <w:sz w:val="20"/>
                <w:szCs w:val="20"/>
                <w:rtl/>
              </w:rPr>
              <w:t xml:space="preserve"> وقد أطلقت مصر الآن مبادرة طموح</w:t>
            </w:r>
            <w:r w:rsidR="00431D65">
              <w:rPr>
                <w:rFonts w:ascii="Simplified Arabic" w:eastAsiaTheme="minorEastAsia" w:hAnsi="Simplified Arabic" w:cs="Simplified Arabic" w:hint="cs"/>
                <w:sz w:val="20"/>
                <w:szCs w:val="20"/>
                <w:rtl/>
              </w:rPr>
              <w:t>ة</w:t>
            </w:r>
            <w:r w:rsidRPr="00FF3102">
              <w:rPr>
                <w:rFonts w:ascii="Simplified Arabic" w:eastAsiaTheme="minorEastAsia" w:hAnsi="Simplified Arabic" w:cs="Simplified Arabic"/>
                <w:sz w:val="20"/>
                <w:szCs w:val="20"/>
                <w:rtl/>
              </w:rPr>
              <w:t xml:space="preserve"> لإصلاح دعم الطاقة تهدف إلى تحرير أسعار منتجات الطاقة خلال السنوات الخمس إلى العشر القادمة.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وفي حين تم اتخاذ خطوات أصغر في 2012-2013 ، تمثل الهدف منها في الأساس في زيادة الأسعار للقطاعات كثيفة الاستخدام للطاقة، تم تنفيذ زيادات أوسع نطاقا للأسعار للاستخدامات التجارية والمنزلية في يوليو 2014، أدت إلى خفض الدعم بنسبة 25-30 في المائة وتحقيق وفر للمالية العامة قدره نحو اثنين في المائة من إجمالي الناتج المحلي. </w:t>
            </w:r>
          </w:p>
          <w:p w:rsidR="00810BAC" w:rsidRPr="00FF3102" w:rsidRDefault="00810BAC" w:rsidP="00810BAC">
            <w:pPr>
              <w:autoSpaceDE w:val="0"/>
              <w:autoSpaceDN w:val="0"/>
              <w:bidi/>
              <w:adjustRightInd w:val="0"/>
              <w:rPr>
                <w:rFonts w:ascii="Simplified Arabic" w:eastAsiaTheme="minorEastAsia" w:hAnsi="Simplified Arabic" w:cs="Simplified Arabic"/>
                <w:sz w:val="20"/>
                <w:szCs w:val="20"/>
              </w:rPr>
            </w:pPr>
            <w:r w:rsidRPr="00FF3102">
              <w:rPr>
                <w:rFonts w:ascii="Simplified Arabic" w:eastAsiaTheme="minorEastAsia" w:hAnsi="Simplified Arabic" w:cs="Simplified Arabic"/>
                <w:iCs/>
                <w:sz w:val="20"/>
                <w:szCs w:val="20"/>
                <w:rtl/>
              </w:rPr>
              <w:t>[التقرير المرحلي عن سير العمل في إستراتيجية المساعدة الخاصة بمصر. النتيجة المتوقعة 2.1 تعزيز استقرار الاقتصاد الكُلِّي]</w:t>
            </w:r>
          </w:p>
        </w:tc>
        <w:tc>
          <w:tcPr>
            <w:tcW w:w="872"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الرصد الاقتصادي الجاري</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2009: تقييم أوضاع الفقر</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2011: دراسة المُدخرات</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2012: دراسة تفاوت مستويات الدخل</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2013: مساعدة فنية لشبكات الأمان الاجتماعي</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2013: زيادة الفرص المتاحة للجيل التالي</w:t>
            </w:r>
          </w:p>
        </w:tc>
        <w:tc>
          <w:tcPr>
            <w:tcW w:w="1267" w:type="pct"/>
            <w:shd w:val="clear" w:color="auto" w:fill="FFFFFF"/>
          </w:tcPr>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rPr>
            </w:pPr>
            <w:r w:rsidRPr="00FF3102">
              <w:rPr>
                <w:rFonts w:ascii="Simplified Arabic" w:eastAsiaTheme="minorEastAsia" w:hAnsi="Simplified Arabic" w:cs="Simplified Arabic"/>
                <w:color w:val="000000"/>
                <w:rtl/>
              </w:rPr>
              <w:t>كانت دراستنا القطاعية والاقتصادية مفيدة في الحفاظ على الحوار المتواصل حتى في غياب عملية إقراضية.</w:t>
            </w:r>
            <w:r w:rsidRPr="00FF3102">
              <w:rPr>
                <w:rFonts w:ascii="Simplified Arabic" w:eastAsiaTheme="minorEastAsia" w:hAnsi="Simplified Arabic" w:cs="Simplified Arabic"/>
                <w:color w:val="000000"/>
              </w:rPr>
              <w:t xml:space="preserve"> </w:t>
            </w:r>
          </w:p>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rPr>
            </w:pPr>
            <w:r w:rsidRPr="00FF3102">
              <w:rPr>
                <w:rFonts w:ascii="Simplified Arabic" w:eastAsiaTheme="minorEastAsia" w:hAnsi="Simplified Arabic" w:cs="Simplified Arabic"/>
                <w:color w:val="000000"/>
                <w:rtl/>
              </w:rPr>
              <w:t>مناقشاتنا المتصلة بقرض سياسات التنمية التي جرت بالتوازي مع مناقشات صندوق النقد الدولي خلال العامين الماضيين أسهمت أيضا في تعزيز أجندة قضايا شبكات الأمان الاجتماعي والحوكمة.</w:t>
            </w:r>
            <w:r w:rsidRPr="00FF3102">
              <w:rPr>
                <w:rFonts w:ascii="Simplified Arabic" w:eastAsiaTheme="minorEastAsia" w:hAnsi="Simplified Arabic" w:cs="Simplified Arabic"/>
                <w:color w:val="000000"/>
              </w:rPr>
              <w:t xml:space="preserve"> </w:t>
            </w:r>
          </w:p>
        </w:tc>
      </w:tr>
      <w:tr w:rsidR="00810BAC" w:rsidRPr="00FF3102">
        <w:trPr>
          <w:trHeight w:val="20"/>
          <w:jc w:val="center"/>
        </w:trPr>
        <w:tc>
          <w:tcPr>
            <w:tcW w:w="5000" w:type="pct"/>
            <w:gridSpan w:val="3"/>
            <w:shd w:val="clear" w:color="auto" w:fill="FFFFFF"/>
          </w:tcPr>
          <w:p w:rsidR="00810BAC" w:rsidRPr="00431D65" w:rsidRDefault="00810BAC" w:rsidP="00810BAC">
            <w:pPr>
              <w:bidi/>
              <w:spacing w:before="60" w:after="60"/>
              <w:rPr>
                <w:rFonts w:ascii="Simplified Arabic" w:eastAsiaTheme="minorEastAsia" w:hAnsi="Simplified Arabic" w:cs="Simplified Arabic"/>
                <w:i/>
                <w:sz w:val="20"/>
                <w:szCs w:val="20"/>
              </w:rPr>
            </w:pPr>
            <w:r w:rsidRPr="00431D65">
              <w:rPr>
                <w:rFonts w:ascii="Simplified Arabic" w:eastAsiaTheme="minorEastAsia" w:hAnsi="Simplified Arabic" w:cs="Simplified Arabic"/>
                <w:bCs/>
                <w:i/>
                <w:sz w:val="20"/>
                <w:szCs w:val="20"/>
                <w:rtl/>
              </w:rPr>
              <w:t>1.2 تحسين شفافية إدارة القطاع العام: تحقَّقت جزئيا</w:t>
            </w:r>
            <w:r w:rsidRPr="00431D65">
              <w:rPr>
                <w:rFonts w:ascii="Simplified Arabic" w:eastAsiaTheme="minorEastAsia" w:hAnsi="Simplified Arabic" w:cs="Simplified Arabic"/>
                <w:b/>
                <w:i/>
                <w:sz w:val="20"/>
                <w:szCs w:val="20"/>
              </w:rPr>
              <w:t xml:space="preserve"> </w:t>
            </w:r>
          </w:p>
        </w:tc>
      </w:tr>
      <w:tr w:rsidR="00810BAC" w:rsidRPr="00FF3102">
        <w:trPr>
          <w:trHeight w:val="20"/>
          <w:jc w:val="center"/>
        </w:trPr>
        <w:tc>
          <w:tcPr>
            <w:tcW w:w="2861" w:type="pct"/>
            <w:shd w:val="clear" w:color="auto" w:fill="FFFFFF"/>
          </w:tcPr>
          <w:p w:rsidR="00810BAC" w:rsidRPr="00656AC5" w:rsidRDefault="00810BAC" w:rsidP="00810BAC">
            <w:pPr>
              <w:tabs>
                <w:tab w:val="num" w:pos="244"/>
              </w:tabs>
              <w:bidi/>
              <w:spacing w:before="60" w:after="60"/>
              <w:rPr>
                <w:rFonts w:ascii="Simplified Arabic" w:eastAsiaTheme="minorEastAsia" w:hAnsi="Simplified Arabic" w:cs="Simplified Arabic"/>
                <w:i/>
                <w:sz w:val="20"/>
                <w:szCs w:val="20"/>
              </w:rPr>
            </w:pPr>
            <w:r w:rsidRPr="00656AC5">
              <w:rPr>
                <w:rFonts w:ascii="Simplified Arabic" w:eastAsiaTheme="minorEastAsia" w:hAnsi="Simplified Arabic" w:cs="Simplified Arabic"/>
                <w:bCs/>
                <w:i/>
                <w:sz w:val="20"/>
                <w:szCs w:val="20"/>
                <w:rtl/>
              </w:rPr>
              <w:t>تحسن الترتيب التصنيفي في بطاقات تسجيل نتائج نظم الإدارة العامة والحوكمة والشفافية التي تصدرها المراصد الرئيسية المستقلة بشأن التصورات السائدة عن الشفافية ــ بنهاية الفترة التي تغطيها إستراتيجية المساعدة الخاصة بمصر</w:t>
            </w:r>
            <w:r w:rsidRPr="00656AC5">
              <w:rPr>
                <w:rFonts w:ascii="Simplified Arabic" w:eastAsiaTheme="minorEastAsia" w:hAnsi="Simplified Arabic" w:cs="Simplified Arabic"/>
                <w:b/>
                <w:i/>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35"/>
              </w:num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الإفصاح عن الميزانيات السنوية للحكومة، وحساباتها المُدقَّقة، وتقارير مراجعة الحسابات</w:t>
            </w:r>
          </w:p>
          <w:p w:rsidR="00810BAC" w:rsidRPr="00FF3102" w:rsidRDefault="00810BAC" w:rsidP="001E71BE">
            <w:pPr>
              <w:numPr>
                <w:ilvl w:val="0"/>
                <w:numId w:val="35"/>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تدشين برنامج رسمي لتحسين التصورات الشائعة بشأن شفافية القطاع العام</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مع أنه حدثت بعض التحسينات في التصوُّرات، فإن الإصلاحات التي أُجريت خلال الفترة التي تغطيها مذكرة الإستراتيجية المؤقتة لم تكن كافية لزيادة الشفافية. </w:t>
            </w:r>
            <w:r w:rsidRPr="00FF3102">
              <w:rPr>
                <w:rFonts w:ascii="Simplified Arabic" w:eastAsiaTheme="minorEastAsia" w:hAnsi="Simplified Arabic" w:cs="Simplified Arabic"/>
                <w:color w:val="000000"/>
                <w:sz w:val="20"/>
                <w:szCs w:val="20"/>
                <w:rtl/>
              </w:rPr>
              <w:t>وخلال السنوات الست الماضية، كشفت الحكومة المصرية للجمهور عن مزيد من معلومات الميزانية، وقفز ترتيب مصر على مؤشر الميزانية المفتوحة من 19 في عام 2006 إلى 49 في عام 2010.</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ويشير ترتيب مصر في عام 2010 حسب أحدث البيانات المتاحة إلى أن الحكومة تُقدِّم للجمهور معلومات محد</w:t>
            </w:r>
            <w:r w:rsidR="00AD1140">
              <w:rPr>
                <w:rFonts w:ascii="Simplified Arabic" w:eastAsiaTheme="minorEastAsia" w:hAnsi="Simplified Arabic" w:cs="Simplified Arabic" w:hint="cs"/>
                <w:color w:val="000000"/>
                <w:sz w:val="20"/>
                <w:szCs w:val="20"/>
                <w:rtl/>
              </w:rPr>
              <w:t>و</w:t>
            </w:r>
            <w:r w:rsidRPr="00FF3102">
              <w:rPr>
                <w:rFonts w:ascii="Simplified Arabic" w:eastAsiaTheme="minorEastAsia" w:hAnsi="Simplified Arabic" w:cs="Simplified Arabic"/>
                <w:color w:val="000000"/>
                <w:sz w:val="20"/>
                <w:szCs w:val="20"/>
                <w:rtl/>
              </w:rPr>
              <w:t>دة عن ميزانية الحكومة المركزية وأنشطتها المالية.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sz w:val="20"/>
                <w:szCs w:val="20"/>
                <w:rtl/>
              </w:rPr>
              <w:t>ومضت الحكومة أيضا قدما في إعداد مشروعات عدة قوانين تهدف إلى زيادة الشفافية في السنوات الأخيرة.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ومن ذلك مشروعات قوانين عن تضارب المصالح؛ وتداول المعلومات، وهيئة مكافحة الفساد، والإبلاغ عن المخالفات، وحماية الشهود، والمشتريات العامة، والجهاز المركزي للمحاسبات، والإفصاح عن الدخل والممتلكات، وحماية المستهلكين.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ونجح البنك في تعبئة تمويل من خلال مِنَح للمساندة الفنية لصياغة هذه القوانين.</w:t>
            </w:r>
            <w:r w:rsidRPr="00FF3102">
              <w:rPr>
                <w:rFonts w:ascii="Simplified Arabic" w:eastAsiaTheme="minorEastAsia" w:hAnsi="Simplified Arabic" w:cs="Simplified Arabic"/>
                <w:color w:val="5A5A5A"/>
                <w:sz w:val="20"/>
                <w:szCs w:val="20"/>
              </w:rPr>
              <w:t xml:space="preserve"> </w:t>
            </w:r>
            <w:r w:rsidRPr="00FF3102">
              <w:rPr>
                <w:rFonts w:ascii="Simplified Arabic" w:eastAsiaTheme="minorEastAsia" w:hAnsi="Simplified Arabic" w:cs="Simplified Arabic"/>
                <w:sz w:val="20"/>
                <w:szCs w:val="20"/>
                <w:rtl/>
              </w:rPr>
              <w:t>ودخل البنك أيضا في حوار مع السلطات وأصحاب المصلحة لإثراء المناقشات وبناء توافق في الآراء، ولكن لم تصدر سوى القوانين الخاصة بحماية الشهود وتضارب المصالح.</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ولم تتحقَّق خلال هذه الفترة إصلاحات مثل استئناف نشر موازنة المواطن، وإصدار ورقة إطار الميزانية، ونشر مراجعات لحسابات المؤسسات المملوكة للدولة. ولم يتم تدشين برنامج رسمي لتحسين التصورات السائدة.</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iCs/>
                <w:sz w:val="20"/>
                <w:szCs w:val="20"/>
                <w:rtl/>
              </w:rPr>
              <w:t xml:space="preserve">[التقرير المرحلي عن سير العمل في إستراتيجية المساعدة الخاصة بمصر. النتيجة المتوقعة 2.5 تقوية أداء القطاع العام] </w:t>
            </w:r>
          </w:p>
        </w:tc>
        <w:tc>
          <w:tcPr>
            <w:tcW w:w="872" w:type="pct"/>
            <w:shd w:val="clear" w:color="auto" w:fill="FFFFFF"/>
          </w:tcPr>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2004: النفقات العامة والإدارة المالية والتعاقدية في مصر (مساعدة فنية جارية)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2008: تقييم المساءلة المالية القطرية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2009: المسح التشخيصي لنظام الإدارة العامة والحوكمة في مصر (مساعدة فنية)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2009: الحوكمة ومكافحة الفساد (مساعدة فنية)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2014: القطاع العام والحوكمة (مساعدة فنية)</w:t>
            </w:r>
            <w:r w:rsidRPr="002241AE">
              <w:rPr>
                <w:rFonts w:ascii="Simplified Arabic" w:eastAsiaTheme="minorEastAsia" w:hAnsi="Simplified Arabic" w:cs="Simplified Arabic"/>
                <w:b/>
                <w:sz w:val="20"/>
                <w:szCs w:val="20"/>
              </w:rPr>
              <w:t xml:space="preserve"> </w:t>
            </w:r>
          </w:p>
          <w:p w:rsidR="00810BAC" w:rsidRPr="00FF3102" w:rsidRDefault="00810BAC" w:rsidP="00810BAC">
            <w:pPr>
              <w:bidi/>
              <w:spacing w:before="60" w:after="60"/>
              <w:rPr>
                <w:rFonts w:ascii="Simplified Arabic" w:hAnsi="Simplified Arabic" w:cs="Simplified Arabic"/>
                <w:b/>
                <w:sz w:val="20"/>
                <w:szCs w:val="20"/>
              </w:rPr>
            </w:pPr>
          </w:p>
          <w:p w:rsidR="00810BAC" w:rsidRPr="00FF3102" w:rsidRDefault="00810BAC" w:rsidP="00810BAC">
            <w:pPr>
              <w:tabs>
                <w:tab w:val="num" w:pos="244"/>
              </w:tabs>
              <w:bidi/>
              <w:spacing w:before="60" w:after="60"/>
              <w:rPr>
                <w:rFonts w:ascii="Simplified Arabic" w:hAnsi="Simplified Arabic" w:cs="Simplified Arabic"/>
                <w:sz w:val="20"/>
                <w:szCs w:val="20"/>
              </w:rPr>
            </w:pPr>
          </w:p>
        </w:tc>
        <w:tc>
          <w:tcPr>
            <w:tcW w:w="1267" w:type="pct"/>
            <w:shd w:val="clear" w:color="auto" w:fill="FFFFFF"/>
          </w:tcPr>
          <w:p w:rsidR="00810BAC" w:rsidRPr="00FF3102" w:rsidRDefault="00810BAC" w:rsidP="00810BAC">
            <w:pPr>
              <w:bidi/>
              <w:spacing w:before="60" w:after="60"/>
              <w:ind w:left="244"/>
              <w:rPr>
                <w:rFonts w:ascii="Simplified Arabic" w:hAnsi="Simplified Arabic" w:cs="Simplified Arabic"/>
                <w:b/>
              </w:rPr>
            </w:pPr>
          </w:p>
        </w:tc>
      </w:tr>
    </w:tbl>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r w:rsidRPr="00FF3102">
        <w:rPr>
          <w:rFonts w:ascii="Simplified Arabic" w:hAnsi="Simplified Arabic" w:cs="Simplified Arabic"/>
        </w:rPr>
        <w:br w:type="page"/>
      </w:r>
    </w:p>
    <w:tbl>
      <w:tblPr>
        <w:bidiVisual/>
        <w:tblW w:w="57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
        <w:gridCol w:w="6102"/>
        <w:gridCol w:w="13"/>
        <w:gridCol w:w="1863"/>
        <w:gridCol w:w="13"/>
        <w:gridCol w:w="2701"/>
      </w:tblGrid>
      <w:tr w:rsidR="00810BAC" w:rsidRPr="00FF3102" w:rsidTr="00FF3102">
        <w:trPr>
          <w:gridBefore w:val="1"/>
          <w:wBefore w:w="8" w:type="pct"/>
          <w:trHeight w:val="20"/>
          <w:jc w:val="center"/>
        </w:trPr>
        <w:tc>
          <w:tcPr>
            <w:tcW w:w="4992" w:type="pct"/>
            <w:gridSpan w:val="5"/>
            <w:shd w:val="clear" w:color="auto" w:fill="FFFFFF"/>
            <w:vAlign w:val="center"/>
          </w:tcPr>
          <w:p w:rsidR="00810BAC" w:rsidRPr="00FF3102" w:rsidRDefault="00810BAC" w:rsidP="00FF3102">
            <w:pPr>
              <w:bidi/>
              <w:spacing w:before="60" w:after="60"/>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الهدف الإستراتيجي: الركيزة </w:t>
            </w:r>
            <w:r w:rsidR="00FF3102">
              <w:rPr>
                <w:rFonts w:ascii="Simplified Arabic" w:eastAsiaTheme="minorEastAsia" w:hAnsi="Simplified Arabic" w:cs="Simplified Arabic" w:hint="cs"/>
                <w:bCs/>
                <w:sz w:val="20"/>
                <w:szCs w:val="20"/>
                <w:rtl/>
              </w:rPr>
              <w:t>2</w:t>
            </w:r>
            <w:r w:rsidRPr="00FF3102">
              <w:rPr>
                <w:rFonts w:ascii="Simplified Arabic" w:eastAsiaTheme="minorEastAsia" w:hAnsi="Simplified Arabic" w:cs="Simplified Arabic"/>
                <w:bCs/>
                <w:sz w:val="20"/>
                <w:szCs w:val="20"/>
                <w:rtl/>
              </w:rPr>
              <w:t>: الوظائف</w:t>
            </w:r>
          </w:p>
        </w:tc>
      </w:tr>
      <w:tr w:rsidR="00810BAC" w:rsidRPr="00FF3102" w:rsidTr="00FF3102">
        <w:trPr>
          <w:gridBefore w:val="1"/>
          <w:wBefore w:w="8" w:type="pct"/>
          <w:trHeight w:val="20"/>
          <w:jc w:val="center"/>
        </w:trPr>
        <w:tc>
          <w:tcPr>
            <w:tcW w:w="4992" w:type="pct"/>
            <w:gridSpan w:val="5"/>
            <w:shd w:val="clear" w:color="auto" w:fill="FFFFFF"/>
            <w:vAlign w:val="center"/>
          </w:tcPr>
          <w:p w:rsidR="00810BAC" w:rsidRPr="00FF3102" w:rsidRDefault="00FF3102" w:rsidP="00810BAC">
            <w:pPr>
              <w:bidi/>
              <w:spacing w:before="60" w:after="60"/>
              <w:rPr>
                <w:rFonts w:ascii="Simplified Arabic" w:eastAsiaTheme="minorEastAsia" w:hAnsi="Simplified Arabic" w:cs="Simplified Arabic"/>
                <w:sz w:val="20"/>
                <w:szCs w:val="20"/>
              </w:rPr>
            </w:pPr>
            <w:r>
              <w:rPr>
                <w:rFonts w:ascii="Simplified Arabic" w:eastAsiaTheme="minorEastAsia" w:hAnsi="Simplified Arabic" w:cs="Simplified Arabic" w:hint="cs"/>
                <w:b/>
                <w:sz w:val="20"/>
                <w:szCs w:val="20"/>
                <w:rtl/>
              </w:rPr>
              <w:t>2.1.</w:t>
            </w:r>
            <w:r w:rsidR="00810BAC" w:rsidRPr="00FF3102">
              <w:rPr>
                <w:rFonts w:ascii="Simplified Arabic" w:eastAsiaTheme="minorEastAsia" w:hAnsi="Simplified Arabic" w:cs="Simplified Arabic"/>
                <w:b/>
                <w:sz w:val="20"/>
                <w:szCs w:val="20"/>
              </w:rPr>
              <w:t xml:space="preserve"> </w:t>
            </w:r>
            <w:r w:rsidR="00810BAC" w:rsidRPr="00FF3102">
              <w:rPr>
                <w:rFonts w:ascii="Simplified Arabic" w:eastAsiaTheme="minorEastAsia" w:hAnsi="Simplified Arabic" w:cs="Simplified Arabic"/>
                <w:bCs/>
                <w:sz w:val="20"/>
                <w:szCs w:val="20"/>
                <w:rtl/>
              </w:rPr>
              <w:t>خلق بيئة مواتية لاستثمارات وأنشطة أعمال القطاع الخاص: تحقَّق</w:t>
            </w:r>
            <w:r w:rsidR="00810BAC" w:rsidRPr="00FF3102">
              <w:rPr>
                <w:rFonts w:ascii="Simplified Arabic" w:eastAsiaTheme="minorEastAsia" w:hAnsi="Simplified Arabic" w:cs="Simplified Arabic"/>
                <w:b/>
                <w:i/>
                <w:sz w:val="20"/>
                <w:szCs w:val="20"/>
              </w:rPr>
              <w:t xml:space="preserve"> </w:t>
            </w: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تحسُّن في بيئة أنشطة الأعمال طبقا لقياسها في مسوح ممارسة أنشطة الأعمال ــ بنهاية الفترة التي تغطيها مذكرة الإستراتيجية المؤقتة</w:t>
            </w:r>
            <w:r w:rsidRPr="00FF3102">
              <w:rPr>
                <w:rFonts w:ascii="Simplified Arabic" w:eastAsiaTheme="minorEastAsia" w:hAnsi="Simplified Arabic" w:cs="Simplified Arabic"/>
                <w:sz w:val="20"/>
                <w:szCs w:val="20"/>
                <w:rtl/>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41"/>
              </w:numPr>
              <w:tabs>
                <w:tab w:val="num" w:pos="244"/>
              </w:tabs>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تحسُّن التصنيف على مؤشر ممارسة أنشطة الأعمال من المرتبة 108 (2011)</w:t>
            </w:r>
          </w:p>
          <w:p w:rsidR="00810BAC" w:rsidRPr="00FF3102" w:rsidRDefault="00810BAC" w:rsidP="00810BAC">
            <w:pPr>
              <w:tabs>
                <w:tab w:val="num" w:pos="244"/>
              </w:tabs>
              <w:bidi/>
              <w:spacing w:before="60" w:after="60"/>
              <w:rPr>
                <w:rFonts w:ascii="Simplified Arabic" w:hAnsi="Simplified Arabic" w:cs="Simplified Arabic"/>
                <w:sz w:val="20"/>
                <w:szCs w:val="20"/>
              </w:rPr>
            </w:pPr>
          </w:p>
          <w:p w:rsidR="00810BAC" w:rsidRPr="00FF3102" w:rsidRDefault="00810BAC" w:rsidP="00AD1140">
            <w:pPr>
              <w:tabs>
                <w:tab w:val="num" w:pos="244"/>
              </w:tabs>
              <w:bidi/>
              <w:spacing w:before="60" w:after="60"/>
              <w:rPr>
                <w:rFonts w:ascii="Simplified Arabic" w:eastAsiaTheme="minorEastAsia" w:hAnsi="Simplified Arabic" w:cs="Simplified Arabic"/>
                <w:i/>
                <w:sz w:val="20"/>
                <w:szCs w:val="20"/>
              </w:rPr>
            </w:pPr>
            <w:r w:rsidRPr="00FF3102">
              <w:rPr>
                <w:rFonts w:ascii="Simplified Arabic" w:eastAsiaTheme="minorEastAsia" w:hAnsi="Simplified Arabic" w:cs="Simplified Arabic"/>
                <w:sz w:val="20"/>
                <w:szCs w:val="20"/>
                <w:rtl/>
              </w:rPr>
              <w:t>في سبتمبر 2006، وضع</w:t>
            </w:r>
            <w:r w:rsidRPr="00FF3102">
              <w:rPr>
                <w:rFonts w:ascii="Simplified Arabic" w:eastAsiaTheme="minorEastAsia" w:hAnsi="Simplified Arabic" w:cs="Simplified Arabic"/>
                <w:i/>
                <w:sz w:val="20"/>
                <w:szCs w:val="20"/>
              </w:rPr>
              <w:t xml:space="preserve"> </w:t>
            </w:r>
            <w:r w:rsidRPr="00FF3102">
              <w:rPr>
                <w:rFonts w:ascii="Simplified Arabic" w:eastAsiaTheme="minorEastAsia" w:hAnsi="Simplified Arabic" w:cs="Simplified Arabic"/>
                <w:iCs/>
                <w:sz w:val="20"/>
                <w:szCs w:val="20"/>
                <w:rtl/>
              </w:rPr>
              <w:t>تقرير</w:t>
            </w:r>
            <w:r w:rsidRPr="00FF3102">
              <w:rPr>
                <w:rFonts w:ascii="Simplified Arabic" w:eastAsiaTheme="minorEastAsia" w:hAnsi="Simplified Arabic" w:cs="Simplified Arabic"/>
                <w:i/>
                <w:sz w:val="20"/>
                <w:szCs w:val="20"/>
              </w:rPr>
              <w:t xml:space="preserve"> </w:t>
            </w:r>
            <w:r w:rsidRPr="00FF3102">
              <w:rPr>
                <w:rFonts w:ascii="Simplified Arabic" w:eastAsiaTheme="minorEastAsia" w:hAnsi="Simplified Arabic" w:cs="Simplified Arabic"/>
                <w:iCs/>
                <w:sz w:val="20"/>
                <w:szCs w:val="20"/>
                <w:rtl/>
              </w:rPr>
              <w:t>ممارسة أنشطة الأعمال</w:t>
            </w:r>
            <w:r w:rsidRPr="00FF3102">
              <w:rPr>
                <w:rFonts w:ascii="Simplified Arabic" w:eastAsiaTheme="minorEastAsia" w:hAnsi="Simplified Arabic" w:cs="Simplified Arabic"/>
                <w:sz w:val="20"/>
                <w:szCs w:val="20"/>
                <w:rtl/>
              </w:rPr>
              <w:t xml:space="preserve"> مصر</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المرتبة </w:t>
            </w:r>
            <w:r w:rsidRPr="00FF3102">
              <w:rPr>
                <w:rFonts w:ascii="Simplified Arabic" w:eastAsiaTheme="minorEastAsia" w:hAnsi="Simplified Arabic" w:cs="Simplified Arabic"/>
                <w:sz w:val="20"/>
                <w:szCs w:val="20"/>
              </w:rPr>
              <w:t>152</w:t>
            </w:r>
            <w:r w:rsidRPr="00FF3102">
              <w:rPr>
                <w:rFonts w:ascii="Simplified Arabic" w:eastAsiaTheme="minorEastAsia" w:hAnsi="Simplified Arabic" w:cs="Simplified Arabic"/>
                <w:sz w:val="20"/>
                <w:szCs w:val="20"/>
                <w:rtl/>
              </w:rPr>
              <w:t xml:space="preserve"> من بين</w:t>
            </w:r>
            <w:r w:rsidRPr="00FF3102">
              <w:rPr>
                <w:rFonts w:ascii="Simplified Arabic" w:eastAsiaTheme="minorEastAsia" w:hAnsi="Simplified Arabic" w:cs="Simplified Arabic"/>
                <w:sz w:val="20"/>
                <w:szCs w:val="20"/>
              </w:rPr>
              <w:t xml:space="preserve"> 175 </w:t>
            </w:r>
            <w:r w:rsidRPr="00FF3102">
              <w:rPr>
                <w:rFonts w:ascii="Simplified Arabic" w:eastAsiaTheme="minorEastAsia" w:hAnsi="Simplified Arabic" w:cs="Simplified Arabic"/>
                <w:sz w:val="20"/>
                <w:szCs w:val="20"/>
                <w:rtl/>
              </w:rPr>
              <w:t xml:space="preserve">بلدا. </w:t>
            </w:r>
            <w:r w:rsidRPr="00AD1140">
              <w:rPr>
                <w:rFonts w:ascii="Simplified Arabic" w:eastAsiaTheme="minorEastAsia" w:hAnsi="Simplified Arabic" w:cs="Simplified Arabic"/>
                <w:i/>
                <w:sz w:val="20"/>
                <w:szCs w:val="20"/>
                <w:rtl/>
              </w:rPr>
              <w:t>وفي تقرير</w:t>
            </w:r>
            <w:r w:rsidRPr="00AD1140">
              <w:rPr>
                <w:rFonts w:ascii="Simplified Arabic" w:eastAsiaTheme="minorEastAsia" w:hAnsi="Simplified Arabic" w:cs="Simplified Arabic"/>
                <w:i/>
                <w:sz w:val="20"/>
                <w:szCs w:val="20"/>
              </w:rPr>
              <w:t xml:space="preserve"> </w:t>
            </w:r>
            <w:r w:rsidRPr="00AD1140">
              <w:rPr>
                <w:rFonts w:ascii="Simplified Arabic" w:eastAsiaTheme="minorEastAsia" w:hAnsi="Simplified Arabic" w:cs="Simplified Arabic"/>
                <w:i/>
                <w:sz w:val="20"/>
                <w:szCs w:val="20"/>
                <w:rtl/>
              </w:rPr>
              <w:t>ممارسة أنشطة الأعمال 2008، تحسَّن تصنيف مصر</w:t>
            </w:r>
            <w:r w:rsidRPr="00AD1140">
              <w:rPr>
                <w:rFonts w:ascii="Simplified Arabic" w:eastAsiaTheme="minorEastAsia" w:hAnsi="Simplified Arabic" w:cs="Simplified Arabic"/>
                <w:i/>
                <w:sz w:val="20"/>
                <w:szCs w:val="20"/>
              </w:rPr>
              <w:t xml:space="preserve"> </w:t>
            </w:r>
            <w:r w:rsidRPr="00AD1140">
              <w:rPr>
                <w:rFonts w:ascii="Simplified Arabic" w:eastAsiaTheme="minorEastAsia" w:hAnsi="Simplified Arabic" w:cs="Simplified Arabic"/>
                <w:i/>
                <w:sz w:val="20"/>
                <w:szCs w:val="20"/>
                <w:rtl/>
              </w:rPr>
              <w:t>إلى المرتبة</w:t>
            </w:r>
            <w:r w:rsidRPr="00FF3102">
              <w:rPr>
                <w:rFonts w:ascii="Simplified Arabic" w:eastAsiaTheme="minorEastAsia" w:hAnsi="Simplified Arabic" w:cs="Simplified Arabic"/>
                <w:iCs/>
                <w:sz w:val="20"/>
                <w:szCs w:val="20"/>
                <w:rtl/>
              </w:rPr>
              <w:t xml:space="preserve"> </w:t>
            </w:r>
            <w:r w:rsidRPr="00AD1140">
              <w:rPr>
                <w:rFonts w:ascii="Simplified Arabic" w:eastAsiaTheme="minorEastAsia" w:hAnsi="Simplified Arabic" w:cs="Simplified Arabic"/>
                <w:i/>
                <w:sz w:val="20"/>
                <w:szCs w:val="20"/>
                <w:rtl/>
              </w:rPr>
              <w:t>12</w:t>
            </w:r>
            <w:r w:rsidRPr="00FF3102">
              <w:rPr>
                <w:rFonts w:ascii="Simplified Arabic" w:eastAsiaTheme="minorEastAsia" w:hAnsi="Simplified Arabic" w:cs="Simplified Arabic"/>
                <w:iCs/>
                <w:sz w:val="20"/>
                <w:szCs w:val="20"/>
                <w:rtl/>
              </w:rPr>
              <w:t>6.</w:t>
            </w:r>
            <w:r w:rsidRPr="00FF3102">
              <w:rPr>
                <w:rFonts w:ascii="Simplified Arabic" w:eastAsiaTheme="minorEastAsia" w:hAnsi="Simplified Arabic" w:cs="Simplified Arabic"/>
                <w:sz w:val="20"/>
                <w:szCs w:val="20"/>
                <w:rtl/>
              </w:rPr>
              <w:t xml:space="preserve"> وبعد ذلك، ظلت تصنيفات مصر في حالة </w:t>
            </w:r>
            <w:r w:rsidR="00AD1140">
              <w:rPr>
                <w:rFonts w:ascii="Simplified Arabic" w:eastAsiaTheme="minorEastAsia" w:hAnsi="Simplified Arabic" w:cs="Simplified Arabic" w:hint="cs"/>
                <w:sz w:val="20"/>
                <w:szCs w:val="20"/>
                <w:rtl/>
              </w:rPr>
              <w:t>ثبات</w:t>
            </w:r>
            <w:r w:rsidRPr="00FF3102">
              <w:rPr>
                <w:rFonts w:ascii="Simplified Arabic" w:eastAsiaTheme="minorEastAsia" w:hAnsi="Simplified Arabic" w:cs="Simplified Arabic"/>
                <w:sz w:val="20"/>
                <w:szCs w:val="20"/>
                <w:rtl/>
              </w:rPr>
              <w:t xml:space="preserve"> أو تراجعت على مؤشرات معينة بسبب غياب الإصلاح في السنوات 2011-2013. وكان التصنيف في </w:t>
            </w:r>
            <w:r w:rsidRPr="00FF3102">
              <w:rPr>
                <w:rFonts w:ascii="Simplified Arabic" w:eastAsiaTheme="minorEastAsia" w:hAnsi="Simplified Arabic" w:cs="Simplified Arabic"/>
                <w:iCs/>
                <w:sz w:val="20"/>
                <w:szCs w:val="20"/>
                <w:rtl/>
              </w:rPr>
              <w:t>ممارسة أنشطة الأعمال</w:t>
            </w:r>
            <w:r w:rsidRPr="00FF3102">
              <w:rPr>
                <w:rFonts w:ascii="Simplified Arabic" w:eastAsiaTheme="minorEastAsia" w:hAnsi="Simplified Arabic" w:cs="Simplified Arabic"/>
                <w:sz w:val="20"/>
                <w:szCs w:val="20"/>
                <w:rtl/>
              </w:rPr>
              <w:t xml:space="preserve"> في المرتبة 109 من بين 189 بلدا في 2013 مقابل المرتبة 106 من بين 189 بلدا في فترة 2010.</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وعلى وجه الإجمال، حدث تحسُّن في الفترة التي تغطيها إستراتيجية المساعدة الخاصة بمصر.</w:t>
            </w:r>
          </w:p>
          <w:p w:rsidR="00810BAC" w:rsidRPr="00FF3102" w:rsidRDefault="00810BAC" w:rsidP="00810BAC">
            <w:pPr>
              <w:tabs>
                <w:tab w:val="num" w:pos="244"/>
              </w:tabs>
              <w:bidi/>
              <w:spacing w:before="60" w:after="60"/>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نجاح إنجاز إصلاحات تنظيمية ستؤدي إلى تحسن تكافؤ الفرص وبيئة أكثر تنافسية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41"/>
              </w:numPr>
              <w:tabs>
                <w:tab w:val="num" w:pos="244"/>
              </w:tabs>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فرص استثمارية جديدة</w:t>
            </w:r>
          </w:p>
          <w:p w:rsidR="00810BAC" w:rsidRPr="00FF3102" w:rsidRDefault="00810BAC" w:rsidP="00810BAC">
            <w:pPr>
              <w:tabs>
                <w:tab w:val="num" w:pos="244"/>
              </w:tabs>
              <w:bidi/>
              <w:spacing w:before="60" w:after="60"/>
              <w:rPr>
                <w:rFonts w:ascii="Simplified Arabic" w:hAnsi="Simplified Arabic" w:cs="Simplified Arabic"/>
                <w:color w:val="000000"/>
                <w:sz w:val="20"/>
                <w:szCs w:val="20"/>
              </w:rPr>
            </w:pP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حدث تقدُّم في القيام بالإصلاحات التنظيمية التي ساعدت على تحسين البيئة المواتية للاستثمار.</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Cs/>
                <w:color w:val="000000"/>
                <w:sz w:val="20"/>
                <w:szCs w:val="20"/>
                <w:rtl/>
              </w:rPr>
              <w:t xml:space="preserve">وتم تنفيذ أنشطة الإصلاحات التنظيمية التالية بمساندة من مؤسسة التمويل الدولية والبنك الدولي: </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تبسيط إجراءات إنشاء مشروعات صناعية عن طريق إلغاء الموافقة المبدئية للهيئة العامة للتنمية الصناعية.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وتبسيط إجراءات تسجيل الفروع الأجنبية للشركات عن طريق خفض المدة الزمنية اللازمة إلى ثلاثة أيام (من 4-6 أشهر).</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وتبسيط الإجراءات والتوثيق.</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تبسيط إجراءات تسجيل المكاتب التمثيلية للشركات الأجنبية عن طريق خفض المدة الزمنية اللازمة إلى ثلاثة أيام (من 40 يوما). وتبسيط الإجراءات.</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المرحلة الثانية من التسجيل الإلكتروني للشركات (الدفع الإلكتروني)</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 xml:space="preserve">إلغاء الموافقة الأمنية لشركات الطباعة والنشر </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إصدار شهادات استيراد صالحة لمدة 3-5 سنوات بدلا من الفواتير التي تختم على نحوٍ دوري، وإصدار شهادات تصدير صالحة لمدة 3-5 سنوات بدلا من إصدار خطاب سنوي.</w:t>
            </w:r>
          </w:p>
          <w:p w:rsidR="00810BAC" w:rsidRPr="00FF3102" w:rsidRDefault="00810BAC" w:rsidP="001E71BE">
            <w:pPr>
              <w:numPr>
                <w:ilvl w:val="0"/>
                <w:numId w:val="41"/>
              </w:numPr>
              <w:autoSpaceDE w:val="0"/>
              <w:autoSpaceDN w:val="0"/>
              <w:bidi/>
              <w:adjustRightInd w:val="0"/>
              <w:spacing w:before="60" w:after="60"/>
              <w:jc w:val="both"/>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تبسيط استخراج تراخيص البناء وإصدار اللوائح التنفيذية لقانون البناء الموحَّد.</w:t>
            </w:r>
          </w:p>
          <w:p w:rsidR="00FF3102" w:rsidRPr="00FF3102" w:rsidRDefault="00810BAC" w:rsidP="001E71BE">
            <w:pPr>
              <w:numPr>
                <w:ilvl w:val="0"/>
                <w:numId w:val="41"/>
              </w:numPr>
              <w:autoSpaceDE w:val="0"/>
              <w:autoSpaceDN w:val="0"/>
              <w:bidi/>
              <w:adjustRightInd w:val="0"/>
              <w:spacing w:before="60" w:after="60"/>
              <w:jc w:val="both"/>
              <w:rPr>
                <w:rStyle w:val="tw4winMark"/>
                <w:rFonts w:asciiTheme="minorEastAsia" w:hAnsiTheme="minorEastAsia"/>
                <w:vanish w:val="0"/>
                <w:color w:val="auto"/>
                <w:vertAlign w:val="baseline"/>
              </w:rPr>
            </w:pPr>
            <w:r w:rsidRPr="00FF3102">
              <w:rPr>
                <w:rFonts w:ascii="Simplified Arabic" w:eastAsiaTheme="minorEastAsia" w:hAnsi="Simplified Arabic" w:cs="Simplified Arabic"/>
                <w:color w:val="000000"/>
                <w:sz w:val="20"/>
                <w:szCs w:val="20"/>
                <w:rtl/>
              </w:rPr>
              <w:t>وضع إجراءات ذكية لأنظمة المناطق الاستثمارية في مصر.</w:t>
            </w:r>
            <w:r w:rsidR="00FF3102" w:rsidRPr="00FF3102">
              <w:rPr>
                <w:rStyle w:val="tw4winMark"/>
                <w:rFonts w:ascii="Simplified Arabic" w:eastAsiaTheme="minorEastAsia" w:hAnsi="Simplified Arabic" w:cs="Simplified Arabic" w:hint="cs"/>
                <w:sz w:val="20"/>
                <w:szCs w:val="20"/>
                <w:rtl/>
              </w:rPr>
              <w:t xml:space="preserve"> </w:t>
            </w:r>
          </w:p>
          <w:p w:rsidR="00810BAC" w:rsidRPr="00FF3102" w:rsidRDefault="00810BAC" w:rsidP="001E71BE">
            <w:pPr>
              <w:numPr>
                <w:ilvl w:val="0"/>
                <w:numId w:val="41"/>
              </w:numPr>
              <w:autoSpaceDE w:val="0"/>
              <w:autoSpaceDN w:val="0"/>
              <w:bidi/>
              <w:adjustRightInd w:val="0"/>
              <w:spacing w:before="60" w:after="60"/>
              <w:jc w:val="both"/>
              <w:rPr>
                <w:sz w:val="20"/>
                <w:szCs w:val="20"/>
                <w:rtl/>
              </w:rPr>
            </w:pPr>
            <w:r w:rsidRPr="00FF3102">
              <w:rPr>
                <w:sz w:val="20"/>
                <w:szCs w:val="20"/>
                <w:rtl/>
              </w:rPr>
              <w:t>إنجاز تقرير ممارسة أنشطة الأعمال على مستوى المحافظات في مصر 2014 ونشره، وهو ما حفَّز أنشطة الإصلاح من جانب الحكومة.</w:t>
            </w:r>
          </w:p>
          <w:p w:rsidR="00810BAC" w:rsidRPr="00FF3102" w:rsidRDefault="00810BAC" w:rsidP="001E71BE">
            <w:pPr>
              <w:numPr>
                <w:ilvl w:val="0"/>
                <w:numId w:val="41"/>
              </w:numPr>
              <w:autoSpaceDE w:val="0"/>
              <w:autoSpaceDN w:val="0"/>
              <w:bidi/>
              <w:adjustRightInd w:val="0"/>
              <w:jc w:val="both"/>
              <w:rPr>
                <w:rFonts w:ascii="Simplified Arabic" w:eastAsiaTheme="minorEastAsia" w:hAnsi="Simplified Arabic" w:cs="Simplified Arabic"/>
                <w:vanish/>
                <w:color w:val="000000"/>
                <w:sz w:val="20"/>
                <w:szCs w:val="20"/>
              </w:rPr>
            </w:pPr>
            <w:r w:rsidRPr="00FF3102">
              <w:rPr>
                <w:rStyle w:val="tw4winError"/>
                <w:rFonts w:ascii="Simplified Arabic" w:eastAsiaTheme="minorEastAsia" w:hAnsi="Simplified Arabic" w:cs="Simplified Arabic"/>
                <w:vanish/>
                <w:sz w:val="20"/>
                <w:szCs w:val="20"/>
              </w:rPr>
              <w:t>«</w:t>
            </w:r>
            <w:r w:rsidRPr="00FF3102">
              <w:rPr>
                <w:rStyle w:val="tw4winMark"/>
                <w:rFonts w:ascii="Simplified Arabic" w:eastAsiaTheme="minorEastAsia" w:hAnsi="Simplified Arabic" w:cs="Simplified Arabic"/>
                <w:sz w:val="20"/>
                <w:szCs w:val="20"/>
                <w:rtl/>
              </w:rPr>
              <w:t>&lt;0}</w:t>
            </w:r>
          </w:p>
          <w:p w:rsidR="00810BAC" w:rsidRPr="00FF3102" w:rsidRDefault="00810BAC" w:rsidP="00810BAC">
            <w:pPr>
              <w:autoSpaceDE w:val="0"/>
              <w:autoSpaceDN w:val="0"/>
              <w:bidi/>
              <w:adjustRightInd w:val="0"/>
              <w:spacing w:before="60" w:after="60"/>
              <w:ind w:left="720"/>
              <w:jc w:val="both"/>
              <w:rPr>
                <w:rFonts w:ascii="Simplified Arabic" w:hAnsi="Simplified Arabic" w:cs="Simplified Arabic"/>
                <w:color w:val="000000"/>
                <w:sz w:val="20"/>
                <w:szCs w:val="20"/>
              </w:rPr>
            </w:pPr>
          </w:p>
          <w:p w:rsidR="00810BAC" w:rsidRPr="00FF3102" w:rsidRDefault="00810BAC" w:rsidP="001E71BE">
            <w:pPr>
              <w:pStyle w:val="ListParagraph"/>
              <w:numPr>
                <w:ilvl w:val="0"/>
                <w:numId w:val="41"/>
              </w:numPr>
              <w:autoSpaceDE w:val="0"/>
              <w:autoSpaceDN w:val="0"/>
              <w:bidi/>
              <w:adjustRightInd w:val="0"/>
              <w:spacing w:before="60" w:after="60"/>
              <w:rPr>
                <w:rFonts w:ascii="Simplified Arabic" w:eastAsiaTheme="minorEastAsia" w:hAnsi="Simplified Arabic" w:cs="Simplified Arabic"/>
                <w:i/>
                <w:color w:val="000000"/>
                <w:sz w:val="20"/>
                <w:szCs w:val="20"/>
              </w:rPr>
            </w:pPr>
            <w:r w:rsidRPr="00FF3102">
              <w:rPr>
                <w:rFonts w:ascii="Simplified Arabic" w:eastAsiaTheme="minorEastAsia" w:hAnsi="Simplified Arabic" w:cs="Simplified Arabic"/>
                <w:bCs/>
                <w:color w:val="000000"/>
                <w:sz w:val="20"/>
                <w:szCs w:val="20"/>
                <w:rtl/>
              </w:rPr>
              <w:t xml:space="preserve">نجاح إتمام الشراكة التجريبية بين القطاعين العام والخاص في قطاعات مختارة، منها التعليم والري. </w:t>
            </w:r>
            <w:r w:rsidRPr="00FF3102">
              <w:rPr>
                <w:rFonts w:ascii="Simplified Arabic" w:eastAsiaTheme="minorEastAsia" w:hAnsi="Simplified Arabic" w:cs="Simplified Arabic"/>
                <w:i/>
                <w:color w:val="000000"/>
                <w:sz w:val="20"/>
                <w:szCs w:val="20"/>
                <w:rtl/>
              </w:rPr>
              <w:t>قدَّمت مؤسسة التمويل الدولية بنجاح المشورة إلى الوحدة المركزية للشراكات بين القطاعين العام والخاص في وزارة المالية ووزارة التعليم العالي في مجال تنفيذ مشروع مستشفيات الأسكندرية القائم على هذه الشراكات.</w:t>
            </w:r>
            <w:r w:rsidRPr="00FF3102">
              <w:rPr>
                <w:rFonts w:ascii="Simplified Arabic" w:eastAsiaTheme="minorEastAsia" w:hAnsi="Simplified Arabic" w:cs="Simplified Arabic"/>
                <w:i/>
                <w:color w:val="000000"/>
                <w:sz w:val="20"/>
                <w:szCs w:val="20"/>
              </w:rPr>
              <w:t xml:space="preserve"> </w:t>
            </w:r>
            <w:r w:rsidRPr="00FF3102">
              <w:rPr>
                <w:rFonts w:ascii="Simplified Arabic" w:eastAsiaTheme="minorEastAsia" w:hAnsi="Simplified Arabic" w:cs="Simplified Arabic"/>
                <w:i/>
                <w:sz w:val="20"/>
                <w:szCs w:val="20"/>
                <w:rtl/>
              </w:rPr>
              <w:t>واكتمل بنجاح تنفيذ أول مشروع لمياه الصرف بنظام الشراكة بين القطاعين العام والخاص في مصر.</w:t>
            </w:r>
          </w:p>
          <w:p w:rsidR="00810BAC" w:rsidRPr="00FF3102" w:rsidRDefault="00810BAC" w:rsidP="00810BAC">
            <w:pPr>
              <w:autoSpaceDE w:val="0"/>
              <w:autoSpaceDN w:val="0"/>
              <w:bidi/>
              <w:adjustRightInd w:val="0"/>
              <w:spacing w:before="60" w:after="60"/>
              <w:rPr>
                <w:rFonts w:ascii="Simplified Arabic" w:hAnsi="Simplified Arabic" w:cs="Simplified Arabic"/>
                <w:color w:val="000000"/>
                <w:sz w:val="20"/>
                <w:szCs w:val="20"/>
              </w:rPr>
            </w:pPr>
          </w:p>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iCs/>
                <w:sz w:val="20"/>
                <w:szCs w:val="20"/>
                <w:rtl/>
              </w:rPr>
              <w:t>[التقرير المرحلي عن سير العمل في إستراتيجية المساعدة الخاصة بمصر 1.3</w:t>
            </w:r>
            <w:r w:rsidR="00AD1140">
              <w:rPr>
                <w:rFonts w:ascii="Simplified Arabic" w:eastAsiaTheme="minorEastAsia" w:hAnsi="Simplified Arabic" w:cs="Simplified Arabic" w:hint="cs"/>
                <w:iCs/>
                <w:sz w:val="20"/>
                <w:szCs w:val="20"/>
                <w:rtl/>
              </w:rPr>
              <w:t>.</w:t>
            </w:r>
            <w:r w:rsidRPr="00FF3102">
              <w:rPr>
                <w:rFonts w:ascii="Simplified Arabic" w:eastAsiaTheme="minorEastAsia" w:hAnsi="Simplified Arabic" w:cs="Simplified Arabic"/>
                <w:i/>
                <w:sz w:val="20"/>
                <w:szCs w:val="20"/>
              </w:rPr>
              <w:t xml:space="preserve"> </w:t>
            </w:r>
            <w:r w:rsidRPr="00FF3102">
              <w:rPr>
                <w:rFonts w:ascii="Simplified Arabic" w:eastAsiaTheme="minorEastAsia" w:hAnsi="Simplified Arabic" w:cs="Simplified Arabic"/>
                <w:iCs/>
                <w:sz w:val="20"/>
                <w:szCs w:val="20"/>
                <w:rtl/>
              </w:rPr>
              <w:t>زيادة أنشطة الأعمال الخاصة]</w:t>
            </w:r>
          </w:p>
        </w:tc>
        <w:tc>
          <w:tcPr>
            <w:tcW w:w="870"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مشروعات جارية: وضع معايير مرجعية من خلال تقرير ممارسة أنشطة الأعمال (مساعدة فنية)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2007: متابعة تقييم مناخ الاستثمار</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2009: تحديث تقرير مناخ الاستثمار (دراسة قطاعية واقتصادية)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2012: تحديث تقييم مناخ الاستثمار</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مشروعات جارية: استثمارات في مجالات الشراكة بين القطاعين العام والخاص (مؤسسة التمويل الدولية)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2013: التدريب في المشروعات الصغيرة والمتوسطة من خلال برنامج</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بيزنيس إيدج</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ومجموعة</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الأدوات</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لمؤسسة</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التمويل</w:t>
            </w:r>
            <w:r w:rsidRPr="002241AE">
              <w:rPr>
                <w:rFonts w:ascii="Simplified Arabic" w:eastAsiaTheme="minorEastAsia" w:hAnsi="Simplified Arabic" w:cs="Simplified Arabic"/>
                <w:b/>
                <w:sz w:val="20"/>
                <w:szCs w:val="20"/>
              </w:rPr>
              <w:t xml:space="preserve"> </w:t>
            </w:r>
            <w:r w:rsidRPr="002241AE">
              <w:rPr>
                <w:rFonts w:ascii="Simplified Arabic" w:eastAsiaTheme="minorEastAsia" w:hAnsi="Simplified Arabic" w:cs="Simplified Arabic"/>
                <w:b/>
                <w:sz w:val="20"/>
                <w:szCs w:val="20"/>
                <w:rtl/>
              </w:rPr>
              <w:t>الدولية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مشروعات جارية: ترشيد استخراج تراخيص وتصاريح البناء (مساعدة فنية من مؤسسة التمويل الدولية)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مشروعات جارية: تعميم مؤشر التنافسية على المستوى الوطني (مساعدة فنية من مؤسسة التمويل الدولية)</w:t>
            </w:r>
          </w:p>
          <w:p w:rsidR="00810BAC" w:rsidRPr="002241AE" w:rsidRDefault="00810BAC" w:rsidP="00810BAC">
            <w:pPr>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مشروعات جارية: إعداد أنشطة الإصلاح في السنة المالية 2014 بعد تقرير ممارسة أنشطة الأعمال على مستوى المحافظات، والتي استهدفت إصلاح آليات التنفيذ في 15 محافظة.</w:t>
            </w:r>
            <w:r w:rsidRPr="002241AE">
              <w:rPr>
                <w:rFonts w:ascii="Simplified Arabic" w:eastAsiaTheme="minorEastAsia" w:hAnsi="Simplified Arabic" w:cs="Simplified Arabic"/>
                <w:b/>
                <w:sz w:val="20"/>
                <w:szCs w:val="20"/>
              </w:rPr>
              <w:t xml:space="preserve"> </w:t>
            </w:r>
          </w:p>
          <w:p w:rsidR="00810BAC" w:rsidRPr="00FF3102" w:rsidRDefault="00810BAC" w:rsidP="00810BAC">
            <w:pPr>
              <w:bidi/>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مشروعات جارية: بناء القدرات للبرلمان والحكومة بشأن بيئة أنشطة الأعمال</w:t>
            </w:r>
          </w:p>
        </w:tc>
        <w:tc>
          <w:tcPr>
            <w:tcW w:w="1267" w:type="pct"/>
            <w:gridSpan w:val="2"/>
            <w:shd w:val="clear" w:color="auto" w:fill="FFFFFF"/>
          </w:tcPr>
          <w:p w:rsidR="00810BAC" w:rsidRPr="00FF3102" w:rsidRDefault="00810BAC" w:rsidP="00810BAC">
            <w:pPr>
              <w:bidi/>
              <w:spacing w:before="60" w:after="60"/>
              <w:rPr>
                <w:rFonts w:ascii="Simplified Arabic" w:hAnsi="Simplified Arabic" w:cs="Simplified Arabic"/>
                <w:sz w:val="20"/>
                <w:szCs w:val="20"/>
              </w:rPr>
            </w:pPr>
          </w:p>
        </w:tc>
      </w:tr>
      <w:tr w:rsidR="00810BAC" w:rsidRPr="00FF3102" w:rsidTr="00FF3102">
        <w:trPr>
          <w:gridBefore w:val="1"/>
          <w:wBefore w:w="8" w:type="pct"/>
          <w:trHeight w:val="20"/>
          <w:jc w:val="center"/>
        </w:trPr>
        <w:tc>
          <w:tcPr>
            <w:tcW w:w="4992" w:type="pct"/>
            <w:gridSpan w:val="5"/>
            <w:shd w:val="clear" w:color="auto" w:fill="FFFFFF"/>
            <w:vAlign w:val="center"/>
          </w:tcPr>
          <w:p w:rsidR="00810BAC" w:rsidRPr="00FF3102" w:rsidRDefault="00810BAC" w:rsidP="00FF3102">
            <w:pPr>
              <w:bidi/>
              <w:spacing w:before="60" w:after="60"/>
              <w:ind w:left="72"/>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2.2</w:t>
            </w:r>
            <w:r w:rsidR="00FF3102">
              <w:rPr>
                <w:rFonts w:ascii="Simplified Arabic" w:eastAsiaTheme="minorEastAsia" w:hAnsi="Simplified Arabic" w:cs="Simplified Arabic" w:hint="cs"/>
                <w:b/>
                <w:sz w:val="20"/>
                <w:szCs w:val="20"/>
                <w:rtl/>
              </w:rPr>
              <w:t>.</w:t>
            </w:r>
            <w:r w:rsidRPr="00FF3102">
              <w:rPr>
                <w:rFonts w:ascii="Simplified Arabic" w:eastAsiaTheme="minorEastAsia" w:hAnsi="Simplified Arabic" w:cs="Simplified Arabic"/>
                <w:b/>
                <w:sz w:val="20"/>
                <w:szCs w:val="20"/>
                <w:rtl/>
              </w:rPr>
              <w:t xml:space="preserve"> </w:t>
            </w:r>
            <w:r w:rsidRPr="00FF3102">
              <w:rPr>
                <w:rFonts w:ascii="Simplified Arabic" w:eastAsiaTheme="minorEastAsia" w:hAnsi="Simplified Arabic" w:cs="Simplified Arabic"/>
                <w:bCs/>
                <w:sz w:val="20"/>
                <w:szCs w:val="20"/>
                <w:rtl/>
              </w:rPr>
              <w:t>تحسين القدرة التنافسية والكفاءة في القطاع المالي: تحقَّقت</w:t>
            </w:r>
            <w:r w:rsidRPr="00FF3102">
              <w:rPr>
                <w:rFonts w:ascii="Simplified Arabic" w:eastAsiaTheme="minorEastAsia" w:hAnsi="Simplified Arabic" w:cs="Simplified Arabic"/>
                <w:b/>
                <w:sz w:val="20"/>
                <w:szCs w:val="20"/>
              </w:rPr>
              <w:t xml:space="preserve"> </w:t>
            </w: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اعتماد الحكومة نهجا إستراتيجيا سليما لتوسيع قدرة الشرائح الأشد فقرا على الحصول على التمويل، وذلك بنهاية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تحقَّقت إستراتيجيتنا للوصول إلى أشد الناس فقرا من خلال توسيع التمويل المتناهي الصغر. فتعزيز قدرة المشروعات الصغيرة والمتناهية الصغر على الحصول على التمويل يشكل ركيزة مهمة من ركائز أجندة الحكومة.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وعلى وجه الخصوص، يتركَّز الجيل الثاني من برنامج إصلاح القطاع المالي (2009-2013) على أنشطة الوساطة المالية وتحسين الحصول على التمويل.</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وأطلق الصندوق الاجتماعي للتنمية إستراتيجية لتنمية المشروعات الصغيرة والمتناهية الصغر (2009-2013) بهدف تحسين بيئة الأعمال لهذه المشروعات.</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sz w:val="20"/>
                <w:szCs w:val="20"/>
                <w:rtl/>
              </w:rPr>
              <w:t>وقام البنك الدولي بأنشطة كبيرة لتحسين بيئة أنشطة الأعمال للمشروعات المتوسطة والصغيرة والمتناهية الصغر وتعزيز بناء القدرات للهيئات التنظيمية للخدمات المالية والمؤسسات الحكومية.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وتشمل هذه الأنشطة ما يلي: (1) مساندة البنك المركزي المصري في تطوير برنامج لضمانات الائتمان من أجل تمويل المشروعات المتوسطة والصغيرة والمتناهية الصغر؛ (2) بناء القدرات للصندوق الاجتماعي للتنمية والهيئة العامة للرقابة المالية لإنشاء إطار تنظيمي لمساندة قانون التمويل المتناهي الصغر؛ (3) بناء القدرات للصندوق الاجتماعي للتنمية؛ (4) بناء القدرات لهيئة البريد المصري بشأن تطوير المنتجات والخدمات، وإدارة المخاطر، والخدمات المالية الإسلامية.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ويُقدِّم البنك الدولي خدمات بناء القدرات للصندوق الاجتماعي للتنمية من أجل الإصلاحات الرئيسية المؤسسية والمتصلة بالحوكمة.</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 xml:space="preserve">يتضح حدوث زيادة كبيرة في الحصول على التمويل في زيادة الائتمان بنهاية إستراتيجية المساعدة الخاصة بمصر.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معالم مذكرة الإستراتيجية المؤقتة</w:t>
            </w:r>
            <w:r w:rsidRPr="00FF3102">
              <w:rPr>
                <w:rFonts w:ascii="Simplified Arabic" w:eastAsiaTheme="minorEastAsia" w:hAnsi="Simplified Arabic" w:cs="Simplified Arabic"/>
                <w:b/>
                <w:sz w:val="20"/>
                <w:szCs w:val="20"/>
              </w:rPr>
              <w:t xml:space="preserve"> </w:t>
            </w:r>
          </w:p>
          <w:p w:rsidR="00810BAC" w:rsidRPr="00FF3102" w:rsidRDefault="00810BAC" w:rsidP="001E71BE">
            <w:pPr>
              <w:numPr>
                <w:ilvl w:val="0"/>
                <w:numId w:val="38"/>
              </w:num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وضع إستراتيجية لتوسيع نطاق الحصول على التمويل</w:t>
            </w:r>
          </w:p>
          <w:p w:rsidR="00810BAC" w:rsidRPr="00FF3102" w:rsidRDefault="00810BAC" w:rsidP="001E71BE">
            <w:pPr>
              <w:numPr>
                <w:ilvl w:val="0"/>
                <w:numId w:val="38"/>
              </w:num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التنفيذ الفاعل للإصلاحات المالية الجارية</w:t>
            </w:r>
          </w:p>
          <w:p w:rsidR="00810BAC" w:rsidRPr="00FF3102" w:rsidRDefault="00810BAC" w:rsidP="00810BAC">
            <w:p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
                <w:color w:val="000000"/>
                <w:sz w:val="20"/>
                <w:szCs w:val="20"/>
                <w:rtl/>
              </w:rPr>
              <w:t>تحقَّقت هذه النتيجة جزئيا. على الرغم من الإصلاحات المالية التي أدَّت إلى نظام سليم ومستقر (كما يتضح في نسبة كفاية رأس المال التي زادت من 14.7 في 2008 إلى 15.6 في 2011)، فإن التحسينات في خدمات الوساطة المالية للقطاع الخاص لم تتواصل بسبب التطورات المتصلة بثورة 25 يناير والتي أدت إلى زيادة مزاحمة القطاع الخاص من جراء عجز الميزانية الحكومية وتخلُّص الحائزين من خارج القطاع المالي من السندات الحكومية.</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وفضلا عن ذلك، فإن المقترضين من القطاع الخاص لم يبدوا اهتماما بالاقتراض بسبب البيئة العامة للاقتصاد الكلي والوضع الأمني المضطرب. واستمر تسارع وتيرة الائتمان المُقدَّم من القطاع المصرفي للحكومة، إذ زاد 41.4 في المائة في ديسمبر 2011، و 45.3 في المائة في يناير 2012. ونما الائتمان في القطاع الخاص بنسبة 6.1 في المائة في ديسمبر 2011، و 5.4 في المائة في يناير 2012. وزادت حصة الحكومة من إجمالي الائتمان إلى 53 في المائة في يناير 2012 من 45.2 في المائة في يناير 2011. وانكمشت حصة القطاع الخاص إلى 43 في المائة في يناير 2012 من 50.7 في المائة في يناير 2011 عندما بدأ ينتعش قبيل قيام الثورة.</w:t>
            </w:r>
          </w:p>
          <w:p w:rsidR="00810BAC" w:rsidRPr="00FF3102" w:rsidRDefault="00810BAC" w:rsidP="00810BAC">
            <w:pPr>
              <w:bidi/>
              <w:spacing w:before="60" w:after="60"/>
              <w:rPr>
                <w:rFonts w:ascii="Simplified Arabic" w:hAnsi="Simplified Arabic" w:cs="Simplified Arabic"/>
                <w:b/>
                <w:color w:val="000000"/>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زيادة قروض التمويل العقاري السنوية المقدمة من المقرضين الرئيسيين بنهاية الفترة التي تغطيها إستراتيجية المساعدة الخاصة بمصر </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معالم مذكرة الإستراتيجية المؤقتة</w:t>
            </w:r>
            <w:r w:rsidRPr="00FF3102">
              <w:rPr>
                <w:rFonts w:ascii="Simplified Arabic" w:eastAsiaTheme="minorEastAsia" w:hAnsi="Simplified Arabic" w:cs="Simplified Arabic"/>
                <w:sz w:val="20"/>
                <w:szCs w:val="20"/>
                <w:rtl/>
              </w:rPr>
              <w:t xml:space="preserve"> </w:t>
            </w:r>
          </w:p>
          <w:p w:rsidR="00810BAC" w:rsidRPr="00FF3102" w:rsidRDefault="00810BAC" w:rsidP="001E71BE">
            <w:pPr>
              <w:numPr>
                <w:ilvl w:val="0"/>
                <w:numId w:val="43"/>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نجاح تفعيل برنامج التمويل العقاري</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 xml:space="preserve">تحقَّقت هذه النتيجة. وأسفرت الإصلاحات التي نفذها مشروع البنك الدولي للتمويل العقاري عن النتائج التالية: زيادة في حجم قروض التمويل العقاري على أساس آليات السوق المُقدَّمة من المقرضين الرئيسيين من 300 مليون جنيه في 2006 إلى 4.5 مليار جنيه مصري في 2011. وفي وقت قريب، شهدت السوق العقارية زيادة طفيفة في الربع الأول من عام 2013، إذ وصل الحجم الكلي للسوق إلى 4.8 مليار جنيه في 31 مارس 2013. وتشتمل المنجزات أيضا على ما يلي: </w:t>
            </w:r>
            <w:r w:rsidRPr="00FF3102">
              <w:rPr>
                <w:rFonts w:ascii="Simplified Arabic" w:eastAsiaTheme="minorEastAsia" w:hAnsi="Simplified Arabic" w:cs="Simplified Arabic"/>
                <w:sz w:val="20"/>
                <w:szCs w:val="20"/>
                <w:rtl/>
              </w:rPr>
              <w:t>(1) زيادة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أجل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استحقاق</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الرهن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العقاري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إلى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16</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عاما في 2011 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سبع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سنوات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عام 2006،</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وهو</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يتجاوز</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المستهدف</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البالغ</w:t>
            </w:r>
            <w:r w:rsidRPr="00FF3102">
              <w:rPr>
                <w:rFonts w:ascii="Simplified Arabic" w:eastAsiaTheme="minorEastAsia" w:hAnsi="Simplified Arabic" w:cs="Simplified Arabic"/>
                <w:sz w:val="20"/>
                <w:szCs w:val="20"/>
              </w:rPr>
              <w:t xml:space="preserve"> 15 </w:t>
            </w:r>
            <w:r w:rsidRPr="00FF3102">
              <w:rPr>
                <w:rFonts w:ascii="Simplified Arabic" w:eastAsiaTheme="minorEastAsia" w:hAnsi="Simplified Arabic" w:cs="Simplified Arabic"/>
                <w:sz w:val="20"/>
                <w:szCs w:val="20"/>
                <w:rtl/>
              </w:rPr>
              <w:t>عاما؛ (2) زيادة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عدد</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شركات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التمويل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العقاري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شركتين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فقط</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عام</w:t>
            </w:r>
            <w:r w:rsidRPr="00FF3102">
              <w:rPr>
                <w:rFonts w:ascii="Simplified Arabic" w:eastAsiaTheme="minorEastAsia" w:hAnsi="Simplified Arabic" w:cs="Simplified Arabic"/>
                <w:sz w:val="20"/>
                <w:szCs w:val="20"/>
              </w:rPr>
              <w:t xml:space="preserve"> 2006 </w:t>
            </w:r>
            <w:r w:rsidRPr="00FF3102">
              <w:rPr>
                <w:rFonts w:ascii="Simplified Arabic" w:eastAsiaTheme="minorEastAsia" w:hAnsi="Simplified Arabic" w:cs="Simplified Arabic"/>
                <w:sz w:val="20"/>
                <w:szCs w:val="20"/>
                <w:rtl/>
              </w:rPr>
              <w:t xml:space="preserve">إلى </w:t>
            </w:r>
            <w:r w:rsidRPr="00FF3102">
              <w:rPr>
                <w:rFonts w:ascii="Simplified Arabic" w:eastAsiaTheme="minorEastAsia" w:hAnsi="Simplified Arabic" w:cs="Simplified Arabic"/>
                <w:sz w:val="20"/>
                <w:szCs w:val="20"/>
              </w:rPr>
              <w:t>12</w:t>
            </w:r>
            <w:r w:rsidRPr="00FF3102">
              <w:rPr>
                <w:rFonts w:ascii="Simplified Arabic" w:eastAsiaTheme="minorEastAsia" w:hAnsi="Simplified Arabic" w:cs="Simplified Arabic"/>
                <w:sz w:val="20"/>
                <w:szCs w:val="20"/>
                <w:rtl/>
              </w:rPr>
              <w:t xml:space="preserve"> شركة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عام </w:t>
            </w:r>
            <w:r w:rsidRPr="00FF3102">
              <w:rPr>
                <w:rFonts w:ascii="Simplified Arabic" w:eastAsiaTheme="minorEastAsia" w:hAnsi="Simplified Arabic" w:cs="Simplified Arabic"/>
                <w:sz w:val="20"/>
                <w:szCs w:val="20"/>
              </w:rPr>
              <w:t>2011</w:t>
            </w:r>
            <w:r w:rsidRPr="00FF3102">
              <w:rPr>
                <w:rFonts w:ascii="Simplified Arabic" w:eastAsiaTheme="minorEastAsia" w:hAnsi="Simplified Arabic" w:cs="Simplified Arabic"/>
                <w:sz w:val="20"/>
                <w:szCs w:val="20"/>
                <w:rtl/>
              </w:rPr>
              <w:t>؛</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و(3)</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زيادة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تقدمه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البنوك</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قروض</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عقارية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12</w:t>
            </w:r>
            <w:r w:rsidRPr="00FF3102">
              <w:rPr>
                <w:rFonts w:ascii="Simplified Arabic" w:eastAsiaTheme="minorEastAsia" w:hAnsi="Simplified Arabic" w:cs="Simplified Arabic"/>
                <w:sz w:val="20"/>
                <w:szCs w:val="20"/>
                <w:rtl/>
              </w:rPr>
              <w:t xml:space="preserve"> مليون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جنيه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عام</w:t>
            </w:r>
            <w:r w:rsidRPr="00FF3102">
              <w:rPr>
                <w:rFonts w:ascii="Simplified Arabic" w:eastAsiaTheme="minorEastAsia" w:hAnsi="Simplified Arabic" w:cs="Simplified Arabic"/>
                <w:sz w:val="20"/>
                <w:szCs w:val="20"/>
              </w:rPr>
              <w:t xml:space="preserve"> 2006 </w:t>
            </w:r>
            <w:r w:rsidRPr="00FF3102">
              <w:rPr>
                <w:rFonts w:ascii="Simplified Arabic" w:eastAsiaTheme="minorEastAsia" w:hAnsi="Simplified Arabic" w:cs="Simplified Arabic"/>
                <w:sz w:val="20"/>
                <w:szCs w:val="20"/>
                <w:rtl/>
              </w:rPr>
              <w:t>إلى</w:t>
            </w:r>
            <w:r w:rsidRPr="00FF3102">
              <w:rPr>
                <w:rFonts w:ascii="Simplified Arabic" w:eastAsiaTheme="minorEastAsia" w:hAnsi="Simplified Arabic" w:cs="Simplified Arabic"/>
                <w:sz w:val="20"/>
                <w:szCs w:val="20"/>
              </w:rPr>
              <w:t xml:space="preserve"> 2.6 </w:t>
            </w:r>
            <w:r w:rsidRPr="00FF3102">
              <w:rPr>
                <w:rFonts w:ascii="Simplified Arabic" w:eastAsiaTheme="minorEastAsia" w:hAnsi="Simplified Arabic" w:cs="Simplified Arabic"/>
                <w:sz w:val="20"/>
                <w:szCs w:val="20"/>
                <w:rtl/>
              </w:rPr>
              <w:t>مليار</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جنيه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عام 2011.</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وحقَّق برنامج دعم التمويل العقاري تقدما جيدا، وتحقَّقت التدابير الرئيسية على صعيد السياسات التي يساندها قرض سياسات التنمية.</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وهي تشتمل على: (1) تقوية الإطار القانوني والتنظيمي والمؤسسي لبرنامج دعم التمويل العقاري؛ (2) وضع آلية تتسم بالكفاءة والفاعلية لدعم التمويل العقاري؛ (3) تحسين الإطار المؤسسي لتعزيز الشفافية والتوجيه في دعم الإسكان.</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وفي عام 2007، تعاونت مؤسسة التمويل الدولية مع 27 من البنوك المحلية ومؤسسات التمويل المتناهي الصغر لإنشاء أول أداة لإعادة تمويل الرهن العقاري وهي الشركة المصرية لإعادة التمويل العقاري.</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Cs/>
                <w:color w:val="000000"/>
                <w:sz w:val="20"/>
                <w:szCs w:val="20"/>
                <w:rtl/>
              </w:rPr>
              <w:t>وبدأت الشركة القيام بدور فاعل في توفير التمويل الطويل الأجل لمُصدِري التمويل الإسكاني.</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إنشاء هيئة تنظيمية للمؤسسات المالية غير المصرفية وهيئة أشمل وأعمق للرقابة المالية المصرية.</w:t>
            </w:r>
            <w:r w:rsidRPr="00FF3102">
              <w:rPr>
                <w:rFonts w:ascii="Simplified Arabic" w:eastAsiaTheme="minorEastAsia" w:hAnsi="Simplified Arabic" w:cs="Simplified Arabic"/>
                <w:b/>
                <w:color w:val="000000"/>
                <w:sz w:val="20"/>
                <w:szCs w:val="20"/>
              </w:rPr>
              <w:t xml:space="preserve"> </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 xml:space="preserve">معالم مذكرة الإستراتيجية المؤقتة: </w:t>
            </w:r>
          </w:p>
          <w:p w:rsidR="00810BAC" w:rsidRPr="00FF3102" w:rsidRDefault="00810BAC" w:rsidP="001E71BE">
            <w:pPr>
              <w:numPr>
                <w:ilvl w:val="0"/>
                <w:numId w:val="42"/>
              </w:numPr>
              <w:bidi/>
              <w:spacing w:before="60" w:after="60"/>
              <w:jc w:val="both"/>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نشر تقرير الاستقرار المالي، وهو ما عزَّز الشفافية</w:t>
            </w:r>
          </w:p>
          <w:p w:rsidR="00810BAC" w:rsidRPr="00FF3102" w:rsidRDefault="00810BAC" w:rsidP="00810BAC">
            <w:p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
                <w:color w:val="000000"/>
                <w:sz w:val="20"/>
                <w:szCs w:val="20"/>
                <w:rtl/>
              </w:rPr>
              <w:t>تحقَّقت هذه النتيجة.</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فقد تحقَّق تقدُّم نحو تقوية الإطار التنظيمي والإشرافي للمؤسسات المالية غير المصرفية وتمثَّل في إصدار القانون 10 لعام 2009 عن القطاع المالي غير المصرفي الذي تم سنه وأنشأ الهيئة العامة للرقابة المالية بوصفها المؤسسة التنظيمية الوحيدة لهذه المؤسسات.</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واكتمل اندماج الهيئة العامة للرقابة المالية، وفي يناير 2011، أصدر رئيس الهيئة آنذاك تقريرا شاملا يُغطِّي الخلفية المرجعية، وخطط إعادة الهيكلة الداخلية والمنجزات التي تحقَّقت حتى ذلك الحين.</w:t>
            </w:r>
            <w:r w:rsidRPr="00FF3102">
              <w:rPr>
                <w:rFonts w:ascii="Simplified Arabic" w:eastAsiaTheme="minorEastAsia" w:hAnsi="Simplified Arabic" w:cs="Simplified Arabic"/>
                <w:b/>
                <w:i/>
                <w:sz w:val="20"/>
                <w:szCs w:val="20"/>
              </w:rPr>
              <w:t xml:space="preserve"> </w:t>
            </w:r>
          </w:p>
          <w:p w:rsidR="00810BAC" w:rsidRPr="00FF3102" w:rsidRDefault="00810BAC" w:rsidP="00810BAC">
            <w:pPr>
              <w:bidi/>
              <w:spacing w:before="60" w:after="60"/>
              <w:jc w:val="both"/>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
                <w:color w:val="000000"/>
                <w:sz w:val="20"/>
                <w:szCs w:val="20"/>
                <w:rtl/>
              </w:rPr>
              <w:t>وأجرت الهيئة عدة إصلاحات كما يلي: (1) الموافقة في عام 2011 على مخطط الهيكل التنظيمي للهيئة العامة للرقابة المالية الذي استطاعت فيه الهيئة تحقيق الاندماج الكامل بين إداراتها على أساس الوظائف؛ (2) إجراء إعادة هيكلة وحدة الإشراف داخل الهيئة؛ (3) إعادة هيكلة نظام الرواتب لكل موظفي الهيئة لضمان تعويضات متكافئة وعادلة لكل الموظفين؛ (4) نجحت الهيئة في توحيد اللوائح التنظيمية وقواعد الإفصاح في كل وحدات القطاع المالي غير المصرفي؛ (5) أسهمت الهيئة إسهاما كبيرا في تقليل أي مخاطر منهجية بعد الثورة وإعادة فتح سوق الأوراق المالية المصرية.</w:t>
            </w:r>
            <w:r w:rsidRPr="00FF3102">
              <w:rPr>
                <w:rFonts w:ascii="Simplified Arabic" w:eastAsiaTheme="minorEastAsia" w:hAnsi="Simplified Arabic" w:cs="Simplified Arabic"/>
                <w:b/>
                <w:color w:val="000000"/>
                <w:sz w:val="20"/>
                <w:szCs w:val="20"/>
              </w:rPr>
              <w:t xml:space="preserve"> </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إصدار دليل قواعد حوكمة الشركات للقطاع المصرفي الذي يمنع التضارب المحتمل للمصالح ويساعد على تحسين الشفافية وإرساء قواعد الإدارة الرشيدة.</w:t>
            </w:r>
            <w:r w:rsidRPr="00FF3102">
              <w:rPr>
                <w:rFonts w:ascii="Simplified Arabic" w:eastAsiaTheme="minorEastAsia" w:hAnsi="Simplified Arabic" w:cs="Simplified Arabic"/>
                <w:b/>
                <w:color w:val="000000"/>
                <w:sz w:val="20"/>
                <w:szCs w:val="20"/>
              </w:rPr>
              <w:t xml:space="preserve"> </w:t>
            </w:r>
          </w:p>
          <w:p w:rsidR="00810BAC" w:rsidRPr="00FF3102" w:rsidRDefault="00810BAC" w:rsidP="00810BAC">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 xml:space="preserve">معالم مذكرة الإستراتيجية المؤقتة: </w:t>
            </w:r>
          </w:p>
          <w:p w:rsidR="00810BAC" w:rsidRPr="00FF3102" w:rsidRDefault="00810BAC" w:rsidP="001E71BE">
            <w:pPr>
              <w:numPr>
                <w:ilvl w:val="0"/>
                <w:numId w:val="42"/>
              </w:numPr>
              <w:bidi/>
              <w:spacing w:before="60" w:after="60"/>
              <w:jc w:val="both"/>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تحسين قواعد حوكمة الشركات وتعزيزها.</w:t>
            </w:r>
          </w:p>
          <w:p w:rsidR="00810BAC" w:rsidRPr="00FF3102" w:rsidRDefault="00810BAC" w:rsidP="00810BAC">
            <w:pPr>
              <w:bidi/>
              <w:spacing w:before="60" w:after="60"/>
              <w:jc w:val="both"/>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عزَّز البنك المركزي المصري قواعد حوكمة الشركات في الجهاز المصرفي بإصداره تعليمات حوكمة البنوك في 5 يوليو 2011. ويعمل البنك الدولي على نحوٍ وثيق مع البنك المركزي المصري من أجل تقوية الإشراف التحوُّطي الكلي للمركزي المصري من خلال إجراء اختبارات سنوية للتحمُّل في القطاع المصرفي، وإعداد تقارير ربع سنوية مُجمَّعة للقطاع المصرفي ستكون الأساس لتقرير الاستقرار المالي الذي يصدره البنك المركزي المصري.</w:t>
            </w:r>
          </w:p>
          <w:p w:rsidR="00810BAC" w:rsidRPr="00FF3102" w:rsidRDefault="00810BAC" w:rsidP="00810BAC">
            <w:pPr>
              <w:tabs>
                <w:tab w:val="num" w:pos="244"/>
              </w:tabs>
              <w:bidi/>
              <w:spacing w:before="60" w:after="60"/>
              <w:rPr>
                <w:rFonts w:ascii="Simplified Arabic" w:hAnsi="Simplified Arabic" w:cs="Simplified Arabic"/>
                <w:sz w:val="20"/>
                <w:szCs w:val="20"/>
              </w:rPr>
            </w:pPr>
          </w:p>
          <w:p w:rsidR="00810BAC" w:rsidRPr="00FF3102" w:rsidRDefault="00810BAC" w:rsidP="00810BAC">
            <w:pPr>
              <w:tabs>
                <w:tab w:val="num" w:pos="244"/>
              </w:tabs>
              <w:bidi/>
              <w:spacing w:before="60" w:after="60"/>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bCs/>
                <w:sz w:val="20"/>
                <w:szCs w:val="20"/>
                <w:rtl/>
              </w:rPr>
              <w:t>تعديل قانون البنك المركزي والجهاز المصرفي والنقد ساعد على تحسين قواعد الحوكمة في البنك المركزي المصري.</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color w:val="000000"/>
                <w:sz w:val="20"/>
                <w:szCs w:val="20"/>
                <w:rtl/>
              </w:rPr>
              <w:t xml:space="preserve">معالم مذكرة الإستراتيجية المؤقتة: </w:t>
            </w:r>
          </w:p>
          <w:p w:rsidR="00810BAC" w:rsidRPr="00FF3102" w:rsidRDefault="00810BAC" w:rsidP="001E71BE">
            <w:pPr>
              <w:numPr>
                <w:ilvl w:val="0"/>
                <w:numId w:val="42"/>
              </w:numPr>
              <w:tabs>
                <w:tab w:val="num" w:pos="244"/>
              </w:tabs>
              <w:bidi/>
              <w:spacing w:before="60" w:after="60"/>
              <w:jc w:val="both"/>
              <w:rPr>
                <w:rFonts w:ascii="Simplified Arabic" w:eastAsiaTheme="minorEastAsia" w:hAnsi="Simplified Arabic" w:cs="Simplified Arabic"/>
                <w:b/>
                <w:color w:val="000000"/>
                <w:sz w:val="20"/>
                <w:szCs w:val="20"/>
              </w:rPr>
            </w:pPr>
            <w:r w:rsidRPr="00FF3102">
              <w:rPr>
                <w:rFonts w:ascii="Simplified Arabic" w:eastAsiaTheme="minorEastAsia" w:hAnsi="Simplified Arabic" w:cs="Simplified Arabic"/>
                <w:bCs/>
                <w:color w:val="000000"/>
                <w:sz w:val="20"/>
                <w:szCs w:val="20"/>
                <w:rtl/>
              </w:rPr>
              <w:t>التنفيذ الفاعل لاختبارات التحمُّل باستخدام نموذج الحماية المالية.</w:t>
            </w:r>
          </w:p>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قام البنك المركزي المصري في 8 أكتوبر 2011 بتعديل قانون البنك المركزي والجهاز المصرفي والنقد رقم 88 لعام 2003، فأدخل عليه تعديلات فيما يتصل بتحسين قواعد حوكمة البنك المركزي المصري نفسه، وإعادة تشكيل مجلس إدارته لإزالة تضارب المصالح، وتشديد القدرات والعمليات الإشرافية.</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ويُجرِي البنك المركزي المصري اختبارات تحمُّل دورية للميزانية العمومية المُجمَّعة للقطاع المصرفي والبنوك كل على حدة سنويا منذ عام 2008 (وهو إجراء رئيسي سانده قرض سياسات التنمية الثالث للقطاع المالي)، وأصبحت اختبارات التحمُّل جزءا لا يتجزأ من الرقابة المنهجية للمركزي المصري على القطاع المصرفي.</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b/>
                <w:color w:val="000000"/>
                <w:sz w:val="20"/>
                <w:szCs w:val="20"/>
                <w:rtl/>
              </w:rPr>
              <w:t>ويشارك البنك المركزي المصري حاليا في مشروع موسَّع للمساعدة الفنية مع البنك الدولي لتقوية إطاره لاختبارات التحمل من خلال دمج نموذج الحماية المالية في عملياته الإشرافية.</w:t>
            </w:r>
          </w:p>
          <w:p w:rsidR="00810BAC" w:rsidRPr="00FF3102" w:rsidRDefault="00810BAC" w:rsidP="00810BAC">
            <w:pPr>
              <w:bidi/>
              <w:spacing w:before="60" w:after="60"/>
              <w:jc w:val="both"/>
              <w:rPr>
                <w:rFonts w:ascii="Simplified Arabic" w:hAnsi="Simplified Arabic" w:cs="Simplified Arabic"/>
                <w:b/>
                <w:color w:val="000000"/>
                <w:sz w:val="20"/>
                <w:szCs w:val="20"/>
              </w:rPr>
            </w:pPr>
          </w:p>
          <w:p w:rsidR="00810BAC" w:rsidRPr="00AD1140" w:rsidRDefault="00810BAC" w:rsidP="00810BAC">
            <w:pPr>
              <w:bidi/>
              <w:spacing w:before="60" w:after="60"/>
              <w:jc w:val="both"/>
              <w:rPr>
                <w:rFonts w:ascii="Simplified Arabic" w:eastAsiaTheme="minorEastAsia" w:hAnsi="Simplified Arabic" w:cs="Simplified Arabic"/>
                <w:bCs/>
                <w:sz w:val="20"/>
                <w:szCs w:val="20"/>
              </w:rPr>
            </w:pPr>
            <w:r w:rsidRPr="00AD1140">
              <w:rPr>
                <w:rFonts w:ascii="Simplified Arabic" w:eastAsiaTheme="minorEastAsia" w:hAnsi="Simplified Arabic" w:cs="Simplified Arabic"/>
                <w:bCs/>
                <w:sz w:val="20"/>
                <w:szCs w:val="20"/>
                <w:rtl/>
              </w:rPr>
              <w:t>تخفيض ملموس لملكية الدولة في البنوك التجارية وتصفية الأسهم الحكومية في البنوك المشتركة - بحلول نهاية الفترة التي تغطيها إستراتيجية المساعدة الخاصة بمصر</w:t>
            </w:r>
          </w:p>
          <w:p w:rsidR="00810BAC" w:rsidRPr="00FF3102" w:rsidRDefault="00810BAC" w:rsidP="00AD1140">
            <w:p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حدثت زيادة في ملكية القطاع الخاص في القطاع المصرفي. ولا يزال القطاع المصرفي مملوكا في معظمه للدولة (على أساس ملكية الأصول) لكن الإصلاحات التي بدأت في عام 2005 ساعدت على زيادة المنافسة في القطاع المالي.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وتم تنفيذ هذه الإصلاحات بفضل مساندة إقراضية واستشارية نشطة من البنك الدولي ومؤسسة التمويل الدولية، من خلال برنامج المساعدات الفنية للمشروعات المتوسطة والصغيرة والمتناهية الصغر الذي تقوم المؤسستان معا بتنفيذه. ونجحت الإصلاحات في اجتذاب استثمارات إستراتيجية أجنبية وإقليمية واستقدام الخبرات المصرفية.</w:t>
            </w:r>
            <w:r w:rsidRPr="00FF3102">
              <w:rPr>
                <w:rFonts w:ascii="Simplified Arabic" w:eastAsiaTheme="minorEastAsia" w:hAnsi="Simplified Arabic" w:cs="Simplified Arabic"/>
                <w:b/>
                <w:color w:val="000000"/>
                <w:sz w:val="20"/>
                <w:szCs w:val="20"/>
              </w:rPr>
              <w:t xml:space="preserve"> </w:t>
            </w:r>
            <w:r w:rsidRPr="00FF3102">
              <w:rPr>
                <w:rFonts w:ascii="Simplified Arabic" w:eastAsiaTheme="minorEastAsia" w:hAnsi="Simplified Arabic" w:cs="Simplified Arabic"/>
                <w:color w:val="000000"/>
                <w:sz w:val="20"/>
                <w:szCs w:val="20"/>
                <w:rtl/>
              </w:rPr>
              <w:t>وأدى هذا إلى تقليص سيطرة الدولة على القطاع المصرفي كما يتضح في الحصة المباشرة وغير المباشرة للبنوك المملوكة للدولة من الودائع في الجهاز المصرفي التي انخفضت من أكثر من 70 في المائة في عام 2004 إلى 45.5 في المائة في عام 2009.</w:t>
            </w:r>
            <w:r w:rsidRPr="00FF3102">
              <w:rPr>
                <w:rFonts w:ascii="Simplified Arabic" w:eastAsiaTheme="minorEastAsia" w:hAnsi="Simplified Arabic" w:cs="Simplified Arabic"/>
                <w:color w:val="000000"/>
                <w:sz w:val="20"/>
                <w:szCs w:val="20"/>
              </w:rPr>
              <w:t xml:space="preserve"> </w:t>
            </w:r>
          </w:p>
          <w:p w:rsidR="00810BAC" w:rsidRPr="00FF3102" w:rsidRDefault="00810BAC" w:rsidP="00810BAC">
            <w:pPr>
              <w:bidi/>
              <w:spacing w:before="60" w:after="60"/>
              <w:rPr>
                <w:rFonts w:ascii="Simplified Arabic" w:hAnsi="Simplified Arabic" w:cs="Simplified Arabic"/>
                <w:b/>
                <w:color w:val="000000"/>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وفي عام 2009 عملت م</w:t>
            </w:r>
            <w:r w:rsidRPr="00FF3102">
              <w:rPr>
                <w:rFonts w:ascii="Simplified Arabic" w:eastAsiaTheme="minorEastAsia" w:hAnsi="Simplified Arabic" w:cs="Simplified Arabic"/>
                <w:sz w:val="20"/>
                <w:szCs w:val="20"/>
                <w:rtl/>
              </w:rPr>
              <w:t>ؤسسة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التمويل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الدولية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مع بنك عالمي هو أنتيزا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ساوباولو</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لتملك حصة الأغلبية المملوكة للدولة (80 في المائة) 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أحد</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بنوك</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القطاع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العام</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الأربعة الرئيسية في ذلك الوقت وهو</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بنك</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الأسكندرية</w:t>
            </w:r>
            <w:r w:rsidRPr="00FF3102">
              <w:rPr>
                <w:rFonts w:ascii="Simplified Arabic" w:eastAsiaTheme="minorEastAsia" w:hAnsi="Simplified Arabic" w:cs="Simplified Arabic"/>
                <w:sz w:val="20"/>
                <w:szCs w:val="20"/>
              </w:rPr>
              <w:t>.</w:t>
            </w:r>
            <w:r w:rsidRPr="00FF3102">
              <w:rPr>
                <w:rFonts w:ascii="Simplified Arabic" w:eastAsiaTheme="minorEastAsia" w:hAnsi="Simplified Arabic" w:cs="Simplified Arabic"/>
                <w:sz w:val="20"/>
                <w:szCs w:val="20"/>
                <w:rtl/>
              </w:rPr>
              <w:t xml:space="preserve"> وأدى المشروع أيضا إلى الخصخصة الكاملة لإدارة البنك وساهم في تعزيز قدرته على المنافسة وكفاءته.</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وفي عام 2006 شاركت مؤسسة التمويل الدولية في تصفية كامل الحصة المتبقية المملوكة للدولة (19 في المائة) في البنك التجاري الدولي وفي خصخصة البنك على نحوٍ كامل.</w:t>
            </w:r>
            <w:r w:rsidRPr="00FF3102">
              <w:rPr>
                <w:rFonts w:ascii="Simplified Arabic" w:eastAsiaTheme="minorEastAsia" w:hAnsi="Simplified Arabic" w:cs="Simplified Arabic"/>
                <w:color w:val="000000"/>
                <w:sz w:val="20"/>
                <w:szCs w:val="20"/>
              </w:rPr>
              <w:t xml:space="preserve"> </w:t>
            </w:r>
            <w:r w:rsidRPr="00FF3102">
              <w:rPr>
                <w:rFonts w:ascii="Simplified Arabic" w:eastAsiaTheme="minorEastAsia" w:hAnsi="Simplified Arabic" w:cs="Simplified Arabic"/>
                <w:color w:val="000000"/>
                <w:sz w:val="20"/>
                <w:szCs w:val="20"/>
                <w:rtl/>
              </w:rPr>
              <w:t>وكانت مشاركة مؤسسة التمويل الدولية في هذا المشروع عنصرا بالغ الأهمية في بث الطمأنينة لدى مجموعة من المستثمرين الأجانب تقودهم فليبوود هولدنجز ومقرها نيويورك سعت للمرة الأولى للاستفادة من الفرص التي تتيحها السوق المصرية.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i/>
                <w:color w:val="000000"/>
                <w:sz w:val="20"/>
                <w:szCs w:val="20"/>
              </w:rPr>
              <w:t xml:space="preserve"> </w:t>
            </w:r>
            <w:r w:rsidRPr="00FF3102">
              <w:rPr>
                <w:rFonts w:ascii="Simplified Arabic" w:eastAsiaTheme="minorEastAsia" w:hAnsi="Simplified Arabic" w:cs="Simplified Arabic"/>
                <w:bCs/>
                <w:iCs/>
                <w:color w:val="000000"/>
                <w:sz w:val="20"/>
                <w:szCs w:val="20"/>
                <w:rtl/>
              </w:rPr>
              <w:t>[الهدف 1.1 لتقرير سير إستراتيجية المساعدة الخاصة بمصر تحسين القدرة التنافسية والكفاءة في القطاع المالي]</w:t>
            </w:r>
          </w:p>
        </w:tc>
        <w:tc>
          <w:tcPr>
            <w:tcW w:w="870"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2014: التنمية المالية والنمو (دراسة قطاعية واقتصادية)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مشروعات جارية: مساندة إصلاح القطاع المالي (مساعدة فنية)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السنة المالية 2010: قرض سياسات التنمية للتمويل العقاري المُيسَّر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lang w:val="es-ES"/>
              </w:rPr>
            </w:pPr>
            <w:r w:rsidRPr="00FF3102">
              <w:rPr>
                <w:rFonts w:ascii="Simplified Arabic" w:eastAsiaTheme="minorEastAsia" w:hAnsi="Simplified Arabic" w:cs="Simplified Arabic"/>
                <w:sz w:val="20"/>
                <w:szCs w:val="20"/>
                <w:rtl/>
              </w:rPr>
              <w:t>السنة المالية 2010: قرض سياسات التنمية الثالث للقطاع المالي</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lang w:val="es-ES"/>
              </w:rPr>
            </w:pPr>
            <w:r w:rsidRPr="00FF3102">
              <w:rPr>
                <w:rFonts w:ascii="Simplified Arabic" w:eastAsiaTheme="minorEastAsia" w:hAnsi="Simplified Arabic" w:cs="Simplified Arabic"/>
                <w:sz w:val="20"/>
                <w:szCs w:val="20"/>
                <w:rtl/>
              </w:rPr>
              <w:t>السنة المالية 2008: قرض سياسات التنمية الثاني للقطاع المالي</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السنة المالية 2010: مشروع تعزيز الحصول على التمويل للمشروعات الصغيرة والمتوسطة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استثمارات في مؤسسات التمويل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2006: خصخصة الحصة الباقية المملوكة للدولة في البنك التجاري الدولي.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وشاركت مؤسسة التمويل الدولية مع ريبلوود هولدنجز في شراء كامل الحصة الباقية المملوكة للدولة في أكبر بنك للقطاع الخاص في مصر.</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2009: عملت مؤسسة التمويل الدولية مع أنتيزا ساوباولو لخصخصة الحصة الباقية المملوكة للدولة في أحد بنوك القطاع العام الأربعة الرئيسية في مصر وهو بنك الأسكندرية.</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2007: عملت مؤسسة التمويل الدولية مع رائد إقليمي هو البنك الأهلي المتحد لتستحوذ وتعيد بنجاح هيكلة بنك الدلتا الدولي في مصر الذي يتعرَّض للطعن في جودة أصوله وعدم كفاية قاعدة رسملته.</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lang w:val="fr-FR"/>
              </w:rPr>
            </w:pPr>
            <w:r w:rsidRPr="00FF3102">
              <w:rPr>
                <w:rFonts w:ascii="Simplified Arabic" w:eastAsiaTheme="minorEastAsia" w:hAnsi="Simplified Arabic" w:cs="Simplified Arabic"/>
                <w:sz w:val="20"/>
                <w:szCs w:val="20"/>
                <w:rtl/>
              </w:rPr>
              <w:t>مؤسسات التمويل المتناهي الصغر (مساعدة فنية من مؤسسة التمويل الدولية)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lang w:val="fr-FR"/>
              </w:rPr>
            </w:pPr>
            <w:r w:rsidRPr="00FF3102">
              <w:rPr>
                <w:rFonts w:ascii="Simplified Arabic" w:eastAsiaTheme="minorEastAsia" w:hAnsi="Simplified Arabic" w:cs="Simplified Arabic"/>
                <w:sz w:val="20"/>
                <w:szCs w:val="20"/>
                <w:rtl/>
              </w:rPr>
              <w:t>مركز الاستعلام الائتماني (مساعدة فنية من مؤسسة التمويل الدولية)</w:t>
            </w:r>
          </w:p>
          <w:p w:rsidR="00810BAC" w:rsidRPr="002241AE" w:rsidRDefault="00810BAC" w:rsidP="00810BAC">
            <w:pPr>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حوكمة الشركات (مساعدة فنية من مؤسسة التمويل الدولية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الأعمال المصرفية للشركات الصغيرة والمتوسطة (مساعدة فنية من مؤسسة التمويل الدولية )</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البرنامج المشترك للبنك الدولي ومؤسسة التمويل الدولية للمساعدات الفنية للمشروعات المتوسطة والصغيرة والمتناهية الصغر</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المساندة الاستشارية من مؤسسة التمويل الدولية لحوكمة الشركات</w:t>
            </w:r>
          </w:p>
          <w:p w:rsidR="00810BAC" w:rsidRPr="00FF3102" w:rsidRDefault="00810BAC" w:rsidP="00810BAC">
            <w:pPr>
              <w:tabs>
                <w:tab w:val="num" w:pos="244"/>
              </w:tabs>
              <w:bidi/>
              <w:spacing w:before="60" w:after="60"/>
              <w:rPr>
                <w:rFonts w:ascii="Simplified Arabic" w:hAnsi="Simplified Arabic" w:cs="Simplified Arabic"/>
                <w:sz w:val="20"/>
                <w:szCs w:val="20"/>
              </w:rPr>
            </w:pP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2013: الاستثمار في شركة فوري لتوسيع الخدمات المالية وزيادة كفاءة مثل هذه المعاملات</w:t>
            </w:r>
          </w:p>
        </w:tc>
        <w:tc>
          <w:tcPr>
            <w:tcW w:w="1267" w:type="pct"/>
            <w:gridSpan w:val="2"/>
            <w:shd w:val="clear" w:color="auto" w:fill="FFFFFF"/>
          </w:tcPr>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كانت قروض سياسات التنمية ناجحة في تقديم مساعدات مالية في الوقت المناسب لمساندة الهدف الكلي وهو إصلاح القطاع المالي. </w:t>
            </w:r>
          </w:p>
          <w:p w:rsidR="00810BAC" w:rsidRPr="00FF3102" w:rsidRDefault="00810BAC" w:rsidP="00810BAC">
            <w:pPr>
              <w:bidi/>
              <w:spacing w:before="60" w:after="60"/>
              <w:rPr>
                <w:rFonts w:ascii="Simplified Arabic" w:hAnsi="Simplified Arabic" w:cs="Simplified Arabic"/>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تبيَّن النجاح الكبير الذي حقَّقه نهج متكامل للعمليات الإقراضية والأنشطة التحليلية والاستشارية في القطاع حيث أُجرِيت أنشطة لبناء القدرات لمساندة جهود الحكومة لإصلاح السياسات.</w:t>
            </w:r>
          </w:p>
        </w:tc>
      </w:tr>
      <w:tr w:rsidR="00810BAC" w:rsidRPr="00FF3102" w:rsidTr="00FF3102">
        <w:trPr>
          <w:gridBefore w:val="1"/>
          <w:wBefore w:w="8" w:type="pct"/>
          <w:trHeight w:val="20"/>
          <w:jc w:val="center"/>
        </w:trPr>
        <w:tc>
          <w:tcPr>
            <w:tcW w:w="4992" w:type="pct"/>
            <w:gridSpan w:val="5"/>
            <w:shd w:val="clear" w:color="auto" w:fill="FFFFFF"/>
            <w:vAlign w:val="center"/>
          </w:tcPr>
          <w:p w:rsidR="00810BAC" w:rsidRPr="00AD1140" w:rsidRDefault="00810BAC" w:rsidP="00FF3102">
            <w:pPr>
              <w:widowControl w:val="0"/>
              <w:bidi/>
              <w:spacing w:before="60" w:after="60"/>
              <w:rPr>
                <w:rFonts w:ascii="Simplified Arabic" w:eastAsiaTheme="minorEastAsia" w:hAnsi="Simplified Arabic" w:cs="Simplified Arabic"/>
                <w:sz w:val="20"/>
                <w:szCs w:val="20"/>
              </w:rPr>
            </w:pPr>
            <w:r w:rsidRPr="00AD1140">
              <w:rPr>
                <w:rFonts w:ascii="Simplified Arabic" w:eastAsiaTheme="minorEastAsia" w:hAnsi="Simplified Arabic" w:cs="Simplified Arabic"/>
                <w:b/>
                <w:sz w:val="20"/>
                <w:szCs w:val="20"/>
              </w:rPr>
              <w:t>2.3</w:t>
            </w:r>
            <w:r w:rsidR="00FF3102" w:rsidRPr="00AD1140">
              <w:rPr>
                <w:rFonts w:ascii="Simplified Arabic" w:eastAsiaTheme="minorEastAsia" w:hAnsi="Simplified Arabic" w:cs="Simplified Arabic" w:hint="cs"/>
                <w:b/>
                <w:sz w:val="20"/>
                <w:szCs w:val="20"/>
                <w:rtl/>
              </w:rPr>
              <w:t>.</w:t>
            </w:r>
            <w:r w:rsidRPr="00AD1140">
              <w:rPr>
                <w:rFonts w:ascii="Simplified Arabic" w:eastAsiaTheme="minorEastAsia" w:hAnsi="Simplified Arabic" w:cs="Simplified Arabic"/>
                <w:bCs/>
                <w:sz w:val="20"/>
                <w:szCs w:val="20"/>
                <w:rtl/>
              </w:rPr>
              <w:t xml:space="preserve"> توسيع البنية التحتية للكهرباء والنقل وتحسينها: تحقق جزئيا</w:t>
            </w: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widowControl w:val="0"/>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u w:val="single"/>
                <w:rtl/>
              </w:rPr>
              <w:t>الطاقة: تحقَّق في معظمه</w:t>
            </w:r>
          </w:p>
          <w:p w:rsidR="00810BAC" w:rsidRPr="00FF3102" w:rsidRDefault="00810BAC" w:rsidP="00810BAC">
            <w:pPr>
              <w:widowControl w:val="0"/>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التوسع في توليد الطاقة الكهربائية إلى 27 ألف ميجاوات ــ بحلول نهاية الفترة التي تغطيها إستراتيجية المساعدة الخاصة بمصر وزيادة حصة الطاقة المتجددة في مزيج قدرات التوليد </w:t>
            </w:r>
          </w:p>
          <w:p w:rsidR="00810BAC" w:rsidRPr="00FF3102" w:rsidRDefault="00810BAC" w:rsidP="00810BAC">
            <w:pPr>
              <w:widowControl w:val="0"/>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AD1140">
            <w:pPr>
              <w:widowControl w:val="0"/>
              <w:numPr>
                <w:ilvl w:val="0"/>
                <w:numId w:val="42"/>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تحقيق تقدم فاعل لأعمال مشروعات محطات الطاقة ومشروع توصيلات الغاز الطبيعي</w:t>
            </w:r>
          </w:p>
          <w:p w:rsidR="00810BAC" w:rsidRPr="00236A62" w:rsidRDefault="00810BAC" w:rsidP="00810BAC">
            <w:pPr>
              <w:widowControl w:val="0"/>
              <w:bidi/>
              <w:spacing w:before="60" w:after="60"/>
              <w:rPr>
                <w:rFonts w:ascii="Simplified Arabic" w:eastAsiaTheme="minorEastAsia" w:hAnsi="Simplified Arabic" w:cs="Simplified Arabic"/>
                <w:i/>
                <w:sz w:val="20"/>
                <w:szCs w:val="20"/>
              </w:rPr>
            </w:pPr>
            <w:r w:rsidRPr="00AD1140">
              <w:rPr>
                <w:rFonts w:ascii="Simplified Arabic" w:eastAsiaTheme="minorEastAsia" w:hAnsi="Simplified Arabic" w:cs="Simplified Arabic"/>
                <w:bCs/>
                <w:sz w:val="20"/>
                <w:szCs w:val="20"/>
                <w:rtl/>
              </w:rPr>
              <w:t>مع أن هدف زيادة طاقة توليد الكهرباء إلى 27 ألف ميجاوات لم يتحقَّق</w:t>
            </w:r>
            <w:r w:rsidRPr="00AD1140">
              <w:rPr>
                <w:rFonts w:ascii="Simplified Arabic" w:eastAsiaTheme="minorEastAsia" w:hAnsi="Simplified Arabic" w:cs="Simplified Arabic"/>
                <w:sz w:val="20"/>
                <w:szCs w:val="20"/>
                <w:rtl/>
              </w:rPr>
              <w:t>، فإن برنامج توليد</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الكهرباء</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سريع</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التنفيذ (2600 ميجاوات) كان أحد</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العوامل</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الدافعة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الرئيسية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لزيادة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القدرة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المركبة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إلى</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ما</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يبلغ</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إجمالا</w:t>
            </w:r>
            <w:r w:rsidRPr="00AD1140">
              <w:rPr>
                <w:rFonts w:ascii="Simplified Arabic" w:eastAsiaTheme="minorEastAsia" w:hAnsi="Simplified Arabic" w:cs="Simplified Arabic"/>
                <w:sz w:val="20"/>
                <w:szCs w:val="20"/>
                <w:rtl/>
                <w:lang w:bidi="ar-EG"/>
              </w:rPr>
              <w:t xml:space="preserve"> أكثر من</w:t>
            </w:r>
            <w:r w:rsidRPr="00AD1140">
              <w:rPr>
                <w:rFonts w:ascii="Simplified Arabic" w:eastAsiaTheme="minorEastAsia" w:hAnsi="Simplified Arabic" w:cs="Simplified Arabic"/>
                <w:sz w:val="20"/>
                <w:szCs w:val="20"/>
              </w:rPr>
              <w:t xml:space="preserve"> 27 </w:t>
            </w:r>
            <w:r w:rsidRPr="00AD1140">
              <w:rPr>
                <w:rFonts w:ascii="Simplified Arabic" w:eastAsiaTheme="minorEastAsia" w:hAnsi="Simplified Arabic" w:cs="Simplified Arabic"/>
                <w:sz w:val="20"/>
                <w:szCs w:val="20"/>
                <w:rtl/>
              </w:rPr>
              <w:t>ألف</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ميجاوات.</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واشتملت المشروعات التي موَّلها البنك الدولي على: إنشاء محطة التبين بطاقة 700 ميجاوات في 2010، وإنشاء محطة الكريمات للطاقة الشمسية الحرارية بقدرة 140 ميجاوات في 2011 (وهي مشروع للطاقة المتجددة).</w:t>
            </w:r>
            <w:r w:rsidRPr="00AD1140">
              <w:rPr>
                <w:rFonts w:ascii="Simplified Arabic" w:eastAsiaTheme="minorEastAsia" w:hAnsi="Simplified Arabic" w:cs="Simplified Arabic"/>
                <w:sz w:val="20"/>
                <w:szCs w:val="20"/>
              </w:rPr>
              <w:t xml:space="preserve"> </w:t>
            </w:r>
            <w:r w:rsidRPr="00AD1140">
              <w:rPr>
                <w:rFonts w:ascii="Simplified Arabic" w:eastAsiaTheme="minorEastAsia" w:hAnsi="Simplified Arabic" w:cs="Simplified Arabic"/>
                <w:sz w:val="20"/>
                <w:szCs w:val="20"/>
                <w:rtl/>
              </w:rPr>
              <w:t>وفضلا عن ذلك، يجري تركيب 3550 ميجاوات في محطات طاقة تعمل بالغاز. ويجري تنفيذ مشروع لطاقة</w:t>
            </w:r>
            <w:r w:rsidRPr="00FF3102">
              <w:rPr>
                <w:rFonts w:ascii="Simplified Arabic" w:eastAsiaTheme="minorEastAsia" w:hAnsi="Simplified Arabic" w:cs="Simplified Arabic"/>
                <w:iCs/>
                <w:sz w:val="20"/>
                <w:szCs w:val="20"/>
                <w:rtl/>
              </w:rPr>
              <w:t xml:space="preserve"> </w:t>
            </w:r>
            <w:r w:rsidRPr="00236A62">
              <w:rPr>
                <w:rFonts w:ascii="Simplified Arabic" w:eastAsiaTheme="minorEastAsia" w:hAnsi="Simplified Arabic" w:cs="Simplified Arabic"/>
                <w:i/>
                <w:sz w:val="20"/>
                <w:szCs w:val="20"/>
                <w:rtl/>
              </w:rPr>
              <w:t xml:space="preserve">الرياح لإنشاء خطوط لنقل الكهرباء عالية الجهد ومحطة لطاقة الرياح قدرتها 250 ميجاوات. وزيادة على ذلك، قدمت مؤسسة التمويل الدولية المشورة للحكومة بشأن محطة كهرباء تعمل بالغاز قدرتها 2250 ميجاوات في ديروط.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bCs/>
                <w:sz w:val="20"/>
                <w:szCs w:val="20"/>
                <w:rtl/>
              </w:rPr>
              <w:t xml:space="preserve">التحول من استخدام غاز البترول المسال المدعوم سعرياً بشدة إلى استهلاك الغاز الطبيعي لصالح 300 ألف أسرة ــ بنهاية الفترة التي تغطيها إستراتيجية المساعدة الخاصة بمصر </w:t>
            </w:r>
          </w:p>
          <w:p w:rsidR="00810BAC" w:rsidRPr="00236A62" w:rsidRDefault="00810BAC" w:rsidP="00810BAC">
            <w:pPr>
              <w:tabs>
                <w:tab w:val="left" w:pos="2085"/>
                <w:tab w:val="center" w:pos="4680"/>
                <w:tab w:val="right" w:pos="9360"/>
              </w:tabs>
              <w:bidi/>
              <w:spacing w:before="60" w:after="60"/>
              <w:rPr>
                <w:rFonts w:ascii="Simplified Arabic" w:eastAsiaTheme="minorEastAsia" w:hAnsi="Simplified Arabic" w:cs="Simplified Arabic"/>
                <w:i/>
                <w:sz w:val="20"/>
                <w:szCs w:val="20"/>
              </w:rPr>
            </w:pPr>
            <w:r w:rsidRPr="00236A62">
              <w:rPr>
                <w:rFonts w:ascii="Simplified Arabic" w:eastAsiaTheme="minorEastAsia" w:hAnsi="Simplified Arabic" w:cs="Simplified Arabic"/>
                <w:i/>
                <w:sz w:val="20"/>
                <w:szCs w:val="20"/>
                <w:rtl/>
              </w:rPr>
              <w:t>في عام 2008، وافق البنك الدولي على مشروع توصيلات الغاز الطبيعي لزيادة توصيلات الغاز الطبيعي للمنازل.</w:t>
            </w:r>
            <w:r w:rsidRPr="00236A62">
              <w:rPr>
                <w:rFonts w:ascii="Simplified Arabic" w:eastAsiaTheme="minorEastAsia" w:hAnsi="Simplified Arabic" w:cs="Simplified Arabic"/>
                <w:i/>
                <w:sz w:val="20"/>
                <w:szCs w:val="20"/>
              </w:rPr>
              <w:t xml:space="preserve"> </w:t>
            </w:r>
            <w:r w:rsidRPr="00236A62">
              <w:rPr>
                <w:rFonts w:ascii="Simplified Arabic" w:eastAsiaTheme="minorEastAsia" w:hAnsi="Simplified Arabic" w:cs="Simplified Arabic"/>
                <w:i/>
                <w:sz w:val="20"/>
                <w:szCs w:val="20"/>
                <w:rtl/>
              </w:rPr>
              <w:t xml:space="preserve">وأقفِل هذا المشروع الآن. </w:t>
            </w:r>
            <w:r w:rsidRPr="00236A62">
              <w:rPr>
                <w:rFonts w:ascii="Simplified Arabic" w:eastAsiaTheme="minorEastAsia" w:hAnsi="Simplified Arabic" w:cs="Simplified Arabic"/>
                <w:i/>
                <w:color w:val="000000"/>
                <w:sz w:val="20"/>
                <w:szCs w:val="20"/>
                <w:rtl/>
              </w:rPr>
              <w:t>ومن خلال مساندة المشروع الذي يموله البنك الدولي، تحقَّق التحوُّل إلى استهلاك الغاز الطبيعي لأكثر من 300 ألف منزل.</w:t>
            </w:r>
            <w:r w:rsidRPr="00236A62">
              <w:rPr>
                <w:rFonts w:ascii="Simplified Arabic" w:eastAsiaTheme="minorEastAsia" w:hAnsi="Simplified Arabic" w:cs="Simplified Arabic"/>
                <w:i/>
                <w:color w:val="000000"/>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إصلاح نُظُم تسعير ودعم الطاقة من أجل الحد من أثر الزيادات في الأسعار العالمية على المالية العامة-بحلول نهاية الفترة التي تغطيها إستراتيجية المساعدة الخاصة بمصر </w:t>
            </w:r>
          </w:p>
          <w:p w:rsidR="00810BAC" w:rsidRPr="00FF3102" w:rsidRDefault="00810BAC" w:rsidP="00810BAC">
            <w:pPr>
              <w:widowControl w:val="0"/>
              <w:tabs>
                <w:tab w:val="num" w:pos="244"/>
              </w:tabs>
              <w:bidi/>
              <w:spacing w:before="60" w:after="60"/>
              <w:rPr>
                <w:rFonts w:ascii="Simplified Arabic" w:hAnsi="Simplified Arabic" w:cs="Simplified Arabic"/>
                <w:b/>
                <w:sz w:val="20"/>
                <w:szCs w:val="20"/>
              </w:rPr>
            </w:pPr>
          </w:p>
          <w:p w:rsidR="00810BAC" w:rsidRPr="00FF3102" w:rsidRDefault="00810BAC" w:rsidP="00810BAC">
            <w:pPr>
              <w:widowControl w:val="0"/>
              <w:tabs>
                <w:tab w:val="num" w:pos="244"/>
              </w:tabs>
              <w:bidi/>
              <w:spacing w:before="60" w:after="60"/>
              <w:rPr>
                <w:rFonts w:ascii="Simplified Arabic" w:hAnsi="Simplified Arabic" w:cs="Simplified Arabic"/>
                <w:b/>
                <w:sz w:val="20"/>
                <w:szCs w:val="20"/>
              </w:rPr>
            </w:pP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1E71BE">
            <w:pPr>
              <w:widowControl w:val="0"/>
              <w:numPr>
                <w:ilvl w:val="0"/>
                <w:numId w:val="42"/>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تصميم إصلاح تدريجي ملموس لأسعار الطاقة وتدشين مرحلته الأولى</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 xml:space="preserve">فيما يتعلق بإصلاحات أسعار الطاقة، تحقَّقت النتيجة المتوقعة في معظمها. </w:t>
            </w:r>
            <w:r w:rsidR="00236A62">
              <w:rPr>
                <w:rFonts w:ascii="Simplified Arabic" w:eastAsiaTheme="minorEastAsia" w:hAnsi="Simplified Arabic" w:cs="Simplified Arabic"/>
                <w:sz w:val="20"/>
                <w:szCs w:val="20"/>
                <w:rtl/>
              </w:rPr>
              <w:t>فقد أطلقت مصر مبادرة طموح</w:t>
            </w:r>
            <w:r w:rsidR="00236A62">
              <w:rPr>
                <w:rFonts w:ascii="Simplified Arabic" w:eastAsiaTheme="minorEastAsia" w:hAnsi="Simplified Arabic" w:cs="Simplified Arabic" w:hint="cs"/>
                <w:sz w:val="20"/>
                <w:szCs w:val="20"/>
                <w:rtl/>
              </w:rPr>
              <w:t>ة</w:t>
            </w:r>
            <w:r w:rsidRPr="00FF3102">
              <w:rPr>
                <w:rFonts w:ascii="Simplified Arabic" w:eastAsiaTheme="minorEastAsia" w:hAnsi="Simplified Arabic" w:cs="Simplified Arabic"/>
                <w:sz w:val="20"/>
                <w:szCs w:val="20"/>
                <w:rtl/>
              </w:rPr>
              <w:t xml:space="preserve"> لإصلاح دعم الطاقة تهدف إلى تحرير أسعار منتجات الطاقة خلال السنوات الخمس إلى العشر القادمة.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وفي حين اتخذت خطوات أصغر في 2012-2013 ، تمثل الهدف الرئيسي منها في زيادة الأسعار للقطاعات كثيفة الاستخدام للطاقة، فقد تم تنفيذ زيادات أوسع نطاقا لأسعار الاستهلاك التجاري والمنزلي في يوليو 2014، أدت إلى خفض الدعم 25-30 في المائة وتحقيق وفر للمالية العامة قدره نحو اثنين في المائة من إجمالي الناتج المحلي.</w:t>
            </w:r>
          </w:p>
        </w:tc>
        <w:tc>
          <w:tcPr>
            <w:tcW w:w="870" w:type="pct"/>
            <w:shd w:val="clear" w:color="auto" w:fill="FFFFFF"/>
          </w:tcPr>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2006: مشروع محطة كهرباء التبين</w:t>
            </w:r>
            <w:r w:rsidRPr="00FF3102">
              <w:rPr>
                <w:rFonts w:ascii="Simplified Arabic" w:eastAsiaTheme="minorEastAsia" w:hAnsi="Simplified Arabic" w:cs="Simplified Arabic"/>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2008: مشروع الكريمات للطاقة الشمسية الحرارية</w:t>
            </w:r>
            <w:r w:rsidRPr="00FF3102">
              <w:rPr>
                <w:rFonts w:ascii="Simplified Arabic" w:eastAsiaTheme="minorEastAsia" w:hAnsi="Simplified Arabic" w:cs="Simplified Arabic"/>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2008: مشروع توصيلات الغاز الطبيعي للمنازل</w:t>
            </w:r>
            <w:r w:rsidRPr="00FF3102">
              <w:rPr>
                <w:rFonts w:ascii="Simplified Arabic" w:eastAsiaTheme="minorEastAsia" w:hAnsi="Simplified Arabic" w:cs="Simplified Arabic"/>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2009: مشروع محطة كهرباء العين السخنة</w:t>
            </w:r>
            <w:r w:rsidRPr="00FF3102">
              <w:rPr>
                <w:rFonts w:ascii="Simplified Arabic" w:eastAsiaTheme="minorEastAsia" w:hAnsi="Simplified Arabic" w:cs="Simplified Arabic"/>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2010: مشروع تطوير طاقة الرياح</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السنوات المالية 2010-2015: المشورة لمشروع كهرباء ديروط</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2010: مشروع كهرباء الجيزة (</w:t>
            </w:r>
            <w:r w:rsidRPr="00FF3102">
              <w:rPr>
                <w:rFonts w:ascii="Simplified Arabic" w:eastAsiaTheme="minorEastAsia" w:hAnsi="Simplified Arabic" w:cs="Simplified Arabic"/>
                <w:sz w:val="20"/>
                <w:szCs w:val="20"/>
              </w:rPr>
              <w:t>SPN</w:t>
            </w:r>
            <w:r w:rsidRPr="00FF3102">
              <w:rPr>
                <w:rFonts w:ascii="Simplified Arabic" w:eastAsiaTheme="minorEastAsia" w:hAnsi="Simplified Arabic" w:cs="Simplified Arabic"/>
                <w:sz w:val="20"/>
                <w:szCs w:val="20"/>
                <w:rtl/>
              </w:rPr>
              <w:t xml:space="preserve">) </w:t>
            </w:r>
          </w:p>
          <w:p w:rsidR="00810BAC" w:rsidRPr="002241AE" w:rsidRDefault="00810BAC" w:rsidP="00810BAC">
            <w:pPr>
              <w:widowControl w:val="0"/>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السنة المالية 2013: مشروع كهرباء جنوب حلوان</w:t>
            </w:r>
            <w:r w:rsidRPr="002241AE">
              <w:rPr>
                <w:rFonts w:ascii="Simplified Arabic" w:eastAsiaTheme="minorEastAsia" w:hAnsi="Simplified Arabic" w:cs="Simplified Arabic"/>
                <w:b/>
                <w:sz w:val="20"/>
                <w:szCs w:val="20"/>
              </w:rPr>
              <w:t xml:space="preserve">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2241AE">
              <w:rPr>
                <w:rFonts w:ascii="Simplified Arabic" w:eastAsiaTheme="minorEastAsia" w:hAnsi="Simplified Arabic" w:cs="Simplified Arabic"/>
                <w:b/>
                <w:sz w:val="20"/>
                <w:szCs w:val="20"/>
                <w:rtl/>
              </w:rPr>
              <w:t>السنة المالية 2013: استثمارات في بتروإلكتريك وترانسجلوب ومشروعات إقليمية مع التركيز على مصر (مؤسسة التمويل الدولية)</w:t>
            </w:r>
          </w:p>
        </w:tc>
        <w:tc>
          <w:tcPr>
            <w:tcW w:w="1267" w:type="pct"/>
            <w:gridSpan w:val="2"/>
            <w:shd w:val="clear" w:color="auto" w:fill="FFFFFF"/>
          </w:tcPr>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فيما يتصل بتعزيز حوارنا، ساعدت مشاركتنا في مشروعات توليد الكهرباء التقليدية والمتجددة على تقوية حوارنا في تحسين استدامة القطاع ودعم الطاقة.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لم تُركِّز المشروعات على الشروط وعزز هذا النهج وضع البنك الدولي بوصفه شريكا في إصلاح القطاع.</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left" w:pos="2085"/>
                <w:tab w:val="center" w:pos="4680"/>
                <w:tab w:val="right" w:pos="9360"/>
              </w:tabs>
              <w:bidi/>
              <w:spacing w:before="60" w:after="60"/>
              <w:rPr>
                <w:rFonts w:ascii="Simplified Arabic" w:hAnsi="Simplified Arabic" w:cs="Simplified Arabic"/>
                <w:sz w:val="20"/>
                <w:szCs w:val="20"/>
              </w:rPr>
            </w:pP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يتطلَّب إصلاح القطاع بما في ذلك تسعير الطاقة وقتا ومثابرة.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وكانت مشاركتنا السابقة في مصر متنوعة وفي الوقت المناسب.</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left" w:pos="2085"/>
                <w:tab w:val="center" w:pos="4680"/>
                <w:tab w:val="right" w:pos="9360"/>
              </w:tabs>
              <w:bidi/>
              <w:spacing w:before="60" w:after="60"/>
              <w:rPr>
                <w:rFonts w:ascii="Simplified Arabic" w:hAnsi="Simplified Arabic" w:cs="Simplified Arabic"/>
                <w:sz w:val="20"/>
                <w:szCs w:val="20"/>
              </w:rPr>
            </w:pP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ويجب اتخاذ نهج تفاعلي لتصميم مشاركتنا في قطاع الطاقة على نحو يتسم بوضوح الركائز/البرامج (مثل توليد الكهرباء، وتسعير الطاقة، وكفاءة استخدام الطاقة، والخصخصة، إلخ) والإطار، بدلا من برنامج يستند إلى مشروعات/أنشطة استشارية وتحليلية.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فقد يساعد هذا على تحقيق متابعة أكثر فاعلية واختصار عملية الموافقة.</w:t>
            </w:r>
          </w:p>
        </w:tc>
      </w:tr>
      <w:tr w:rsidR="00810BAC" w:rsidRPr="00FF3102" w:rsidTr="00FF3102">
        <w:trPr>
          <w:gridBefore w:val="1"/>
          <w:wBefore w:w="8" w:type="pct"/>
          <w:trHeight w:val="20"/>
          <w:jc w:val="center"/>
        </w:trPr>
        <w:tc>
          <w:tcPr>
            <w:tcW w:w="2855" w:type="pct"/>
            <w:gridSpan w:val="2"/>
            <w:shd w:val="clear" w:color="auto" w:fill="FFFFFF"/>
          </w:tcPr>
          <w:p w:rsidR="00810BAC" w:rsidRPr="00236A6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u w:val="single"/>
                <w:rtl/>
              </w:rPr>
              <w:t>النقل: النتائج المتوقعة تحقَّقت جزئيا</w:t>
            </w:r>
          </w:p>
          <w:p w:rsidR="00810BAC" w:rsidRPr="00236A62" w:rsidRDefault="00810BAC" w:rsidP="00810BAC">
            <w:pPr>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زيادة طاقة</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المطارات</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الدولية</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الرئيسية (القاهرة</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وشرم</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الشيخ) وإسناد</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إدارة</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المطارات</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إلى</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القطاع</w:t>
            </w:r>
            <w:r w:rsidRPr="00236A62">
              <w:rPr>
                <w:rFonts w:ascii="Simplified Arabic" w:eastAsiaTheme="minorEastAsia" w:hAnsi="Simplified Arabic" w:cs="Simplified Arabic"/>
                <w:bCs/>
                <w:sz w:val="20"/>
                <w:szCs w:val="20"/>
              </w:rPr>
              <w:t xml:space="preserve"> </w:t>
            </w:r>
            <w:r w:rsidRPr="00236A62">
              <w:rPr>
                <w:rFonts w:ascii="Simplified Arabic" w:eastAsiaTheme="minorEastAsia" w:hAnsi="Simplified Arabic" w:cs="Simplified Arabic"/>
                <w:bCs/>
                <w:sz w:val="20"/>
                <w:szCs w:val="20"/>
                <w:rtl/>
              </w:rPr>
              <w:t xml:space="preserve">الخاص. </w:t>
            </w:r>
          </w:p>
          <w:p w:rsidR="00810BAC" w:rsidRPr="00236A62" w:rsidRDefault="00810BAC" w:rsidP="00810BAC">
            <w:pPr>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 xml:space="preserve">معالم مذكرة الإستراتيجية المؤقتة: </w:t>
            </w:r>
          </w:p>
          <w:p w:rsidR="00810BAC" w:rsidRPr="00236A62" w:rsidRDefault="00810BAC" w:rsidP="001E71BE">
            <w:pPr>
              <w:numPr>
                <w:ilvl w:val="0"/>
                <w:numId w:val="42"/>
              </w:numPr>
              <w:bidi/>
              <w:spacing w:before="60" w:after="60"/>
              <w:jc w:val="both"/>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حدث تقدم جيد في إعادة تأهيل وتوسيع مبنى الركاب القائم (المبنى الثاني) بمطار القاهرة، وتبنِّي إستراتيجية لتحرير النقل الجوي.</w:t>
            </w:r>
          </w:p>
          <w:p w:rsidR="00810BAC" w:rsidRPr="00236A62" w:rsidRDefault="00810BAC" w:rsidP="00810BAC">
            <w:pPr>
              <w:bidi/>
              <w:spacing w:before="60" w:after="60"/>
              <w:rPr>
                <w:rFonts w:ascii="Simplified Arabic" w:eastAsiaTheme="minorEastAsia" w:hAnsi="Simplified Arabic" w:cs="Simplified Arabic"/>
                <w:color w:val="FF0000"/>
                <w:sz w:val="20"/>
                <w:szCs w:val="20"/>
              </w:rPr>
            </w:pPr>
            <w:r w:rsidRPr="00236A62">
              <w:rPr>
                <w:rFonts w:ascii="Simplified Arabic" w:eastAsiaTheme="minorEastAsia" w:hAnsi="Simplified Arabic" w:cs="Simplified Arabic"/>
                <w:sz w:val="20"/>
                <w:szCs w:val="20"/>
                <w:rtl/>
              </w:rPr>
              <w:t>زادت طاقة المطار ومن ثم تحققت النتيجة المتوقعة.</w:t>
            </w:r>
            <w:r w:rsidRPr="00236A62">
              <w:rPr>
                <w:rFonts w:ascii="Simplified Arabic" w:eastAsiaTheme="minorEastAsia" w:hAnsi="Simplified Arabic" w:cs="Simplified Arabic"/>
                <w:bCs/>
                <w:sz w:val="20"/>
                <w:szCs w:val="20"/>
                <w:rtl/>
              </w:rPr>
              <w:t xml:space="preserve"> </w:t>
            </w:r>
            <w:r w:rsidRPr="00236A62">
              <w:rPr>
                <w:rFonts w:ascii="Simplified Arabic" w:eastAsiaTheme="minorEastAsia" w:hAnsi="Simplified Arabic" w:cs="Simplified Arabic"/>
                <w:sz w:val="20"/>
                <w:szCs w:val="20"/>
                <w:rtl/>
              </w:rPr>
              <w:t>اكتمل إنشاء مبني ركاب جديد بمطار القاهرة (المبنى الثالث)، ومبنى ركاب بمطار شرم الشيخ، وتم تقوية إدارة المطارين بمساعدة القطاع الخاص.</w:t>
            </w:r>
            <w:r w:rsidRPr="00236A62">
              <w:rPr>
                <w:rFonts w:ascii="Simplified Arabic" w:eastAsiaTheme="minorEastAsia" w:hAnsi="Simplified Arabic" w:cs="Simplified Arabic"/>
                <w:sz w:val="20"/>
                <w:szCs w:val="20"/>
              </w:rPr>
              <w:t xml:space="preserve"> </w:t>
            </w:r>
            <w:r w:rsidRPr="00236A62">
              <w:rPr>
                <w:rFonts w:ascii="Simplified Arabic" w:eastAsiaTheme="minorEastAsia" w:hAnsi="Simplified Arabic" w:cs="Simplified Arabic"/>
                <w:sz w:val="20"/>
                <w:szCs w:val="20"/>
                <w:rtl/>
              </w:rPr>
              <w:t>وتجري أشغال إعادة تأهيل/توسيع مبنى الركاب الثاني بمطار القاهرة لتحقيق مزيد من التوسعة لطاقة المطار الكلية.</w:t>
            </w:r>
          </w:p>
          <w:p w:rsidR="00810BAC" w:rsidRPr="00236A62" w:rsidRDefault="00810BAC" w:rsidP="00810BAC">
            <w:pPr>
              <w:autoSpaceDE w:val="0"/>
              <w:autoSpaceDN w:val="0"/>
              <w:bidi/>
              <w:adjustRightInd w:val="0"/>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 xml:space="preserve">زيادة الجدوى المالية والسلامة في الهيئة القومية لسكك حديد مصر </w:t>
            </w:r>
          </w:p>
          <w:p w:rsidR="00810BAC" w:rsidRPr="00236A62" w:rsidRDefault="00810BAC" w:rsidP="00810BAC">
            <w:pPr>
              <w:autoSpaceDE w:val="0"/>
              <w:autoSpaceDN w:val="0"/>
              <w:bidi/>
              <w:adjustRightInd w:val="0"/>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معالم مذكرة الإستراتيجية المؤقتة</w:t>
            </w:r>
            <w:r w:rsidRPr="00236A62">
              <w:rPr>
                <w:rFonts w:ascii="Simplified Arabic" w:eastAsiaTheme="minorEastAsia" w:hAnsi="Simplified Arabic" w:cs="Simplified Arabic"/>
                <w:b/>
                <w:sz w:val="20"/>
                <w:szCs w:val="20"/>
              </w:rPr>
              <w:t xml:space="preserve"> </w:t>
            </w:r>
          </w:p>
          <w:p w:rsidR="00810BAC" w:rsidRPr="00236A62" w:rsidRDefault="00810BAC" w:rsidP="001E71BE">
            <w:pPr>
              <w:numPr>
                <w:ilvl w:val="0"/>
                <w:numId w:val="42"/>
              </w:numPr>
              <w:autoSpaceDE w:val="0"/>
              <w:autoSpaceDN w:val="0"/>
              <w:bidi/>
              <w:adjustRightInd w:val="0"/>
              <w:spacing w:before="60" w:after="60"/>
              <w:jc w:val="both"/>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أتمت الحكومة تحديث وإعادة تنظيم الهيئة القومية لسكك حديد مصر؛</w:t>
            </w:r>
            <w:r w:rsidRPr="00236A62">
              <w:rPr>
                <w:rFonts w:ascii="Simplified Arabic" w:eastAsiaTheme="minorEastAsia" w:hAnsi="Simplified Arabic" w:cs="Simplified Arabic"/>
                <w:sz w:val="20"/>
                <w:szCs w:val="20"/>
              </w:rPr>
              <w:t xml:space="preserve"> </w:t>
            </w:r>
          </w:p>
          <w:p w:rsidR="00810BAC" w:rsidRPr="00236A62" w:rsidRDefault="00810BAC" w:rsidP="001E71BE">
            <w:pPr>
              <w:numPr>
                <w:ilvl w:val="0"/>
                <w:numId w:val="42"/>
              </w:numPr>
              <w:autoSpaceDE w:val="0"/>
              <w:autoSpaceDN w:val="0"/>
              <w:bidi/>
              <w:adjustRightInd w:val="0"/>
              <w:spacing w:before="60" w:after="60"/>
              <w:jc w:val="both"/>
              <w:rPr>
                <w:rFonts w:ascii="Simplified Arabic" w:eastAsiaTheme="minorEastAsia" w:hAnsi="Simplified Arabic" w:cs="Simplified Arabic"/>
                <w:i/>
                <w:iCs/>
                <w:sz w:val="20"/>
                <w:szCs w:val="20"/>
              </w:rPr>
            </w:pPr>
            <w:r w:rsidRPr="00236A62">
              <w:rPr>
                <w:rFonts w:ascii="Simplified Arabic" w:eastAsiaTheme="minorEastAsia" w:hAnsi="Simplified Arabic" w:cs="Simplified Arabic"/>
                <w:sz w:val="20"/>
                <w:szCs w:val="20"/>
                <w:rtl/>
              </w:rPr>
              <w:t>يجري تحديث نظام إشارات السكك الحديدية في خط القاهرة-أسيوط</w:t>
            </w:r>
            <w:r w:rsidRPr="00236A62">
              <w:rPr>
                <w:rFonts w:ascii="Simplified Arabic" w:eastAsiaTheme="minorEastAsia" w:hAnsi="Simplified Arabic" w:cs="Simplified Arabic"/>
                <w:i/>
                <w:iCs/>
                <w:sz w:val="20"/>
                <w:szCs w:val="20"/>
                <w:rtl/>
              </w:rPr>
              <w:t>.</w:t>
            </w:r>
          </w:p>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iCs/>
                <w:sz w:val="20"/>
                <w:szCs w:val="20"/>
                <w:rtl/>
              </w:rPr>
              <w:t xml:space="preserve">وتحققت جزئيا هذه النتيجة المتوقعة الخاصة بزيادة الجدوى المالية والسلامة في الهيئة القومية لسكك حديد مصر. </w:t>
            </w:r>
            <w:r w:rsidRPr="00FF3102">
              <w:rPr>
                <w:rFonts w:ascii="Simplified Arabic" w:eastAsiaTheme="minorEastAsia" w:hAnsi="Simplified Arabic" w:cs="Simplified Arabic"/>
                <w:sz w:val="20"/>
                <w:szCs w:val="20"/>
                <w:rtl/>
              </w:rPr>
              <w:t>فقد وافقت الحكومة على خطة لإعادة هيكلة الهيئة القومية لسكك حديد مصر وفق الأولويات التي أوصى بها البنك الدولي، مع التركيز على زيادة مستويات السلامة والجودة والاستمرارية للخدمات والجدوى المالية لخدمات السكك الحديدية، وتمويل برنامج تحديث أنظمة الإشارات بين الأسكندرية وأسيوط.</w:t>
            </w:r>
            <w:r w:rsidRPr="00FF3102">
              <w:rPr>
                <w:rFonts w:ascii="Simplified Arabic" w:eastAsiaTheme="minorEastAsia" w:hAnsi="Simplified Arabic" w:cs="Simplified Arabic"/>
                <w:i/>
                <w:sz w:val="20"/>
                <w:szCs w:val="20"/>
              </w:rPr>
              <w:t xml:space="preserve"> </w:t>
            </w:r>
            <w:r w:rsidRPr="00FF3102">
              <w:rPr>
                <w:rFonts w:ascii="Simplified Arabic" w:eastAsiaTheme="minorEastAsia" w:hAnsi="Simplified Arabic" w:cs="Simplified Arabic"/>
                <w:sz w:val="20"/>
                <w:szCs w:val="20"/>
                <w:rtl/>
              </w:rPr>
              <w:t>وقد تحسَّنت الجدوى المالية لكن تعرَّضت للخطر من جراء استمرار اضطراب الأوضاع السياسية والاقتصادية.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ولا تزال السلامة الكلية للسكك الحديدية مشكلة وسيستغرق التغلُّب عليها وقتا أطول.</w:t>
            </w:r>
          </w:p>
          <w:p w:rsidR="00810BAC" w:rsidRPr="00FF3102" w:rsidRDefault="00810BAC" w:rsidP="00810BAC">
            <w:pPr>
              <w:bidi/>
              <w:spacing w:before="60" w:after="60"/>
              <w:rPr>
                <w:rFonts w:ascii="Simplified Arabic" w:hAnsi="Simplified Arabic" w:cs="Simplified Arabic"/>
                <w:b/>
                <w:sz w:val="20"/>
                <w:szCs w:val="20"/>
              </w:rPr>
            </w:pPr>
          </w:p>
          <w:p w:rsidR="00810BAC" w:rsidRPr="00FF3102" w:rsidRDefault="00810BAC" w:rsidP="00810BAC">
            <w:pPr>
              <w:bidi/>
              <w:spacing w:before="60" w:after="60"/>
              <w:rPr>
                <w:rFonts w:ascii="Simplified Arabic" w:hAnsi="Simplified Arabic" w:cs="Simplified Arabic"/>
                <w:b/>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زيادة التمويل لأعمال صيانة الطرق وانتظامها</w:t>
            </w:r>
            <w:r w:rsidRPr="00FF3102">
              <w:rPr>
                <w:rFonts w:ascii="Simplified Arabic" w:eastAsiaTheme="minorEastAsia" w:hAnsi="Simplified Arabic" w:cs="Simplified Arabic"/>
                <w:b/>
                <w:sz w:val="20"/>
                <w:szCs w:val="20"/>
              </w:rPr>
              <w:t xml:space="preserve"> </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معالم مذكرة الإستراتيجية المؤقتة: </w:t>
            </w:r>
          </w:p>
          <w:p w:rsidR="00810BAC" w:rsidRPr="00FF3102" w:rsidRDefault="00810BAC" w:rsidP="001E71BE">
            <w:pPr>
              <w:numPr>
                <w:ilvl w:val="0"/>
                <w:numId w:val="42"/>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اعتمدت الحكومة إستراتيجية لإدارة مرافق الطرق تهدف إلى تحسين صيانة الطرق.</w:t>
            </w:r>
          </w:p>
          <w:p w:rsidR="00810BAC" w:rsidRPr="00FF3102" w:rsidRDefault="00810BAC" w:rsidP="001E71BE">
            <w:pPr>
              <w:numPr>
                <w:ilvl w:val="0"/>
                <w:numId w:val="42"/>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يجري تنفيذ مشروع تجريبي للطرق على أساس الشراكة بين القطاعين العام والخاص.</w:t>
            </w:r>
            <w:r w:rsidRPr="00FF3102">
              <w:rPr>
                <w:rFonts w:ascii="Simplified Arabic" w:eastAsiaTheme="minorEastAsia" w:hAnsi="Simplified Arabic" w:cs="Simplified Arabic"/>
                <w:sz w:val="20"/>
                <w:szCs w:val="20"/>
              </w:rPr>
              <w:t xml:space="preserve"> </w:t>
            </w:r>
          </w:p>
          <w:p w:rsidR="00810BAC" w:rsidRPr="00FF3102" w:rsidRDefault="00810BAC" w:rsidP="001E71BE">
            <w:pPr>
              <w:numPr>
                <w:ilvl w:val="0"/>
                <w:numId w:val="42"/>
              </w:numPr>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يجري تنفيذ إعادة هيكلة قطاع النقل البري للبضائع، ووُضِعَت إستراتيجية فاعلة للنقل، وقواعد تنظيمية فاعلة لتحسين أداء الخدمات اللوجستية.</w:t>
            </w:r>
          </w:p>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تحقَّقت هذه النتيجة جزئيا.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اعتمدت الحكومة إستراتيجية لإدارة مرافق الطرق تهدف إلى تحقيق عدة أمور منها تحسين صيانة الطرق، وتمت تجربة مشروع رائد للطرق على أساس الشراكة بين القطاعين العام والخاص، لكن تجربة الشراكة تم إنهاؤها لأن الأسعار المعروضة كانت أعلى من التقديرات.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وتقوم الحكومة بتنفيذ توصيات البنك الدولي بشأن تنظيم قطاع النقل وحصلت على تمويل من الاتحاد الأوروبي لتنفيذ دراسات تفصيلية لإنشاء هيئة تنظيمية (اكتملت الدراسة تقريبا).</w:t>
            </w:r>
            <w:r w:rsidRPr="00FF3102">
              <w:rPr>
                <w:rFonts w:ascii="Simplified Arabic" w:eastAsiaTheme="minorEastAsia" w:hAnsi="Simplified Arabic" w:cs="Simplified Arabic"/>
                <w:i/>
                <w:sz w:val="20"/>
                <w:szCs w:val="20"/>
              </w:rPr>
              <w:t xml:space="preserve"> </w:t>
            </w:r>
          </w:p>
          <w:p w:rsidR="00810BAC" w:rsidRPr="00FF3102" w:rsidRDefault="00810BAC" w:rsidP="00810BAC">
            <w:pPr>
              <w:bidi/>
              <w:spacing w:before="60" w:after="60"/>
              <w:rPr>
                <w:rFonts w:ascii="Simplified Arabic" w:hAnsi="Simplified Arabic" w:cs="Simplified Arabic"/>
                <w:sz w:val="20"/>
                <w:szCs w:val="20"/>
              </w:rPr>
            </w:pPr>
          </w:p>
          <w:p w:rsidR="00810BAC" w:rsidRPr="00236A62" w:rsidRDefault="00810BAC" w:rsidP="00810BAC">
            <w:pPr>
              <w:autoSpaceDE w:val="0"/>
              <w:autoSpaceDN w:val="0"/>
              <w:bidi/>
              <w:adjustRightInd w:val="0"/>
              <w:spacing w:before="60" w:after="60"/>
              <w:rPr>
                <w:rFonts w:ascii="Simplified Arabic" w:eastAsiaTheme="minorEastAsia" w:hAnsi="Simplified Arabic" w:cs="Simplified Arabic"/>
                <w:i/>
                <w:sz w:val="20"/>
                <w:szCs w:val="20"/>
              </w:rPr>
            </w:pPr>
            <w:r w:rsidRPr="00236A62">
              <w:rPr>
                <w:rFonts w:ascii="Simplified Arabic" w:eastAsiaTheme="minorEastAsia" w:hAnsi="Simplified Arabic" w:cs="Simplified Arabic"/>
                <w:bCs/>
                <w:i/>
                <w:sz w:val="20"/>
                <w:szCs w:val="20"/>
                <w:rtl/>
              </w:rPr>
              <w:t>تحسين النقل الحضري العام في منطقة القاهرة الكبرى</w:t>
            </w:r>
            <w:r w:rsidRPr="00236A62">
              <w:rPr>
                <w:rFonts w:ascii="Simplified Arabic" w:eastAsiaTheme="minorEastAsia" w:hAnsi="Simplified Arabic" w:cs="Simplified Arabic"/>
                <w:i/>
                <w:sz w:val="20"/>
                <w:szCs w:val="20"/>
                <w:rtl/>
              </w:rPr>
              <w:t xml:space="preserve"> </w:t>
            </w:r>
          </w:p>
          <w:p w:rsidR="00810BAC" w:rsidRPr="00236A62" w:rsidRDefault="00810BAC" w:rsidP="00810BAC">
            <w:pPr>
              <w:autoSpaceDE w:val="0"/>
              <w:autoSpaceDN w:val="0"/>
              <w:bidi/>
              <w:adjustRightInd w:val="0"/>
              <w:spacing w:before="60" w:after="60"/>
              <w:rPr>
                <w:rFonts w:ascii="Simplified Arabic" w:eastAsiaTheme="minorEastAsia" w:hAnsi="Simplified Arabic" w:cs="Simplified Arabic"/>
                <w:i/>
                <w:sz w:val="20"/>
                <w:szCs w:val="20"/>
              </w:rPr>
            </w:pPr>
            <w:r w:rsidRPr="00236A62">
              <w:rPr>
                <w:rFonts w:ascii="Simplified Arabic" w:eastAsiaTheme="minorEastAsia" w:hAnsi="Simplified Arabic" w:cs="Simplified Arabic"/>
                <w:bCs/>
                <w:i/>
                <w:sz w:val="20"/>
                <w:szCs w:val="20"/>
                <w:rtl/>
              </w:rPr>
              <w:t xml:space="preserve">معالم مذكرة الإستراتيجية المؤقتة: </w:t>
            </w:r>
          </w:p>
          <w:p w:rsidR="00810BAC" w:rsidRPr="00236A62" w:rsidRDefault="00810BAC" w:rsidP="001E71BE">
            <w:pPr>
              <w:numPr>
                <w:ilvl w:val="0"/>
                <w:numId w:val="42"/>
              </w:numPr>
              <w:autoSpaceDE w:val="0"/>
              <w:autoSpaceDN w:val="0"/>
              <w:bidi/>
              <w:adjustRightInd w:val="0"/>
              <w:spacing w:before="60" w:after="60"/>
              <w:jc w:val="both"/>
              <w:rPr>
                <w:rFonts w:ascii="Simplified Arabic" w:eastAsiaTheme="minorEastAsia" w:hAnsi="Simplified Arabic" w:cs="Simplified Arabic"/>
                <w:i/>
                <w:sz w:val="20"/>
                <w:szCs w:val="20"/>
              </w:rPr>
            </w:pPr>
            <w:r w:rsidRPr="00236A62">
              <w:rPr>
                <w:rFonts w:ascii="Simplified Arabic" w:eastAsiaTheme="minorEastAsia" w:hAnsi="Simplified Arabic" w:cs="Simplified Arabic"/>
                <w:i/>
                <w:sz w:val="20"/>
                <w:szCs w:val="20"/>
                <w:rtl/>
              </w:rPr>
              <w:t>إنشاء جهاز تنظيم النقل الحضري بالقاهرة الكبرى، ودخوله</w:t>
            </w:r>
            <w:r w:rsidRPr="00236A62">
              <w:rPr>
                <w:rFonts w:ascii="Simplified Arabic" w:eastAsiaTheme="minorEastAsia" w:hAnsi="Simplified Arabic" w:cs="Simplified Arabic"/>
                <w:i/>
                <w:sz w:val="20"/>
                <w:szCs w:val="20"/>
              </w:rPr>
              <w:t xml:space="preserve"> </w:t>
            </w:r>
            <w:r w:rsidRPr="00236A62">
              <w:rPr>
                <w:rFonts w:ascii="Simplified Arabic" w:eastAsiaTheme="minorEastAsia" w:hAnsi="Simplified Arabic" w:cs="Simplified Arabic"/>
                <w:i/>
                <w:sz w:val="20"/>
                <w:szCs w:val="20"/>
                <w:rtl/>
              </w:rPr>
              <w:t>حيز</w:t>
            </w:r>
            <w:r w:rsidRPr="00236A62">
              <w:rPr>
                <w:rFonts w:ascii="Simplified Arabic" w:eastAsiaTheme="minorEastAsia" w:hAnsi="Simplified Arabic" w:cs="Simplified Arabic"/>
                <w:i/>
                <w:sz w:val="20"/>
                <w:szCs w:val="20"/>
              </w:rPr>
              <w:t xml:space="preserve"> </w:t>
            </w:r>
            <w:r w:rsidRPr="00236A62">
              <w:rPr>
                <w:rFonts w:ascii="Simplified Arabic" w:eastAsiaTheme="minorEastAsia" w:hAnsi="Simplified Arabic" w:cs="Simplified Arabic"/>
                <w:i/>
                <w:sz w:val="20"/>
                <w:szCs w:val="20"/>
                <w:rtl/>
              </w:rPr>
              <w:t>التشغيل</w:t>
            </w:r>
            <w:r w:rsidRPr="00236A62">
              <w:rPr>
                <w:rFonts w:ascii="Simplified Arabic" w:eastAsiaTheme="minorEastAsia" w:hAnsi="Simplified Arabic" w:cs="Simplified Arabic"/>
                <w:i/>
                <w:sz w:val="20"/>
                <w:szCs w:val="20"/>
              </w:rPr>
              <w:t xml:space="preserve"> </w:t>
            </w:r>
            <w:r w:rsidRPr="00236A62">
              <w:rPr>
                <w:rFonts w:ascii="Simplified Arabic" w:eastAsiaTheme="minorEastAsia" w:hAnsi="Simplified Arabic" w:cs="Simplified Arabic"/>
                <w:i/>
                <w:sz w:val="20"/>
                <w:szCs w:val="20"/>
                <w:rtl/>
              </w:rPr>
              <w:t>الكامل، ويجري تنفيذ مشروع تطوير البنية التحتية للنقل الحضري بالقاهرة.</w:t>
            </w:r>
          </w:p>
          <w:p w:rsidR="00810BAC" w:rsidRPr="00FF3102" w:rsidRDefault="00810BAC" w:rsidP="00810BAC">
            <w:pPr>
              <w:autoSpaceDE w:val="0"/>
              <w:autoSpaceDN w:val="0"/>
              <w:bidi/>
              <w:adjustRightInd w:val="0"/>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i/>
                <w:sz w:val="20"/>
                <w:szCs w:val="20"/>
                <w:rtl/>
              </w:rPr>
              <w:t xml:space="preserve"> لم يتحقَّق هذا. فقد أُنشئت هيئة للنقل الحضري بالقاهرة الكبرى ولكن لم يبدأ بعد تشغيلها</w:t>
            </w:r>
            <w:r w:rsidRPr="00FF3102">
              <w:rPr>
                <w:rFonts w:ascii="Simplified Arabic" w:eastAsiaTheme="minorEastAsia" w:hAnsi="Simplified Arabic" w:cs="Simplified Arabic"/>
                <w:iCs/>
                <w:sz w:val="20"/>
                <w:szCs w:val="20"/>
                <w:rtl/>
              </w:rPr>
              <w:t>.</w:t>
            </w:r>
          </w:p>
        </w:tc>
        <w:tc>
          <w:tcPr>
            <w:tcW w:w="870" w:type="pct"/>
            <w:shd w:val="clear" w:color="auto" w:fill="FFFFFF"/>
          </w:tcPr>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 السنة المالية 2010: المشروع الثاني لمطار القاهرة السنة المالية 2009: مشروع إعادة هيكلة السكك الحديدية</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2010: المشروع الثاني لمطار القاهرة</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2007: الدراسة التحليلية لإدارة مرافق الطرق</w:t>
            </w:r>
          </w:p>
          <w:p w:rsidR="00810BAC" w:rsidRPr="00FF3102" w:rsidRDefault="00810BAC" w:rsidP="00810BAC">
            <w:pPr>
              <w:bidi/>
              <w:spacing w:before="60" w:after="60"/>
              <w:rPr>
                <w:rFonts w:ascii="Simplified Arabic" w:eastAsiaTheme="minorEastAsia" w:hAnsi="Simplified Arabic" w:cs="Simplified Arabic"/>
                <w:sz w:val="20"/>
                <w:szCs w:val="20"/>
                <w:lang w:val="pt-BR"/>
              </w:rPr>
            </w:pPr>
            <w:r w:rsidRPr="00FF3102">
              <w:rPr>
                <w:rFonts w:ascii="Simplified Arabic" w:eastAsiaTheme="minorEastAsia" w:hAnsi="Simplified Arabic" w:cs="Simplified Arabic"/>
                <w:sz w:val="20"/>
                <w:szCs w:val="20"/>
                <w:rtl/>
              </w:rPr>
              <w:t>السنة المالية 2012: المساعدة الفنية للقواعد التنظيمية للنقل</w:t>
            </w:r>
          </w:p>
          <w:p w:rsidR="00810BAC" w:rsidRPr="00FF3102" w:rsidRDefault="00810BAC" w:rsidP="00810BAC">
            <w:pPr>
              <w:autoSpaceDE w:val="0"/>
              <w:autoSpaceDN w:val="0"/>
              <w:bidi/>
              <w:adjustRightInd w:val="0"/>
              <w:spacing w:before="60" w:after="60"/>
              <w:rPr>
                <w:rFonts w:ascii="Simplified Arabic" w:hAnsi="Simplified Arabic" w:cs="Simplified Arabic"/>
                <w:sz w:val="20"/>
                <w:szCs w:val="20"/>
              </w:rPr>
            </w:pPr>
          </w:p>
        </w:tc>
        <w:tc>
          <w:tcPr>
            <w:tcW w:w="1267" w:type="pct"/>
            <w:gridSpan w:val="2"/>
            <w:shd w:val="clear" w:color="auto" w:fill="FFFFFF"/>
          </w:tcPr>
          <w:p w:rsidR="00810BAC" w:rsidRPr="00FF3102" w:rsidRDefault="00810BAC" w:rsidP="00810BAC">
            <w:pPr>
              <w:autoSpaceDE w:val="0"/>
              <w:autoSpaceDN w:val="0"/>
              <w:bidi/>
              <w:adjustRightInd w:val="0"/>
              <w:spacing w:before="60" w:after="60"/>
              <w:rPr>
                <w:rFonts w:ascii="Simplified Arabic" w:hAnsi="Simplified Arabic" w:cs="Simplified Arabic"/>
                <w:sz w:val="20"/>
                <w:szCs w:val="20"/>
              </w:rPr>
            </w:pP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widowControl w:val="0"/>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u w:val="single"/>
                <w:rtl/>
              </w:rPr>
              <w:t>الاتصالات: نتائج متوقعة لم تتحقَّق</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i/>
                <w:sz w:val="20"/>
                <w:szCs w:val="20"/>
              </w:rPr>
            </w:pPr>
            <w:r w:rsidRPr="00FF3102">
              <w:rPr>
                <w:rFonts w:ascii="Simplified Arabic" w:eastAsiaTheme="minorEastAsia" w:hAnsi="Simplified Arabic" w:cs="Simplified Arabic"/>
                <w:bCs/>
                <w:sz w:val="20"/>
                <w:szCs w:val="20"/>
                <w:rtl/>
              </w:rPr>
              <w:t xml:space="preserve">تقليل تكلفة خدمات الاتصالات السلكية واللاسلكية - بحلول نهاية الفترة التي تغطيها إستراتيجية المساعدة الخاصة بمصر </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i/>
                <w:sz w:val="20"/>
                <w:szCs w:val="20"/>
              </w:rPr>
            </w:pPr>
            <w:r w:rsidRPr="00FF3102">
              <w:rPr>
                <w:rFonts w:ascii="Simplified Arabic" w:eastAsiaTheme="minorEastAsia" w:hAnsi="Simplified Arabic" w:cs="Simplified Arabic"/>
                <w:bCs/>
                <w:iCs/>
                <w:sz w:val="20"/>
                <w:szCs w:val="20"/>
                <w:rtl/>
              </w:rPr>
              <w:t xml:space="preserve">معالم مذكرة الإستراتيجية المؤقتة: </w:t>
            </w:r>
          </w:p>
          <w:p w:rsidR="00810BAC" w:rsidRPr="00FF3102" w:rsidRDefault="00810BAC" w:rsidP="001E71BE">
            <w:pPr>
              <w:widowControl w:val="0"/>
              <w:numPr>
                <w:ilvl w:val="0"/>
                <w:numId w:val="42"/>
              </w:numPr>
              <w:tabs>
                <w:tab w:val="num" w:pos="244"/>
              </w:tabs>
              <w:bidi/>
              <w:spacing w:before="60" w:after="60"/>
              <w:jc w:val="both"/>
              <w:rPr>
                <w:rFonts w:ascii="Simplified Arabic" w:eastAsiaTheme="minorEastAsia" w:hAnsi="Simplified Arabic" w:cs="Simplified Arabic"/>
                <w:i/>
                <w:sz w:val="20"/>
                <w:szCs w:val="20"/>
              </w:rPr>
            </w:pPr>
            <w:r w:rsidRPr="00FF3102">
              <w:rPr>
                <w:rFonts w:ascii="Simplified Arabic" w:eastAsiaTheme="minorEastAsia" w:hAnsi="Simplified Arabic" w:cs="Simplified Arabic"/>
                <w:iCs/>
                <w:sz w:val="20"/>
                <w:szCs w:val="20"/>
                <w:rtl/>
              </w:rPr>
              <w:t>ترسية رخصة تشغيل شبكة وطنية ثانية للهواتف الثابتة.</w:t>
            </w:r>
          </w:p>
          <w:p w:rsidR="00810BAC" w:rsidRPr="00FF3102" w:rsidRDefault="00810BAC" w:rsidP="00810BAC">
            <w:pPr>
              <w:widowControl w:val="0"/>
              <w:tabs>
                <w:tab w:val="num" w:pos="244"/>
              </w:tabs>
              <w:bidi/>
              <w:spacing w:before="60" w:after="60"/>
              <w:rPr>
                <w:rFonts w:ascii="Simplified Arabic" w:eastAsiaTheme="minorEastAsia" w:hAnsi="Simplified Arabic" w:cs="Simplified Arabic"/>
                <w:b/>
                <w:i/>
                <w:sz w:val="20"/>
                <w:szCs w:val="20"/>
              </w:rPr>
            </w:pPr>
            <w:r w:rsidRPr="00FF3102">
              <w:rPr>
                <w:rFonts w:ascii="Simplified Arabic" w:eastAsiaTheme="minorEastAsia" w:hAnsi="Simplified Arabic" w:cs="Simplified Arabic"/>
                <w:sz w:val="20"/>
                <w:szCs w:val="20"/>
                <w:rtl/>
              </w:rPr>
              <w:t>فيما يتعلق بقطاع الاتصالات، استندت مشاركتنا إلى أساس برنامج للخدمات الاستشارية المستردة التكاليف لا يهدف على وجه الخصوص إلى خفض النفقات، وإنما إلى بناء القدرات فيما يتصل بالإحصاءات والسياسة القانونية، واتصالات النطاق العريض. وربما يكون بعض التخفيض للنفقات قد حدث، ولكن لا أدلة على أنه يُعزَى إلى برنامجنا للخدمات الاستشارية المستردة التكاليف.</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color w:val="000000"/>
                <w:sz w:val="20"/>
                <w:szCs w:val="20"/>
                <w:rtl/>
              </w:rPr>
              <w:t>[التقرير المرحلي عن سير العمل في إستراتيجية المساعدة الخاصة بمصر 2.2</w:t>
            </w:r>
            <w:r w:rsidRPr="00FF3102">
              <w:rPr>
                <w:rFonts w:ascii="Simplified Arabic" w:eastAsiaTheme="minorEastAsia" w:hAnsi="Simplified Arabic" w:cs="Simplified Arabic"/>
                <w:b/>
                <w:i/>
                <w:color w:val="000000"/>
                <w:sz w:val="20"/>
                <w:szCs w:val="20"/>
              </w:rPr>
              <w:t xml:space="preserve"> </w:t>
            </w:r>
            <w:r w:rsidRPr="00FF3102">
              <w:rPr>
                <w:rFonts w:ascii="Simplified Arabic" w:eastAsiaTheme="minorEastAsia" w:hAnsi="Simplified Arabic" w:cs="Simplified Arabic"/>
                <w:bCs/>
                <w:iCs/>
                <w:color w:val="000000"/>
                <w:sz w:val="20"/>
                <w:szCs w:val="20"/>
                <w:rtl/>
              </w:rPr>
              <w:t>توسيع خدمات البنية التحتية وتحديثها</w:t>
            </w:r>
          </w:p>
        </w:tc>
        <w:tc>
          <w:tcPr>
            <w:tcW w:w="870"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pacing w:val="-4"/>
                <w:sz w:val="20"/>
                <w:szCs w:val="20"/>
                <w:rtl/>
              </w:rPr>
              <w:t>السنوات المالية 2008-2011: عدة عمليات للخدمات الاستشارية المستردة التكاليف للجهاز القومي لتنظيم الاتصالات، ووزارة الاتصالات وتكنولوجيا المعلومات، وهيئة تنمية صناعة تكنولوجيا المعلومات، وهيئة البريد المصري.</w:t>
            </w:r>
          </w:p>
        </w:tc>
        <w:tc>
          <w:tcPr>
            <w:tcW w:w="1267" w:type="pct"/>
            <w:gridSpan w:val="2"/>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نظرا لما حدث من اضطراب سياسي، حاول البنك الحفاظ على قناة للحوار مع نظرائنا الفنيين حتى يمكننا مواصلة العمل رسميا حالما تسنح الفرصة.</w:t>
            </w:r>
            <w:r w:rsidRPr="00FF3102">
              <w:rPr>
                <w:rFonts w:ascii="Simplified Arabic" w:eastAsiaTheme="minorEastAsia" w:hAnsi="Simplified Arabic" w:cs="Simplified Arabic"/>
                <w:sz w:val="20"/>
                <w:szCs w:val="20"/>
              </w:rPr>
              <w:t xml:space="preserve"> </w:t>
            </w:r>
          </w:p>
        </w:tc>
      </w:tr>
      <w:tr w:rsidR="00810BAC" w:rsidRPr="00FF3102" w:rsidTr="00FF3102">
        <w:trPr>
          <w:gridBefore w:val="1"/>
          <w:wBefore w:w="8" w:type="pct"/>
          <w:trHeight w:val="20"/>
          <w:jc w:val="center"/>
        </w:trPr>
        <w:tc>
          <w:tcPr>
            <w:tcW w:w="4992" w:type="pct"/>
            <w:gridSpan w:val="5"/>
            <w:shd w:val="clear" w:color="auto" w:fill="FFFFFF"/>
            <w:vAlign w:val="center"/>
          </w:tcPr>
          <w:p w:rsidR="00810BAC" w:rsidRPr="00FF3102" w:rsidRDefault="00810BAC" w:rsidP="00FF3102">
            <w:pPr>
              <w:keepNext/>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 xml:space="preserve"> </w:t>
            </w:r>
            <w:r w:rsidRPr="00FF3102">
              <w:rPr>
                <w:rFonts w:ascii="Simplified Arabic" w:eastAsiaTheme="minorEastAsia" w:hAnsi="Simplified Arabic" w:cs="Simplified Arabic"/>
                <w:bCs/>
                <w:sz w:val="20"/>
                <w:szCs w:val="20"/>
                <w:rtl/>
              </w:rPr>
              <w:t>2.4</w:t>
            </w:r>
            <w:r w:rsidR="00FF3102">
              <w:rPr>
                <w:rFonts w:ascii="Simplified Arabic" w:eastAsiaTheme="minorEastAsia" w:hAnsi="Simplified Arabic" w:cs="Simplified Arabic" w:hint="cs"/>
                <w:bCs/>
                <w:sz w:val="20"/>
                <w:szCs w:val="20"/>
                <w:rtl/>
              </w:rPr>
              <w:t>.</w:t>
            </w:r>
            <w:r w:rsidRPr="00FF3102">
              <w:rPr>
                <w:rFonts w:ascii="Simplified Arabic" w:eastAsiaTheme="minorEastAsia" w:hAnsi="Simplified Arabic" w:cs="Simplified Arabic"/>
                <w:bCs/>
                <w:sz w:val="20"/>
                <w:szCs w:val="20"/>
                <w:rtl/>
              </w:rPr>
              <w:t xml:space="preserve"> زيادة ملاءمة التعليم لمتطلبات سوق العمل: تحقَّقت النتيجة المتوقعة في معظمها</w:t>
            </w: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نجاح اختبار (قبل التوسعة النهائية) البرامج التجريبية المعنية بتحسين نوعية/ وملاءمة: (1) التعليم العالي؛ (2) تنمية المهارات؛ (3) تنمية الطفولة المبكرة، وذلك بحلول 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hAnsi="Simplified Arabic" w:cs="Simplified Arabic"/>
                <w:b/>
                <w:sz w:val="20"/>
                <w:szCs w:val="20"/>
              </w:rPr>
            </w:pPr>
          </w:p>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1E71BE">
            <w:pPr>
              <w:numPr>
                <w:ilvl w:val="0"/>
                <w:numId w:val="42"/>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حوار فاعل لتوسيع نطاق المشروع التجريبي لتنمية المهارات</w:t>
            </w:r>
          </w:p>
          <w:p w:rsidR="00810BAC" w:rsidRPr="00FF3102" w:rsidRDefault="00810BAC" w:rsidP="001E71BE">
            <w:pPr>
              <w:numPr>
                <w:ilvl w:val="0"/>
                <w:numId w:val="42"/>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حوار فاعل بشأن السياسات لمساندة جهود الحكومة لتحسين التعليم الفني والمهني.</w:t>
            </w:r>
          </w:p>
          <w:p w:rsidR="00810BAC" w:rsidRPr="00FF3102" w:rsidRDefault="00810BAC" w:rsidP="00810BAC">
            <w:pPr>
              <w:tabs>
                <w:tab w:val="num" w:pos="244"/>
              </w:tabs>
              <w:bidi/>
              <w:spacing w:before="60" w:after="60"/>
              <w:rPr>
                <w:rFonts w:ascii="Simplified Arabic" w:hAnsi="Simplified Arabic" w:cs="Simplified Arabic"/>
                <w:b/>
                <w:sz w:val="20"/>
                <w:szCs w:val="20"/>
              </w:rPr>
            </w:pPr>
          </w:p>
          <w:p w:rsidR="00810BAC" w:rsidRPr="00FF3102" w:rsidRDefault="00810BAC" w:rsidP="00810BAC">
            <w:pPr>
              <w:bidi/>
              <w:contextualSpacing/>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تحقَّق هذا من عدة وجوه.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ففي حالة التعليم العالي وتطوير المهارات، تم إرساء آليات ضمان الجودة والاعتماد، وتطوير البنية التحتية لتكنولوجيا المعلومات بالجامعات وشبكات المكتبات، وتحديث وتطوير التعليم الفني المتوسط.</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وفي حالة تنمية الطفولة المبكرة، كان الإنجاز الرئيسي هو التوسُّع في برامج التعليم، عن طريق مساندة برامج المنظمات غير الحكومية؛ وإعداد وتصميم معايير ومناهج جديدة لتنمية الطفولة المبكرة؛ وابتكار مواد تدريس جديدة لمساندة تنفيذ المعايير الجديدة.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وتُقدِّم مجموعة البنك الدولي أيضا المساندة التي تهدف إلى تضييق فجوة المهارات المطلوبة لصناعات تكنولوجيا المعلومات والاتصالات وتحسين مؤهلات الطلاب للتوظُّف والعمل. وفضلا عن ذلك، أبرزت دراسة تنمية القوى العاملة في بلدان الشرق الأوسط وشمال أفريقيا، ودراسة التعليم من أجل التوظيف، لواضعي السياسات عدم التوافق بين نوع ومستوى المهارات التي تحتاج إليها سوق العمل وتلك التي يُفرزها نظام التعليم والتدريب.</w:t>
            </w:r>
            <w:r w:rsidRPr="00FF3102">
              <w:rPr>
                <w:rFonts w:ascii="Simplified Arabic" w:eastAsiaTheme="minorEastAsia" w:hAnsi="Simplified Arabic" w:cs="Simplified Arabic"/>
                <w:color w:val="333333"/>
                <w:sz w:val="20"/>
                <w:szCs w:val="20"/>
              </w:rPr>
              <w:t xml:space="preserve"> </w:t>
            </w:r>
            <w:r w:rsidRPr="00FF3102">
              <w:rPr>
                <w:rFonts w:ascii="Simplified Arabic" w:eastAsiaTheme="minorEastAsia" w:hAnsi="Simplified Arabic" w:cs="Simplified Arabic"/>
                <w:color w:val="333333"/>
                <w:sz w:val="20"/>
                <w:szCs w:val="20"/>
                <w:rtl/>
              </w:rPr>
              <w:t>ووقَّعت مؤسسة التمويل الدولية اتفاقية مع هيئة تنمية صناعة تكنولوجيا المعلومات للمساعدة على تحسين مهارات العمالة المحتملة في مجال تكنولوجيا المعلومات والاتصالات في مصر، وتطوير التعليم والتدريب فيما يتصل بقطاعات محددة، وتحسين مؤهلات خريجي تكنولوجيا المعلومات والاتصالات للتوظُّف والعمل.</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 xml:space="preserve">تحسين المناهج وخاصة فيما يتعلق بالانتقال من المرحلة الثانوية إلى ما بعد التعليم الثانوي وإلى سوق العمل ــ بحلول نهاية الفترة التي تغطيها إستراتيجية المساعدة الخاصة بمصر </w:t>
            </w:r>
            <w:r w:rsidRPr="00FF3102">
              <w:rPr>
                <w:rFonts w:ascii="Simplified Arabic" w:eastAsiaTheme="minorEastAsia" w:hAnsi="Simplified Arabic" w:cs="Simplified Arabic"/>
                <w:sz w:val="20"/>
                <w:szCs w:val="20"/>
                <w:rtl/>
              </w:rPr>
              <w:t>وكانت المنجزات فيما يتصل بتحسين المناهج للتعليم الثانوي متباينة.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فمن ناحية، وافقت وزارة التربية والتعليم في الآونة الأخيرة على إطار المناهج الجديدة للتعليم الثانوي، ولكن من ناحية أخرى لم تستطع ترجمة الأفكار التي تضمَّنها الإطار الجديد إلى وثيقة متطورة للمناهج الجديدة.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iCs/>
                <w:sz w:val="20"/>
                <w:szCs w:val="20"/>
                <w:rtl/>
              </w:rPr>
              <w:t>[التقرير المرحلي عن سير العمل في إستراتيجية المساعدة الخاصة بمصر 2.4</w:t>
            </w:r>
            <w:r w:rsidRPr="00FF3102">
              <w:rPr>
                <w:rFonts w:ascii="Simplified Arabic" w:eastAsiaTheme="minorEastAsia" w:hAnsi="Simplified Arabic" w:cs="Simplified Arabic"/>
                <w:b/>
                <w:i/>
                <w:sz w:val="20"/>
                <w:szCs w:val="20"/>
              </w:rPr>
              <w:t xml:space="preserve"> </w:t>
            </w:r>
            <w:r w:rsidRPr="00FF3102">
              <w:rPr>
                <w:rFonts w:ascii="Simplified Arabic" w:eastAsiaTheme="minorEastAsia" w:hAnsi="Simplified Arabic" w:cs="Simplified Arabic"/>
                <w:bCs/>
                <w:iCs/>
                <w:sz w:val="20"/>
                <w:szCs w:val="20"/>
                <w:rtl/>
              </w:rPr>
              <w:t>زيادة ملاءمة التعليم لمتطلبات سوق العمل</w:t>
            </w:r>
          </w:p>
        </w:tc>
        <w:tc>
          <w:tcPr>
            <w:tcW w:w="870"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السنة المالية 2005: مشروع تحسين التعليم في الطفولة المبكرة</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السنة المالية 1999: مشروع تحسين التعليم الثانوي </w:t>
            </w:r>
          </w:p>
          <w:p w:rsidR="00810BAC" w:rsidRPr="002241AE" w:rsidRDefault="00810BAC" w:rsidP="00810BAC">
            <w:pPr>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 xml:space="preserve">السنة المالية 2004: مشروع تنمية المهارات </w:t>
            </w:r>
          </w:p>
          <w:p w:rsidR="00810BAC" w:rsidRPr="002241AE" w:rsidRDefault="00810BAC" w:rsidP="00810BAC">
            <w:pPr>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مساعدة فنية لتوسيع استخدام معايير قياس الرسوم الدراسية للجامعات</w:t>
            </w:r>
          </w:p>
          <w:p w:rsidR="00810BAC" w:rsidRPr="002241AE" w:rsidRDefault="00810BAC" w:rsidP="00810BAC">
            <w:pPr>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 مؤسسة التمويل الدولية مع هيئة تنمية صناعة تكنولوجيا المعلومات</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2241AE">
              <w:rPr>
                <w:rFonts w:ascii="Simplified Arabic" w:eastAsiaTheme="minorEastAsia" w:hAnsi="Simplified Arabic" w:cs="Simplified Arabic"/>
                <w:b/>
                <w:sz w:val="20"/>
                <w:szCs w:val="20"/>
                <w:rtl/>
              </w:rPr>
              <w:t>مساعدة فنية لتقوية التخطيط والرصد والمتابعة في التعليم</w:t>
            </w:r>
          </w:p>
        </w:tc>
        <w:tc>
          <w:tcPr>
            <w:tcW w:w="1267" w:type="pct"/>
            <w:gridSpan w:val="2"/>
            <w:shd w:val="clear" w:color="auto" w:fill="FFFFFF"/>
          </w:tcPr>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الدروس المستفادة الأساسية: (1) من الضروري لنجاح مبادرات التحديث البالغة الأهمية التواصل مع سلطات التعليم على أعلى مستوى وتجديد هذه المشاركة والارتباط؛ (2) يجب أن يتسم فريق البنك الدولي بالمرونة حتى يمكنه إعادة تخصيص الموارد اللازمة لنجاح مساندة تنفيذ المشروعات؛ (3) التعاون مع المانحين أمر ضروري لتفادي ازدواج الجهود ولتوجيه مساندة المانحين في الاتجاه نفسه.</w:t>
            </w:r>
          </w:p>
          <w:p w:rsidR="00810BAC" w:rsidRPr="00FF3102" w:rsidRDefault="00810BAC" w:rsidP="00810BAC">
            <w:pPr>
              <w:bidi/>
              <w:spacing w:before="60" w:after="60"/>
              <w:rPr>
                <w:rFonts w:ascii="Simplified Arabic" w:hAnsi="Simplified Arabic" w:cs="Simplified Arabic"/>
                <w:sz w:val="20"/>
                <w:szCs w:val="20"/>
              </w:rPr>
            </w:pPr>
          </w:p>
        </w:tc>
      </w:tr>
      <w:tr w:rsidR="00810BAC" w:rsidRPr="00FF3102" w:rsidTr="00FF3102">
        <w:trPr>
          <w:gridBefore w:val="1"/>
          <w:wBefore w:w="8" w:type="pct"/>
          <w:trHeight w:val="20"/>
          <w:jc w:val="center"/>
        </w:trPr>
        <w:tc>
          <w:tcPr>
            <w:tcW w:w="4992" w:type="pct"/>
            <w:gridSpan w:val="5"/>
            <w:shd w:val="clear" w:color="auto" w:fill="FFFFFF"/>
            <w:vAlign w:val="center"/>
          </w:tcPr>
          <w:p w:rsidR="00810BAC" w:rsidRPr="00FF3102" w:rsidRDefault="00810BAC" w:rsidP="00FF3102">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2.5</w:t>
            </w:r>
            <w:r w:rsidR="00FF3102">
              <w:rPr>
                <w:rFonts w:ascii="Simplified Arabic" w:eastAsiaTheme="minorEastAsia" w:hAnsi="Simplified Arabic" w:cs="Simplified Arabic" w:hint="cs"/>
                <w:b/>
                <w:sz w:val="20"/>
                <w:szCs w:val="20"/>
                <w:rtl/>
              </w:rPr>
              <w:t>.</w:t>
            </w:r>
            <w:r w:rsidRPr="00FF3102">
              <w:rPr>
                <w:rFonts w:ascii="Simplified Arabic" w:eastAsiaTheme="minorEastAsia" w:hAnsi="Simplified Arabic" w:cs="Simplified Arabic"/>
                <w:b/>
                <w:sz w:val="20"/>
                <w:szCs w:val="20"/>
                <w:rtl/>
              </w:rPr>
              <w:t xml:space="preserve"> </w:t>
            </w:r>
            <w:r w:rsidRPr="00FF3102">
              <w:rPr>
                <w:rFonts w:ascii="Simplified Arabic" w:eastAsiaTheme="minorEastAsia" w:hAnsi="Simplified Arabic" w:cs="Simplified Arabic"/>
                <w:bCs/>
                <w:sz w:val="20"/>
                <w:szCs w:val="20"/>
                <w:rtl/>
              </w:rPr>
              <w:t>زيادة التجارة مع الشركاء الإقليميين والعالميين: تحقَّق جزئيا</w:t>
            </w:r>
          </w:p>
        </w:tc>
      </w:tr>
      <w:tr w:rsidR="00810BAC" w:rsidRPr="00FF3102" w:rsidTr="00FF3102">
        <w:trPr>
          <w:gridBefore w:val="1"/>
          <w:wBefore w:w="8" w:type="pct"/>
          <w:trHeight w:val="20"/>
          <w:jc w:val="center"/>
        </w:trPr>
        <w:tc>
          <w:tcPr>
            <w:tcW w:w="2855" w:type="pct"/>
            <w:gridSpan w:val="2"/>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نجاح وضع برامج لتحسين الصلات والروابط بين الموردين والأسواق الخارجية في (1) الخدمات، و(2) الزراعة في صعيد مصر ــ بحلول 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44"/>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نجاح استكمال البرامج التجريبية والتدشين الفاعل لحوار عميق بشأن توسيع نطاقها/ وتعديلها</w:t>
            </w:r>
          </w:p>
          <w:p w:rsidR="00810BAC" w:rsidRPr="00FF3102" w:rsidRDefault="00810BAC" w:rsidP="001E71BE">
            <w:pPr>
              <w:numPr>
                <w:ilvl w:val="0"/>
                <w:numId w:val="44"/>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زيادة قدرات البنية التحتية للتجارة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ساعدت مؤسسة التمويل الدولية على تحسين الروابط بين سلاسل القيمة من خلال: (1) تطوير أداة لإدارة سلاسل التوريد لشركة رئيسية في مجال الصناعات الزراعية، (2) استحداث نموذج للزراعة التعاقدية في قطاع الدواجن، (3) بناء القدرات للمورِّدين والموزِّعين في سلاسل القيمة للشركات الرئيسية، مع التركيز على تحسين مهارات الإدارة من خلال </w:t>
            </w:r>
            <w:r w:rsidRPr="00FF3102">
              <w:rPr>
                <w:rFonts w:ascii="Simplified Arabic" w:eastAsiaTheme="minorEastAsia" w:hAnsi="Simplified Arabic" w:cs="Simplified Arabic"/>
                <w:bCs/>
                <w:sz w:val="20"/>
                <w:szCs w:val="20"/>
                <w:rtl/>
              </w:rPr>
              <w:t xml:space="preserve">برنامج بيزنيس إيدج </w:t>
            </w:r>
            <w:r w:rsidRPr="00FF3102">
              <w:rPr>
                <w:rFonts w:ascii="Simplified Arabic" w:eastAsiaTheme="minorEastAsia" w:hAnsi="Simplified Arabic" w:cs="Simplified Arabic"/>
                <w:sz w:val="20"/>
                <w:szCs w:val="20"/>
                <w:rtl/>
              </w:rPr>
              <w:t>التابع لمؤسسة التمويل الدولية.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وإجمالا، تم تدريب 1721 شخصا من 130 مشروعا مختلفا من المشروعات الصغيرة والمتوسطة، وهم جزء من سلسلة القيمة لأربع شركات رئيسية كبيرة في مجالات تكنولوجيا المعلومات والاتصالات، والسلع الاستهلاكية سريعة الدوران، والأدوية، والاتصالات.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وارتبطت مؤسسة التمويل الدولية بتقديم 428.2 مليون دولار إلى 13 مشروعا فيما بين بلدان الجنوب بالتعاون مع جهات راعية من الهند وتركيا والسعودية ولبنان وجنسيات أخرى.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وفضلا عن ذلك، من أجل تعزيز تمويل التجارة، تعهدت مؤسسة التمويل الدولية بتقديم 95.2 مليون دولار خلال الفترة عن طريق برنامجها لتوفير السيولة للتجارة العالمية.</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sz w:val="20"/>
                <w:szCs w:val="20"/>
                <w:rtl/>
              </w:rPr>
              <w:t>[التقرير المرحلي عن سير العمل في إستراتيجية المساعدة الخاصة بمصر 1.2</w:t>
            </w:r>
            <w:r w:rsidRPr="00FF3102">
              <w:rPr>
                <w:rFonts w:ascii="Simplified Arabic" w:eastAsiaTheme="minorEastAsia" w:hAnsi="Simplified Arabic" w:cs="Simplified Arabic"/>
                <w:b/>
                <w:i/>
                <w:sz w:val="20"/>
                <w:szCs w:val="20"/>
              </w:rPr>
              <w:t xml:space="preserve"> </w:t>
            </w:r>
            <w:r w:rsidRPr="00FF3102">
              <w:rPr>
                <w:rFonts w:ascii="Simplified Arabic" w:eastAsiaTheme="minorEastAsia" w:hAnsi="Simplified Arabic" w:cs="Simplified Arabic"/>
                <w:bCs/>
                <w:iCs/>
                <w:sz w:val="20"/>
                <w:szCs w:val="20"/>
                <w:rtl/>
              </w:rPr>
              <w:t>زيادة التجارة مع الشركاء الإقليميين والعالميين]</w:t>
            </w:r>
          </w:p>
        </w:tc>
        <w:tc>
          <w:tcPr>
            <w:tcW w:w="870" w:type="pct"/>
            <w:shd w:val="clear" w:color="auto" w:fill="FFFFFF"/>
          </w:tcPr>
          <w:p w:rsidR="00810BAC" w:rsidRPr="00FF3102" w:rsidRDefault="00810BAC" w:rsidP="00810BAC">
            <w:pPr>
              <w:tabs>
                <w:tab w:val="num" w:pos="244"/>
              </w:tabs>
              <w:bidi/>
              <w:spacing w:before="60" w:after="60"/>
              <w:ind w:left="245"/>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برنامج بيزنيس إيدج التابع لمؤسسة التمويل الدولية</w:t>
            </w:r>
          </w:p>
          <w:p w:rsidR="00810BAC" w:rsidRPr="00FF3102" w:rsidRDefault="00810BAC" w:rsidP="00810BAC">
            <w:pPr>
              <w:tabs>
                <w:tab w:val="num" w:pos="244"/>
              </w:tabs>
              <w:bidi/>
              <w:spacing w:before="60" w:after="60"/>
              <w:ind w:left="245"/>
              <w:rPr>
                <w:rFonts w:ascii="Simplified Arabic" w:hAnsi="Simplified Arabic" w:cs="Simplified Arabic"/>
                <w:sz w:val="20"/>
                <w:szCs w:val="20"/>
              </w:rPr>
            </w:pPr>
          </w:p>
        </w:tc>
        <w:tc>
          <w:tcPr>
            <w:tcW w:w="1267" w:type="pct"/>
            <w:gridSpan w:val="2"/>
            <w:shd w:val="clear" w:color="auto" w:fill="FFFFFF"/>
          </w:tcPr>
          <w:p w:rsidR="00810BAC" w:rsidRPr="00FF3102" w:rsidRDefault="00810BAC" w:rsidP="00810BAC">
            <w:pPr>
              <w:bidi/>
              <w:spacing w:before="60" w:after="60"/>
              <w:ind w:left="245"/>
              <w:rPr>
                <w:rFonts w:ascii="Simplified Arabic" w:hAnsi="Simplified Arabic" w:cs="Simplified Arabic"/>
                <w:sz w:val="20"/>
                <w:szCs w:val="20"/>
              </w:rPr>
            </w:pPr>
          </w:p>
        </w:tc>
      </w:tr>
      <w:tr w:rsidR="00810BAC" w:rsidRPr="00FF3102" w:rsidTr="00FF3102">
        <w:trPr>
          <w:trHeight w:val="20"/>
          <w:jc w:val="center"/>
        </w:trPr>
        <w:tc>
          <w:tcPr>
            <w:tcW w:w="5000" w:type="pct"/>
            <w:gridSpan w:val="6"/>
            <w:shd w:val="clear" w:color="auto" w:fill="FFFFFF"/>
            <w:vAlign w:val="center"/>
          </w:tcPr>
          <w:p w:rsidR="00810BAC" w:rsidRPr="00FF3102" w:rsidRDefault="00810BAC" w:rsidP="00810BAC">
            <w:pPr>
              <w:keepNext/>
              <w:bidi/>
              <w:spacing w:before="60" w:after="60"/>
              <w:jc w:val="center"/>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الهدف الإستراتيجي: الركيزة الثالثة/ الاحتواء</w:t>
            </w:r>
          </w:p>
        </w:tc>
      </w:tr>
      <w:tr w:rsidR="00810BAC" w:rsidRPr="00FF3102" w:rsidTr="00FF3102">
        <w:trPr>
          <w:trHeight w:val="20"/>
          <w:jc w:val="center"/>
        </w:trPr>
        <w:tc>
          <w:tcPr>
            <w:tcW w:w="5000" w:type="pct"/>
            <w:gridSpan w:val="6"/>
            <w:shd w:val="clear" w:color="auto" w:fill="FFFFFF"/>
          </w:tcPr>
          <w:p w:rsidR="00810BAC" w:rsidRPr="00FF3102" w:rsidRDefault="00FF3102" w:rsidP="00FF3102">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3.1</w:t>
            </w:r>
            <w:r>
              <w:rPr>
                <w:rFonts w:ascii="Simplified Arabic" w:eastAsiaTheme="minorEastAsia" w:hAnsi="Simplified Arabic" w:cs="Simplified Arabic" w:hint="cs"/>
                <w:b/>
                <w:sz w:val="20"/>
                <w:szCs w:val="20"/>
                <w:rtl/>
              </w:rPr>
              <w:t>.</w:t>
            </w:r>
            <w:r w:rsidR="00810BAC" w:rsidRPr="00FF3102">
              <w:rPr>
                <w:rFonts w:ascii="Simplified Arabic" w:eastAsiaTheme="minorEastAsia" w:hAnsi="Simplified Arabic" w:cs="Simplified Arabic"/>
                <w:b/>
                <w:sz w:val="20"/>
                <w:szCs w:val="20"/>
                <w:rtl/>
              </w:rPr>
              <w:t xml:space="preserve"> </w:t>
            </w:r>
            <w:r w:rsidR="00810BAC" w:rsidRPr="00FF3102">
              <w:rPr>
                <w:rFonts w:ascii="Simplified Arabic" w:eastAsiaTheme="minorEastAsia" w:hAnsi="Simplified Arabic" w:cs="Simplified Arabic"/>
                <w:bCs/>
                <w:sz w:val="20"/>
                <w:szCs w:val="20"/>
                <w:rtl/>
              </w:rPr>
              <w:t>تحسين إدارة شبكات المياه والصرف والري: تحقَّق جزئيا</w:t>
            </w:r>
          </w:p>
        </w:tc>
      </w:tr>
      <w:tr w:rsidR="00810BAC" w:rsidRPr="00FF3102" w:rsidTr="00FF3102">
        <w:trPr>
          <w:trHeight w:val="20"/>
          <w:jc w:val="center"/>
        </w:trPr>
        <w:tc>
          <w:tcPr>
            <w:tcW w:w="2857" w:type="pct"/>
            <w:gridSpan w:val="2"/>
            <w:shd w:val="clear" w:color="auto" w:fill="FFFFFF"/>
          </w:tcPr>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النتيجة المتوقعة: نجاح اختبار (قبل التوسعة النهائية) البرامج التجريبية المعنية (1) بتوسيع البنية التحتية لشبكة الصرف الصحي في المناطق الريفية؛ (2) زيادة الكفاءة ومشاركة المنتفعين في إدارة الري؛ (3) تطوير أعمال الشراكة بين القطاعين العام والخاص ــ بحلول نهاية فترة إستراتيجية المساعدة الخاصة بمصر (التقرير المرحلي عن سير التنفيذ في إستراتيجية المساعدة الخاصة بمصر 2.2).</w:t>
            </w:r>
            <w:r w:rsidRPr="00FF3102">
              <w:rPr>
                <w:rFonts w:ascii="Simplified Arabic" w:eastAsiaTheme="minorEastAsia" w:hAnsi="Simplified Arabic" w:cs="Simplified Arabic"/>
                <w:b/>
                <w:sz w:val="20"/>
                <w:szCs w:val="20"/>
              </w:rPr>
              <w:t xml:space="preserve"> </w:t>
            </w:r>
          </w:p>
          <w:p w:rsidR="00810BAC" w:rsidRPr="00FF3102" w:rsidRDefault="00810BAC" w:rsidP="00810BAC">
            <w:pPr>
              <w:bidi/>
              <w:spacing w:before="60" w:after="60"/>
              <w:rPr>
                <w:rFonts w:ascii="Simplified Arabic" w:hAnsi="Simplified Arabic" w:cs="Simplified Arabic"/>
                <w:b/>
                <w:sz w:val="20"/>
                <w:szCs w:val="20"/>
              </w:rPr>
            </w:pPr>
          </w:p>
          <w:p w:rsidR="00810BAC" w:rsidRPr="00FF3102" w:rsidRDefault="00810BAC" w:rsidP="00810BAC">
            <w:p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53"/>
              </w:num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توسيع شبكات خدمات أنابيب الصرف الصحي في مناطق ريفية مستهدفة في محافظات الغربية والبحيرة وكفر الشيخ، وتنفيذ ست شبكات لامركزية لمياه الصرف على الأقل في إطار المشروع الأول للبنية التحتية المتكاملة للصرف الصحي.</w:t>
            </w:r>
          </w:p>
          <w:p w:rsidR="00810BAC" w:rsidRPr="00FF3102" w:rsidRDefault="00810BAC" w:rsidP="001E71BE">
            <w:pPr>
              <w:numPr>
                <w:ilvl w:val="0"/>
                <w:numId w:val="53"/>
              </w:numPr>
              <w:bidi/>
              <w:spacing w:after="22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توسيع شبكات خدمات أنابيب الصرف الصحي في مناطق ريفية مستهدفة في محافظات الشرقية والمنوفية وأسيوط وسوهاج في إطار المشروع الثاني للبنية التحتية المتكاملة للصرف الصحي.</w:t>
            </w:r>
          </w:p>
          <w:p w:rsidR="00810BAC" w:rsidRPr="00FF3102" w:rsidRDefault="00810BAC" w:rsidP="001E71BE">
            <w:pPr>
              <w:numPr>
                <w:ilvl w:val="0"/>
                <w:numId w:val="53"/>
              </w:num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تحسين خدمات الري والصرف المُقدَّمة إلى 65 ألف مزارع.</w:t>
            </w:r>
          </w:p>
          <w:p w:rsidR="00810BAC" w:rsidRPr="00FF3102" w:rsidRDefault="00810BAC" w:rsidP="001E71BE">
            <w:pPr>
              <w:numPr>
                <w:ilvl w:val="0"/>
                <w:numId w:val="53"/>
              </w:num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تسجيل كل جمعيات مستخدمي المياه وعددها 1420.</w:t>
            </w:r>
          </w:p>
          <w:p w:rsidR="00810BAC" w:rsidRPr="00FF3102" w:rsidRDefault="00810BAC" w:rsidP="001E71BE">
            <w:pPr>
              <w:numPr>
                <w:ilvl w:val="0"/>
                <w:numId w:val="53"/>
              </w:num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الاتفاق على نموذج بديل للشراكات بين القطاعين العام والخاص في إدارة الري.</w:t>
            </w:r>
          </w:p>
          <w:p w:rsidR="00810BAC" w:rsidRPr="00FF3102" w:rsidRDefault="00810BAC" w:rsidP="00810BAC">
            <w:pPr>
              <w:bidi/>
              <w:spacing w:before="60" w:after="60"/>
              <w:rPr>
                <w:rFonts w:ascii="Simplified Arabic" w:hAnsi="Simplified Arabic" w:cs="Simplified Arabic"/>
                <w:b/>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حدث تقدم ملحوظ في الري والصرف، وتقدم أقل في الصرف الصحي: وتشتمل النتائج على ما يلي:</w:t>
            </w:r>
          </w:p>
          <w:p w:rsidR="00810BAC" w:rsidRPr="00FF3102" w:rsidRDefault="00810BAC" w:rsidP="001E71BE">
            <w:pPr>
              <w:numPr>
                <w:ilvl w:val="0"/>
                <w:numId w:val="38"/>
              </w:num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توقُّع تدشين برنامج جديد لشبكات الصرف الصحي بالمناطق الريفية في ثلاث محافظات في دلتا النيل في إطار البرنامج القومي للصرف الصحي الريفي.</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u w:val="single"/>
              </w:rPr>
            </w:pPr>
            <w:r w:rsidRPr="00FF3102">
              <w:rPr>
                <w:rFonts w:ascii="Simplified Arabic" w:eastAsiaTheme="minorEastAsia" w:hAnsi="Simplified Arabic" w:cs="Simplified Arabic"/>
                <w:sz w:val="20"/>
                <w:szCs w:val="20"/>
                <w:rtl/>
              </w:rPr>
              <w:t>اكتمل بنجاح تنفيذ أول مشروع لمياه الصرف بنظام الشراكة بين القطاعين العام والخاص في مصر (مؤسسة التمويل الدولية).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بدأ رعاة المشروع العمليات، وتستغل الحكومة الخبرات التي اكتسبت في مشروع مياه الصرف بالقاهرة الجديدة في إقامة مناقصات لعدة مشروعات أخرى منها محطة أبو رواش.</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تحسين خدمات الري والصرف المُقدَّمة إلى 300 ألف مزارع.</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أُنشئت 1465 جمعية لمستخدمي المياه، دخل 711 منها حيز التشغيل الكامل.</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u w:val="single"/>
              </w:rPr>
            </w:pPr>
            <w:r w:rsidRPr="00FF3102">
              <w:rPr>
                <w:rFonts w:ascii="Simplified Arabic" w:eastAsiaTheme="minorEastAsia" w:hAnsi="Simplified Arabic" w:cs="Simplified Arabic"/>
                <w:sz w:val="20"/>
                <w:szCs w:val="20"/>
                <w:rtl/>
              </w:rPr>
              <w:t>122 جمعية لمستخدمي مياه الترع الفرعية في وضع التشغيل الكامل، و14 منطقة متكاملة لمياه الري في حيز التشغيل الكامل.</w:t>
            </w:r>
            <w:r w:rsidRPr="00FF3102">
              <w:rPr>
                <w:rFonts w:ascii="Simplified Arabic" w:eastAsiaTheme="minorEastAsia" w:hAnsi="Simplified Arabic" w:cs="Simplified Arabic"/>
                <w:sz w:val="20"/>
                <w:szCs w:val="20"/>
              </w:rPr>
              <w:t xml:space="preserve"> </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u w:val="single"/>
              </w:rPr>
            </w:pPr>
            <w:r w:rsidRPr="00FF3102">
              <w:rPr>
                <w:rFonts w:ascii="Simplified Arabic" w:eastAsiaTheme="minorEastAsia" w:hAnsi="Simplified Arabic" w:cs="Simplified Arabic"/>
                <w:sz w:val="20"/>
                <w:szCs w:val="20"/>
                <w:rtl/>
              </w:rPr>
              <w:t>تدشين مشروع تجريبي على أساس الشراكة بين القطاعين العام والخاص لكن عمليات المشتريات ألغيت بسبب عدم كفاية العروض المُؤهَّلة.</w:t>
            </w:r>
          </w:p>
          <w:p w:rsidR="00810BAC" w:rsidRPr="00FF3102" w:rsidRDefault="00810BAC" w:rsidP="001E71BE">
            <w:pPr>
              <w:numPr>
                <w:ilvl w:val="0"/>
                <w:numId w:val="37"/>
              </w:numPr>
              <w:bidi/>
              <w:spacing w:before="60" w:after="60"/>
              <w:ind w:left="244" w:hanging="172"/>
              <w:rPr>
                <w:rFonts w:ascii="Simplified Arabic" w:eastAsiaTheme="minorEastAsia" w:hAnsi="Simplified Arabic" w:cs="Simplified Arabic"/>
                <w:sz w:val="20"/>
                <w:szCs w:val="20"/>
                <w:u w:val="single"/>
              </w:rPr>
            </w:pPr>
            <w:r w:rsidRPr="00FF3102">
              <w:rPr>
                <w:rFonts w:ascii="Simplified Arabic" w:eastAsiaTheme="minorEastAsia" w:hAnsi="Simplified Arabic" w:cs="Simplified Arabic"/>
                <w:sz w:val="20"/>
                <w:szCs w:val="20"/>
                <w:rtl/>
              </w:rPr>
              <w:t>تمت تجربة الصرف الصحي اللامركزي في إطار المشروع الأول للبنية التحتية المتكاملة للصرف الصحي الذي سيتم توسيعه في إطار المشروع الثاني ومشروعات جديدة.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وبسبب التأخير في تنفيذ الخطط اللامركزية في إطار المشروع الأول للبنية التحتية المتكاملة للصرف الصحي، ما زال المشروع في المرحلة التجريبية ولم يصل إلى مرحلة التوسُّع.</w:t>
            </w:r>
          </w:p>
          <w:p w:rsidR="00810BAC" w:rsidRPr="00FF3102" w:rsidRDefault="00810BAC" w:rsidP="00810BAC">
            <w:pPr>
              <w:bidi/>
              <w:spacing w:before="60" w:after="60"/>
              <w:rPr>
                <w:rFonts w:ascii="Simplified Arabic" w:hAnsi="Simplified Arabic" w:cs="Simplified Arabic"/>
                <w:sz w:val="20"/>
                <w:szCs w:val="20"/>
                <w:u w:val="single"/>
              </w:rPr>
            </w:pPr>
          </w:p>
          <w:p w:rsidR="00810BAC" w:rsidRPr="00FF3102" w:rsidRDefault="00810BAC" w:rsidP="00810BAC">
            <w:pPr>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ويجري توسيع شبكات البنية التحتية للصرف الصحي في المناطق الريفية في إطار المشروعين الأول والثاني للبنية التحتية المتكاملة للصرف الصحي اللذين يمولهما البنك الدولي.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ونتيجة المرحلة الأولى للمشروع الأول للبنية التحتية المتكاملة للصرف الصحي ليست مُبشِّرة بسبب ارتفاع التكاليف الاستثمارية نتيجة لضعف التصميمات الهندسية التي أجراها استشاريون محليون وضعف التنفيذ من جانب مقاولين صغار محليين.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وتحسَّنت بدرجة كبيرة تصميمات المرحلة الثانية للمشروع الأول للبنية التحتية المتكاملة للصرف الصحي والمرحلة الأولى للمشروع الثاني بفضل تصحيح التصميمات بالتشاور مع السكان المحليين ويجري تنفيذها دون أي اعتراضات محلية.</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num" w:pos="244"/>
              </w:tabs>
              <w:bidi/>
              <w:spacing w:before="60" w:after="60"/>
              <w:ind w:left="72"/>
              <w:rPr>
                <w:rFonts w:ascii="Simplified Arabic" w:hAnsi="Simplified Arabic" w:cs="Simplified Arabic"/>
                <w:sz w:val="20"/>
                <w:szCs w:val="20"/>
              </w:rPr>
            </w:pPr>
          </w:p>
        </w:tc>
        <w:tc>
          <w:tcPr>
            <w:tcW w:w="882" w:type="pct"/>
            <w:gridSpan w:val="3"/>
            <w:shd w:val="clear" w:color="auto" w:fill="FFFFFF"/>
          </w:tcPr>
          <w:p w:rsidR="00810BAC" w:rsidRPr="00FF3102" w:rsidRDefault="00810BAC" w:rsidP="001E71BE">
            <w:pPr>
              <w:numPr>
                <w:ilvl w:val="0"/>
                <w:numId w:val="37"/>
              </w:numPr>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2008: مشروع البنية التحتية المتكاملة للصرف الصحي</w:t>
            </w:r>
          </w:p>
          <w:p w:rsidR="00810BAC" w:rsidRPr="00FF3102" w:rsidRDefault="00810BAC" w:rsidP="001E71BE">
            <w:pPr>
              <w:numPr>
                <w:ilvl w:val="0"/>
                <w:numId w:val="37"/>
              </w:numPr>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2011: المشروع الثاني للبنية التحتية المتكاملة للصرف الصحي</w:t>
            </w:r>
            <w:r w:rsidRPr="00FF3102">
              <w:rPr>
                <w:rFonts w:ascii="Simplified Arabic" w:eastAsiaTheme="minorEastAsia" w:hAnsi="Simplified Arabic" w:cs="Simplified Arabic"/>
                <w:sz w:val="20"/>
                <w:szCs w:val="20"/>
              </w:rPr>
              <w:t xml:space="preserve"> </w:t>
            </w:r>
          </w:p>
          <w:p w:rsidR="00810BAC" w:rsidRPr="00FF3102" w:rsidRDefault="00810BAC" w:rsidP="00810BAC">
            <w:pPr>
              <w:bidi/>
              <w:spacing w:before="60" w:after="60"/>
              <w:ind w:left="245"/>
              <w:rPr>
                <w:rFonts w:ascii="Simplified Arabic" w:hAnsi="Simplified Arabic" w:cs="Simplified Arabic"/>
                <w:sz w:val="20"/>
                <w:szCs w:val="20"/>
              </w:rPr>
            </w:pPr>
          </w:p>
          <w:p w:rsidR="00810BAC" w:rsidRPr="00FF3102" w:rsidRDefault="00810BAC" w:rsidP="001E71BE">
            <w:pPr>
              <w:numPr>
                <w:ilvl w:val="0"/>
                <w:numId w:val="37"/>
              </w:numPr>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2008: مشروع الإدارة المتكاملة لتحسين الري</w:t>
            </w:r>
          </w:p>
          <w:p w:rsidR="00810BAC" w:rsidRPr="00FF3102" w:rsidRDefault="00810BAC" w:rsidP="00810BAC">
            <w:pPr>
              <w:bidi/>
              <w:spacing w:after="220"/>
              <w:jc w:val="both"/>
              <w:rPr>
                <w:rFonts w:ascii="Simplified Arabic" w:hAnsi="Simplified Arabic" w:cs="Simplified Arabic"/>
                <w:sz w:val="20"/>
                <w:szCs w:val="20"/>
              </w:rPr>
            </w:pPr>
          </w:p>
          <w:p w:rsidR="00810BAC" w:rsidRPr="00FF3102" w:rsidRDefault="00810BAC" w:rsidP="001E71BE">
            <w:pPr>
              <w:numPr>
                <w:ilvl w:val="0"/>
                <w:numId w:val="37"/>
              </w:numPr>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2000: المشروع القومي الثاني للصرف الزراعي (وتمويل إضافي في 2010)</w:t>
            </w:r>
          </w:p>
          <w:p w:rsidR="00810BAC" w:rsidRPr="00FF3102" w:rsidRDefault="00810BAC" w:rsidP="001E71BE">
            <w:pPr>
              <w:widowControl w:val="0"/>
              <w:numPr>
                <w:ilvl w:val="0"/>
                <w:numId w:val="37"/>
              </w:numPr>
              <w:tabs>
                <w:tab w:val="num" w:pos="244"/>
              </w:tabs>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السنة المالية 2011: مشروع تطوير الري على مستوى المزارع </w:t>
            </w:r>
          </w:p>
          <w:p w:rsidR="00810BAC" w:rsidRPr="00FF3102" w:rsidRDefault="00810BAC" w:rsidP="00810BAC">
            <w:pPr>
              <w:widowControl w:val="0"/>
              <w:tabs>
                <w:tab w:val="num" w:pos="244"/>
              </w:tabs>
              <w:bidi/>
              <w:spacing w:before="60" w:after="60"/>
              <w:ind w:left="245"/>
              <w:rPr>
                <w:rFonts w:ascii="Simplified Arabic" w:hAnsi="Simplified Arabic" w:cs="Simplified Arabic"/>
                <w:sz w:val="20"/>
                <w:szCs w:val="20"/>
              </w:rPr>
            </w:pPr>
          </w:p>
        </w:tc>
        <w:tc>
          <w:tcPr>
            <w:tcW w:w="1261" w:type="pct"/>
            <w:shd w:val="clear" w:color="auto" w:fill="FFFFFF"/>
          </w:tcPr>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يجب أن تتوفر هيئة رئيسية واحدة لإدارة التنفيذ لتفادي الارتباك في التنفيذ والتأخيرات البيروقراطية في عمليات المشتريات وتدفق الأموال.</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يجب اختيار استشاريي التصميم بطريقة تنافسية.</w:t>
            </w:r>
            <w:r w:rsidRPr="00FF3102">
              <w:rPr>
                <w:rFonts w:ascii="Simplified Arabic" w:eastAsiaTheme="minorEastAsia" w:hAnsi="Simplified Arabic" w:cs="Simplified Arabic"/>
                <w:sz w:val="20"/>
                <w:szCs w:val="20"/>
              </w:rPr>
              <w:t xml:space="preserve"> </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يجب أيضا اختيار استشاريي الإشراف على إنشاء المشروع (مهندس في التعاقد) بطريقة تنافسية.</w:t>
            </w:r>
            <w:r w:rsidRPr="00FF3102">
              <w:rPr>
                <w:rFonts w:ascii="Simplified Arabic" w:eastAsiaTheme="minorEastAsia" w:hAnsi="Simplified Arabic" w:cs="Simplified Arabic"/>
                <w:sz w:val="20"/>
                <w:szCs w:val="20"/>
              </w:rPr>
              <w:t xml:space="preserve"> </w:t>
            </w:r>
          </w:p>
          <w:p w:rsidR="00810BAC" w:rsidRPr="00FF3102" w:rsidRDefault="00810BAC" w:rsidP="00810BAC">
            <w:pPr>
              <w:bidi/>
              <w:spacing w:before="60" w:after="60"/>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sz w:val="20"/>
                <w:szCs w:val="20"/>
                <w:rtl/>
              </w:rPr>
              <w:t xml:space="preserve">حينما توجد مُعوِّقات للقدرات داخل الحكومة والهيئات التنفيذية، تستطيع المشروعات الاستعانة باستشاري لإدارة البرامج يشرف على إنشاء المشروع بدلا من الهيئات الحكومية. </w:t>
            </w:r>
          </w:p>
          <w:p w:rsidR="00810BAC" w:rsidRPr="00FF3102" w:rsidRDefault="00810BAC" w:rsidP="00810BAC">
            <w:pPr>
              <w:bidi/>
              <w:spacing w:before="60" w:after="60"/>
              <w:rPr>
                <w:rFonts w:ascii="Simplified Arabic" w:hAnsi="Simplified Arabic" w:cs="Simplified Arabic"/>
                <w:color w:val="000000"/>
                <w:sz w:val="20"/>
                <w:szCs w:val="20"/>
              </w:rPr>
            </w:pPr>
          </w:p>
          <w:p w:rsidR="00810BAC" w:rsidRPr="00FF3102" w:rsidRDefault="00810BAC" w:rsidP="00810BAC">
            <w:pPr>
              <w:bidi/>
              <w:spacing w:before="60" w:after="60"/>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وتحتاج الهيئات الحكومية أيضا إلى مساندة مكتب استشاري للشؤون البيئية والاجتماعية لإعداد تقييم الآثار البيئية والاجتماعية وتنفيذ أعمال التشاور مع المنتفعين المحليين في مراحل التخطيط والتصميم لتفادي أي عرقلة من المجتمعات المحلية في أثناء الإنشاء.</w:t>
            </w:r>
          </w:p>
          <w:p w:rsidR="00810BAC" w:rsidRPr="00FF3102" w:rsidRDefault="00810BAC" w:rsidP="00810BAC">
            <w:pPr>
              <w:bidi/>
              <w:spacing w:before="60" w:after="60"/>
              <w:rPr>
                <w:rFonts w:ascii="Simplified Arabic" w:hAnsi="Simplified Arabic" w:cs="Simplified Arabic"/>
                <w:color w:val="000000"/>
                <w:sz w:val="20"/>
                <w:szCs w:val="20"/>
              </w:rPr>
            </w:pPr>
          </w:p>
          <w:p w:rsidR="00810BAC" w:rsidRPr="00FF3102" w:rsidRDefault="00810BAC" w:rsidP="00810BAC">
            <w:pPr>
              <w:bidi/>
              <w:spacing w:before="60" w:after="60"/>
              <w:rPr>
                <w:rFonts w:ascii="Simplified Arabic" w:eastAsiaTheme="minorEastAsia" w:hAnsi="Simplified Arabic" w:cs="Simplified Arabic"/>
                <w:color w:val="000000"/>
                <w:sz w:val="20"/>
                <w:szCs w:val="20"/>
              </w:rPr>
            </w:pPr>
            <w:r w:rsidRPr="00FF3102">
              <w:rPr>
                <w:rFonts w:ascii="Simplified Arabic" w:eastAsiaTheme="minorEastAsia" w:hAnsi="Simplified Arabic" w:cs="Simplified Arabic"/>
                <w:color w:val="000000"/>
                <w:sz w:val="20"/>
                <w:szCs w:val="20"/>
                <w:rtl/>
              </w:rPr>
              <w:t>تحتاج إجراءات الحكومة لنزع ملكية الأراض</w:t>
            </w:r>
            <w:r w:rsidR="00236A62">
              <w:rPr>
                <w:rFonts w:ascii="Simplified Arabic" w:eastAsiaTheme="minorEastAsia" w:hAnsi="Simplified Arabic" w:cs="Simplified Arabic" w:hint="cs"/>
                <w:color w:val="000000"/>
                <w:sz w:val="20"/>
                <w:szCs w:val="20"/>
                <w:rtl/>
              </w:rPr>
              <w:t>ي</w:t>
            </w:r>
            <w:r w:rsidRPr="00FF3102">
              <w:rPr>
                <w:rFonts w:ascii="Simplified Arabic" w:eastAsiaTheme="minorEastAsia" w:hAnsi="Simplified Arabic" w:cs="Simplified Arabic"/>
                <w:color w:val="000000"/>
                <w:sz w:val="20"/>
                <w:szCs w:val="20"/>
                <w:rtl/>
              </w:rPr>
              <w:t xml:space="preserve"> إلى التبسيط، ويجب إنشاء آلية مناسبة للتعويض بمعزل عن الهيئات المعنية المسؤولة عن إدارة التنفيذ.</w:t>
            </w:r>
          </w:p>
          <w:p w:rsidR="00810BAC" w:rsidRPr="00FF3102" w:rsidRDefault="00810BAC" w:rsidP="00810BAC">
            <w:pPr>
              <w:bidi/>
              <w:spacing w:before="60" w:after="60"/>
              <w:rPr>
                <w:rFonts w:ascii="Simplified Arabic" w:hAnsi="Simplified Arabic" w:cs="Simplified Arabic"/>
                <w:color w:val="000000"/>
                <w:sz w:val="20"/>
                <w:szCs w:val="20"/>
              </w:rPr>
            </w:pP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أدَّى ضعف إدارة العقود إلى التأخُّر في سير التنفيذ في الكثير من العقود، ولاسيما عقود الصرف المُغطَّى.</w:t>
            </w:r>
            <w:r w:rsidRPr="00FF3102">
              <w:rPr>
                <w:rFonts w:ascii="Simplified Arabic" w:eastAsiaTheme="minorEastAsia" w:hAnsi="Simplified Arabic" w:cs="Simplified Arabic"/>
                <w:color w:val="000000"/>
                <w:sz w:val="20"/>
                <w:szCs w:val="20"/>
              </w:rPr>
              <w:t xml:space="preserve"> </w:t>
            </w:r>
          </w:p>
          <w:p w:rsidR="00810BAC" w:rsidRPr="00FF3102" w:rsidRDefault="00810BAC"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color w:val="000000"/>
                <w:sz w:val="20"/>
                <w:szCs w:val="20"/>
                <w:rtl/>
              </w:rPr>
              <w:t>يجب على الحكومة أن تعمل من أجل التعجيل بسير التنفيذ، ولاسيما للعقود التي يقوم على تنفيذها مقاولون من القطاع العام.</w:t>
            </w:r>
          </w:p>
        </w:tc>
      </w:tr>
    </w:tbl>
    <w:p w:rsidR="00810BAC" w:rsidRPr="00FF3102" w:rsidRDefault="00810BAC" w:rsidP="00810BAC">
      <w:pPr>
        <w:bidi/>
        <w:rPr>
          <w:rFonts w:ascii="Simplified Arabic" w:hAnsi="Simplified Arabic" w:cs="Simplified Arabic"/>
          <w:sz w:val="20"/>
          <w:szCs w:val="20"/>
        </w:rPr>
      </w:pPr>
    </w:p>
    <w:p w:rsidR="00810BAC" w:rsidRPr="00FF3102" w:rsidRDefault="00810BAC" w:rsidP="00810BAC">
      <w:pPr>
        <w:bidi/>
        <w:rPr>
          <w:rFonts w:ascii="Simplified Arabic" w:hAnsi="Simplified Arabic" w:cs="Simplified Arabic"/>
          <w:sz w:val="20"/>
          <w:szCs w:val="20"/>
        </w:rPr>
      </w:pPr>
    </w:p>
    <w:p w:rsidR="00810BAC" w:rsidRPr="00FF3102" w:rsidRDefault="00810BAC" w:rsidP="00810BAC">
      <w:pPr>
        <w:bidi/>
        <w:rPr>
          <w:rFonts w:ascii="Simplified Arabic" w:eastAsiaTheme="minorEastAsia" w:hAnsi="Simplified Arabic" w:cs="Simplified Arabic"/>
          <w:sz w:val="20"/>
          <w:szCs w:val="20"/>
        </w:rPr>
      </w:pPr>
    </w:p>
    <w:p w:rsidR="00810BAC" w:rsidRPr="00FF3102" w:rsidRDefault="00810BAC" w:rsidP="00810BAC">
      <w:pPr>
        <w:bidi/>
        <w:rPr>
          <w:rFonts w:ascii="Simplified Arabic" w:hAnsi="Simplified Arabic" w:cs="Simplified Arabic"/>
          <w:sz w:val="20"/>
          <w:szCs w:val="20"/>
        </w:rPr>
      </w:pPr>
      <w:r w:rsidRPr="00FF3102">
        <w:rPr>
          <w:rFonts w:ascii="Simplified Arabic" w:hAnsi="Simplified Arabic" w:cs="Simplified Arabic"/>
          <w:sz w:val="20"/>
          <w:szCs w:val="20"/>
        </w:rPr>
        <w:br w:type="page"/>
      </w:r>
    </w:p>
    <w:tbl>
      <w:tblPr>
        <w:bidiVisual/>
        <w:tblW w:w="52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6"/>
        <w:gridCol w:w="1724"/>
        <w:gridCol w:w="2505"/>
      </w:tblGrid>
      <w:tr w:rsidR="00810BAC" w:rsidRPr="00FF3102">
        <w:trPr>
          <w:trHeight w:val="20"/>
          <w:jc w:val="center"/>
        </w:trPr>
        <w:tc>
          <w:tcPr>
            <w:tcW w:w="5000" w:type="pct"/>
            <w:gridSpan w:val="3"/>
            <w:shd w:val="clear" w:color="auto" w:fill="FFFFFF"/>
            <w:vAlign w:val="center"/>
          </w:tcPr>
          <w:p w:rsidR="00810BAC" w:rsidRPr="00FF3102" w:rsidRDefault="00810BAC" w:rsidP="00FF3102">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 xml:space="preserve">3.2 </w:t>
            </w:r>
            <w:r w:rsidR="00FF3102">
              <w:rPr>
                <w:rFonts w:ascii="Simplified Arabic" w:eastAsiaTheme="minorEastAsia" w:hAnsi="Simplified Arabic" w:cs="Simplified Arabic" w:hint="cs"/>
                <w:b/>
                <w:sz w:val="20"/>
                <w:szCs w:val="20"/>
                <w:rtl/>
              </w:rPr>
              <w:t xml:space="preserve">. </w:t>
            </w:r>
            <w:r w:rsidRPr="00FF3102">
              <w:rPr>
                <w:rFonts w:ascii="Simplified Arabic" w:eastAsiaTheme="minorEastAsia" w:hAnsi="Simplified Arabic" w:cs="Simplified Arabic"/>
                <w:bCs/>
                <w:sz w:val="20"/>
                <w:szCs w:val="20"/>
                <w:rtl/>
              </w:rPr>
              <w:t>تحسين نوعية الهواء والمياه: تحقٌّقت</w:t>
            </w:r>
          </w:p>
        </w:tc>
      </w:tr>
      <w:tr w:rsidR="00810BAC" w:rsidRPr="00FF3102">
        <w:trPr>
          <w:trHeight w:val="20"/>
          <w:jc w:val="center"/>
        </w:trPr>
        <w:tc>
          <w:tcPr>
            <w:tcW w:w="2861" w:type="pct"/>
            <w:shd w:val="clear" w:color="auto" w:fill="FFFFFF"/>
          </w:tcPr>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نجاح اختبار (قبل التوسعة النهائية) البرامج التجريبية المعنية بما يلي: (1) تخفيض تلوث الهواء في المجالا</w:t>
            </w:r>
            <w:r w:rsidR="00236A62">
              <w:rPr>
                <w:rFonts w:ascii="Simplified Arabic" w:eastAsiaTheme="minorEastAsia" w:hAnsi="Simplified Arabic" w:cs="Simplified Arabic"/>
                <w:bCs/>
                <w:sz w:val="20"/>
                <w:szCs w:val="20"/>
                <w:rtl/>
              </w:rPr>
              <w:t xml:space="preserve">ت الصناعية؛ (2) إدارة النفايات </w:t>
            </w:r>
            <w:r w:rsidRPr="00FF3102">
              <w:rPr>
                <w:rFonts w:ascii="Simplified Arabic" w:eastAsiaTheme="minorEastAsia" w:hAnsi="Simplified Arabic" w:cs="Simplified Arabic"/>
                <w:bCs/>
                <w:sz w:val="20"/>
                <w:szCs w:val="20"/>
                <w:rtl/>
              </w:rPr>
              <w:t>بحلول 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معالم مذكرة الإستراتيجية المؤقتة</w:t>
            </w:r>
          </w:p>
          <w:p w:rsidR="00810BAC" w:rsidRPr="00FF3102" w:rsidRDefault="00810BAC" w:rsidP="001E71BE">
            <w:pPr>
              <w:numPr>
                <w:ilvl w:val="0"/>
                <w:numId w:val="38"/>
              </w:numPr>
              <w:tabs>
                <w:tab w:val="left" w:pos="2085"/>
                <w:tab w:val="center" w:pos="4680"/>
                <w:tab w:val="right" w:pos="9360"/>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التدشين الفاعل لحوار متعمق بشأن توسيع نطاق/ تعديل البرنامج التجريبي الخاص بالحد من تلوث الهواء في المجالات الصناعية</w:t>
            </w:r>
          </w:p>
          <w:p w:rsidR="00810BAC" w:rsidRPr="00FF3102" w:rsidRDefault="00810BAC" w:rsidP="001E71BE">
            <w:pPr>
              <w:numPr>
                <w:ilvl w:val="0"/>
                <w:numId w:val="38"/>
              </w:numPr>
              <w:tabs>
                <w:tab w:val="left" w:pos="2085"/>
                <w:tab w:val="center" w:pos="4680"/>
                <w:tab w:val="right" w:pos="9360"/>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تدشين برنامج تجريبي للحد من التلوث في إدارة النفايات.</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sz w:val="20"/>
                <w:szCs w:val="20"/>
                <w:rtl/>
              </w:rPr>
              <w:t>فيما يتعلَّق بالبرامج التجريبية للحد من تلوُّث الهواء في المناطق الصناعية، فإن المرحلة التجريبية (مشروع الحد من التلوث في مصر: 1999-2005) كانت ناجحة، وتم توسيع نطاقها في المرحلة الثانية من مشروع الحد من التلوث: 2006-2014.</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وعلى الرغم من عدم الاستقرار في مصر بعد انتفاضات الربيع العربي، فإن عددا متزايدا من الشركات أبدى اهتماما بالمشاركة في مشروع الحد من التلوث.</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وحفَّز مشروع الحد من التلوث على مشروعات مماثلة مثل المشروع الصناعي بين القطاعين العام والخاص الذي يُموِّله البنك الألماني للتنمية.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وموَّل مشروع البنك الدولي محطة لمعالجة مياه الصرف بعد الاختبار الناجح لمشروع تخفيف حدة التلوُّث بمياه الصرف.</w:t>
            </w:r>
          </w:p>
          <w:p w:rsidR="00810BAC" w:rsidRPr="00FF3102" w:rsidRDefault="00810BAC" w:rsidP="00810BAC">
            <w:pPr>
              <w:bidi/>
              <w:spacing w:after="220"/>
              <w:jc w:val="both"/>
              <w:outlineLvl w:val="1"/>
              <w:rPr>
                <w:rFonts w:ascii="Simplified Arabic" w:eastAsiaTheme="minorEastAsia" w:hAnsi="Simplified Arabic" w:cs="Simplified Arabic"/>
                <w:sz w:val="20"/>
                <w:szCs w:val="20"/>
              </w:rPr>
            </w:pPr>
            <w:r w:rsidRPr="00FF3102">
              <w:rPr>
                <w:rFonts w:ascii="Simplified Arabic" w:eastAsiaTheme="minorEastAsia" w:hAnsi="Simplified Arabic" w:cs="Simplified Arabic"/>
                <w:spacing w:val="2"/>
                <w:sz w:val="20"/>
                <w:szCs w:val="20"/>
                <w:rtl/>
              </w:rPr>
              <w:t>وأسهمت المرحلة الثانية من مشروع الحد من التلوث في مصر في تحقيق تحسينات على وضع الانبعاثات الضارة ولاسيما من قطاع الإسمنت ومصانع الطوب، وهما من أشد القطاعات تسبُّبا في التلوُّث.</w:t>
            </w:r>
            <w:r w:rsidRPr="00FF3102">
              <w:rPr>
                <w:rFonts w:ascii="Simplified Arabic" w:eastAsiaTheme="minorEastAsia" w:hAnsi="Simplified Arabic" w:cs="Simplified Arabic"/>
                <w:spacing w:val="2"/>
                <w:sz w:val="20"/>
                <w:szCs w:val="20"/>
              </w:rPr>
              <w:t xml:space="preserve"> </w:t>
            </w:r>
            <w:r w:rsidRPr="00FF3102">
              <w:rPr>
                <w:rFonts w:ascii="Simplified Arabic" w:eastAsiaTheme="minorEastAsia" w:hAnsi="Simplified Arabic" w:cs="Simplified Arabic"/>
                <w:spacing w:val="2"/>
                <w:sz w:val="20"/>
                <w:szCs w:val="20"/>
                <w:rtl/>
              </w:rPr>
              <w:t>ولاحظت دراسة قطاعية اقتصادية لنوعية الهواء في القاهرة في الآونة الأخيرة حدوث تحسُّن في نوعية الهواء.</w:t>
            </w:r>
            <w:r w:rsidRPr="00FF3102">
              <w:rPr>
                <w:rFonts w:ascii="Simplified Arabic" w:eastAsiaTheme="minorEastAsia" w:hAnsi="Simplified Arabic" w:cs="Simplified Arabic"/>
                <w:spacing w:val="2"/>
                <w:sz w:val="20"/>
                <w:szCs w:val="20"/>
              </w:rPr>
              <w:t xml:space="preserve"> </w:t>
            </w:r>
            <w:r w:rsidRPr="00FF3102">
              <w:rPr>
                <w:rFonts w:ascii="Simplified Arabic" w:eastAsiaTheme="minorEastAsia" w:hAnsi="Simplified Arabic" w:cs="Simplified Arabic"/>
                <w:spacing w:val="2"/>
                <w:sz w:val="20"/>
                <w:szCs w:val="20"/>
                <w:rtl/>
              </w:rPr>
              <w:t>وخلصت نتائج الدراسة إلى أن تركيزات الجسيمات العالقة التي تقل أقطارها عن 10 ميكرون والجسيمات التي تقل عن 2.5 ميكرون كانت أقل في خريف عام 2010 عما كانت عليه في خريف 1999. وقد يرجع هذا الانخفاض إلى عدة عوامل، لاسيما توسيع شبكة الطرق الرئيسية والسريعة، وتحسُّن كفاءة السيارات، والحد من التلوُّث الصناعي، وجهود احتواء الحرق في العراء.</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236A62">
            <w:pPr>
              <w:numPr>
                <w:ilvl w:val="0"/>
                <w:numId w:val="48"/>
              </w:numPr>
              <w:tabs>
                <w:tab w:val="left" w:pos="2085"/>
                <w:tab w:val="center" w:pos="4680"/>
                <w:tab w:val="right" w:pos="9360"/>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تحسين اللوا</w:t>
            </w:r>
            <w:r w:rsidR="00236A62">
              <w:rPr>
                <w:rFonts w:ascii="Simplified Arabic" w:eastAsiaTheme="minorEastAsia" w:hAnsi="Simplified Arabic" w:cs="Simplified Arabic"/>
                <w:sz w:val="20"/>
                <w:szCs w:val="20"/>
                <w:rtl/>
              </w:rPr>
              <w:t>ئح المنظمة للمعايير البيئية، وذ</w:t>
            </w:r>
            <w:r w:rsidR="00236A62">
              <w:rPr>
                <w:rFonts w:ascii="Simplified Arabic" w:eastAsiaTheme="minorEastAsia" w:hAnsi="Simplified Arabic" w:cs="Simplified Arabic" w:hint="cs"/>
                <w:sz w:val="20"/>
                <w:szCs w:val="20"/>
                <w:rtl/>
              </w:rPr>
              <w:t>لك ب</w:t>
            </w:r>
            <w:r w:rsidRPr="00FF3102">
              <w:rPr>
                <w:rFonts w:ascii="Simplified Arabic" w:eastAsiaTheme="minorEastAsia" w:hAnsi="Simplified Arabic" w:cs="Simplified Arabic"/>
                <w:sz w:val="20"/>
                <w:szCs w:val="20"/>
                <w:rtl/>
              </w:rPr>
              <w:t xml:space="preserve">نهاية الفترة التي تغطيها إستراتيجية المساعدة الخاصة بمصر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وحدث تقدُّم في تبنِّي الإجراءات القانونية والمؤسسية لتحسين نوعية الهواء مثل تعديل القانون 4 لعام 1994 في شأن حماية البيئة بالقانون 9 لعام 2009 الذي يحظر حرق النفايات في العراء ويفرض غرامات شديدة على المخالفين.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وتم تعديل معايير جودة الهواء المنصوص عليها في اللوائح التنفيذية لعام 1995 في 2005، وأجرى عليها مزيد من التعديل نتيجة لسن القانون 9 لعام 2009، ومع ذلك فإن مجلس الوزراء لم يصدر بعد هذه اللوائح التنفيذية.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ولقى هذا مساندة من عملية البنك.</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iCs/>
                <w:sz w:val="20"/>
                <w:szCs w:val="20"/>
                <w:rtl/>
              </w:rPr>
              <w:t>[التقرير المرحلي عن سير العمل في إستراتيجية المساعدة الخاصة بمصر 2.3</w:t>
            </w:r>
            <w:r w:rsidRPr="00FF3102">
              <w:rPr>
                <w:rFonts w:ascii="Simplified Arabic" w:eastAsiaTheme="minorEastAsia" w:hAnsi="Simplified Arabic" w:cs="Simplified Arabic"/>
                <w:b/>
                <w:i/>
                <w:sz w:val="20"/>
                <w:szCs w:val="20"/>
              </w:rPr>
              <w:t xml:space="preserve"> </w:t>
            </w:r>
            <w:r w:rsidRPr="00FF3102">
              <w:rPr>
                <w:rFonts w:ascii="Simplified Arabic" w:eastAsiaTheme="minorEastAsia" w:hAnsi="Simplified Arabic" w:cs="Simplified Arabic"/>
                <w:bCs/>
                <w:iCs/>
                <w:sz w:val="20"/>
                <w:szCs w:val="20"/>
                <w:rtl/>
              </w:rPr>
              <w:t>تحسين نوعية الهواء والمياه]</w:t>
            </w:r>
          </w:p>
        </w:tc>
        <w:tc>
          <w:tcPr>
            <w:tcW w:w="872" w:type="pct"/>
            <w:shd w:val="clear" w:color="auto" w:fill="FFFFFF"/>
          </w:tcPr>
          <w:p w:rsidR="00810BAC" w:rsidRPr="00FF3102" w:rsidRDefault="00810BAC" w:rsidP="001E71BE">
            <w:pPr>
              <w:numPr>
                <w:ilvl w:val="0"/>
                <w:numId w:val="37"/>
              </w:numPr>
              <w:tabs>
                <w:tab w:val="num" w:pos="244"/>
              </w:tabs>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2006: مشروع الحد من التلوث ـ المرحلة الثانية</w:t>
            </w:r>
            <w:r w:rsidRPr="00FF3102">
              <w:rPr>
                <w:rFonts w:ascii="Simplified Arabic" w:eastAsiaTheme="minorEastAsia" w:hAnsi="Simplified Arabic" w:cs="Simplified Arabic"/>
                <w:sz w:val="20"/>
                <w:szCs w:val="20"/>
              </w:rPr>
              <w:t xml:space="preserve"> </w:t>
            </w:r>
          </w:p>
          <w:p w:rsidR="00810BAC" w:rsidRPr="00FF3102" w:rsidRDefault="00810BAC" w:rsidP="001E71BE">
            <w:pPr>
              <w:numPr>
                <w:ilvl w:val="0"/>
                <w:numId w:val="37"/>
              </w:numPr>
              <w:tabs>
                <w:tab w:val="num" w:pos="244"/>
              </w:tabs>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2005: التحليل البيئي الخاص بمصر</w:t>
            </w:r>
            <w:r w:rsidRPr="00FF3102">
              <w:rPr>
                <w:rFonts w:ascii="Simplified Arabic" w:eastAsiaTheme="minorEastAsia" w:hAnsi="Simplified Arabic" w:cs="Simplified Arabic"/>
                <w:sz w:val="20"/>
                <w:szCs w:val="20"/>
              </w:rPr>
              <w:t xml:space="preserve"> </w:t>
            </w:r>
          </w:p>
          <w:p w:rsidR="00810BAC" w:rsidRPr="00FF3102" w:rsidRDefault="00810BAC" w:rsidP="001E71BE">
            <w:pPr>
              <w:numPr>
                <w:ilvl w:val="0"/>
                <w:numId w:val="37"/>
              </w:numPr>
              <w:tabs>
                <w:tab w:val="num" w:pos="244"/>
              </w:tabs>
              <w:bidi/>
              <w:spacing w:before="60" w:after="60"/>
              <w:ind w:left="245" w:hanging="173"/>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2013: دراسة قطاعية واقتصادية لنوعية الهواء بالقاهرة</w:t>
            </w:r>
          </w:p>
        </w:tc>
        <w:tc>
          <w:tcPr>
            <w:tcW w:w="1267" w:type="pct"/>
            <w:shd w:val="clear" w:color="auto" w:fill="FFFFFF"/>
          </w:tcPr>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يجب أن يواصل البنك مشاركته ويُبقِي على حواره المتواصل مع أصحاب المصلحة في القطاع.</w:t>
            </w:r>
          </w:p>
          <w:p w:rsidR="00810BAC" w:rsidRPr="00FF3102" w:rsidRDefault="00810BAC" w:rsidP="00810BAC">
            <w:pPr>
              <w:tabs>
                <w:tab w:val="left" w:pos="2085"/>
                <w:tab w:val="center" w:pos="4680"/>
                <w:tab w:val="right" w:pos="9360"/>
              </w:tabs>
              <w:bidi/>
              <w:spacing w:before="60" w:after="60"/>
              <w:ind w:left="720"/>
              <w:rPr>
                <w:rFonts w:ascii="Simplified Arabic" w:hAnsi="Simplified Arabic" w:cs="Simplified Arabic"/>
                <w:color w:val="1F497D"/>
                <w:sz w:val="20"/>
                <w:szCs w:val="20"/>
              </w:rPr>
            </w:pPr>
          </w:p>
          <w:p w:rsidR="00810BAC" w:rsidRPr="00FF3102" w:rsidRDefault="00810BAC" w:rsidP="00810BAC">
            <w:pPr>
              <w:bidi/>
              <w:spacing w:before="60" w:after="60"/>
              <w:ind w:left="245"/>
              <w:rPr>
                <w:rFonts w:ascii="Simplified Arabic" w:hAnsi="Simplified Arabic" w:cs="Simplified Arabic"/>
                <w:sz w:val="20"/>
                <w:szCs w:val="20"/>
              </w:rPr>
            </w:pPr>
          </w:p>
        </w:tc>
      </w:tr>
      <w:tr w:rsidR="00810BAC" w:rsidRPr="00FF3102">
        <w:trPr>
          <w:trHeight w:val="20"/>
          <w:jc w:val="center"/>
        </w:trPr>
        <w:tc>
          <w:tcPr>
            <w:tcW w:w="5000" w:type="pct"/>
            <w:gridSpan w:val="3"/>
            <w:shd w:val="clear" w:color="auto" w:fill="FFFFFF"/>
          </w:tcPr>
          <w:p w:rsidR="00810BAC" w:rsidRPr="00FF3102" w:rsidRDefault="00810BAC" w:rsidP="00810BAC">
            <w:pPr>
              <w:keepNext/>
              <w:bidi/>
              <w:spacing w:before="60" w:after="60"/>
              <w:ind w:left="72"/>
              <w:rPr>
                <w:rFonts w:ascii="Simplified Arabic" w:eastAsiaTheme="minorEastAsia" w:hAnsi="Simplified Arabic" w:cs="Simplified Arabic"/>
                <w:sz w:val="20"/>
                <w:szCs w:val="20"/>
              </w:rPr>
            </w:pPr>
            <w:r w:rsidRPr="00FF3102">
              <w:rPr>
                <w:rFonts w:ascii="Simplified Arabic" w:eastAsiaTheme="minorEastAsia" w:hAnsi="Simplified Arabic" w:cs="Simplified Arabic"/>
                <w:b/>
                <w:sz w:val="20"/>
                <w:szCs w:val="20"/>
              </w:rPr>
              <w:t xml:space="preserve"> </w:t>
            </w:r>
            <w:r w:rsidRPr="00FF3102">
              <w:rPr>
                <w:rFonts w:ascii="Simplified Arabic" w:eastAsiaTheme="minorEastAsia" w:hAnsi="Simplified Arabic" w:cs="Simplified Arabic"/>
                <w:bCs/>
                <w:sz w:val="20"/>
                <w:szCs w:val="20"/>
                <w:rtl/>
              </w:rPr>
              <w:t>3.3</w:t>
            </w:r>
            <w:r w:rsidR="00FF3102">
              <w:rPr>
                <w:rFonts w:ascii="Simplified Arabic" w:eastAsiaTheme="minorEastAsia" w:hAnsi="Simplified Arabic" w:cs="Simplified Arabic" w:hint="cs"/>
                <w:bCs/>
                <w:sz w:val="20"/>
                <w:szCs w:val="20"/>
                <w:rtl/>
              </w:rPr>
              <w:t>.</w:t>
            </w:r>
            <w:r w:rsidRPr="00FF3102">
              <w:rPr>
                <w:rFonts w:ascii="Simplified Arabic" w:eastAsiaTheme="minorEastAsia" w:hAnsi="Simplified Arabic" w:cs="Simplified Arabic"/>
                <w:bCs/>
                <w:sz w:val="20"/>
                <w:szCs w:val="20"/>
                <w:rtl/>
              </w:rPr>
              <w:t xml:space="preserve"> توسيع نطاق الحصول على الرعاية الصحية: لم يتحقَّق</w:t>
            </w:r>
          </w:p>
        </w:tc>
      </w:tr>
      <w:tr w:rsidR="00810BAC" w:rsidRPr="00FF3102">
        <w:trPr>
          <w:trHeight w:val="20"/>
          <w:jc w:val="center"/>
        </w:trPr>
        <w:tc>
          <w:tcPr>
            <w:tcW w:w="2861"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اعتماد إصلاح التأمين الصحي بما يعكس أفضل الممارسات الدولية ـ بنهاية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1E71BE">
            <w:pPr>
              <w:numPr>
                <w:ilvl w:val="0"/>
                <w:numId w:val="45"/>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استكمال واعتماد الدراسات الإكتوارية وخطة التنفيذ بغرض تعميم الإصلاح.</w:t>
            </w:r>
          </w:p>
          <w:p w:rsidR="00810BAC" w:rsidRPr="00FF3102" w:rsidRDefault="00810BAC" w:rsidP="001E71BE">
            <w:pPr>
              <w:numPr>
                <w:ilvl w:val="0"/>
                <w:numId w:val="45"/>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التعاقد مع شركة للتحقُّق والمصادقة لتقديم مساندة مباشرة إلى جهة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الدفع التي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تتولى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ترتيبات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دفع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تكاليف</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التأمين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الصحي بالنسبة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لاتخاذ</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القرارات، والمشورة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الفنية،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وخدمات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التحقق</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والمصادقة</w:t>
            </w:r>
            <w:r w:rsidRPr="00FF3102">
              <w:rPr>
                <w:rFonts w:ascii="Simplified Arabic" w:eastAsiaTheme="minorEastAsia" w:hAnsi="Simplified Arabic" w:cs="Simplified Arabic"/>
                <w:sz w:val="20"/>
                <w:szCs w:val="20"/>
              </w:rPr>
              <w:t>.</w:t>
            </w:r>
          </w:p>
          <w:p w:rsidR="00810BAC" w:rsidRPr="00FF3102" w:rsidRDefault="00810BAC" w:rsidP="001E71BE">
            <w:pPr>
              <w:numPr>
                <w:ilvl w:val="0"/>
                <w:numId w:val="45"/>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التزام الحكومة بمد مظلة التغطية الصحية الشاملة إلى مجموعة جديدة من السكان غير المُؤمَّن عليهم، ولاسيما الفقراء.</w:t>
            </w:r>
          </w:p>
          <w:p w:rsidR="00810BAC" w:rsidRPr="00236A62" w:rsidRDefault="00810BAC" w:rsidP="00810BAC">
            <w:pPr>
              <w:tabs>
                <w:tab w:val="num" w:pos="244"/>
              </w:tabs>
              <w:bidi/>
              <w:spacing w:before="60" w:after="60"/>
              <w:ind w:left="-3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لم يتحقَّق اعتماد إصلاح نظام التأمين الصحي.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ويتمثَّل التدخُّل الرئيسي للبنك الدولي في مشروع تطوير أنظمة التأمين الصحي الذي أعيدت هيكلته في الآونة الأخيرة بتصميم أكثر مرونة لمد التغطية الصحية إلى الفقراء باستخدام تصميم سريع الصرف لأقساط التأمين لمن يتم تسجيلهم للالتحاق بالتأمين الصحي الاجتماعي. </w:t>
            </w:r>
            <w:r w:rsidRPr="00FF3102">
              <w:rPr>
                <w:rFonts w:ascii="Simplified Arabic" w:eastAsiaTheme="minorEastAsia" w:hAnsi="Simplified Arabic" w:cs="Simplified Arabic"/>
                <w:color w:val="000000"/>
                <w:sz w:val="20"/>
                <w:szCs w:val="20"/>
                <w:rtl/>
              </w:rPr>
              <w:t>وحينما تم تكليف حكومة جديدة في 30 يونيو 2013، أبدت الحكومة قلقها بشأن الاستدامة المالية للتأمين الصحي الاجتماعي وطلبت مساعدتنا الفنية لإجراء عدد من الدراسات للمساعدة في الوقوف على سبل جعل المشروع يتسم بالاستدامة المالية مع إمكانية إعادة النظر في تصميم المشروع مرة أخرى ليتلاءم مع الأولويات الحالية للحكومة</w:t>
            </w:r>
            <w:r w:rsidRPr="00236A62">
              <w:rPr>
                <w:rFonts w:ascii="Simplified Arabic" w:eastAsiaTheme="minorEastAsia" w:hAnsi="Simplified Arabic" w:cs="Simplified Arabic"/>
                <w:color w:val="000000"/>
                <w:sz w:val="20"/>
                <w:szCs w:val="20"/>
                <w:rtl/>
              </w:rPr>
              <w:t>.</w:t>
            </w:r>
            <w:r w:rsidRPr="00236A62">
              <w:rPr>
                <w:rFonts w:ascii="Simplified Arabic" w:eastAsiaTheme="minorEastAsia" w:hAnsi="Simplified Arabic" w:cs="Simplified Arabic"/>
                <w:color w:val="000000"/>
                <w:sz w:val="20"/>
                <w:szCs w:val="20"/>
              </w:rPr>
              <w:t xml:space="preserve"> </w:t>
            </w:r>
            <w:r w:rsidRPr="00236A62">
              <w:rPr>
                <w:rFonts w:ascii="Simplified Arabic" w:eastAsiaTheme="minorEastAsia" w:hAnsi="Simplified Arabic" w:cs="Simplified Arabic"/>
                <w:color w:val="000000"/>
                <w:sz w:val="20"/>
                <w:szCs w:val="20"/>
                <w:rtl/>
              </w:rPr>
              <w:t>وقدَّمت مؤسسة التمويل الدولية بنجاح المشورة إلى الوحدة المركزية للشراكة بين القطاعين العام والخاص في وزارة المالية ووزارة التعليم العالي في مجال تنفيذ مشروع مستشفيات الأسكندرية القائم على هذه الشراكة.</w:t>
            </w:r>
            <w:r w:rsidRPr="00236A62">
              <w:rPr>
                <w:rFonts w:ascii="Simplified Arabic" w:eastAsiaTheme="minorEastAsia" w:hAnsi="Simplified Arabic" w:cs="Simplified Arabic"/>
                <w:color w:val="000000"/>
                <w:sz w:val="20"/>
                <w:szCs w:val="20"/>
              </w:rPr>
              <w:t xml:space="preserve"> </w:t>
            </w:r>
          </w:p>
          <w:p w:rsidR="00810BAC" w:rsidRPr="00236A62" w:rsidRDefault="00810BAC" w:rsidP="00810BAC">
            <w:pPr>
              <w:tabs>
                <w:tab w:val="left" w:pos="2085"/>
                <w:tab w:val="center" w:pos="4680"/>
                <w:tab w:val="right" w:pos="9360"/>
              </w:tabs>
              <w:bidi/>
              <w:spacing w:before="60" w:after="60"/>
              <w:rPr>
                <w:rFonts w:ascii="Simplified Arabic" w:hAnsi="Simplified Arabic" w:cs="Simplified Arabic"/>
                <w:b/>
                <w:sz w:val="20"/>
                <w:szCs w:val="20"/>
              </w:rPr>
            </w:pP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[التقرير المرحلي عن سير العمل في إستراتيجية المساعدة الخاصة بمصر 3.3 توسيع نطاق الحصول على الرعاية الصحية]</w:t>
            </w:r>
          </w:p>
        </w:tc>
        <w:tc>
          <w:tcPr>
            <w:tcW w:w="872"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مشروع إصلاح القطاع الصحي (أغلق </w:t>
            </w:r>
            <w:r w:rsidRPr="00FF3102">
              <w:rPr>
                <w:rFonts w:ascii="Simplified Arabic" w:eastAsiaTheme="minorEastAsia" w:hAnsi="Simplified Arabic" w:cs="Simplified Arabic"/>
                <w:sz w:val="20"/>
                <w:szCs w:val="20"/>
              </w:rPr>
              <w:t>(SPN</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السنة المالية 2010: مشروع تطوير أنظمة التأمين الصحي</w:t>
            </w:r>
          </w:p>
          <w:p w:rsidR="00810BAC" w:rsidRPr="002241AE" w:rsidRDefault="00810BAC" w:rsidP="00810BAC">
            <w:pPr>
              <w:tabs>
                <w:tab w:val="num" w:pos="244"/>
              </w:tabs>
              <w:bidi/>
              <w:spacing w:before="60" w:after="60"/>
              <w:rPr>
                <w:rFonts w:ascii="Simplified Arabic" w:eastAsiaTheme="minorEastAsia" w:hAnsi="Simplified Arabic" w:cs="Simplified Arabic"/>
                <w:b/>
                <w:sz w:val="20"/>
                <w:szCs w:val="20"/>
              </w:rPr>
            </w:pPr>
            <w:r w:rsidRPr="002241AE">
              <w:rPr>
                <w:rFonts w:ascii="Simplified Arabic" w:eastAsiaTheme="minorEastAsia" w:hAnsi="Simplified Arabic" w:cs="Simplified Arabic"/>
                <w:b/>
                <w:sz w:val="20"/>
                <w:szCs w:val="20"/>
                <w:rtl/>
              </w:rPr>
              <w:t>مشروعات جارية: حوار بشأن التأمين الصحي الشامل (مساعدة فنية)</w:t>
            </w:r>
          </w:p>
          <w:p w:rsidR="00810BAC" w:rsidRPr="002241AE" w:rsidRDefault="00810BAC" w:rsidP="00810BAC">
            <w:pPr>
              <w:tabs>
                <w:tab w:val="num" w:pos="244"/>
              </w:tabs>
              <w:bidi/>
              <w:spacing w:before="60" w:after="60"/>
              <w:rPr>
                <w:rFonts w:ascii="Simplified Arabic" w:eastAsiaTheme="minorEastAsia" w:hAnsi="Simplified Arabic" w:cs="Simplified Arabic"/>
                <w:sz w:val="20"/>
                <w:szCs w:val="20"/>
              </w:rPr>
            </w:pPr>
            <w:r w:rsidRPr="002241AE">
              <w:rPr>
                <w:rFonts w:ascii="Simplified Arabic" w:eastAsiaTheme="minorEastAsia" w:hAnsi="Simplified Arabic" w:cs="Simplified Arabic"/>
                <w:b/>
                <w:sz w:val="20"/>
                <w:szCs w:val="20"/>
                <w:rtl/>
              </w:rPr>
              <w:t>مشروع مستشفيات الأسكندرية القائم على الشراكة بين القطاعين العام والخاص</w:t>
            </w:r>
            <w:r w:rsidRPr="002241AE">
              <w:rPr>
                <w:rFonts w:ascii="Simplified Arabic" w:eastAsiaTheme="minorEastAsia" w:hAnsi="Simplified Arabic" w:cs="Simplified Arabic"/>
                <w:color w:val="000000"/>
                <w:sz w:val="20"/>
                <w:szCs w:val="20"/>
              </w:rPr>
              <w:t xml:space="preserve"> </w:t>
            </w:r>
            <w:r w:rsidRPr="002241AE">
              <w:rPr>
                <w:rFonts w:ascii="Simplified Arabic" w:eastAsiaTheme="minorEastAsia" w:hAnsi="Simplified Arabic" w:cs="Simplified Arabic"/>
                <w:color w:val="000000"/>
                <w:sz w:val="20"/>
                <w:szCs w:val="20"/>
                <w:rtl/>
              </w:rPr>
              <w:t>تم توقيع العقد في أبريل 2012 ويمر المشروع حاليا بمرحلة الإغلاق المالي (مؤسسة التمويل الدولية)</w:t>
            </w:r>
          </w:p>
          <w:p w:rsidR="00810BAC" w:rsidRPr="00FF3102" w:rsidRDefault="00810BAC" w:rsidP="00810BAC">
            <w:pPr>
              <w:tabs>
                <w:tab w:val="num" w:pos="244"/>
              </w:tabs>
              <w:bidi/>
              <w:spacing w:before="60" w:after="60"/>
              <w:rPr>
                <w:rFonts w:ascii="Simplified Arabic" w:hAnsi="Simplified Arabic" w:cs="Simplified Arabic"/>
                <w:b/>
                <w:sz w:val="20"/>
                <w:szCs w:val="20"/>
              </w:rPr>
            </w:pPr>
          </w:p>
        </w:tc>
        <w:tc>
          <w:tcPr>
            <w:tcW w:w="1267" w:type="pct"/>
            <w:shd w:val="clear" w:color="auto" w:fill="FFFFFF"/>
          </w:tcPr>
          <w:p w:rsidR="00810BAC" w:rsidRPr="00FF3102" w:rsidRDefault="00810BAC" w:rsidP="00810BAC">
            <w:pPr>
              <w:bidi/>
              <w:spacing w:before="60" w:after="60"/>
              <w:ind w:left="244"/>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يكتسي التحلي بالمرونة في تصميم المشروع بأهمية بالغة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اعتماد تصميم أكثر مرونة للمشروع سيؤدي إلى نتائج أفضل في المستقبل لأنه سيستجيب على نحو أفضل لاهتمامات الحكومة.</w:t>
            </w:r>
          </w:p>
        </w:tc>
      </w:tr>
      <w:tr w:rsidR="00810BAC" w:rsidRPr="00FF3102">
        <w:trPr>
          <w:trHeight w:val="20"/>
          <w:jc w:val="center"/>
        </w:trPr>
        <w:tc>
          <w:tcPr>
            <w:tcW w:w="5000" w:type="pct"/>
            <w:gridSpan w:val="3"/>
            <w:shd w:val="clear" w:color="auto" w:fill="FFFFFF"/>
          </w:tcPr>
          <w:p w:rsidR="00810BAC" w:rsidRPr="00FF3102" w:rsidRDefault="00FF3102" w:rsidP="00810BAC">
            <w:pPr>
              <w:keepNext/>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i/>
                <w:sz w:val="20"/>
                <w:szCs w:val="20"/>
              </w:rPr>
              <w:t>3.</w:t>
            </w:r>
            <w:r w:rsidRPr="00236A62">
              <w:rPr>
                <w:rFonts w:ascii="Simplified Arabic" w:eastAsiaTheme="minorEastAsia" w:hAnsi="Simplified Arabic" w:cs="Simplified Arabic"/>
                <w:b/>
                <w:i/>
                <w:sz w:val="20"/>
                <w:szCs w:val="20"/>
              </w:rPr>
              <w:t>4</w:t>
            </w:r>
            <w:r w:rsidRPr="00236A62">
              <w:rPr>
                <w:rFonts w:ascii="Simplified Arabic" w:eastAsiaTheme="minorEastAsia" w:hAnsi="Simplified Arabic" w:cs="Simplified Arabic" w:hint="cs"/>
                <w:b/>
                <w:i/>
                <w:sz w:val="20"/>
                <w:szCs w:val="20"/>
                <w:rtl/>
              </w:rPr>
              <w:t>.</w:t>
            </w:r>
            <w:r w:rsidR="003A1252" w:rsidRPr="00236A62">
              <w:rPr>
                <w:rFonts w:ascii="Simplified Arabic" w:eastAsiaTheme="minorEastAsia" w:hAnsi="Simplified Arabic" w:cs="Simplified Arabic" w:hint="cs"/>
                <w:b/>
                <w:i/>
                <w:sz w:val="20"/>
                <w:szCs w:val="20"/>
                <w:rtl/>
              </w:rPr>
              <w:t xml:space="preserve"> </w:t>
            </w:r>
            <w:r w:rsidR="00810BAC" w:rsidRPr="00236A62">
              <w:rPr>
                <w:rFonts w:ascii="Simplified Arabic" w:eastAsiaTheme="minorEastAsia" w:hAnsi="Simplified Arabic" w:cs="Simplified Arabic"/>
                <w:bCs/>
                <w:i/>
                <w:sz w:val="20"/>
                <w:szCs w:val="20"/>
                <w:rtl/>
              </w:rPr>
              <w:t>تطوير شبكات الأمان الموجهة والمستدامة: تحقَّق جزئيا</w:t>
            </w:r>
          </w:p>
        </w:tc>
      </w:tr>
      <w:tr w:rsidR="00810BAC" w:rsidRPr="00236A62">
        <w:trPr>
          <w:trHeight w:val="20"/>
          <w:jc w:val="center"/>
        </w:trPr>
        <w:tc>
          <w:tcPr>
            <w:tcW w:w="2861" w:type="pct"/>
            <w:shd w:val="clear" w:color="auto" w:fill="FFFFFF"/>
          </w:tcPr>
          <w:p w:rsidR="00810BAC" w:rsidRPr="00236A62" w:rsidRDefault="00810BAC" w:rsidP="00810BAC">
            <w:pPr>
              <w:tabs>
                <w:tab w:val="num" w:pos="244"/>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 xml:space="preserve">تحديد خطة سليمة للتحرك قدما نحو نظام أكثر شفافية وقدرة على الاستدامة وتنفيذها. </w:t>
            </w:r>
          </w:p>
          <w:p w:rsidR="00810BAC" w:rsidRPr="00236A62" w:rsidRDefault="00810BAC" w:rsidP="00810BAC">
            <w:pPr>
              <w:tabs>
                <w:tab w:val="num" w:pos="244"/>
              </w:tabs>
              <w:bidi/>
              <w:spacing w:before="60" w:after="60"/>
              <w:rPr>
                <w:rFonts w:ascii="Simplified Arabic" w:eastAsiaTheme="minorEastAsia" w:hAnsi="Simplified Arabic" w:cs="Simplified Arabic"/>
                <w:b/>
                <w:sz w:val="20"/>
                <w:szCs w:val="20"/>
              </w:rPr>
            </w:pPr>
            <w:r w:rsidRPr="00236A62">
              <w:rPr>
                <w:rFonts w:ascii="Simplified Arabic" w:eastAsiaTheme="minorEastAsia" w:hAnsi="Simplified Arabic" w:cs="Simplified Arabic"/>
                <w:bCs/>
                <w:sz w:val="20"/>
                <w:szCs w:val="20"/>
                <w:rtl/>
              </w:rPr>
              <w:t>تحديد قواعد تنظيمية جديدة للمعاشات تعكس أفضل الممارسات الدولية وتنفيذها.</w:t>
            </w:r>
          </w:p>
          <w:p w:rsidR="00810BAC" w:rsidRPr="00236A62" w:rsidRDefault="00810BAC" w:rsidP="00810BAC">
            <w:pPr>
              <w:tabs>
                <w:tab w:val="num" w:pos="244"/>
              </w:tabs>
              <w:bidi/>
              <w:spacing w:before="60" w:after="60"/>
              <w:rPr>
                <w:rFonts w:ascii="Simplified Arabic" w:eastAsiaTheme="minorEastAsia" w:hAnsi="Simplified Arabic" w:cs="Simplified Arabic"/>
                <w:b/>
                <w:sz w:val="20"/>
                <w:szCs w:val="20"/>
              </w:rPr>
            </w:pPr>
            <w:r w:rsidRPr="00236A62">
              <w:rPr>
                <w:rFonts w:ascii="Simplified Arabic" w:eastAsiaTheme="minorEastAsia" w:hAnsi="Simplified Arabic" w:cs="Simplified Arabic"/>
                <w:bCs/>
                <w:sz w:val="20"/>
                <w:szCs w:val="20"/>
                <w:rtl/>
              </w:rPr>
              <w:t xml:space="preserve">معالم مذكرة الإستراتيجية المؤقتة: </w:t>
            </w:r>
          </w:p>
          <w:p w:rsidR="00810BAC" w:rsidRPr="00236A62" w:rsidRDefault="00810BAC" w:rsidP="001E71BE">
            <w:pPr>
              <w:numPr>
                <w:ilvl w:val="0"/>
                <w:numId w:val="46"/>
              </w:numPr>
              <w:tabs>
                <w:tab w:val="num" w:pos="244"/>
              </w:tabs>
              <w:bidi/>
              <w:spacing w:before="60" w:after="60"/>
              <w:jc w:val="both"/>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إعداد خطة لتنفيذ إصلاح الدعم مع استرشاد الخطة بأفضل الممارسات الدولية.</w:t>
            </w:r>
          </w:p>
          <w:p w:rsidR="00810BAC" w:rsidRPr="00236A62" w:rsidRDefault="00810BAC" w:rsidP="001E71BE">
            <w:pPr>
              <w:numPr>
                <w:ilvl w:val="0"/>
                <w:numId w:val="46"/>
              </w:numPr>
              <w:tabs>
                <w:tab w:val="num" w:pos="244"/>
              </w:tabs>
              <w:bidi/>
              <w:spacing w:before="60" w:after="60"/>
              <w:jc w:val="both"/>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استكمال العمل الفني المعني بإصلاح معاشات التقاعد (بما في ذلك اللوائح التنظيمية والعمل الإكتواري).</w:t>
            </w:r>
          </w:p>
          <w:p w:rsidR="00810BAC" w:rsidRPr="00236A62" w:rsidRDefault="00810BAC" w:rsidP="00FF3102">
            <w:pPr>
              <w:pStyle w:val="Bullet"/>
              <w:bidi/>
              <w:ind w:left="720"/>
              <w:rPr>
                <w:rFonts w:ascii="Simplified Arabic" w:eastAsiaTheme="minorEastAsia" w:hAnsi="Simplified Arabic" w:cs="Simplified Arabic"/>
                <w:spacing w:val="-2"/>
              </w:rPr>
            </w:pPr>
            <w:r w:rsidRPr="00236A62">
              <w:rPr>
                <w:rFonts w:ascii="Simplified Arabic" w:eastAsiaTheme="minorEastAsia" w:hAnsi="Simplified Arabic" w:cs="Simplified Arabic"/>
                <w:rtl/>
              </w:rPr>
              <w:t>نظرا للظروف السائدة في مصر، وعلى الرغم من الجهود المتواصلة للبنك الدولي، فإننا لم نستطع الانتقال من نظام الدعم إلى نظام أكثر كفاءة لشبكات الأمان الاجتماعي موجَّه للحد من الفقر على الرغم من استمرار الحوار المتواصل في هذه القضية.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ورغم ذلك، يستخدم البنك حاليا مشروع صندوق التحوُّل والمساعدة الفنية الجاري تنفيذها لشبكات الأمان الاجتماعي لمواصلة السعي من أجل إصلاح هذه الشبكات.</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وكان أحد المنجزات الرئيسية للبنك في هذا المجال مساندة جهود وضع خريطة لأوضاع الفقر لتحسين آلية توجيه الإجراءات التدخلية لشبكات الأمان الاجتماعي.</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وساند البنك أيضا تصميم إصلاح شامل للتأمينات الاجتماعية من خلال برنامج متعدد السنوات للمساعدات الفنية.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وفي يونيو 2010، وافق البرلمان المصري على قانون جديد للتأمينات الاجتماعية والمعاشات استحدث إصلاحا منهجيا كان من المتوقع أن يُمثِّل معلما بارزا في منطقة الشرق الأوسط.</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وكان من المقرر أن يدخل النظام الجديد حيز النفاذ في يناير 2012، لكن تأخر التنفيذ بعد الثورة، وفي أوائل عام 2013، قررت الحكومة إلغاء القانون.</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وقدَّم البنك الدولي مساعدات فنية من خلال برنامج متعدد السنوات يتألَّف من مرحلتين.</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spacing w:val="-2"/>
                <w:rtl/>
              </w:rPr>
              <w:t xml:space="preserve">وتسبَّب قرار الحكومة بإلغاء قانون التأمينات الاجتماعية في تأخير حل مواطن القصور الشديد في النظام الحالي لمعاشات التقاعد، ولاسيما فيما يتعلق بالآثار على المالية العامة للعجز المتوقع في أنظمة التأمينات القائمة (على الرغم من الفروق الضريبية المرتفعة على الأيدي العاملة)، والافتقار إلى التغطية التأمينية لعدد كبير من العمال المصريين، والتقلُّب الشديد للقيمة الحقيقية للمعاشات بسبب ممارسات </w:t>
            </w:r>
            <w:r w:rsidRPr="00236A62">
              <w:rPr>
                <w:rFonts w:ascii="Simplified Arabic" w:eastAsiaTheme="minorEastAsia" w:hAnsi="Simplified Arabic" w:cs="Simplified Arabic"/>
                <w:rtl/>
              </w:rPr>
              <w:t>الربط التقديري غير المناسبة، وضعف آليات التوجيه لمعاشات التقاعد التي لا تقوم على الاشتراكات.</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وعبَّرت الحكومة عن هواجسها في هذه القضايا، وتجري دراسة إصلاح جديد (ذي نهج مختلف)، ولكن لم يتضح بعد نطاق هذا الإصلاح ومضمونه وتأثيره المحتمل.</w:t>
            </w:r>
            <w:r w:rsidRPr="00236A62">
              <w:rPr>
                <w:rFonts w:ascii="Simplified Arabic" w:eastAsiaTheme="minorEastAsia" w:hAnsi="Simplified Arabic" w:cs="Simplified Arabic"/>
                <w:spacing w:val="-2"/>
              </w:rPr>
              <w:t xml:space="preserve"> </w:t>
            </w:r>
            <w:r w:rsidRPr="00236A62">
              <w:rPr>
                <w:rFonts w:ascii="Simplified Arabic" w:eastAsiaTheme="minorEastAsia" w:hAnsi="Simplified Arabic" w:cs="Simplified Arabic"/>
                <w:rtl/>
              </w:rPr>
              <w:t>وساند البنك الحكومة في وضع منهجية توجيه تستند إلى أوضاع الفقر باستخدام أسلوب</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اختبار</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قياس</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الدخل</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الفعلي</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وبيانات</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مسح</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الدخل</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والإنفاق</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والاستهلاك، وتم اعتماد هذه المنهجية لتكون آلية لتحديد الفقراء في البرنامج المُنشَأ حديثا للتحويلات النقدية – تكافل وكرامة. وقدَّم البنك الدولي للإنشاء والتعمير قرضا بقيمة 400 مليون دولار في السنة المالية 2015 لتقوية مشروع شبكات الأمان الاجتماعي، ويساند القرض الحكومة في إنشاء وتنفيذ برنامج التحويلات النقدية. ومع بلوغ تنفيذ برنامجي التحويلات النقدية والأشغال كثيفة الاستخدام للأيدي العاملة مستوى من النضج، يساعد هذان البرنامجان على توفير نظام متين لشبكات الأمان الاجتماعي الموجَّهة في مصر، سيتيح إصلاح وتوحيد البرامج القديمة لشبكات الأمان الاجتماعي التي عانت من أوجه النقص والقصور.</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ويستثمر مشروع شبكات الأمان الاجتماعي في إنشاء سجل وطني مُوحَّد سيكون قاعدة بيانات وطنية لمساندة توحيد برامج شبكات الأمان والخدمات الاجتماعية وتسهيل تنسيق آليات التوجيه وتقديم الخدمات.</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وأحرزت مبادرة السجل الوطني الموحد بعض التقدُّم نحو ربط</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قواعد</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البيانات</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الخاصة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بالبطاقة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الذكية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العائلية (دعم</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المواد</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الغذائية) ومعاش</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الضمان</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الاجتماعي</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من</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خلال</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بطاقة</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الرقم</w:t>
            </w:r>
            <w:r w:rsidRPr="00236A62">
              <w:rPr>
                <w:rFonts w:ascii="Simplified Arabic" w:eastAsiaTheme="minorEastAsia" w:hAnsi="Simplified Arabic" w:cs="Simplified Arabic"/>
              </w:rPr>
              <w:t xml:space="preserve"> </w:t>
            </w:r>
            <w:r w:rsidRPr="00236A62">
              <w:rPr>
                <w:rFonts w:ascii="Simplified Arabic" w:eastAsiaTheme="minorEastAsia" w:hAnsi="Simplified Arabic" w:cs="Simplified Arabic"/>
                <w:rtl/>
              </w:rPr>
              <w:t>القومي</w:t>
            </w:r>
            <w:r w:rsidRPr="00236A62">
              <w:rPr>
                <w:rFonts w:ascii="Simplified Arabic" w:eastAsiaTheme="minorEastAsia" w:hAnsi="Simplified Arabic" w:cs="Simplified Arabic"/>
              </w:rPr>
              <w:t>.</w:t>
            </w:r>
            <w:r w:rsidRPr="00236A62">
              <w:rPr>
                <w:rFonts w:ascii="Simplified Arabic" w:eastAsiaTheme="minorEastAsia" w:hAnsi="Simplified Arabic" w:cs="Simplified Arabic"/>
                <w:rtl/>
              </w:rPr>
              <w:t xml:space="preserve"> ومن المتوقع أن يُتيح وجود برامج جيدة لشبكات الأمان الاجتماعي توفير بعض الظروف المواتية لإحراز تقدم في مجال إصلاح نظام الدعم.</w:t>
            </w:r>
            <w:r w:rsidRPr="00236A62">
              <w:rPr>
                <w:rFonts w:ascii="Simplified Arabic" w:eastAsiaTheme="minorEastAsia" w:hAnsi="Simplified Arabic" w:cs="Simplified Arabic"/>
              </w:rPr>
              <w:t xml:space="preserve"> </w:t>
            </w:r>
          </w:p>
          <w:p w:rsidR="00810BAC" w:rsidRPr="00236A62" w:rsidRDefault="00810BAC" w:rsidP="00810BAC">
            <w:pPr>
              <w:tabs>
                <w:tab w:val="num" w:pos="244"/>
              </w:tabs>
              <w:bidi/>
              <w:spacing w:before="60" w:after="60"/>
              <w:ind w:left="72"/>
              <w:rPr>
                <w:rFonts w:ascii="Simplified Arabic" w:eastAsiaTheme="minorEastAsia" w:hAnsi="Simplified Arabic" w:cs="Simplified Arabic"/>
                <w:sz w:val="20"/>
                <w:szCs w:val="20"/>
              </w:rPr>
            </w:pPr>
            <w:r w:rsidRPr="00236A62">
              <w:rPr>
                <w:rFonts w:ascii="Simplified Arabic" w:eastAsiaTheme="minorEastAsia" w:hAnsi="Simplified Arabic" w:cs="Simplified Arabic"/>
                <w:bCs/>
                <w:sz w:val="20"/>
                <w:szCs w:val="20"/>
                <w:rtl/>
              </w:rPr>
              <w:t>[التقرير المرحلي عن سير العمل في إستراتيجية المساعدة الخاصة بمصر 3.1</w:t>
            </w:r>
            <w:r w:rsidRPr="00236A62">
              <w:rPr>
                <w:rFonts w:ascii="Simplified Arabic" w:eastAsiaTheme="minorEastAsia" w:hAnsi="Simplified Arabic" w:cs="Simplified Arabic"/>
                <w:b/>
                <w:sz w:val="20"/>
                <w:szCs w:val="20"/>
              </w:rPr>
              <w:t xml:space="preserve"> </w:t>
            </w:r>
            <w:r w:rsidRPr="00236A62">
              <w:rPr>
                <w:rFonts w:ascii="Simplified Arabic" w:eastAsiaTheme="minorEastAsia" w:hAnsi="Simplified Arabic" w:cs="Simplified Arabic"/>
                <w:bCs/>
                <w:sz w:val="20"/>
                <w:szCs w:val="20"/>
                <w:rtl/>
              </w:rPr>
              <w:t>تطوير شبكات الأمان الموجهة والمستدامة]</w:t>
            </w:r>
          </w:p>
        </w:tc>
        <w:tc>
          <w:tcPr>
            <w:tcW w:w="872" w:type="pct"/>
            <w:shd w:val="clear" w:color="auto" w:fill="FFFFFF"/>
          </w:tcPr>
          <w:p w:rsidR="00810BAC" w:rsidRPr="00236A62" w:rsidRDefault="00810BAC" w:rsidP="00810BAC">
            <w:pPr>
              <w:tabs>
                <w:tab w:val="num" w:pos="244"/>
              </w:tabs>
              <w:bidi/>
              <w:spacing w:before="60" w:after="60"/>
              <w:rPr>
                <w:rFonts w:ascii="Simplified Arabic" w:eastAsiaTheme="minorEastAsia" w:hAnsi="Simplified Arabic" w:cs="Simplified Arabic"/>
                <w:b/>
                <w:sz w:val="20"/>
                <w:szCs w:val="20"/>
              </w:rPr>
            </w:pPr>
            <w:r w:rsidRPr="00236A62">
              <w:rPr>
                <w:rFonts w:ascii="Simplified Arabic" w:eastAsiaTheme="minorEastAsia" w:hAnsi="Simplified Arabic" w:cs="Simplified Arabic"/>
                <w:b/>
                <w:sz w:val="20"/>
                <w:szCs w:val="20"/>
                <w:rtl/>
              </w:rPr>
              <w:t>السنة المالية 2012: المشروع الطارئ للأشغال كثيفة الاستخدام للأيدي العاملة</w:t>
            </w:r>
          </w:p>
          <w:p w:rsidR="00810BAC" w:rsidRPr="00236A62" w:rsidRDefault="00810BAC" w:rsidP="00810BAC">
            <w:pPr>
              <w:tabs>
                <w:tab w:val="num" w:pos="244"/>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 xml:space="preserve">إصلاح معاشات التقاعد (مساعدة مستردة التكاليف) </w:t>
            </w:r>
          </w:p>
          <w:p w:rsidR="00810BAC" w:rsidRPr="00236A62" w:rsidRDefault="00810BAC" w:rsidP="00810BAC">
            <w:pPr>
              <w:tabs>
                <w:tab w:val="num" w:pos="244"/>
              </w:tabs>
              <w:bidi/>
              <w:spacing w:before="60" w:after="60"/>
              <w:rPr>
                <w:rFonts w:ascii="Simplified Arabic" w:eastAsiaTheme="minorEastAsia" w:hAnsi="Simplified Arabic" w:cs="Simplified Arabic"/>
                <w:b/>
                <w:sz w:val="20"/>
                <w:szCs w:val="20"/>
              </w:rPr>
            </w:pPr>
            <w:r w:rsidRPr="00236A62">
              <w:rPr>
                <w:rFonts w:ascii="Simplified Arabic" w:eastAsiaTheme="minorEastAsia" w:hAnsi="Simplified Arabic" w:cs="Simplified Arabic"/>
                <w:b/>
                <w:sz w:val="20"/>
                <w:szCs w:val="20"/>
                <w:rtl/>
              </w:rPr>
              <w:t>السنة المالية 2013: دراسة عدم تكافؤ الفرص</w:t>
            </w:r>
          </w:p>
          <w:p w:rsidR="00810BAC" w:rsidRPr="00236A62" w:rsidRDefault="00810BAC" w:rsidP="00810BAC">
            <w:pPr>
              <w:tabs>
                <w:tab w:val="num" w:pos="244"/>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b/>
                <w:sz w:val="20"/>
                <w:szCs w:val="20"/>
                <w:rtl/>
              </w:rPr>
              <w:t>مشروعات جارية: مذكرة إستراتيجية الحماية الاجتماعية (مساعدة فنية)</w:t>
            </w:r>
          </w:p>
        </w:tc>
        <w:tc>
          <w:tcPr>
            <w:tcW w:w="1267" w:type="pct"/>
            <w:shd w:val="clear" w:color="auto" w:fill="FFFFFF"/>
          </w:tcPr>
          <w:p w:rsidR="00810BAC" w:rsidRPr="00236A6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236A62">
              <w:rPr>
                <w:rFonts w:ascii="Simplified Arabic" w:eastAsiaTheme="minorEastAsia" w:hAnsi="Simplified Arabic" w:cs="Simplified Arabic"/>
                <w:sz w:val="20"/>
                <w:szCs w:val="20"/>
                <w:rtl/>
              </w:rPr>
              <w:t>في الدراسات التحليلية والاستشارية، من الضروري الإشراك الكامل للجهة المتعاملة والتركيز على أولويات السياسة المستجدة للجهة المتعاملة لتعزيز قيمة إجراءاتنا التدخلية.</w:t>
            </w:r>
            <w:r w:rsidRPr="00236A62">
              <w:rPr>
                <w:rFonts w:ascii="Simplified Arabic" w:eastAsiaTheme="minorEastAsia" w:hAnsi="Simplified Arabic" w:cs="Simplified Arabic"/>
                <w:sz w:val="20"/>
                <w:szCs w:val="20"/>
              </w:rPr>
              <w:t xml:space="preserve"> </w:t>
            </w:r>
            <w:r w:rsidRPr="00236A62">
              <w:rPr>
                <w:rFonts w:ascii="Simplified Arabic" w:eastAsiaTheme="minorEastAsia" w:hAnsi="Simplified Arabic" w:cs="Simplified Arabic"/>
                <w:sz w:val="20"/>
                <w:szCs w:val="20"/>
                <w:rtl/>
              </w:rPr>
              <w:t>بيد أننا يجب أن نأخذ في الحسبان البيئة السائدة للبلد المعني.</w:t>
            </w:r>
            <w:r w:rsidRPr="00236A62">
              <w:rPr>
                <w:rFonts w:ascii="Simplified Arabic" w:eastAsiaTheme="minorEastAsia" w:hAnsi="Simplified Arabic" w:cs="Simplified Arabic"/>
                <w:sz w:val="20"/>
                <w:szCs w:val="20"/>
              </w:rPr>
              <w:t xml:space="preserve"> </w:t>
            </w:r>
            <w:r w:rsidRPr="00236A62">
              <w:rPr>
                <w:rFonts w:ascii="Simplified Arabic" w:eastAsiaTheme="minorEastAsia" w:hAnsi="Simplified Arabic" w:cs="Simplified Arabic"/>
                <w:sz w:val="20"/>
                <w:szCs w:val="20"/>
                <w:rtl/>
              </w:rPr>
              <w:t>وعلى الرغم من حسن النوايا وبذل أفضل إجراءاتنا التدخلية وجهودنا، فإن النجاح ليس مضمونا بسبب وجود عوامل خارج نطاق سيطرتنا.</w:t>
            </w:r>
            <w:r w:rsidRPr="00236A62">
              <w:rPr>
                <w:rFonts w:ascii="Simplified Arabic" w:eastAsiaTheme="minorEastAsia" w:hAnsi="Simplified Arabic" w:cs="Simplified Arabic"/>
                <w:sz w:val="20"/>
                <w:szCs w:val="20"/>
              </w:rPr>
              <w:t xml:space="preserve"> </w:t>
            </w:r>
            <w:r w:rsidRPr="00236A62">
              <w:rPr>
                <w:rFonts w:ascii="Simplified Arabic" w:eastAsiaTheme="minorEastAsia" w:hAnsi="Simplified Arabic" w:cs="Simplified Arabic"/>
                <w:sz w:val="20"/>
                <w:szCs w:val="20"/>
                <w:rtl/>
              </w:rPr>
              <w:t>ويصدق هذا تماما على الوضع في مصر.</w:t>
            </w:r>
          </w:p>
          <w:p w:rsidR="00810BAC" w:rsidRPr="00236A62" w:rsidRDefault="00810BAC" w:rsidP="00810BAC">
            <w:pPr>
              <w:bidi/>
              <w:spacing w:before="60" w:after="60"/>
              <w:rPr>
                <w:rFonts w:ascii="Simplified Arabic" w:hAnsi="Simplified Arabic" w:cs="Simplified Arabic"/>
                <w:sz w:val="20"/>
                <w:szCs w:val="20"/>
              </w:rPr>
            </w:pPr>
          </w:p>
          <w:p w:rsidR="00810BAC" w:rsidRPr="00236A62" w:rsidRDefault="00810BAC" w:rsidP="00810BAC">
            <w:pPr>
              <w:bidi/>
              <w:spacing w:before="60" w:after="60"/>
              <w:ind w:left="244"/>
              <w:rPr>
                <w:rFonts w:ascii="Simplified Arabic" w:hAnsi="Simplified Arabic" w:cs="Simplified Arabic"/>
                <w:sz w:val="20"/>
                <w:szCs w:val="20"/>
              </w:rPr>
            </w:pPr>
          </w:p>
        </w:tc>
      </w:tr>
      <w:tr w:rsidR="00810BAC" w:rsidRPr="00FF3102">
        <w:trPr>
          <w:trHeight w:val="20"/>
          <w:jc w:val="center"/>
        </w:trPr>
        <w:tc>
          <w:tcPr>
            <w:tcW w:w="5000" w:type="pct"/>
            <w:gridSpan w:val="3"/>
            <w:shd w:val="clear" w:color="auto" w:fill="FFFFFF"/>
            <w:vAlign w:val="center"/>
          </w:tcPr>
          <w:p w:rsidR="00810BAC" w:rsidRPr="00FF3102" w:rsidRDefault="00FF3102"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i/>
                <w:sz w:val="20"/>
                <w:szCs w:val="20"/>
              </w:rPr>
              <w:t>3.5</w:t>
            </w:r>
            <w:r>
              <w:rPr>
                <w:rFonts w:ascii="Simplified Arabic" w:eastAsiaTheme="minorEastAsia" w:hAnsi="Simplified Arabic" w:cs="Simplified Arabic" w:hint="cs"/>
                <w:b/>
                <w:i/>
                <w:sz w:val="20"/>
                <w:szCs w:val="20"/>
                <w:rtl/>
              </w:rPr>
              <w:t>.</w:t>
            </w:r>
            <w:r w:rsidR="00810BAC" w:rsidRPr="00FF3102">
              <w:rPr>
                <w:rFonts w:ascii="Simplified Arabic" w:eastAsiaTheme="minorEastAsia" w:hAnsi="Simplified Arabic" w:cs="Simplified Arabic"/>
                <w:b/>
                <w:i/>
                <w:sz w:val="20"/>
                <w:szCs w:val="20"/>
                <w:rtl/>
              </w:rPr>
              <w:t xml:space="preserve"> </w:t>
            </w:r>
            <w:r w:rsidR="00810BAC" w:rsidRPr="00FF3102">
              <w:rPr>
                <w:rFonts w:ascii="Simplified Arabic" w:eastAsiaTheme="minorEastAsia" w:hAnsi="Simplified Arabic" w:cs="Simplified Arabic"/>
                <w:bCs/>
                <w:iCs/>
                <w:sz w:val="20"/>
                <w:szCs w:val="20"/>
                <w:rtl/>
              </w:rPr>
              <w:t>الحد من التفاوت بين المناطق: تحقَّق جزئيا</w:t>
            </w:r>
          </w:p>
        </w:tc>
      </w:tr>
      <w:tr w:rsidR="00810BAC" w:rsidRPr="00FF3102">
        <w:trPr>
          <w:trHeight w:val="20"/>
          <w:jc w:val="center"/>
        </w:trPr>
        <w:tc>
          <w:tcPr>
            <w:tcW w:w="2861" w:type="pct"/>
            <w:shd w:val="clear" w:color="auto" w:fill="FFFFFF"/>
          </w:tcPr>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قوة تحديد أهداف الاستثمارات العامة لصالح الفقراء في محافظات الصعيد ــ بحلول نهاية الفترة التي تغطيها إستراتيجية المساعدة الخاصة بمصر</w:t>
            </w:r>
            <w:r w:rsidRPr="00FF3102">
              <w:rPr>
                <w:rFonts w:ascii="Simplified Arabic" w:eastAsiaTheme="minorEastAsia" w:hAnsi="Simplified Arabic" w:cs="Simplified Arabic"/>
                <w:b/>
                <w:sz w:val="20"/>
                <w:szCs w:val="20"/>
              </w:rPr>
              <w:t xml:space="preserve"> </w:t>
            </w:r>
          </w:p>
          <w:p w:rsidR="00810BAC" w:rsidRPr="00FF3102" w:rsidRDefault="00810BAC" w:rsidP="00810BAC">
            <w:pPr>
              <w:tabs>
                <w:tab w:val="num" w:pos="244"/>
              </w:tabs>
              <w:bidi/>
              <w:spacing w:before="60" w:after="60"/>
              <w:ind w:left="72"/>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1E71BE">
            <w:pPr>
              <w:numPr>
                <w:ilvl w:val="0"/>
                <w:numId w:val="47"/>
              </w:numPr>
              <w:tabs>
                <w:tab w:val="num" w:pos="244"/>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اعتمدت الحكومة نتائج وتوصيات العمل التحليلي المعني بمصادر النمو والفقر في محافظات الصعيد.</w:t>
            </w:r>
          </w:p>
          <w:p w:rsidR="00810BAC" w:rsidRPr="00FF3102" w:rsidRDefault="00810BAC" w:rsidP="00810BAC">
            <w:pPr>
              <w:tabs>
                <w:tab w:val="num" w:pos="244"/>
              </w:tabs>
              <w:bidi/>
              <w:spacing w:before="60" w:after="60"/>
              <w:ind w:left="72"/>
              <w:rPr>
                <w:rFonts w:ascii="Simplified Arabic" w:hAnsi="Simplified Arabic" w:cs="Simplified Arabic"/>
                <w:sz w:val="20"/>
                <w:szCs w:val="20"/>
              </w:rPr>
            </w:pPr>
          </w:p>
          <w:p w:rsidR="00810BAC" w:rsidRPr="00FF3102" w:rsidRDefault="00810BAC" w:rsidP="00810BAC">
            <w:pPr>
              <w:tabs>
                <w:tab w:val="num" w:pos="244"/>
              </w:tabs>
              <w:bidi/>
              <w:spacing w:before="60" w:after="60"/>
              <w:ind w:left="72"/>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ويتركَّز برنامج الاستثمارات كثيفة الاستخدام للأيدي العاملة على صعيد مصر، ومن المتوقع أن يحرز المزيد من النتائج. و70 في المائة من الأموال المنصرفة مُخصَّصة للصعيد، وقد تم صرف جانب كبير منها.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وبسبب البيئة السياسية السائدة، عجز البنك عن إقامة حوار متواصل في هذا المجال، ولذلك يعتبر أن الهدف تحقَّق جزئيا فحسب. ونشر البنك دراسة عن الشباب والنساء في صعيد مصر سهَّلت إجراء حوار متواصل في هذا المجال. </w:t>
            </w:r>
          </w:p>
          <w:p w:rsidR="00810BAC" w:rsidRPr="00FF3102" w:rsidRDefault="00810BAC" w:rsidP="00810BAC">
            <w:pPr>
              <w:tabs>
                <w:tab w:val="num" w:pos="244"/>
              </w:tabs>
              <w:bidi/>
              <w:spacing w:before="60" w:after="60"/>
              <w:ind w:left="72"/>
              <w:rPr>
                <w:rFonts w:ascii="Simplified Arabic" w:hAnsi="Simplified Arabic" w:cs="Simplified Arabic"/>
                <w:sz w:val="20"/>
                <w:szCs w:val="20"/>
              </w:rPr>
            </w:pPr>
          </w:p>
          <w:p w:rsidR="00810BAC" w:rsidRPr="00FF3102" w:rsidRDefault="00810BAC" w:rsidP="00810BAC">
            <w:pPr>
              <w:tabs>
                <w:tab w:val="num" w:pos="244"/>
              </w:tabs>
              <w:bidi/>
              <w:spacing w:before="60" w:after="60"/>
              <w:ind w:left="72"/>
              <w:rPr>
                <w:rFonts w:ascii="Simplified Arabic" w:eastAsiaTheme="minorEastAsia" w:hAnsi="Simplified Arabic" w:cs="Simplified Arabic"/>
                <w:sz w:val="20"/>
                <w:szCs w:val="20"/>
              </w:rPr>
            </w:pPr>
            <w:r w:rsidRPr="00FF3102">
              <w:rPr>
                <w:rFonts w:ascii="Simplified Arabic" w:eastAsiaTheme="minorEastAsia" w:hAnsi="Simplified Arabic" w:cs="Simplified Arabic"/>
                <w:iCs/>
                <w:sz w:val="20"/>
                <w:szCs w:val="20"/>
                <w:rtl/>
              </w:rPr>
              <w:t xml:space="preserve">[التقرير المرحلي عن سير العمل في إستراتيجية المساعدة الخاصة </w:t>
            </w:r>
            <w:r w:rsidRPr="00236A62">
              <w:rPr>
                <w:rFonts w:ascii="Simplified Arabic" w:eastAsiaTheme="minorEastAsia" w:hAnsi="Simplified Arabic" w:cs="Simplified Arabic"/>
                <w:iCs/>
                <w:sz w:val="20"/>
                <w:szCs w:val="20"/>
                <w:rtl/>
              </w:rPr>
              <w:t>بمصر 3.2</w:t>
            </w:r>
            <w:r w:rsidRPr="00236A62">
              <w:rPr>
                <w:rFonts w:ascii="Simplified Arabic" w:eastAsiaTheme="minorEastAsia" w:hAnsi="Simplified Arabic" w:cs="Simplified Arabic"/>
                <w:i/>
                <w:sz w:val="20"/>
                <w:szCs w:val="20"/>
              </w:rPr>
              <w:t xml:space="preserve"> </w:t>
            </w:r>
            <w:r w:rsidRPr="00236A62">
              <w:rPr>
                <w:rFonts w:ascii="Simplified Arabic" w:eastAsiaTheme="minorEastAsia" w:hAnsi="Simplified Arabic" w:cs="Simplified Arabic"/>
                <w:iCs/>
                <w:sz w:val="20"/>
                <w:szCs w:val="20"/>
                <w:rtl/>
              </w:rPr>
              <w:t>الحد من التفاوت بين المناطق]</w:t>
            </w:r>
          </w:p>
        </w:tc>
        <w:tc>
          <w:tcPr>
            <w:tcW w:w="872" w:type="pct"/>
            <w:shd w:val="clear" w:color="auto" w:fill="FFFFFF"/>
          </w:tcPr>
          <w:p w:rsidR="00810BAC" w:rsidRPr="002241AE" w:rsidRDefault="00810BAC" w:rsidP="00810BAC">
            <w:pPr>
              <w:tabs>
                <w:tab w:val="num" w:pos="244"/>
              </w:tabs>
              <w:bidi/>
              <w:spacing w:before="60" w:after="60"/>
              <w:rPr>
                <w:rFonts w:ascii="Simplified Arabic" w:eastAsiaTheme="minorEastAsia" w:hAnsi="Simplified Arabic" w:cs="Simplified Arabic"/>
                <w:i/>
                <w:sz w:val="20"/>
                <w:szCs w:val="20"/>
              </w:rPr>
            </w:pPr>
            <w:r w:rsidRPr="002241AE">
              <w:rPr>
                <w:rFonts w:ascii="Simplified Arabic" w:eastAsiaTheme="minorEastAsia" w:hAnsi="Simplified Arabic" w:cs="Simplified Arabic"/>
                <w:i/>
                <w:sz w:val="20"/>
                <w:szCs w:val="20"/>
                <w:rtl/>
              </w:rPr>
              <w:t>السنة المالية 2012: تحديث تقييم مناخ الاستثمار</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تقرير</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جديد</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للبنك</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الدولي</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بعنوان</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"استعادة</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أصواتهم: آراء</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جديدة</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لفتيات</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وشباب</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صعيد</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مصر"</w:t>
            </w:r>
            <w:r w:rsidRPr="002241AE">
              <w:rPr>
                <w:rFonts w:ascii="Simplified Arabic" w:eastAsiaTheme="minorEastAsia" w:hAnsi="Simplified Arabic" w:cs="Simplified Arabic"/>
                <w:i/>
                <w:sz w:val="20"/>
                <w:szCs w:val="20"/>
              </w:rPr>
              <w:t xml:space="preserve"> </w:t>
            </w:r>
          </w:p>
          <w:p w:rsidR="00810BAC" w:rsidRPr="00FF3102" w:rsidRDefault="00810BAC" w:rsidP="00810BAC">
            <w:pPr>
              <w:tabs>
                <w:tab w:val="num" w:pos="244"/>
              </w:tabs>
              <w:bidi/>
              <w:spacing w:before="60" w:after="60"/>
              <w:rPr>
                <w:rFonts w:ascii="Simplified Arabic" w:eastAsiaTheme="minorEastAsia" w:hAnsi="Simplified Arabic" w:cs="Simplified Arabic"/>
                <w:sz w:val="20"/>
                <w:szCs w:val="20"/>
              </w:rPr>
            </w:pPr>
            <w:r w:rsidRPr="002241AE">
              <w:rPr>
                <w:rFonts w:ascii="Simplified Arabic" w:eastAsiaTheme="minorEastAsia" w:hAnsi="Simplified Arabic" w:cs="Simplified Arabic"/>
                <w:i/>
                <w:sz w:val="20"/>
                <w:szCs w:val="20"/>
                <w:rtl/>
              </w:rPr>
              <w:t>السنة المالية 12: البرنامج الطارئ للاستثمارات كثيفة الاستخدام للأيدي العاملة.</w:t>
            </w:r>
            <w:r w:rsidRPr="00FF3102">
              <w:rPr>
                <w:rFonts w:ascii="Simplified Arabic" w:eastAsiaTheme="minorEastAsia" w:hAnsi="Simplified Arabic" w:cs="Simplified Arabic"/>
                <w:iCs/>
                <w:sz w:val="20"/>
                <w:szCs w:val="20"/>
                <w:rtl/>
              </w:rPr>
              <w:t xml:space="preserve"> </w:t>
            </w:r>
          </w:p>
        </w:tc>
        <w:tc>
          <w:tcPr>
            <w:tcW w:w="1267" w:type="pct"/>
            <w:shd w:val="clear" w:color="auto" w:fill="FFFFFF"/>
          </w:tcPr>
          <w:p w:rsidR="00810BAC" w:rsidRPr="00FF3102" w:rsidRDefault="00810BAC" w:rsidP="00810BAC">
            <w:pPr>
              <w:bidi/>
              <w:spacing w:before="60" w:after="60"/>
              <w:ind w:left="244"/>
              <w:rPr>
                <w:rFonts w:ascii="Simplified Arabic" w:hAnsi="Simplified Arabic" w:cs="Simplified Arabic"/>
                <w:sz w:val="20"/>
                <w:szCs w:val="20"/>
              </w:rPr>
            </w:pPr>
          </w:p>
        </w:tc>
      </w:tr>
      <w:tr w:rsidR="00810BAC" w:rsidRPr="00FF3102">
        <w:trPr>
          <w:trHeight w:val="20"/>
          <w:jc w:val="center"/>
        </w:trPr>
        <w:tc>
          <w:tcPr>
            <w:tcW w:w="5000" w:type="pct"/>
            <w:gridSpan w:val="3"/>
            <w:shd w:val="clear" w:color="auto" w:fill="FFFFFF"/>
            <w:vAlign w:val="center"/>
          </w:tcPr>
          <w:p w:rsidR="00810BAC" w:rsidRPr="00FF3102" w:rsidRDefault="00FF3102" w:rsidP="00810BAC">
            <w:pPr>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
                <w:i/>
                <w:sz w:val="20"/>
                <w:szCs w:val="20"/>
              </w:rPr>
              <w:t>3.6</w:t>
            </w:r>
            <w:r>
              <w:rPr>
                <w:rFonts w:ascii="Simplified Arabic" w:eastAsiaTheme="minorEastAsia" w:hAnsi="Simplified Arabic" w:cs="Simplified Arabic" w:hint="cs"/>
                <w:b/>
                <w:i/>
                <w:sz w:val="20"/>
                <w:szCs w:val="20"/>
                <w:rtl/>
              </w:rPr>
              <w:t>.</w:t>
            </w:r>
            <w:r w:rsidR="00810BAC" w:rsidRPr="00FF3102">
              <w:rPr>
                <w:rFonts w:ascii="Simplified Arabic" w:eastAsiaTheme="minorEastAsia" w:hAnsi="Simplified Arabic" w:cs="Simplified Arabic"/>
                <w:b/>
                <w:i/>
                <w:sz w:val="20"/>
                <w:szCs w:val="20"/>
              </w:rPr>
              <w:t xml:space="preserve"> </w:t>
            </w:r>
            <w:r w:rsidR="00810BAC" w:rsidRPr="00FF3102">
              <w:rPr>
                <w:rFonts w:ascii="Simplified Arabic" w:eastAsiaTheme="minorEastAsia" w:hAnsi="Simplified Arabic" w:cs="Simplified Arabic"/>
                <w:bCs/>
                <w:iCs/>
                <w:sz w:val="20"/>
                <w:szCs w:val="20"/>
                <w:rtl/>
              </w:rPr>
              <w:t>الحد من أوجه التفاوت في معاملة الجنسين: تحقّق</w:t>
            </w:r>
          </w:p>
        </w:tc>
      </w:tr>
      <w:tr w:rsidR="00810BAC" w:rsidRPr="00FF3102">
        <w:trPr>
          <w:trHeight w:val="20"/>
          <w:jc w:val="center"/>
        </w:trPr>
        <w:tc>
          <w:tcPr>
            <w:tcW w:w="2861" w:type="pct"/>
            <w:shd w:val="clear" w:color="auto" w:fill="FFFFFF"/>
          </w:tcPr>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الإسهام الفاعل في الدعوة المستنيرة لمناصرة القضايا ووضع السياسات الخاصة بقضايا تعميم المساواة بين الجنسين ــ بحلول نهاية الفترة التي تغطيها إستراتيجية المساعدة الخاصة بمصر</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b/>
                <w:sz w:val="20"/>
                <w:szCs w:val="20"/>
              </w:rPr>
            </w:pPr>
            <w:r w:rsidRPr="00FF3102">
              <w:rPr>
                <w:rFonts w:ascii="Simplified Arabic" w:eastAsiaTheme="minorEastAsia" w:hAnsi="Simplified Arabic" w:cs="Simplified Arabic"/>
                <w:bCs/>
                <w:sz w:val="20"/>
                <w:szCs w:val="20"/>
                <w:rtl/>
              </w:rPr>
              <w:t xml:space="preserve">معالم مذكرة الإستراتيجية المؤقتة: </w:t>
            </w:r>
          </w:p>
          <w:p w:rsidR="00810BAC" w:rsidRPr="00FF3102" w:rsidRDefault="00810BAC" w:rsidP="001E71BE">
            <w:pPr>
              <w:numPr>
                <w:ilvl w:val="0"/>
                <w:numId w:val="47"/>
              </w:numPr>
              <w:tabs>
                <w:tab w:val="left" w:pos="2085"/>
                <w:tab w:val="center" w:pos="4680"/>
                <w:tab w:val="right" w:pos="9360"/>
              </w:tabs>
              <w:bidi/>
              <w:spacing w:before="60" w:after="60"/>
              <w:jc w:val="both"/>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اعتمدت الحكومة النتائج والتوصيات المنبثقة عن العمل التحليلي للبنك الدولي بشأن قضايا المساواة بين الجنسين والفرص الاقتصادية</w:t>
            </w:r>
          </w:p>
          <w:p w:rsidR="00810BAC" w:rsidRPr="00FF3102" w:rsidRDefault="00810BAC" w:rsidP="00236A62">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تحقَّقت هذه النتيجة. أثناء الفترة التي تغطيها مذكرة الإستراتيجية المؤقتة، نشر البنك الدولي وعمَّم على نطاق واسع عددا من التقارير المهمة عن قضايا المساواة بين </w:t>
            </w:r>
            <w:r w:rsidR="00236A62">
              <w:rPr>
                <w:rFonts w:ascii="Simplified Arabic" w:eastAsiaTheme="minorEastAsia" w:hAnsi="Simplified Arabic" w:cs="Simplified Arabic"/>
                <w:sz w:val="20"/>
                <w:szCs w:val="20"/>
                <w:rtl/>
              </w:rPr>
              <w:t>الجنسين، بما في ذلك: (1)</w:t>
            </w:r>
            <w:r w:rsidRPr="00FF3102">
              <w:rPr>
                <w:rFonts w:ascii="Simplified Arabic" w:eastAsiaTheme="minorEastAsia" w:hAnsi="Simplified Arabic" w:cs="Simplified Arabic"/>
                <w:sz w:val="20"/>
                <w:szCs w:val="20"/>
                <w:rtl/>
              </w:rPr>
              <w:t xml:space="preserve"> تقرير عن التنمية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العالم</w:t>
            </w:r>
            <w:r w:rsidRPr="00FF3102">
              <w:rPr>
                <w:rFonts w:ascii="Simplified Arabic" w:eastAsiaTheme="minorEastAsia" w:hAnsi="Simplified Arabic" w:cs="Simplified Arabic"/>
                <w:sz w:val="20"/>
                <w:szCs w:val="20"/>
              </w:rPr>
              <w:t xml:space="preserve"> 2012 </w:t>
            </w:r>
            <w:r w:rsidRPr="00FF3102">
              <w:rPr>
                <w:rFonts w:ascii="Simplified Arabic" w:eastAsiaTheme="minorEastAsia" w:hAnsi="Simplified Arabic" w:cs="Simplified Arabic"/>
                <w:sz w:val="20"/>
                <w:szCs w:val="20"/>
                <w:rtl/>
              </w:rPr>
              <w:t>عن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المساواة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الجنسين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والتنمية؛ (2) تقرير فتح</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الأبواب: المساواة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الجنسين والتنمية 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منطقة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الشرق</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الأوسط</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وشمال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أفريقيا (2013) </w:t>
            </w:r>
            <w:r w:rsidR="00236A62">
              <w:rPr>
                <w:rFonts w:ascii="Simplified Arabic" w:eastAsiaTheme="minorEastAsia" w:hAnsi="Simplified Arabic" w:cs="Simplified Arabic"/>
                <w:sz w:val="20"/>
                <w:szCs w:val="20"/>
                <w:rtl/>
              </w:rPr>
              <w:t>– وهو تقرير إقليمي مصاحب ل</w:t>
            </w:r>
            <w:r w:rsidRPr="00FF3102">
              <w:rPr>
                <w:rFonts w:ascii="Simplified Arabic" w:eastAsiaTheme="minorEastAsia" w:hAnsi="Simplified Arabic" w:cs="Simplified Arabic"/>
                <w:sz w:val="20"/>
                <w:szCs w:val="20"/>
                <w:rtl/>
              </w:rPr>
              <w:t xml:space="preserve">تقرير عن التنمية في العالم 2012؛ (3) تقييم المساواة بين الجنسين: "تضييق الفجوة: تحسين فرص سوق العمل المتاحة للنساء في مصر (2011)؛ (4) تقرير </w:t>
            </w:r>
            <w:r w:rsidRPr="00FF3102">
              <w:rPr>
                <w:rFonts w:ascii="Simplified Arabic" w:eastAsiaTheme="minorEastAsia" w:hAnsi="Simplified Arabic" w:cs="Simplified Arabic"/>
                <w:sz w:val="20"/>
                <w:szCs w:val="20"/>
              </w:rPr>
              <w:t>"</w:t>
            </w:r>
            <w:r w:rsidRPr="00FF3102">
              <w:rPr>
                <w:rFonts w:ascii="Simplified Arabic" w:eastAsiaTheme="minorEastAsia" w:hAnsi="Simplified Arabic" w:cs="Simplified Arabic"/>
                <w:sz w:val="20"/>
                <w:szCs w:val="20"/>
                <w:rtl/>
              </w:rPr>
              <w:t>استعادة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أصواتهم: آراء</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جديدة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لفتيات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وشباب</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صعيد</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مصر" (2012).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وصاحب التركيز القوي على الحوار بشأن السياسات في قضايا المساواة بين الجنسين أيضا تجديد الالتزام من جانب الشركات وعلى المستوى الإقليمي والقطاعي بمراعاة أبعاد المساواة بين الجنسين في صميم العمليات التي يُموِّلها البنك الدولي.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وفي العامين الماضيين، وضعت المناطق والشبكات والقطاعات خطط عمل من أجل المساواة بين الجنسين.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وعلى وجه التحديد، اعتمدت خطة العمل الإقليمي بشأن المساواة بين الجنسين في منطقة الشرق الأوسط وشمال أفريقيا نهجا ذا محورين يقوم بدور تكميلي للمساندة المقدمة لبرامج البلدان المعنية مع التركيز الواضح على إثراء الحوار وتوفير منبر للنقاش.</w:t>
            </w:r>
            <w:r w:rsidRPr="00FF3102">
              <w:rPr>
                <w:rFonts w:ascii="Simplified Arabic" w:eastAsiaTheme="minorEastAsia" w:hAnsi="Simplified Arabic" w:cs="Simplified Arabic"/>
                <w:sz w:val="20"/>
                <w:szCs w:val="20"/>
              </w:rPr>
              <w:t xml:space="preserve">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bCs/>
                <w:sz w:val="20"/>
                <w:szCs w:val="20"/>
                <w:rtl/>
              </w:rPr>
              <w:t>ن</w:t>
            </w:r>
            <w:r w:rsidR="00236A62">
              <w:rPr>
                <w:rFonts w:ascii="Simplified Arabic" w:eastAsiaTheme="minorEastAsia" w:hAnsi="Simplified Arabic" w:cs="Simplified Arabic"/>
                <w:bCs/>
                <w:sz w:val="20"/>
                <w:szCs w:val="20"/>
                <w:rtl/>
              </w:rPr>
              <w:t>وافذ متخصصة للنساء لتحسين قدرته</w:t>
            </w:r>
            <w:r w:rsidR="00236A62">
              <w:rPr>
                <w:rFonts w:ascii="Simplified Arabic" w:eastAsiaTheme="minorEastAsia" w:hAnsi="Simplified Arabic" w:cs="Simplified Arabic" w:hint="cs"/>
                <w:bCs/>
                <w:sz w:val="20"/>
                <w:szCs w:val="20"/>
                <w:rtl/>
              </w:rPr>
              <w:t>ن</w:t>
            </w:r>
            <w:r w:rsidRPr="00FF3102">
              <w:rPr>
                <w:rFonts w:ascii="Simplified Arabic" w:eastAsiaTheme="minorEastAsia" w:hAnsi="Simplified Arabic" w:cs="Simplified Arabic"/>
                <w:bCs/>
                <w:sz w:val="20"/>
                <w:szCs w:val="20"/>
                <w:rtl/>
              </w:rPr>
              <w:t xml:space="preserve"> على الحصول على التمويل</w:t>
            </w:r>
            <w:r w:rsidRPr="00FF3102">
              <w:rPr>
                <w:rFonts w:ascii="Simplified Arabic" w:eastAsiaTheme="minorEastAsia" w:hAnsi="Simplified Arabic" w:cs="Simplified Arabic"/>
                <w:sz w:val="20"/>
                <w:szCs w:val="20"/>
                <w:rtl/>
              </w:rPr>
              <w:t xml:space="preserve">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أسفر حوار السياسات المكثف بشأن المساواة بين الجنسين عن عدد من العمليات التي تراعي أبعاد هذه المساواة في مصر، وتتركَّز على زيادة فرص العمل للنساء من خلال التدريب على تطوير أنشطة الأعمال والحصول على التمويل (النتيجة المتوقعة 2 لإستراتيجية المساعدة الخاصة بمصر) ومن ذلك ما يلي: </w:t>
            </w:r>
          </w:p>
          <w:p w:rsidR="00810BAC" w:rsidRPr="00236A62" w:rsidRDefault="00236A62" w:rsidP="00236A62">
            <w:pPr>
              <w:tabs>
                <w:tab w:val="left" w:pos="2085"/>
                <w:tab w:val="center" w:pos="4680"/>
                <w:tab w:val="right" w:pos="9360"/>
              </w:tabs>
              <w:bidi/>
              <w:spacing w:before="60" w:after="60"/>
              <w:rPr>
                <w:rFonts w:ascii="Simplified Arabic" w:eastAsiaTheme="minorEastAsia" w:hAnsi="Simplified Arabic" w:cs="Simplified Arabic"/>
                <w:sz w:val="20"/>
                <w:szCs w:val="20"/>
              </w:rPr>
            </w:pPr>
            <w:r>
              <w:rPr>
                <w:rFonts w:ascii="Simplified Arabic" w:eastAsiaTheme="minorEastAsia" w:hAnsi="Simplified Arabic" w:cs="Simplified Arabic"/>
                <w:sz w:val="20"/>
                <w:szCs w:val="20"/>
                <w:rtl/>
              </w:rPr>
              <w:t xml:space="preserve">في يونيو 2013، </w:t>
            </w:r>
            <w:r>
              <w:rPr>
                <w:rFonts w:ascii="Simplified Arabic" w:eastAsiaTheme="minorEastAsia" w:hAnsi="Simplified Arabic" w:cs="Simplified Arabic" w:hint="cs"/>
                <w:sz w:val="20"/>
                <w:szCs w:val="20"/>
                <w:rtl/>
              </w:rPr>
              <w:t>قدم</w:t>
            </w:r>
            <w:r w:rsidR="00810BAC" w:rsidRPr="00FF3102">
              <w:rPr>
                <w:rFonts w:ascii="Simplified Arabic" w:eastAsiaTheme="minorEastAsia" w:hAnsi="Simplified Arabic" w:cs="Simplified Arabic"/>
                <w:sz w:val="20"/>
                <w:szCs w:val="20"/>
                <w:rtl/>
              </w:rPr>
              <w:t xml:space="preserve"> برنامج سوق التنمية في مصر مِنَحا بقيمة 1.25 مليون دولار </w:t>
            </w:r>
            <w:r>
              <w:rPr>
                <w:rFonts w:ascii="Simplified Arabic" w:eastAsiaTheme="minorEastAsia" w:hAnsi="Simplified Arabic" w:cs="Simplified Arabic" w:hint="cs"/>
                <w:sz w:val="20"/>
                <w:szCs w:val="20"/>
                <w:rtl/>
              </w:rPr>
              <w:t>ل</w:t>
            </w:r>
            <w:r w:rsidR="00810BAC" w:rsidRPr="00FF3102">
              <w:rPr>
                <w:rFonts w:ascii="Simplified Arabic" w:eastAsiaTheme="minorEastAsia" w:hAnsi="Simplified Arabic" w:cs="Simplified Arabic"/>
                <w:sz w:val="20"/>
                <w:szCs w:val="20"/>
                <w:rtl/>
              </w:rPr>
              <w:t xml:space="preserve"> 45 منظمة للإسهام في تهيئة الوظائف في مشروعات الصناعات الزراعية والحرف اليدوية في أنحاء مصر مع تركيز خاص على صعيد مصر.</w:t>
            </w:r>
            <w:r w:rsidR="00810BAC" w:rsidRPr="00FF3102">
              <w:rPr>
                <w:rFonts w:ascii="Simplified Arabic" w:eastAsiaTheme="minorEastAsia" w:hAnsi="Simplified Arabic" w:cs="Simplified Arabic"/>
                <w:sz w:val="20"/>
                <w:szCs w:val="20"/>
              </w:rPr>
              <w:t xml:space="preserve"> </w:t>
            </w:r>
            <w:r w:rsidR="00810BAC" w:rsidRPr="00FF3102">
              <w:rPr>
                <w:rFonts w:ascii="Simplified Arabic" w:eastAsiaTheme="minorEastAsia" w:hAnsi="Simplified Arabic" w:cs="Simplified Arabic"/>
                <w:sz w:val="20"/>
                <w:szCs w:val="20"/>
                <w:rtl/>
              </w:rPr>
              <w:t>و</w:t>
            </w:r>
            <w:r>
              <w:rPr>
                <w:rFonts w:ascii="Simplified Arabic" w:eastAsiaTheme="minorEastAsia" w:hAnsi="Simplified Arabic" w:cs="Simplified Arabic" w:hint="cs"/>
                <w:sz w:val="20"/>
                <w:szCs w:val="20"/>
                <w:rtl/>
              </w:rPr>
              <w:t>يعتمد</w:t>
            </w:r>
            <w:r w:rsidR="00810BAC" w:rsidRPr="00FF3102">
              <w:rPr>
                <w:rFonts w:ascii="Simplified Arabic" w:eastAsiaTheme="minorEastAsia" w:hAnsi="Simplified Arabic" w:cs="Simplified Arabic"/>
                <w:sz w:val="20"/>
                <w:szCs w:val="20"/>
                <w:rtl/>
              </w:rPr>
              <w:t xml:space="preserve"> صعيد مصر في الغالب على قطاعات الزراعة والحرف اليدوية بوصفها المصدر الرئيسي للدخل، والمجال الذي يمكن فيه للنساء كسب الرزق.</w:t>
            </w:r>
            <w:r w:rsidR="00810BAC" w:rsidRPr="00FF3102">
              <w:rPr>
                <w:rFonts w:ascii="Simplified Arabic" w:eastAsiaTheme="minorEastAsia" w:hAnsi="Simplified Arabic" w:cs="Simplified Arabic"/>
                <w:sz w:val="20"/>
                <w:szCs w:val="20"/>
              </w:rPr>
              <w:t xml:space="preserve"> </w:t>
            </w:r>
            <w:r w:rsidR="00810BAC" w:rsidRPr="00FF3102">
              <w:rPr>
                <w:rFonts w:ascii="Simplified Arabic" w:eastAsiaTheme="minorEastAsia" w:hAnsi="Simplified Arabic" w:cs="Simplified Arabic"/>
                <w:sz w:val="20"/>
                <w:szCs w:val="20"/>
                <w:rtl/>
              </w:rPr>
              <w:t>ويتيح البرنامج للنساء الفرصة للتواصل وتبادل المعلومات مع نظرائهن في هذا المجال، وكذلك مع المنظمات الإنمائية المحلية والدولية لاستكشاف الفرص المتاحة خلال فترة المنحة وبعدها.</w:t>
            </w:r>
            <w:r w:rsidR="00810BAC" w:rsidRPr="00FF3102">
              <w:rPr>
                <w:rFonts w:ascii="Simplified Arabic" w:eastAsiaTheme="minorEastAsia" w:hAnsi="Simplified Arabic" w:cs="Simplified Arabic"/>
                <w:sz w:val="20"/>
                <w:szCs w:val="20"/>
              </w:rPr>
              <w:t xml:space="preserve"> </w:t>
            </w:r>
            <w:r w:rsidR="00810BAC" w:rsidRPr="00FF3102">
              <w:rPr>
                <w:rFonts w:ascii="Simplified Arabic" w:eastAsiaTheme="minorEastAsia" w:hAnsi="Simplified Arabic" w:cs="Simplified Arabic"/>
                <w:sz w:val="20"/>
                <w:szCs w:val="20"/>
                <w:rtl/>
              </w:rPr>
              <w:t>وفي نوفمبر 2012، أقيمت فعاليات للتواصل في أسيوط وقنا وأسوان والمنيا لزيادة الوعي بالمسابقة ولضمان مشاركة المنظمات التي تعمل في الأماكن المستهدفة.</w:t>
            </w:r>
            <w:r w:rsidR="00810BAC" w:rsidRPr="00FF3102">
              <w:rPr>
                <w:rFonts w:ascii="Simplified Arabic" w:eastAsiaTheme="minorEastAsia" w:hAnsi="Simplified Arabic" w:cs="Simplified Arabic"/>
                <w:sz w:val="20"/>
                <w:szCs w:val="20"/>
              </w:rPr>
              <w:t xml:space="preserve"> </w:t>
            </w:r>
            <w:r w:rsidR="00810BAC" w:rsidRPr="00FF3102">
              <w:rPr>
                <w:rFonts w:ascii="Simplified Arabic" w:eastAsiaTheme="minorEastAsia" w:hAnsi="Simplified Arabic" w:cs="Simplified Arabic"/>
                <w:sz w:val="20"/>
                <w:szCs w:val="20"/>
                <w:rtl/>
              </w:rPr>
              <w:t>وفي أبريل 2013، أقيمت حلقتان لبناء القدرات مدة كل منهما أربعة أيام للمتسابقين الذين وصلوا التصفيات النهائية في أسوان والمنيا لإتاحة تدريب تفاعلي مُتعمِّق على كتابة المقترحات، وإعداد الميزانية، ورصد الآثار الاجتماعية وتقييمها، ومهارات الاتصال.</w:t>
            </w:r>
            <w:r w:rsidR="00810BAC" w:rsidRPr="00FF3102">
              <w:rPr>
                <w:rFonts w:ascii="Simplified Arabic" w:eastAsiaTheme="minorEastAsia" w:hAnsi="Simplified Arabic" w:cs="Simplified Arabic"/>
                <w:sz w:val="20"/>
                <w:szCs w:val="20"/>
              </w:rPr>
              <w:t xml:space="preserve"> </w:t>
            </w:r>
            <w:r w:rsidR="00810BAC" w:rsidRPr="00FF3102">
              <w:rPr>
                <w:rFonts w:ascii="Simplified Arabic" w:eastAsiaTheme="minorEastAsia" w:hAnsi="Simplified Arabic" w:cs="Simplified Arabic"/>
                <w:sz w:val="20"/>
                <w:szCs w:val="20"/>
                <w:rtl/>
              </w:rPr>
              <w:t>ومن خلال مبادرة سوق التنمية في مصر، تم تحديد المشروعات التي تتميز بأعلى إمكانيات للتوسع والتكرار والاستدامة المالية</w:t>
            </w:r>
            <w:r w:rsidR="00810BAC" w:rsidRPr="00236A62">
              <w:rPr>
                <w:rFonts w:ascii="Simplified Arabic" w:eastAsiaTheme="minorEastAsia" w:hAnsi="Simplified Arabic" w:cs="Simplified Arabic"/>
                <w:sz w:val="20"/>
                <w:szCs w:val="20"/>
                <w:rtl/>
              </w:rPr>
              <w:t>.</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وأتاح برنامج</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سوق</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التنمية</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منتدى</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لمساندة المشروعات ذات</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الأداء</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العالي</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ونماذج</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الأعمال</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الشاملة</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للجميع، لاسيما تلك التي تقودها النساء، وتعزيز وزيادة</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قدراتهن</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على</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الوصول</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بالسلع</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والخدمات</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الأساسية</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إلى</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المجتمعات</w:t>
            </w:r>
            <w:r w:rsidR="00810BAC" w:rsidRPr="00236A62">
              <w:rPr>
                <w:rFonts w:ascii="Simplified Arabic" w:eastAsiaTheme="minorEastAsia" w:hAnsi="Simplified Arabic" w:cs="Simplified Arabic"/>
                <w:sz w:val="20"/>
                <w:szCs w:val="20"/>
              </w:rPr>
              <w:t xml:space="preserve"> </w:t>
            </w:r>
            <w:r w:rsidR="00810BAC" w:rsidRPr="00236A62">
              <w:rPr>
                <w:rFonts w:ascii="Simplified Arabic" w:eastAsiaTheme="minorEastAsia" w:hAnsi="Simplified Arabic" w:cs="Simplified Arabic"/>
                <w:sz w:val="20"/>
                <w:szCs w:val="20"/>
                <w:rtl/>
              </w:rPr>
              <w:t>المحرومة.</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 xml:space="preserve">مساعدة فنية لمنطقة الشرق الأوسط وشمال أفريقيا: تعزيز التمويل المتناهي الصغر بين النساء والشباب في المنطقة </w:t>
            </w:r>
            <w:r w:rsidRPr="00FF3102">
              <w:rPr>
                <w:rFonts w:ascii="Simplified Arabic" w:eastAsiaTheme="minorEastAsia" w:hAnsi="Simplified Arabic" w:cs="Simplified Arabic"/>
                <w:sz w:val="20"/>
                <w:szCs w:val="20"/>
              </w:rPr>
              <w:t>(P144655)</w:t>
            </w:r>
            <w:r w:rsidRPr="00FF3102">
              <w:rPr>
                <w:rFonts w:ascii="Simplified Arabic" w:eastAsiaTheme="minorEastAsia" w:hAnsi="Simplified Arabic" w:cs="Simplified Arabic"/>
                <w:sz w:val="20"/>
                <w:szCs w:val="20"/>
                <w:rtl/>
              </w:rPr>
              <w:t xml:space="preserve"> (تمت الموافقة عليه في يونيو 2013)، وتهدف إلى زيادة القدرة على الحصول على التمويل المتناهي الصغر واستخدامه بين النساء والشباب في المغرب وتونس ومصر من خلال تحليل جانب الطلب لمعوقات الحصول على التمويل بين النساء والشباب، ووضع برامج للتوعية المالية موجهة إلى النساء والشباب، والتعليم والتدريب فيما بين بلدان الجنوب. </w:t>
            </w: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i/>
                <w:sz w:val="20"/>
                <w:szCs w:val="20"/>
              </w:rPr>
            </w:pPr>
            <w:r w:rsidRPr="00FF3102">
              <w:rPr>
                <w:rFonts w:ascii="Simplified Arabic" w:eastAsiaTheme="minorEastAsia" w:hAnsi="Simplified Arabic" w:cs="Simplified Arabic"/>
                <w:color w:val="000000"/>
                <w:spacing w:val="-2"/>
                <w:sz w:val="20"/>
                <w:szCs w:val="20"/>
                <w:rtl/>
              </w:rPr>
              <w:t xml:space="preserve">مشروع </w:t>
            </w:r>
            <w:r w:rsidRPr="00FF3102">
              <w:rPr>
                <w:rFonts w:ascii="Simplified Arabic" w:eastAsiaTheme="minorEastAsia" w:hAnsi="Simplified Arabic" w:cs="Simplified Arabic"/>
                <w:sz w:val="20"/>
                <w:szCs w:val="20"/>
                <w:rtl/>
              </w:rPr>
              <w:t>تعزيز</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قدرة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المشروعات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الصغيرة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والمتناهية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الصغر</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الحصول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التمويل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مصر </w:t>
            </w:r>
            <w:r w:rsidRPr="00FF3102">
              <w:rPr>
                <w:rFonts w:ascii="Simplified Arabic" w:eastAsiaTheme="minorEastAsia" w:hAnsi="Simplified Arabic" w:cs="Simplified Arabic"/>
                <w:sz w:val="20"/>
                <w:szCs w:val="20"/>
              </w:rPr>
              <w:t>(P116011)</w:t>
            </w:r>
            <w:r w:rsidRPr="00FF3102">
              <w:rPr>
                <w:rFonts w:ascii="Simplified Arabic" w:eastAsiaTheme="minorEastAsia" w:hAnsi="Simplified Arabic" w:cs="Simplified Arabic"/>
                <w:sz w:val="20"/>
                <w:szCs w:val="20"/>
                <w:rtl/>
              </w:rPr>
              <w:t xml:space="preserve"> (تمت الموافقة عليه في أبريل 2012).</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وتم حتى الآن منح ما مجموعه 77818 قرضاً لمؤسسات أعمال صغيرة ومتناهية الصغر، ساعدت على خلق أكثر من 111 ألف فرصة عمل.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وفضلا عن ذلك،</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تم</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بفاعلية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استهداف</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الشباب،</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الذين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يعانون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أشد</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المعاناة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ارتفاع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معدلات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البطالة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مقارنة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بغيرهم، وتتراوح</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أعمار</w:t>
            </w:r>
            <w:r w:rsidR="00236A62">
              <w:rPr>
                <w:rFonts w:ascii="Simplified Arabic" w:eastAsiaTheme="minorEastAsia" w:hAnsi="Simplified Arabic" w:cs="Simplified Arabic" w:hint="cs"/>
                <w:sz w:val="20"/>
                <w:szCs w:val="20"/>
                <w:rtl/>
              </w:rPr>
              <w:t xml:space="preserve"> </w:t>
            </w:r>
            <w:r w:rsidRPr="00FF3102">
              <w:rPr>
                <w:rFonts w:ascii="Simplified Arabic" w:eastAsiaTheme="minorEastAsia" w:hAnsi="Simplified Arabic" w:cs="Simplified Arabic"/>
                <w:sz w:val="20"/>
                <w:szCs w:val="20"/>
                <w:rtl/>
              </w:rPr>
              <w:t>المستفيدين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هذه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القروض</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بين</w:t>
            </w:r>
            <w:r w:rsidRPr="00FF3102">
              <w:rPr>
                <w:rFonts w:ascii="Simplified Arabic" w:eastAsiaTheme="minorEastAsia" w:hAnsi="Simplified Arabic" w:cs="Simplified Arabic"/>
                <w:sz w:val="20"/>
                <w:szCs w:val="20"/>
              </w:rPr>
              <w:t xml:space="preserve"> 21 </w:t>
            </w:r>
            <w:r w:rsidRPr="00FF3102">
              <w:rPr>
                <w:rFonts w:ascii="Simplified Arabic" w:eastAsiaTheme="minorEastAsia" w:hAnsi="Simplified Arabic" w:cs="Simplified Arabic"/>
                <w:sz w:val="20"/>
                <w:szCs w:val="20"/>
                <w:rtl/>
              </w:rPr>
              <w:t>و</w:t>
            </w:r>
            <w:r w:rsidRPr="00FF3102">
              <w:rPr>
                <w:rFonts w:ascii="Simplified Arabic" w:eastAsiaTheme="minorEastAsia" w:hAnsi="Simplified Arabic" w:cs="Simplified Arabic"/>
                <w:sz w:val="20"/>
                <w:szCs w:val="20"/>
              </w:rPr>
              <w:t xml:space="preserve">35 </w:t>
            </w:r>
            <w:r w:rsidRPr="00FF3102">
              <w:rPr>
                <w:rFonts w:ascii="Simplified Arabic" w:eastAsiaTheme="minorEastAsia" w:hAnsi="Simplified Arabic" w:cs="Simplified Arabic"/>
                <w:sz w:val="20"/>
                <w:szCs w:val="20"/>
                <w:rtl/>
              </w:rPr>
              <w:t>عاماً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ويمثلون</w:t>
            </w:r>
            <w:r w:rsidRPr="00FF3102">
              <w:rPr>
                <w:rFonts w:ascii="Simplified Arabic" w:eastAsiaTheme="minorEastAsia" w:hAnsi="Simplified Arabic" w:cs="Simplified Arabic"/>
                <w:sz w:val="20"/>
                <w:szCs w:val="20"/>
              </w:rPr>
              <w:t xml:space="preserve"> 60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المائة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جميع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الحاصلين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القروض</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المتناهية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الصغر، وذلك خلال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الفترة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يناير </w:t>
            </w:r>
            <w:r w:rsidRPr="00FF3102">
              <w:rPr>
                <w:rFonts w:ascii="Simplified Arabic" w:eastAsiaTheme="minorEastAsia" w:hAnsi="Simplified Arabic" w:cs="Simplified Arabic"/>
                <w:sz w:val="20"/>
                <w:szCs w:val="20"/>
              </w:rPr>
              <w:t>2011</w:t>
            </w:r>
            <w:r w:rsidRPr="00FF3102">
              <w:rPr>
                <w:rFonts w:ascii="Simplified Arabic" w:eastAsiaTheme="minorEastAsia" w:hAnsi="Simplified Arabic" w:cs="Simplified Arabic"/>
                <w:sz w:val="20"/>
                <w:szCs w:val="20"/>
                <w:rtl/>
              </w:rPr>
              <w:t xml:space="preserve"> ويونيو 2013. ويتجلّى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الأثر</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القوي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الذي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أحدثته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هذه</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العملية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تعميم</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المساواة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بين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الجنسين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زيادة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عدد</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منشآت</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الأعمال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الصغيرة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ومتناهية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الصغر</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المملوكة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للنساء</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00236A62">
              <w:rPr>
                <w:rFonts w:ascii="Simplified Arabic" w:eastAsiaTheme="minorEastAsia" w:hAnsi="Simplified Arabic" w:cs="Simplified Arabic" w:hint="cs"/>
                <w:sz w:val="20"/>
                <w:szCs w:val="20"/>
                <w:rtl/>
              </w:rPr>
              <w:t xml:space="preserve">   </w:t>
            </w:r>
            <w:r w:rsidRPr="00FF3102">
              <w:rPr>
                <w:rFonts w:ascii="Simplified Arabic" w:eastAsiaTheme="minorEastAsia" w:hAnsi="Simplified Arabic" w:cs="Simplified Arabic"/>
                <w:sz w:val="20"/>
                <w:szCs w:val="20"/>
              </w:rPr>
              <w:t xml:space="preserve">4573 </w:t>
            </w:r>
            <w:r w:rsidR="00236A62">
              <w:rPr>
                <w:rFonts w:ascii="Simplified Arabic" w:eastAsiaTheme="minorEastAsia" w:hAnsi="Simplified Arabic" w:cs="Simplified Arabic" w:hint="cs"/>
                <w:sz w:val="20"/>
                <w:szCs w:val="20"/>
                <w:rtl/>
              </w:rPr>
              <w:t xml:space="preserve"> </w:t>
            </w:r>
            <w:r w:rsidRPr="00FF3102">
              <w:rPr>
                <w:rFonts w:ascii="Simplified Arabic" w:eastAsiaTheme="minorEastAsia" w:hAnsi="Simplified Arabic" w:cs="Simplified Arabic"/>
                <w:sz w:val="20"/>
                <w:szCs w:val="20"/>
                <w:rtl/>
              </w:rPr>
              <w:t xml:space="preserve">إلى </w:t>
            </w:r>
            <w:r w:rsidRPr="00FF3102">
              <w:rPr>
                <w:rFonts w:ascii="Simplified Arabic" w:eastAsiaTheme="minorEastAsia" w:hAnsi="Simplified Arabic" w:cs="Simplified Arabic"/>
                <w:sz w:val="20"/>
                <w:szCs w:val="20"/>
              </w:rPr>
              <w:t>20536</w:t>
            </w:r>
            <w:r w:rsidRPr="00FF3102">
              <w:rPr>
                <w:rFonts w:ascii="Simplified Arabic" w:eastAsiaTheme="minorEastAsia" w:hAnsi="Simplified Arabic" w:cs="Simplified Arabic"/>
                <w:sz w:val="20"/>
                <w:szCs w:val="20"/>
                <w:rtl/>
              </w:rPr>
              <w:t xml:space="preserve"> منشأة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خلال</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الفترة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يونيو</w:t>
            </w:r>
            <w:r w:rsidRPr="00FF3102">
              <w:rPr>
                <w:rFonts w:ascii="Simplified Arabic" w:eastAsiaTheme="minorEastAsia" w:hAnsi="Simplified Arabic" w:cs="Simplified Arabic"/>
                <w:sz w:val="20"/>
                <w:szCs w:val="20"/>
              </w:rPr>
              <w:t xml:space="preserve"> 2012</w:t>
            </w:r>
            <w:r w:rsidRPr="00FF3102">
              <w:rPr>
                <w:rFonts w:ascii="Simplified Arabic" w:eastAsiaTheme="minorEastAsia" w:hAnsi="Simplified Arabic" w:cs="Simplified Arabic"/>
                <w:sz w:val="20"/>
                <w:szCs w:val="20"/>
                <w:rtl/>
              </w:rPr>
              <w:t xml:space="preserve"> إلى</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 xml:space="preserve">يونيو </w:t>
            </w:r>
            <w:r w:rsidRPr="00FF3102">
              <w:rPr>
                <w:rFonts w:ascii="Simplified Arabic" w:eastAsiaTheme="minorEastAsia" w:hAnsi="Simplified Arabic" w:cs="Simplified Arabic"/>
                <w:sz w:val="20"/>
                <w:szCs w:val="20"/>
              </w:rPr>
              <w:t>2013</w:t>
            </w:r>
            <w:r w:rsidRPr="00FF3102">
              <w:rPr>
                <w:rFonts w:ascii="Simplified Arabic" w:eastAsiaTheme="minorEastAsia" w:hAnsi="Simplified Arabic" w:cs="Simplified Arabic"/>
                <w:sz w:val="20"/>
                <w:szCs w:val="20"/>
                <w:rtl/>
              </w:rPr>
              <w:t>،</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وهو</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ما</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يمثل</w:t>
            </w:r>
            <w:r w:rsidRPr="00FF3102">
              <w:rPr>
                <w:rFonts w:ascii="Simplified Arabic" w:eastAsiaTheme="minorEastAsia" w:hAnsi="Simplified Arabic" w:cs="Simplified Arabic"/>
                <w:sz w:val="20"/>
                <w:szCs w:val="20"/>
              </w:rPr>
              <w:t xml:space="preserve"> 25 </w:t>
            </w:r>
            <w:r w:rsidRPr="00FF3102">
              <w:rPr>
                <w:rFonts w:ascii="Simplified Arabic" w:eastAsiaTheme="minorEastAsia" w:hAnsi="Simplified Arabic" w:cs="Simplified Arabic"/>
                <w:sz w:val="20"/>
                <w:szCs w:val="20"/>
                <w:rtl/>
              </w:rPr>
              <w:t>في</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المائة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من</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كافة</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المشاريع</w:t>
            </w:r>
            <w:r w:rsidRPr="00FF3102">
              <w:rPr>
                <w:rFonts w:ascii="Simplified Arabic" w:eastAsiaTheme="minorEastAsia" w:hAnsi="Simplified Arabic" w:cs="Simplified Arabic"/>
                <w:sz w:val="20"/>
                <w:szCs w:val="20"/>
              </w:rPr>
              <w:t xml:space="preserve"> </w:t>
            </w:r>
            <w:r w:rsidRPr="00FF3102">
              <w:rPr>
                <w:rFonts w:ascii="Simplified Arabic" w:eastAsiaTheme="minorEastAsia" w:hAnsi="Simplified Arabic" w:cs="Simplified Arabic"/>
                <w:sz w:val="20"/>
                <w:szCs w:val="20"/>
                <w:rtl/>
              </w:rPr>
              <w:t>المموّلة</w:t>
            </w:r>
            <w:r w:rsidRPr="00FF3102">
              <w:rPr>
                <w:rFonts w:ascii="Simplified Arabic" w:eastAsiaTheme="minorEastAsia" w:hAnsi="Simplified Arabic" w:cs="Simplified Arabic"/>
                <w:sz w:val="20"/>
                <w:szCs w:val="20"/>
              </w:rPr>
              <w:t>.</w:t>
            </w:r>
            <w:r w:rsidRPr="00FF3102">
              <w:rPr>
                <w:rFonts w:ascii="Simplified Arabic" w:eastAsiaTheme="minorEastAsia" w:hAnsi="Simplified Arabic" w:cs="Simplified Arabic"/>
                <w:sz w:val="20"/>
                <w:szCs w:val="20"/>
                <w:rtl/>
              </w:rPr>
              <w:t xml:space="preserve"> </w:t>
            </w:r>
          </w:p>
          <w:p w:rsidR="00810BAC" w:rsidRPr="00FF3102" w:rsidRDefault="00810BAC" w:rsidP="00810BAC">
            <w:pPr>
              <w:tabs>
                <w:tab w:val="left" w:pos="2085"/>
                <w:tab w:val="center" w:pos="4680"/>
                <w:tab w:val="right" w:pos="9360"/>
              </w:tabs>
              <w:bidi/>
              <w:spacing w:before="60" w:after="60"/>
              <w:rPr>
                <w:rFonts w:ascii="Simplified Arabic" w:hAnsi="Simplified Arabic" w:cs="Simplified Arabic"/>
                <w:i/>
                <w:sz w:val="20"/>
                <w:szCs w:val="20"/>
              </w:rPr>
            </w:pPr>
          </w:p>
          <w:p w:rsidR="00810BAC" w:rsidRPr="00FF3102" w:rsidRDefault="00810BAC" w:rsidP="00810BAC">
            <w:pPr>
              <w:tabs>
                <w:tab w:val="left" w:pos="2085"/>
                <w:tab w:val="center" w:pos="4680"/>
                <w:tab w:val="right" w:pos="9360"/>
              </w:tabs>
              <w:bidi/>
              <w:spacing w:before="60" w:after="60"/>
              <w:rPr>
                <w:rFonts w:ascii="Simplified Arabic" w:eastAsiaTheme="minorEastAsia" w:hAnsi="Simplified Arabic" w:cs="Simplified Arabic"/>
                <w:sz w:val="20"/>
                <w:szCs w:val="20"/>
              </w:rPr>
            </w:pPr>
            <w:r w:rsidRPr="00FF3102">
              <w:rPr>
                <w:rFonts w:ascii="Simplified Arabic" w:eastAsiaTheme="minorEastAsia" w:hAnsi="Simplified Arabic" w:cs="Simplified Arabic"/>
                <w:iCs/>
                <w:sz w:val="20"/>
                <w:szCs w:val="20"/>
                <w:rtl/>
              </w:rPr>
              <w:t>[التقرير المرحلي عن سير العمل في إستراتيجية المساعدة الخاصة بمصر 3.4</w:t>
            </w:r>
            <w:r w:rsidRPr="00FF3102">
              <w:rPr>
                <w:rFonts w:ascii="Simplified Arabic" w:eastAsiaTheme="minorEastAsia" w:hAnsi="Simplified Arabic" w:cs="Simplified Arabic"/>
                <w:i/>
                <w:sz w:val="20"/>
                <w:szCs w:val="20"/>
              </w:rPr>
              <w:t xml:space="preserve"> </w:t>
            </w:r>
            <w:r w:rsidRPr="00FF3102">
              <w:rPr>
                <w:rFonts w:ascii="Simplified Arabic" w:eastAsiaTheme="minorEastAsia" w:hAnsi="Simplified Arabic" w:cs="Simplified Arabic"/>
                <w:iCs/>
                <w:sz w:val="20"/>
                <w:szCs w:val="20"/>
                <w:rtl/>
              </w:rPr>
              <w:t>الحد من أوجه التفاوت في معاملة الجنسين]</w:t>
            </w:r>
          </w:p>
        </w:tc>
        <w:tc>
          <w:tcPr>
            <w:tcW w:w="872" w:type="pct"/>
            <w:shd w:val="clear" w:color="auto" w:fill="FFFFFF"/>
          </w:tcPr>
          <w:p w:rsidR="00810BAC" w:rsidRPr="002241AE" w:rsidRDefault="00810BAC" w:rsidP="001E71BE">
            <w:pPr>
              <w:numPr>
                <w:ilvl w:val="0"/>
                <w:numId w:val="37"/>
              </w:numPr>
              <w:tabs>
                <w:tab w:val="num" w:pos="244"/>
              </w:tabs>
              <w:bidi/>
              <w:spacing w:before="60" w:after="60"/>
              <w:ind w:left="244" w:hanging="172"/>
              <w:rPr>
                <w:rFonts w:ascii="Simplified Arabic" w:eastAsiaTheme="minorEastAsia" w:hAnsi="Simplified Arabic" w:cs="Simplified Arabic"/>
                <w:i/>
                <w:sz w:val="20"/>
                <w:szCs w:val="20"/>
              </w:rPr>
            </w:pPr>
            <w:r w:rsidRPr="002241AE">
              <w:rPr>
                <w:rFonts w:ascii="Simplified Arabic" w:eastAsiaTheme="minorEastAsia" w:hAnsi="Simplified Arabic" w:cs="Simplified Arabic"/>
                <w:i/>
                <w:sz w:val="20"/>
                <w:szCs w:val="20"/>
                <w:rtl/>
              </w:rPr>
              <w:t>السنة المالية 2011: تقييم المساواة بين الجنسين</w:t>
            </w:r>
          </w:p>
          <w:p w:rsidR="00810BAC" w:rsidRPr="00FF3102" w:rsidRDefault="00810BAC" w:rsidP="001E71BE">
            <w:pPr>
              <w:numPr>
                <w:ilvl w:val="0"/>
                <w:numId w:val="37"/>
              </w:numPr>
              <w:tabs>
                <w:tab w:val="num" w:pos="244"/>
              </w:tabs>
              <w:bidi/>
              <w:spacing w:before="60" w:after="60"/>
              <w:ind w:left="244" w:hanging="172"/>
              <w:rPr>
                <w:rFonts w:ascii="Simplified Arabic" w:eastAsiaTheme="minorEastAsia" w:hAnsi="Simplified Arabic" w:cs="Simplified Arabic"/>
                <w:sz w:val="20"/>
                <w:szCs w:val="20"/>
              </w:rPr>
            </w:pPr>
            <w:r w:rsidRPr="002241AE">
              <w:rPr>
                <w:rFonts w:ascii="Simplified Arabic" w:eastAsiaTheme="minorEastAsia" w:hAnsi="Simplified Arabic" w:cs="Simplified Arabic"/>
                <w:i/>
                <w:sz w:val="20"/>
                <w:szCs w:val="20"/>
                <w:rtl/>
              </w:rPr>
              <w:t>السنة المالية 2012: تقرير</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"استعادة</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أصواتهم: آراء</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جديدة</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لفتيات</w:t>
            </w:r>
            <w:r w:rsidRPr="00FF3102">
              <w:rPr>
                <w:rFonts w:ascii="Simplified Arabic" w:eastAsiaTheme="minorEastAsia" w:hAnsi="Simplified Arabic" w:cs="Simplified Arabic"/>
                <w:iCs/>
                <w:sz w:val="20"/>
                <w:szCs w:val="20"/>
              </w:rPr>
              <w:t xml:space="preserve"> </w:t>
            </w:r>
            <w:r w:rsidRPr="002241AE">
              <w:rPr>
                <w:rFonts w:ascii="Simplified Arabic" w:eastAsiaTheme="minorEastAsia" w:hAnsi="Simplified Arabic" w:cs="Simplified Arabic"/>
                <w:i/>
                <w:sz w:val="20"/>
                <w:szCs w:val="20"/>
                <w:rtl/>
              </w:rPr>
              <w:t>وشباب</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صعيد</w:t>
            </w:r>
            <w:r w:rsidRPr="002241AE">
              <w:rPr>
                <w:rFonts w:ascii="Simplified Arabic" w:eastAsiaTheme="minorEastAsia" w:hAnsi="Simplified Arabic" w:cs="Simplified Arabic"/>
                <w:i/>
                <w:sz w:val="20"/>
                <w:szCs w:val="20"/>
              </w:rPr>
              <w:t xml:space="preserve"> </w:t>
            </w:r>
            <w:r w:rsidRPr="002241AE">
              <w:rPr>
                <w:rFonts w:ascii="Simplified Arabic" w:eastAsiaTheme="minorEastAsia" w:hAnsi="Simplified Arabic" w:cs="Simplified Arabic"/>
                <w:i/>
                <w:sz w:val="20"/>
                <w:szCs w:val="20"/>
                <w:rtl/>
              </w:rPr>
              <w:t>مصر"</w:t>
            </w:r>
            <w:r w:rsidRPr="00FF3102">
              <w:rPr>
                <w:rFonts w:ascii="Simplified Arabic" w:eastAsiaTheme="minorEastAsia" w:hAnsi="Simplified Arabic" w:cs="Simplified Arabic"/>
                <w:iCs/>
                <w:sz w:val="20"/>
                <w:szCs w:val="20"/>
              </w:rPr>
              <w:t xml:space="preserve"> </w:t>
            </w:r>
          </w:p>
          <w:p w:rsidR="00810BAC" w:rsidRPr="00FF3102" w:rsidRDefault="00810BAC" w:rsidP="001E71BE">
            <w:pPr>
              <w:numPr>
                <w:ilvl w:val="0"/>
                <w:numId w:val="37"/>
              </w:numPr>
              <w:tabs>
                <w:tab w:val="num" w:pos="244"/>
              </w:tabs>
              <w:bidi/>
              <w:spacing w:before="60" w:after="60"/>
              <w:ind w:left="245" w:hanging="173"/>
              <w:rPr>
                <w:rFonts w:ascii="Simplified Arabic" w:eastAsiaTheme="minorEastAsia" w:hAnsi="Simplified Arabic" w:cs="Simplified Arabic"/>
                <w:i/>
                <w:sz w:val="20"/>
                <w:szCs w:val="20"/>
              </w:rPr>
            </w:pPr>
            <w:r w:rsidRPr="00FF3102">
              <w:rPr>
                <w:rFonts w:ascii="Simplified Arabic" w:eastAsiaTheme="minorEastAsia" w:hAnsi="Simplified Arabic" w:cs="Simplified Arabic"/>
                <w:sz w:val="20"/>
                <w:szCs w:val="20"/>
                <w:rtl/>
              </w:rPr>
              <w:t>السنة المالية 2012: مشروع مساندة المشروعات المتوسطة والصغيرة والمتناهية الصغر</w:t>
            </w:r>
            <w:r w:rsidRPr="00FF3102">
              <w:rPr>
                <w:rFonts w:ascii="Simplified Arabic" w:eastAsiaTheme="minorEastAsia" w:hAnsi="Simplified Arabic" w:cs="Simplified Arabic"/>
                <w:sz w:val="20"/>
                <w:szCs w:val="20"/>
              </w:rPr>
              <w:t xml:space="preserve"> </w:t>
            </w:r>
          </w:p>
          <w:p w:rsidR="00810BAC" w:rsidRPr="00FF3102" w:rsidRDefault="00810BAC" w:rsidP="002D4C01">
            <w:pPr>
              <w:numPr>
                <w:ilvl w:val="0"/>
                <w:numId w:val="37"/>
              </w:numPr>
              <w:tabs>
                <w:tab w:val="num" w:pos="244"/>
              </w:tabs>
              <w:bidi/>
              <w:spacing w:before="60" w:after="60"/>
              <w:ind w:left="245" w:hanging="173"/>
              <w:rPr>
                <w:rFonts w:ascii="Simplified Arabic" w:eastAsiaTheme="minorEastAsia" w:hAnsi="Simplified Arabic" w:cs="Simplified Arabic"/>
                <w:i/>
                <w:sz w:val="20"/>
                <w:szCs w:val="20"/>
              </w:rPr>
            </w:pPr>
            <w:r w:rsidRPr="00FF3102">
              <w:rPr>
                <w:rFonts w:ascii="Simplified Arabic" w:eastAsiaTheme="minorEastAsia" w:hAnsi="Simplified Arabic" w:cs="Simplified Arabic"/>
                <w:sz w:val="20"/>
                <w:szCs w:val="20"/>
              </w:rPr>
              <w:t>2012</w:t>
            </w:r>
            <w:r w:rsidR="002D4C01">
              <w:rPr>
                <w:rFonts w:ascii="Simplified Arabic" w:eastAsiaTheme="minorEastAsia" w:hAnsi="Simplified Arabic" w:cs="Simplified Arabic" w:hint="cs"/>
                <w:sz w:val="20"/>
                <w:szCs w:val="20"/>
                <w:rtl/>
              </w:rPr>
              <w:t>:</w:t>
            </w:r>
            <w:r w:rsidRPr="00FF3102">
              <w:rPr>
                <w:rFonts w:ascii="Simplified Arabic" w:eastAsiaTheme="minorEastAsia" w:hAnsi="Simplified Arabic" w:cs="Simplified Arabic"/>
                <w:sz w:val="20"/>
                <w:szCs w:val="20"/>
                <w:rtl/>
              </w:rPr>
              <w:t xml:space="preserve"> مبادرة مساندة سوق التنمية في مصر</w:t>
            </w:r>
          </w:p>
          <w:p w:rsidR="00810BAC" w:rsidRPr="002D4C01" w:rsidRDefault="00810BAC" w:rsidP="001E71BE">
            <w:pPr>
              <w:numPr>
                <w:ilvl w:val="0"/>
                <w:numId w:val="37"/>
              </w:numPr>
              <w:tabs>
                <w:tab w:val="num" w:pos="244"/>
              </w:tabs>
              <w:bidi/>
              <w:spacing w:before="60" w:after="60"/>
              <w:ind w:left="244" w:hanging="172"/>
              <w:rPr>
                <w:rFonts w:ascii="Simplified Arabic" w:eastAsiaTheme="minorEastAsia" w:hAnsi="Simplified Arabic" w:cs="Simplified Arabic"/>
                <w:i/>
                <w:sz w:val="20"/>
                <w:szCs w:val="20"/>
              </w:rPr>
            </w:pPr>
            <w:r w:rsidRPr="002D4C01">
              <w:rPr>
                <w:rFonts w:ascii="Simplified Arabic" w:eastAsiaTheme="minorEastAsia" w:hAnsi="Simplified Arabic" w:cs="Simplified Arabic"/>
                <w:i/>
                <w:sz w:val="20"/>
                <w:szCs w:val="20"/>
                <w:rtl/>
              </w:rPr>
              <w:t>السنة المالية 2013: مساعدة فنية عن تعزيز التمويل المتناهي الصغر للنساء في الشرق الأوسط وشمال أفريقيا</w:t>
            </w:r>
          </w:p>
        </w:tc>
        <w:tc>
          <w:tcPr>
            <w:tcW w:w="1267" w:type="pct"/>
            <w:shd w:val="clear" w:color="auto" w:fill="FFFFFF"/>
          </w:tcPr>
          <w:p w:rsidR="00810BAC" w:rsidRPr="00FF3102" w:rsidRDefault="00810BAC" w:rsidP="00810BAC">
            <w:pPr>
              <w:bidi/>
              <w:spacing w:before="60" w:after="60"/>
              <w:ind w:left="72"/>
              <w:rPr>
                <w:rFonts w:ascii="Simplified Arabic" w:eastAsiaTheme="minorEastAsia" w:hAnsi="Simplified Arabic" w:cs="Simplified Arabic"/>
                <w:sz w:val="20"/>
                <w:szCs w:val="20"/>
              </w:rPr>
            </w:pPr>
            <w:r w:rsidRPr="00FF3102">
              <w:rPr>
                <w:rFonts w:ascii="Simplified Arabic" w:eastAsiaTheme="minorEastAsia" w:hAnsi="Simplified Arabic" w:cs="Simplified Arabic"/>
                <w:sz w:val="20"/>
                <w:szCs w:val="20"/>
                <w:rtl/>
              </w:rPr>
              <w:t>لاقى حوارنا المتواصل ومشاركتنا في العديد من القطاعات بمزيج من الأعمال التحليلية والاستشارية والأنشطة الإقراضية نجاحا بوجه عام.</w:t>
            </w:r>
          </w:p>
        </w:tc>
      </w:tr>
    </w:tbl>
    <w:p w:rsidR="00810BAC" w:rsidRPr="00FF3102" w:rsidRDefault="00810BAC" w:rsidP="00810BAC">
      <w:pPr>
        <w:bidi/>
        <w:jc w:val="center"/>
        <w:rPr>
          <w:rFonts w:ascii="Simplified Arabic" w:hAnsi="Simplified Arabic" w:cs="Simplified Arabic"/>
          <w:b/>
        </w:rPr>
      </w:pPr>
    </w:p>
    <w:p w:rsidR="00810BAC" w:rsidRPr="00FF3102" w:rsidRDefault="00810BAC" w:rsidP="00810BAC">
      <w:pPr>
        <w:bidi/>
        <w:rPr>
          <w:rFonts w:ascii="Simplified Arabic" w:hAnsi="Simplified Arabic" w:cs="Simplified Arabic"/>
          <w:b/>
        </w:rPr>
      </w:pPr>
      <w:r w:rsidRPr="00FF3102">
        <w:rPr>
          <w:rFonts w:ascii="Simplified Arabic" w:hAnsi="Simplified Arabic" w:cs="Simplified Arabic"/>
          <w:b/>
        </w:rPr>
        <w:br w:type="page"/>
      </w:r>
    </w:p>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ملحق 2</w:t>
      </w:r>
      <w:r w:rsidRPr="00FF3102">
        <w:rPr>
          <w:rFonts w:ascii="Simplified Arabic" w:eastAsiaTheme="minorEastAsia" w:hAnsi="Simplified Arabic" w:cs="Simplified Arabic"/>
          <w:b/>
        </w:rPr>
        <w:t xml:space="preserve"> </w:t>
      </w:r>
    </w:p>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استعراض الإنجاز والتعلم</w:t>
      </w:r>
      <w:r w:rsidRPr="00FF3102">
        <w:rPr>
          <w:rFonts w:ascii="Simplified Arabic" w:eastAsiaTheme="minorEastAsia" w:hAnsi="Simplified Arabic" w:cs="Simplified Arabic"/>
          <w:b/>
        </w:rPr>
        <w:t xml:space="preserve"> </w:t>
      </w:r>
    </w:p>
    <w:p w:rsidR="00810BAC" w:rsidRPr="00FF3102" w:rsidRDefault="00810BAC" w:rsidP="00810BAC">
      <w:pPr>
        <w:bidi/>
        <w:spacing w:after="200" w:line="280" w:lineRule="auto"/>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من إستراتيجية المساعدة الخاصة بمصر إلى مذكرة الإستراتيجية المؤقتة: الركائز والقطاعات المُغطَّاة</w:t>
      </w:r>
    </w:p>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058"/>
        <w:gridCol w:w="4320"/>
      </w:tblGrid>
      <w:tr w:rsidR="00810BAC" w:rsidRPr="00FF3102">
        <w:tc>
          <w:tcPr>
            <w:tcW w:w="5058"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1 لإستراتيجية المساعدة الخاصة بمصر: تسهيل تنمية القطاع الخاص</w:t>
            </w:r>
          </w:p>
        </w:tc>
        <w:tc>
          <w:tcPr>
            <w:tcW w:w="4320"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1 لمذكرة الإستراتيجية المؤقتة: إدارة الاقتصاد</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الخدمات المالية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الاقتصاد الكُلي</w:t>
            </w:r>
            <w:r w:rsidRPr="00FF3102">
              <w:rPr>
                <w:rFonts w:ascii="Simplified Arabic" w:eastAsiaTheme="minorEastAsia" w:hAnsi="Simplified Arabic" w:cs="Simplified Arabic"/>
              </w:rPr>
              <w:t xml:space="preserve"> </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التجارة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القطاع الخاص/الحوكمة</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تنمية القطاع الخاص</w:t>
            </w:r>
          </w:p>
        </w:tc>
        <w:tc>
          <w:tcPr>
            <w:tcW w:w="4320" w:type="dxa"/>
          </w:tcPr>
          <w:p w:rsidR="00810BAC" w:rsidRPr="00FF3102" w:rsidRDefault="00810BAC" w:rsidP="00810BAC">
            <w:pPr>
              <w:bidi/>
              <w:spacing w:after="200"/>
              <w:rPr>
                <w:rFonts w:ascii="Simplified Arabic" w:hAnsi="Simplified Arabic" w:cs="Simplified Arabic"/>
              </w:rPr>
            </w:pPr>
          </w:p>
        </w:tc>
      </w:tr>
      <w:tr w:rsidR="00810BAC" w:rsidRPr="00FF3102">
        <w:tc>
          <w:tcPr>
            <w:tcW w:w="5058"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2 لإستراتيجية المساعدة الخاصة بمصر: تعزيز تقديم الخدمات العامة</w:t>
            </w:r>
          </w:p>
        </w:tc>
        <w:tc>
          <w:tcPr>
            <w:tcW w:w="4320"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2 لمذكرة الإستراتيجية المؤقتة: الوظائف</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الاقتصاد الكُلي</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تنمية القطاع الخاص</w:t>
            </w:r>
          </w:p>
        </w:tc>
      </w:tr>
      <w:tr w:rsidR="00810BAC" w:rsidRPr="00FF3102">
        <w:tc>
          <w:tcPr>
            <w:tcW w:w="5058" w:type="dxa"/>
          </w:tcPr>
          <w:p w:rsidR="00810BAC" w:rsidRPr="00FF3102" w:rsidRDefault="00810BAC" w:rsidP="00FF3102">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البنية التحتية</w:t>
            </w:r>
            <w:r w:rsidR="00FF3102">
              <w:rPr>
                <w:rStyle w:val="FootnoteReference"/>
                <w:rFonts w:ascii="Simplified Arabic" w:eastAsiaTheme="minorEastAsia" w:hAnsi="Simplified Arabic"/>
                <w:rtl/>
              </w:rPr>
              <w:footnoteReference w:id="34"/>
            </w:r>
            <w:r w:rsidR="003A1252">
              <w:rPr>
                <w:rFonts w:ascii="Simplified Arabic" w:eastAsiaTheme="minorEastAsia" w:hAnsi="Simplified Arabic" w:cs="Simplified Arabic"/>
                <w:rtl/>
              </w:rPr>
              <w:t xml:space="preserve"> </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الخدمات المالية</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المياه/البيئة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البنية التحتية</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التعليم</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التعليم</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القطاع الخاص/الحوكمة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التجارة</w:t>
            </w:r>
          </w:p>
        </w:tc>
      </w:tr>
      <w:tr w:rsidR="00810BAC" w:rsidRPr="00FF3102">
        <w:tc>
          <w:tcPr>
            <w:tcW w:w="5058"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3 لإستراتيجية المساعدة الخاصة بمصر: الاحتواء</w:t>
            </w:r>
            <w:r w:rsidRPr="00FF3102">
              <w:rPr>
                <w:rFonts w:ascii="Simplified Arabic" w:eastAsiaTheme="minorEastAsia" w:hAnsi="Simplified Arabic" w:cs="Simplified Arabic"/>
              </w:rPr>
              <w:t xml:space="preserve"> </w:t>
            </w:r>
            <w:r w:rsidRPr="00FF3102">
              <w:rPr>
                <w:rFonts w:ascii="Simplified Arabic" w:eastAsiaTheme="minorEastAsia" w:hAnsi="Simplified Arabic" w:cs="Simplified Arabic"/>
                <w:rtl/>
              </w:rPr>
              <w:t>تعزيز الإنصاف</w:t>
            </w:r>
          </w:p>
        </w:tc>
        <w:tc>
          <w:tcPr>
            <w:tcW w:w="4320" w:type="dxa"/>
            <w:shd w:val="clear" w:color="auto" w:fill="FFFF00"/>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الركيزة 3 لمذكرة الإستراتيجية المؤقتة: الاحتواء</w:t>
            </w:r>
            <w:r w:rsidRPr="00FF3102">
              <w:rPr>
                <w:rFonts w:ascii="Simplified Arabic" w:eastAsiaTheme="minorEastAsia" w:hAnsi="Simplified Arabic" w:cs="Simplified Arabic"/>
              </w:rPr>
              <w:t xml:space="preserve"> </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الحماية الاجتماعية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المياه/البيئة</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التفاوتات بين المناطق</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الحماية الاجتماعية</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الصحة</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التفاوتات بين المناطق</w:t>
            </w:r>
          </w:p>
        </w:tc>
      </w:tr>
      <w:tr w:rsidR="00810BAC" w:rsidRPr="00FF3102">
        <w:tc>
          <w:tcPr>
            <w:tcW w:w="5058"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المساواة بين الجنسين</w:t>
            </w: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الصحة</w:t>
            </w:r>
          </w:p>
        </w:tc>
      </w:tr>
      <w:tr w:rsidR="00810BAC" w:rsidRPr="00FF3102">
        <w:tc>
          <w:tcPr>
            <w:tcW w:w="5058" w:type="dxa"/>
          </w:tcPr>
          <w:p w:rsidR="00810BAC" w:rsidRPr="00FF3102" w:rsidRDefault="00810BAC" w:rsidP="00810BAC">
            <w:pPr>
              <w:bidi/>
              <w:spacing w:after="200"/>
              <w:rPr>
                <w:rFonts w:ascii="Simplified Arabic" w:hAnsi="Simplified Arabic" w:cs="Simplified Arabic"/>
              </w:rPr>
            </w:pPr>
          </w:p>
        </w:tc>
        <w:tc>
          <w:tcPr>
            <w:tcW w:w="4320" w:type="dxa"/>
          </w:tcPr>
          <w:p w:rsidR="00810BAC" w:rsidRPr="00FF3102" w:rsidRDefault="00810BAC" w:rsidP="00810BAC">
            <w:pPr>
              <w:bidi/>
              <w:spacing w:after="200"/>
              <w:rPr>
                <w:rFonts w:ascii="Simplified Arabic" w:eastAsiaTheme="minorEastAsia" w:hAnsi="Simplified Arabic" w:cs="Simplified Arabic"/>
              </w:rPr>
            </w:pPr>
            <w:r w:rsidRPr="00FF3102">
              <w:rPr>
                <w:rFonts w:ascii="Simplified Arabic" w:eastAsiaTheme="minorEastAsia" w:hAnsi="Simplified Arabic" w:cs="Simplified Arabic"/>
                <w:rtl/>
              </w:rPr>
              <w:t>المساواة بين الجنسين</w:t>
            </w:r>
          </w:p>
        </w:tc>
      </w:tr>
    </w:tbl>
    <w:p w:rsidR="00810BAC" w:rsidRPr="00FF3102" w:rsidRDefault="00810BAC" w:rsidP="00810BAC">
      <w:pPr>
        <w:bidi/>
        <w:jc w:val="center"/>
        <w:rPr>
          <w:rFonts w:ascii="Simplified Arabic" w:hAnsi="Simplified Arabic" w:cs="Simplified Arabic"/>
          <w:b/>
          <w:i/>
          <w:smallCaps/>
        </w:rPr>
      </w:pPr>
      <w:r w:rsidRPr="00FF3102">
        <w:rPr>
          <w:rFonts w:ascii="Simplified Arabic" w:hAnsi="Simplified Arabic" w:cs="Simplified Arabic"/>
          <w:b/>
        </w:rPr>
        <w:br w:type="page"/>
      </w: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i/>
        </w:rPr>
      </w:pPr>
      <w:r w:rsidRPr="00FF3102">
        <w:rPr>
          <w:rFonts w:ascii="Simplified Arabic" w:eastAsiaTheme="minorEastAsia" w:hAnsi="Simplified Arabic" w:cs="Simplified Arabic"/>
          <w:bCs/>
          <w:i/>
          <w:smallCaps/>
          <w:rtl/>
        </w:rPr>
        <w:t xml:space="preserve">الملحق الثالث: </w:t>
      </w:r>
    </w:p>
    <w:p w:rsidR="00810BAC" w:rsidRPr="00FF3102" w:rsidRDefault="00810BAC" w:rsidP="00810BAC">
      <w:pPr>
        <w:keepNext/>
        <w:keepLines/>
        <w:bidi/>
        <w:spacing w:before="300" w:after="240"/>
        <w:jc w:val="center"/>
        <w:outlineLvl w:val="1"/>
        <w:rPr>
          <w:rFonts w:ascii="Simplified Arabic" w:eastAsiaTheme="minorEastAsia" w:hAnsi="Simplified Arabic" w:cs="Simplified Arabic"/>
          <w:i/>
          <w:spacing w:val="-4"/>
        </w:rPr>
      </w:pPr>
      <w:r w:rsidRPr="00FF3102">
        <w:rPr>
          <w:rFonts w:ascii="Simplified Arabic" w:eastAsiaTheme="minorEastAsia" w:hAnsi="Simplified Arabic" w:cs="Simplified Arabic"/>
          <w:bCs/>
          <w:i/>
          <w:smallCaps/>
          <w:rtl/>
        </w:rPr>
        <w:t>استعراض الإنجاز والتعلم</w:t>
      </w:r>
      <w:r w:rsidRPr="00FF3102">
        <w:rPr>
          <w:rFonts w:ascii="Simplified Arabic" w:eastAsiaTheme="minorEastAsia" w:hAnsi="Simplified Arabic" w:cs="Simplified Arabic"/>
          <w:b/>
          <w:i/>
          <w:smallCaps/>
        </w:rPr>
        <w:t xml:space="preserve"> </w:t>
      </w:r>
      <w:r w:rsidRPr="00FF3102">
        <w:rPr>
          <w:rFonts w:ascii="Simplified Arabic" w:eastAsiaTheme="minorEastAsia" w:hAnsi="Simplified Arabic" w:cs="Simplified Arabic"/>
          <w:b/>
          <w:i/>
          <w:smallCaps/>
        </w:rPr>
        <w:br/>
      </w:r>
      <w:r w:rsidRPr="00FF3102">
        <w:rPr>
          <w:rFonts w:ascii="Simplified Arabic" w:eastAsiaTheme="minorEastAsia" w:hAnsi="Simplified Arabic" w:cs="Simplified Arabic"/>
          <w:bCs/>
          <w:i/>
          <w:smallCaps/>
          <w:rtl/>
        </w:rPr>
        <w:t>أنشطة مقترحة لإستراتيجية المساعدة الخاصة بمصر/مذكرة الإستراتيجية المؤقتة السنوات المالية 2006-2014</w:t>
      </w:r>
    </w:p>
    <w:p w:rsidR="00810BAC" w:rsidRPr="00FF3102" w:rsidRDefault="00810BAC" w:rsidP="00810BAC">
      <w:pPr>
        <w:bidi/>
        <w:rPr>
          <w:rFonts w:ascii="Simplified Arabic" w:hAnsi="Simplified Arabic" w:cs="Simplified Arabic"/>
          <w:i/>
        </w:rPr>
      </w:pPr>
    </w:p>
    <w:p w:rsidR="00810BAC" w:rsidRPr="00FF3102" w:rsidRDefault="00810BAC" w:rsidP="00810BAC">
      <w:pPr>
        <w:keepNext/>
        <w:keepLines/>
        <w:bidi/>
        <w:spacing w:before="300" w:after="240"/>
        <w:jc w:val="center"/>
        <w:outlineLvl w:val="1"/>
        <w:rPr>
          <w:rFonts w:ascii="Simplified Arabic" w:hAnsi="Simplified Arabic" w:cs="Simplified Arabic"/>
          <w:b/>
          <w:i/>
          <w:smallCaps/>
        </w:rPr>
        <w:sectPr w:rsidR="00810BAC" w:rsidRPr="00FF3102">
          <w:footerReference w:type="default" r:id="rId38"/>
          <w:footerReference w:type="first" r:id="rId39"/>
          <w:pgSz w:w="12240" w:h="15840"/>
          <w:pgMar w:top="1440" w:right="1440" w:bottom="1440" w:left="1440" w:header="720" w:footer="720" w:gutter="0"/>
          <w:cols w:space="720"/>
          <w:rtlGutter/>
          <w:docGrid w:linePitch="360"/>
        </w:sect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أنشطة تم تنفيذها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الإقراض</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2006</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البنية التحتية للري في غرب الدلتا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 xml:space="preserve">محطة كهرباء التبين *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التمويل العقاري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تطوير قطاع الموانئ</w:t>
      </w:r>
      <w:r w:rsidRPr="00AF7761">
        <w:rPr>
          <w:rFonts w:ascii="Simplified Arabic" w:eastAsiaTheme="minorEastAsia" w:hAnsi="Simplified Arabic" w:cs="Simplified Arabic"/>
        </w:rPr>
        <w:t xml:space="preserve">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2007</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بؤرات النمو خارج الأسكندرية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التنمية المتكاملة للمحافظات</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المرحلة الرابعة من الصندوق الاجتماعي للتنمية</w:t>
      </w:r>
    </w:p>
    <w:p w:rsidR="00810BAC" w:rsidRPr="00AF7761" w:rsidRDefault="00810BAC" w:rsidP="00810BAC">
      <w:pPr>
        <w:bidi/>
        <w:rPr>
          <w:rFonts w:ascii="Simplified Arabic" w:eastAsiaTheme="minorEastAsia" w:hAnsi="Simplified Arabic" w:cs="Simplified Arabic"/>
          <w:lang w:val="fr-FR"/>
        </w:rPr>
      </w:pPr>
      <w:r w:rsidRPr="00AF7761">
        <w:rPr>
          <w:rFonts w:ascii="Simplified Arabic" w:eastAsiaTheme="minorEastAsia" w:hAnsi="Simplified Arabic" w:cs="Simplified Arabic"/>
          <w:rtl/>
        </w:rPr>
        <w:t>المشروع الثاني لتحسين التعليم</w:t>
      </w:r>
    </w:p>
    <w:p w:rsidR="00810BAC" w:rsidRPr="00AF7761" w:rsidRDefault="00810BAC" w:rsidP="00810BAC">
      <w:pPr>
        <w:bidi/>
        <w:rPr>
          <w:rFonts w:ascii="Simplified Arabic" w:eastAsiaTheme="minorEastAsia" w:hAnsi="Simplified Arabic" w:cs="Simplified Arabic"/>
          <w:lang w:val="fr-FR"/>
        </w:rPr>
      </w:pPr>
      <w:r w:rsidRPr="00AF7761">
        <w:rPr>
          <w:rFonts w:ascii="Simplified Arabic" w:eastAsiaTheme="minorEastAsia" w:hAnsi="Simplified Arabic" w:cs="Simplified Arabic"/>
          <w:rtl/>
        </w:rPr>
        <w:t>المشروع الثاني للحد من التلوث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الطاقة الشمسية الحرارية</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قرض إعادة هيكلة القطاع المالي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2008</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إدارة مرافق النقل/الطرق</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المشروع الثاني للتنمية المتكاملة للمحافظات</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السكك الحديدية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البنية التحتية المتكاملة للصرف الصحي في الدلتا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القرض الثاني لسياسات التنمية المعنية بالقطاع المالي *</w:t>
      </w:r>
    </w:p>
    <w:p w:rsidR="00810BAC" w:rsidRDefault="00810BAC" w:rsidP="00810BAC">
      <w:pPr>
        <w:bidi/>
        <w:rPr>
          <w:rFonts w:ascii="Simplified Arabic" w:hAnsi="Simplified Arabic" w:cs="Simplified Arabic"/>
          <w:rtl/>
        </w:rPr>
      </w:pPr>
    </w:p>
    <w:p w:rsidR="00236A62" w:rsidRPr="00AF7761" w:rsidRDefault="00236A62" w:rsidP="00236A62">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2009</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التمويل الإضافي لتنمية السوق العقارية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الإسكان الاجتماعي لمحدودي الدخل</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محطة توليد كهرباء العين السخنة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إعادة هيكلة السكك الحديدية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المشروع القومي للصرف الزراعي (تمويل إضافي)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2010</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تسهيل الحصول على التمويل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البنية التحتية للغاز *</w:t>
      </w:r>
      <w:r w:rsidRPr="00AF7761">
        <w:rPr>
          <w:rFonts w:ascii="Simplified Arabic" w:eastAsiaTheme="minorEastAsia" w:hAnsi="Simplified Arabic" w:cs="Simplified Arabic"/>
        </w:rPr>
        <w:t xml:space="preserve">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المشروع الثاني لتطوير المطارات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إدارة مرافق الطرق</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إصلاح المراحل التالية للتعليم الأساسي</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قرض سياسات التنمية للحماية الاجتماعية</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تطوير أنظمة التأمين الصحي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التنمية المتكاملة لمحافظات صعيد مصر</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2011</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المرحلة الثالثة للكهرباء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التكنولوجيا النظيفة للطاقة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البنية التحتية للنقل في المناطق الحضرية</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النفايات الصلبة</w:t>
      </w:r>
      <w:r w:rsidRPr="00AF7761">
        <w:rPr>
          <w:rFonts w:ascii="Simplified Arabic" w:eastAsiaTheme="minorEastAsia" w:hAnsi="Simplified Arabic" w:cs="Simplified Arabic"/>
        </w:rPr>
        <w:t xml:space="preserve">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الزراعة/إنعاش صناعة الدواجن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2012</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محطة كهرباء شمال الجيزة (تمويل إضافي) *</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المشروع الطارئ كثيف الاستخدام للأيدي العاملة *</w:t>
      </w:r>
    </w:p>
    <w:p w:rsidR="00810BAC" w:rsidRPr="00AF7761" w:rsidRDefault="00810BAC" w:rsidP="00810BAC">
      <w:pPr>
        <w:bidi/>
        <w:rPr>
          <w:rFonts w:ascii="Simplified Arabic" w:hAnsi="Simplified Arabic" w:cs="Simplified Arabic"/>
        </w:rPr>
      </w:pP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السنة المالية 2013</w:t>
      </w:r>
    </w:p>
    <w:p w:rsidR="00810BAC" w:rsidRPr="00AF7761" w:rsidRDefault="00810BAC" w:rsidP="00810BAC">
      <w:pPr>
        <w:bidi/>
        <w:rPr>
          <w:rFonts w:ascii="Simplified Arabic" w:eastAsiaTheme="minorEastAsia" w:hAnsi="Simplified Arabic" w:cs="Simplified Arabic"/>
        </w:rPr>
      </w:pPr>
      <w:r w:rsidRPr="00AF7761">
        <w:rPr>
          <w:rFonts w:ascii="Simplified Arabic" w:eastAsiaTheme="minorEastAsia" w:hAnsi="Simplified Arabic" w:cs="Simplified Arabic"/>
          <w:rtl/>
        </w:rPr>
        <w:t>مشروع محطة كهرباء جنوب حلوان *</w:t>
      </w:r>
    </w:p>
    <w:p w:rsidR="00810BAC" w:rsidRPr="00AF7761" w:rsidRDefault="00810BAC" w:rsidP="00810BAC">
      <w:pPr>
        <w:bidi/>
        <w:rPr>
          <w:rFonts w:ascii="Simplified Arabic" w:eastAsiaTheme="minorEastAsia" w:hAnsi="Simplified Arabic" w:cs="Simplified Arabic"/>
          <w:lang w:val="fr-FR"/>
        </w:rPr>
      </w:pPr>
      <w:r w:rsidRPr="00AF7761">
        <w:rPr>
          <w:rFonts w:ascii="Simplified Arabic" w:eastAsiaTheme="minorEastAsia" w:hAnsi="Simplified Arabic" w:cs="Simplified Arabic"/>
          <w:rtl/>
        </w:rPr>
        <w:t>مشروع كوم أمبو للطاقة الشمسية</w:t>
      </w:r>
    </w:p>
    <w:p w:rsidR="00810BAC" w:rsidRPr="00FF3102" w:rsidRDefault="00810BAC" w:rsidP="00810BAC">
      <w:pPr>
        <w:bidi/>
        <w:rPr>
          <w:rFonts w:ascii="Simplified Arabic" w:eastAsiaTheme="minorEastAsia" w:hAnsi="Simplified Arabic" w:cs="Simplified Arabic"/>
          <w:lang w:val="fr-FR"/>
        </w:rPr>
      </w:pPr>
      <w:r w:rsidRPr="00AF7761">
        <w:rPr>
          <w:rFonts w:ascii="Simplified Arabic" w:eastAsiaTheme="minorEastAsia" w:hAnsi="Simplified Arabic" w:cs="Simplified Arabic"/>
          <w:rtl/>
        </w:rPr>
        <w:t>مشروع البنية التحتية للنقل في المناطق الحضرية</w:t>
      </w:r>
    </w:p>
    <w:p w:rsidR="00810BAC" w:rsidRPr="00FF3102" w:rsidRDefault="00810BAC" w:rsidP="00810BAC">
      <w:pPr>
        <w:bidi/>
        <w:rPr>
          <w:rFonts w:ascii="Simplified Arabic" w:hAnsi="Simplified Arabic" w:cs="Simplified Arabic"/>
          <w:lang w:val="fr-FR"/>
        </w:rPr>
        <w:sectPr w:rsidR="00810BAC" w:rsidRPr="00FF3102" w:rsidSect="00AF7761">
          <w:type w:val="continuous"/>
          <w:pgSz w:w="12240" w:h="15840" w:code="1"/>
          <w:pgMar w:top="1440" w:right="1440" w:bottom="1440" w:left="1440" w:header="720" w:footer="720" w:gutter="0"/>
          <w:cols w:num="2" w:space="720"/>
          <w:titlePg/>
          <w:bidi/>
          <w:docGrid w:linePitch="360"/>
        </w:sectPr>
      </w:pPr>
    </w:p>
    <w:p w:rsidR="00810BAC" w:rsidRPr="00FF3102" w:rsidRDefault="00810BAC" w:rsidP="00810BAC">
      <w:pPr>
        <w:bidi/>
        <w:rPr>
          <w:rFonts w:ascii="Simplified Arabic" w:hAnsi="Simplified Arabic" w:cs="Simplified Arabic"/>
          <w:lang w:val="fr-FR"/>
        </w:rPr>
      </w:pPr>
    </w:p>
    <w:tbl>
      <w:tblPr>
        <w:bidiVisual/>
        <w:tblW w:w="9246" w:type="dxa"/>
        <w:tblInd w:w="93" w:type="dxa"/>
        <w:tblLayout w:type="fixed"/>
        <w:tblLook w:val="00A0" w:firstRow="1" w:lastRow="0" w:firstColumn="1" w:lastColumn="0" w:noHBand="0" w:noVBand="0"/>
      </w:tblPr>
      <w:tblGrid>
        <w:gridCol w:w="1586"/>
        <w:gridCol w:w="6259"/>
        <w:gridCol w:w="1401"/>
      </w:tblGrid>
      <w:tr w:rsidR="00810BAC" w:rsidRPr="00FF3102">
        <w:trPr>
          <w:cantSplit/>
          <w:trHeight w:val="20"/>
        </w:trPr>
        <w:tc>
          <w:tcPr>
            <w:tcW w:w="9246" w:type="dxa"/>
            <w:gridSpan w:val="3"/>
            <w:tcBorders>
              <w:top w:val="nil"/>
              <w:left w:val="nil"/>
              <w:bottom w:val="single" w:sz="4" w:space="0" w:color="auto"/>
              <w:right w:val="nil"/>
            </w:tcBorders>
            <w:noWrap/>
            <w:vAlign w:val="bottom"/>
          </w:tcPr>
          <w:p w:rsidR="00810BAC" w:rsidRPr="00FF3102" w:rsidRDefault="00810BAC" w:rsidP="00810BAC">
            <w:pPr>
              <w:bidi/>
              <w:spacing w:before="60" w:after="60"/>
              <w:jc w:val="center"/>
              <w:rPr>
                <w:rFonts w:ascii="Simplified Arabic" w:eastAsiaTheme="minorEastAsia" w:hAnsi="Simplified Arabic" w:cs="Simplified Arabic"/>
                <w:b/>
              </w:rPr>
            </w:pPr>
            <w:r w:rsidRPr="00FF3102">
              <w:rPr>
                <w:rFonts w:ascii="Simplified Arabic" w:eastAsiaTheme="minorEastAsia" w:hAnsi="Simplified Arabic" w:cs="Simplified Arabic"/>
                <w:bCs/>
                <w:rtl/>
              </w:rPr>
              <w:t>الملحق الرابع</w:t>
            </w:r>
          </w:p>
          <w:p w:rsidR="00810BAC" w:rsidRPr="00FF3102" w:rsidRDefault="00810BAC" w:rsidP="00810BAC">
            <w:pPr>
              <w:bidi/>
              <w:spacing w:before="60" w:after="60"/>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استعراض الإنجاز والتعلم: موافقات البنك، السنوات المالية 2006-2014</w:t>
            </w:r>
            <w:r w:rsidRPr="00FF3102">
              <w:rPr>
                <w:rFonts w:ascii="Simplified Arabic" w:eastAsiaTheme="minorEastAsia" w:hAnsi="Simplified Arabic" w:cs="Simplified Arabic"/>
                <w:b/>
              </w:rPr>
              <w:t xml:space="preserve"> </w:t>
            </w:r>
          </w:p>
        </w:tc>
      </w:tr>
      <w:tr w:rsidR="00810BAC" w:rsidRPr="00C354E5">
        <w:trPr>
          <w:cantSplit/>
          <w:trHeight w:val="20"/>
        </w:trPr>
        <w:tc>
          <w:tcPr>
            <w:tcW w:w="1586" w:type="dxa"/>
            <w:tcBorders>
              <w:top w:val="single" w:sz="4" w:space="0" w:color="auto"/>
              <w:left w:val="single"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bCs/>
                <w:color w:val="000000"/>
                <w:sz w:val="16"/>
                <w:szCs w:val="16"/>
                <w:rtl/>
              </w:rPr>
              <w:t>السنة</w:t>
            </w:r>
          </w:p>
        </w:tc>
        <w:tc>
          <w:tcPr>
            <w:tcW w:w="6259" w:type="dxa"/>
            <w:tcBorders>
              <w:top w:val="single"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bCs/>
                <w:color w:val="000000"/>
                <w:sz w:val="16"/>
                <w:szCs w:val="16"/>
                <w:rtl/>
              </w:rPr>
              <w:t>اسم المشروع</w:t>
            </w:r>
          </w:p>
        </w:tc>
        <w:tc>
          <w:tcPr>
            <w:tcW w:w="1401" w:type="dxa"/>
            <w:tcBorders>
              <w:top w:val="single" w:sz="4" w:space="0" w:color="auto"/>
              <w:bottom w:val="dotted" w:sz="4" w:space="0" w:color="auto"/>
              <w:right w:val="single" w:sz="4" w:space="0" w:color="auto"/>
            </w:tcBorders>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b/>
                <w:color w:val="000000"/>
                <w:sz w:val="16"/>
                <w:szCs w:val="16"/>
              </w:rPr>
              <w:br/>
            </w:r>
            <w:r w:rsidRPr="00C354E5">
              <w:rPr>
                <w:rFonts w:ascii="Simplified Arabic" w:eastAsiaTheme="minorEastAsia" w:hAnsi="Simplified Arabic" w:cs="Simplified Arabic"/>
                <w:bCs/>
                <w:color w:val="000000"/>
                <w:sz w:val="16"/>
                <w:szCs w:val="16"/>
                <w:rtl/>
              </w:rPr>
              <w:t>مقدار الارتباط</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2006</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قرض</w:t>
            </w:r>
            <w:r w:rsidRPr="00C354E5">
              <w:rPr>
                <w:rFonts w:ascii="Simplified Arabic" w:eastAsiaTheme="minorEastAsia" w:hAnsi="Simplified Arabic" w:cs="Simplified Arabic"/>
                <w:color w:val="000000"/>
                <w:sz w:val="16"/>
                <w:szCs w:val="16"/>
              </w:rPr>
              <w:t xml:space="preserve"> </w:t>
            </w:r>
            <w:r w:rsidRPr="00C354E5">
              <w:rPr>
                <w:rFonts w:ascii="Simplified Arabic" w:eastAsiaTheme="minorEastAsia" w:hAnsi="Simplified Arabic" w:cs="Simplified Arabic"/>
                <w:color w:val="000000"/>
                <w:sz w:val="16"/>
                <w:szCs w:val="16"/>
                <w:rtl/>
              </w:rPr>
              <w:t>سياسات</w:t>
            </w:r>
            <w:r w:rsidRPr="00C354E5">
              <w:rPr>
                <w:rFonts w:ascii="Simplified Arabic" w:eastAsiaTheme="minorEastAsia" w:hAnsi="Simplified Arabic" w:cs="Simplified Arabic"/>
                <w:color w:val="000000"/>
                <w:sz w:val="16"/>
                <w:szCs w:val="16"/>
              </w:rPr>
              <w:t xml:space="preserve"> </w:t>
            </w:r>
            <w:r w:rsidRPr="00C354E5">
              <w:rPr>
                <w:rFonts w:ascii="Simplified Arabic" w:eastAsiaTheme="minorEastAsia" w:hAnsi="Simplified Arabic" w:cs="Simplified Arabic"/>
                <w:color w:val="000000"/>
                <w:sz w:val="16"/>
                <w:szCs w:val="16"/>
                <w:rtl/>
              </w:rPr>
              <w:t>التنمية لإصلاح القطاع المالي-مصر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500.0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2006</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المشروع الثاني للحد من التلوُّث-مصر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2006</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محطة التبين لتوليد الكهرباء-مصر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259.6</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2007</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الحفاظ على المياه وإعادة تأهيل الري في غرب الدلتا</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145.0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2007</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التمويل العقاري -مصر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37.1</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2008</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تطوير الأسكندرية-مصر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100.0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2008</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البنية</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التحتية</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المتكاملة</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للصرف</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الصحي-مصر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120.0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2008</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قرض</w:t>
            </w:r>
            <w:r w:rsidRPr="00C354E5">
              <w:rPr>
                <w:rFonts w:ascii="Simplified Arabic" w:eastAsiaTheme="minorEastAsia" w:hAnsi="Simplified Arabic" w:cs="Simplified Arabic"/>
                <w:color w:val="000000"/>
                <w:sz w:val="16"/>
                <w:szCs w:val="16"/>
              </w:rPr>
              <w:t xml:space="preserve"> </w:t>
            </w:r>
            <w:r w:rsidRPr="00C354E5">
              <w:rPr>
                <w:rFonts w:ascii="Simplified Arabic" w:eastAsiaTheme="minorEastAsia" w:hAnsi="Simplified Arabic" w:cs="Simplified Arabic"/>
                <w:color w:val="000000"/>
                <w:sz w:val="16"/>
                <w:szCs w:val="16"/>
                <w:rtl/>
              </w:rPr>
              <w:t>سياسات</w:t>
            </w:r>
            <w:r w:rsidRPr="00C354E5">
              <w:rPr>
                <w:rFonts w:ascii="Simplified Arabic" w:eastAsiaTheme="minorEastAsia" w:hAnsi="Simplified Arabic" w:cs="Simplified Arabic"/>
                <w:color w:val="000000"/>
                <w:sz w:val="16"/>
                <w:szCs w:val="16"/>
              </w:rPr>
              <w:t xml:space="preserve"> </w:t>
            </w:r>
            <w:r w:rsidRPr="00C354E5">
              <w:rPr>
                <w:rFonts w:ascii="Simplified Arabic" w:eastAsiaTheme="minorEastAsia" w:hAnsi="Simplified Arabic" w:cs="Simplified Arabic"/>
                <w:color w:val="000000"/>
                <w:sz w:val="16"/>
                <w:szCs w:val="16"/>
                <w:rtl/>
              </w:rPr>
              <w:t>التنمية الثاني للقطاع المالي-مصر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500.0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2008</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توصيلات الغاز الطبيعي للمنازل-مصر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75.0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2008</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تمويل</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إضافي</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لتطوير</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المطارات-مصر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40.0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2009</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العين السخنة للطاقة الكهربائية-مصر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600.0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2009</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إعادة هيكلة السكك الحديدية-مصر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270.0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تطوير أنظمة التأمين الصحي-مصر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75.0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مشروع</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تطوير</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مطار</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القاهرة ــ</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مبنى</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الركاب</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الثاني-مصر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280.0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تمويل إضافي للمشروع القومي الثاني للصرف -مصر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30.0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قرض سياسات التنمية للتمويل العقاري الميسر-مصر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300.0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تطوير الطاقة الريحية-مصر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70.0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تسهيل الحصول على التمويل للمشروعات المتوسطة والصغيرة-مصر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300.0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محطة كهرباء شمال الجيزة-مصر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600.0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2010</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القرض الثالث لسياسات التنمية للقطاع المالي</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500.0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2011</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تطوير الري على مستوى المزرعة-مصر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100.0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2011</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مشروع</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البنية التحتية</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المتكاملة</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للصرف</w:t>
            </w:r>
            <w:r w:rsidRPr="00C354E5">
              <w:rPr>
                <w:rFonts w:ascii="Simplified Arabic" w:eastAsiaTheme="minorEastAsia" w:hAnsi="Simplified Arabic" w:cs="Simplified Arabic"/>
                <w:sz w:val="16"/>
                <w:szCs w:val="16"/>
              </w:rPr>
              <w:t xml:space="preserve"> </w:t>
            </w:r>
            <w:r w:rsidRPr="00C354E5">
              <w:rPr>
                <w:rFonts w:ascii="Simplified Arabic" w:eastAsiaTheme="minorEastAsia" w:hAnsi="Simplified Arabic" w:cs="Simplified Arabic"/>
                <w:sz w:val="16"/>
                <w:szCs w:val="16"/>
                <w:rtl/>
              </w:rPr>
              <w:t>الصحي-مصر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200.0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2011</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إعادة هيكلة الهيئة القومية لسكك حديد 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330.0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2012</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تمويل إضافي لمشروع محطة كهرباء شمال الجيزة-مصر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240.0</w:t>
            </w:r>
          </w:p>
        </w:tc>
      </w:tr>
      <w:tr w:rsidR="00810BAC" w:rsidRPr="00C354E5">
        <w:trPr>
          <w:cantSplit/>
          <w:trHeight w:val="20"/>
        </w:trPr>
        <w:tc>
          <w:tcPr>
            <w:tcW w:w="1586" w:type="dxa"/>
            <w:tcBorders>
              <w:top w:val="dotted" w:sz="4" w:space="0" w:color="auto"/>
              <w:left w:val="single" w:sz="4" w:space="0" w:color="auto"/>
              <w:bottom w:val="dotted"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2012</w:t>
            </w:r>
          </w:p>
        </w:tc>
        <w:tc>
          <w:tcPr>
            <w:tcW w:w="6259" w:type="dxa"/>
            <w:tcBorders>
              <w:top w:val="dotted" w:sz="4" w:space="0" w:color="auto"/>
              <w:bottom w:val="dotted"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المشروع الطارئ كثيف الاستخدام للأيدي العاملة-مصر</w:t>
            </w:r>
          </w:p>
        </w:tc>
        <w:tc>
          <w:tcPr>
            <w:tcW w:w="1401" w:type="dxa"/>
            <w:tcBorders>
              <w:top w:val="dotted" w:sz="4" w:space="0" w:color="auto"/>
              <w:bottom w:val="dotted"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200.0</w:t>
            </w:r>
          </w:p>
        </w:tc>
      </w:tr>
      <w:tr w:rsidR="00810BAC" w:rsidRPr="00C354E5">
        <w:trPr>
          <w:cantSplit/>
          <w:trHeight w:val="20"/>
        </w:trPr>
        <w:tc>
          <w:tcPr>
            <w:tcW w:w="1586" w:type="dxa"/>
            <w:tcBorders>
              <w:top w:val="dotted" w:sz="4" w:space="0" w:color="auto"/>
              <w:left w:val="single" w:sz="4" w:space="0" w:color="auto"/>
              <w:bottom w:val="single" w:sz="4" w:space="0" w:color="auto"/>
            </w:tcBorders>
            <w:noWrap/>
            <w:vAlign w:val="bottom"/>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tl/>
              </w:rPr>
              <w:t>السنة المالية 2013</w:t>
            </w:r>
          </w:p>
        </w:tc>
        <w:tc>
          <w:tcPr>
            <w:tcW w:w="6259" w:type="dxa"/>
            <w:tcBorders>
              <w:top w:val="dotted" w:sz="4" w:space="0" w:color="auto"/>
              <w:bottom w:val="single" w:sz="4" w:space="0" w:color="auto"/>
            </w:tcBorders>
            <w:noWrap/>
            <w:vAlign w:val="center"/>
          </w:tcPr>
          <w:p w:rsidR="00810BAC" w:rsidRPr="00C354E5" w:rsidRDefault="00810BAC" w:rsidP="00810BAC">
            <w:pPr>
              <w:bidi/>
              <w:ind w:right="-72"/>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مشروع محطة كهرباء جنوب حلوان-مصر</w:t>
            </w:r>
          </w:p>
        </w:tc>
        <w:tc>
          <w:tcPr>
            <w:tcW w:w="1401" w:type="dxa"/>
            <w:tcBorders>
              <w:top w:val="dotted" w:sz="4" w:space="0" w:color="auto"/>
              <w:bottom w:val="single" w:sz="4" w:space="0" w:color="auto"/>
              <w:right w:val="single" w:sz="4" w:space="0" w:color="auto"/>
            </w:tcBorders>
            <w:noWrap/>
            <w:vAlign w:val="center"/>
          </w:tcPr>
          <w:p w:rsidR="00810BAC" w:rsidRPr="00C354E5" w:rsidRDefault="00810BAC" w:rsidP="00810BAC">
            <w:pPr>
              <w:bidi/>
              <w:ind w:right="-72"/>
              <w:rPr>
                <w:rFonts w:ascii="Simplified Arabic" w:hAnsi="Simplified Arabic" w:cs="Simplified Arabic"/>
                <w:color w:val="000000"/>
                <w:sz w:val="16"/>
                <w:szCs w:val="16"/>
              </w:rPr>
            </w:pPr>
            <w:r w:rsidRPr="00C354E5">
              <w:rPr>
                <w:rFonts w:ascii="Simplified Arabic" w:hAnsi="Simplified Arabic" w:cs="Simplified Arabic"/>
                <w:color w:val="000000"/>
                <w:sz w:val="16"/>
                <w:szCs w:val="16"/>
              </w:rPr>
              <w:t>585.4</w:t>
            </w:r>
          </w:p>
        </w:tc>
      </w:tr>
      <w:tr w:rsidR="00810BAC" w:rsidRPr="00C354E5">
        <w:trPr>
          <w:cantSplit/>
          <w:trHeight w:val="20"/>
        </w:trPr>
        <w:tc>
          <w:tcPr>
            <w:tcW w:w="1586" w:type="dxa"/>
            <w:tcBorders>
              <w:top w:val="nil"/>
              <w:left w:val="single" w:sz="4" w:space="0" w:color="auto"/>
              <w:bottom w:val="single" w:sz="4" w:space="0" w:color="auto"/>
              <w:right w:val="single" w:sz="4" w:space="0" w:color="auto"/>
            </w:tcBorders>
            <w:noWrap/>
            <w:vAlign w:val="bottom"/>
          </w:tcPr>
          <w:p w:rsidR="00810BAC" w:rsidRPr="00C354E5" w:rsidRDefault="00810BAC" w:rsidP="00810BAC">
            <w:pPr>
              <w:bidi/>
              <w:ind w:right="-72"/>
              <w:jc w:val="right"/>
              <w:rPr>
                <w:rFonts w:ascii="Simplified Arabic" w:eastAsiaTheme="minorEastAsia" w:hAnsi="Simplified Arabic" w:cs="Simplified Arabic"/>
                <w:sz w:val="16"/>
                <w:szCs w:val="16"/>
              </w:rPr>
            </w:pPr>
            <w:r w:rsidRPr="00C354E5">
              <w:rPr>
                <w:rFonts w:ascii="Simplified Arabic" w:eastAsiaTheme="minorEastAsia" w:hAnsi="Simplified Arabic" w:cs="Simplified Arabic"/>
                <w:sz w:val="16"/>
                <w:szCs w:val="16"/>
              </w:rPr>
              <w:t> </w:t>
            </w:r>
          </w:p>
        </w:tc>
        <w:tc>
          <w:tcPr>
            <w:tcW w:w="6259" w:type="dxa"/>
            <w:tcBorders>
              <w:top w:val="nil"/>
              <w:left w:val="nil"/>
              <w:bottom w:val="single" w:sz="4" w:space="0" w:color="auto"/>
              <w:right w:val="single" w:sz="4" w:space="0" w:color="auto"/>
            </w:tcBorders>
            <w:shd w:val="clear" w:color="000000" w:fill="FEFEB8"/>
            <w:noWrap/>
            <w:vAlign w:val="center"/>
          </w:tcPr>
          <w:p w:rsidR="00810BAC" w:rsidRPr="00C354E5" w:rsidRDefault="00810BAC" w:rsidP="00810BAC">
            <w:pPr>
              <w:bidi/>
              <w:ind w:right="-72"/>
              <w:jc w:val="right"/>
              <w:rPr>
                <w:rFonts w:ascii="Simplified Arabic" w:eastAsiaTheme="minorEastAsia" w:hAnsi="Simplified Arabic" w:cs="Simplified Arabic"/>
                <w:sz w:val="16"/>
                <w:szCs w:val="16"/>
              </w:rPr>
            </w:pPr>
            <w:r w:rsidRPr="00C354E5">
              <w:rPr>
                <w:rFonts w:ascii="Simplified Arabic" w:eastAsiaTheme="minorEastAsia" w:hAnsi="Simplified Arabic" w:cs="Simplified Arabic"/>
                <w:color w:val="000000"/>
                <w:sz w:val="16"/>
                <w:szCs w:val="16"/>
                <w:rtl/>
              </w:rPr>
              <w:t>النتيجة العامة</w:t>
            </w:r>
          </w:p>
        </w:tc>
        <w:tc>
          <w:tcPr>
            <w:tcW w:w="1401" w:type="dxa"/>
            <w:tcBorders>
              <w:top w:val="nil"/>
              <w:left w:val="nil"/>
              <w:bottom w:val="single" w:sz="4" w:space="0" w:color="auto"/>
              <w:right w:val="single" w:sz="4" w:space="0" w:color="auto"/>
            </w:tcBorders>
            <w:shd w:val="clear" w:color="000000" w:fill="FEFEB8"/>
            <w:noWrap/>
            <w:vAlign w:val="center"/>
          </w:tcPr>
          <w:p w:rsidR="00810BAC" w:rsidRPr="00C354E5" w:rsidRDefault="00810BAC" w:rsidP="00810BAC">
            <w:pPr>
              <w:bidi/>
              <w:ind w:right="-72"/>
              <w:rPr>
                <w:rFonts w:ascii="Simplified Arabic" w:hAnsi="Simplified Arabic" w:cs="Simplified Arabic"/>
                <w:b/>
                <w:color w:val="000000"/>
                <w:sz w:val="16"/>
                <w:szCs w:val="16"/>
              </w:rPr>
            </w:pPr>
            <w:r w:rsidRPr="00C354E5">
              <w:rPr>
                <w:rFonts w:ascii="Simplified Arabic" w:hAnsi="Simplified Arabic" w:cs="Simplified Arabic"/>
                <w:b/>
                <w:color w:val="000000"/>
                <w:sz w:val="16"/>
                <w:szCs w:val="16"/>
              </w:rPr>
              <w:t>6,477.1</w:t>
            </w:r>
          </w:p>
        </w:tc>
      </w:tr>
    </w:tbl>
    <w:p w:rsidR="00810BAC" w:rsidRPr="00C354E5" w:rsidRDefault="00810BAC" w:rsidP="00810BAC">
      <w:pPr>
        <w:bidi/>
        <w:rPr>
          <w:rFonts w:ascii="Simplified Arabic" w:hAnsi="Simplified Arabic" w:cs="Simplified Arabic"/>
          <w:sz w:val="16"/>
          <w:szCs w:val="16"/>
        </w:rPr>
      </w:pPr>
    </w:p>
    <w:p w:rsidR="00810BAC" w:rsidRPr="00FF3102" w:rsidRDefault="00810BAC" w:rsidP="00810BAC">
      <w:pPr>
        <w:bidi/>
        <w:rPr>
          <w:rFonts w:ascii="Simplified Arabic" w:hAnsi="Simplified Arabic" w:cs="Simplified Arabic"/>
        </w:rPr>
      </w:pPr>
    </w:p>
    <w:p w:rsidR="00C354E5" w:rsidRDefault="00C354E5">
      <w:pPr>
        <w:rPr>
          <w:rFonts w:ascii="Simplified Arabic" w:eastAsiaTheme="minorEastAsia" w:hAnsi="Simplified Arabic" w:cs="Simplified Arabic"/>
          <w:bCs/>
          <w:rtl/>
        </w:rPr>
      </w:pPr>
      <w:r>
        <w:rPr>
          <w:rFonts w:ascii="Simplified Arabic" w:eastAsiaTheme="minorEastAsia" w:hAnsi="Simplified Arabic" w:cs="Simplified Arabic"/>
          <w:bCs/>
          <w:rtl/>
        </w:rPr>
        <w:br w:type="page"/>
      </w:r>
    </w:p>
    <w:p w:rsidR="00810BAC" w:rsidRPr="005E2DFF" w:rsidRDefault="00810BAC" w:rsidP="00810BAC">
      <w:pPr>
        <w:bidi/>
        <w:spacing w:before="60" w:after="60"/>
        <w:jc w:val="center"/>
        <w:rPr>
          <w:rFonts w:ascii="Simplified Arabic" w:eastAsiaTheme="minorEastAsia" w:hAnsi="Simplified Arabic" w:cs="Simplified Arabic"/>
          <w:bCs/>
          <w:rtl/>
        </w:rPr>
      </w:pPr>
      <w:r w:rsidRPr="005E2DFF">
        <w:rPr>
          <w:rFonts w:ascii="Simplified Arabic" w:eastAsiaTheme="minorEastAsia" w:hAnsi="Simplified Arabic" w:cs="Simplified Arabic"/>
          <w:bCs/>
          <w:rtl/>
        </w:rPr>
        <w:t>موافقات</w:t>
      </w:r>
      <w:r w:rsidR="001444F3" w:rsidRPr="005E2DFF">
        <w:rPr>
          <w:rFonts w:ascii="Simplified Arabic" w:eastAsiaTheme="minorEastAsia" w:hAnsi="Simplified Arabic" w:cs="Simplified Arabic" w:hint="cs"/>
          <w:bCs/>
          <w:rtl/>
        </w:rPr>
        <w:t xml:space="preserve"> البنك،</w:t>
      </w:r>
      <w:r w:rsidRPr="005E2DFF">
        <w:rPr>
          <w:rFonts w:ascii="Simplified Arabic" w:eastAsiaTheme="minorEastAsia" w:hAnsi="Simplified Arabic" w:cs="Simplified Arabic"/>
          <w:bCs/>
          <w:rtl/>
        </w:rPr>
        <w:t xml:space="preserve"> السنوات المالية 2000-2013</w:t>
      </w:r>
    </w:p>
    <w:p w:rsidR="00C354E5" w:rsidRPr="00C354E5" w:rsidRDefault="005E2DFF" w:rsidP="00C354E5">
      <w:pPr>
        <w:bidi/>
        <w:spacing w:before="60" w:after="60"/>
        <w:jc w:val="center"/>
        <w:rPr>
          <w:rFonts w:ascii="Simplified Arabic" w:eastAsiaTheme="minorEastAsia" w:hAnsi="Simplified Arabic" w:cs="Simplified Arabic"/>
          <w:b/>
        </w:rPr>
      </w:pPr>
      <w:r>
        <w:rPr>
          <w:rFonts w:ascii="Simplified Arabic" w:eastAsiaTheme="minorEastAsia" w:hAnsi="Simplified Arabic" w:cs="Simplified Arabic"/>
          <w:b/>
          <w:noProof/>
          <w:snapToGrid/>
        </w:rPr>
        <w:drawing>
          <wp:inline distT="0" distB="0" distL="0" distR="0" wp14:anchorId="26A25727" wp14:editId="3CF64A03">
            <wp:extent cx="4305300" cy="30523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 4.png"/>
                    <pic:cNvPicPr/>
                  </pic:nvPicPr>
                  <pic:blipFill>
                    <a:blip r:embed="rId40">
                      <a:extLst>
                        <a:ext uri="{28A0092B-C50C-407E-A947-70E740481C1C}">
                          <a14:useLocalDpi xmlns:a14="http://schemas.microsoft.com/office/drawing/2010/main" val="0"/>
                        </a:ext>
                      </a:extLst>
                    </a:blip>
                    <a:stretch>
                      <a:fillRect/>
                    </a:stretch>
                  </pic:blipFill>
                  <pic:spPr>
                    <a:xfrm>
                      <a:off x="0" y="0"/>
                      <a:ext cx="4310274" cy="3055856"/>
                    </a:xfrm>
                    <a:prstGeom prst="rect">
                      <a:avLst/>
                    </a:prstGeom>
                  </pic:spPr>
                </pic:pic>
              </a:graphicData>
            </a:graphic>
          </wp:inline>
        </w:drawing>
      </w:r>
    </w:p>
    <w:p w:rsidR="00810BAC" w:rsidRPr="00FF3102" w:rsidRDefault="00B82445" w:rsidP="00810BAC">
      <w:pPr>
        <w:bidi/>
        <w:jc w:val="center"/>
        <w:rPr>
          <w:rFonts w:ascii="Simplified Arabic" w:eastAsiaTheme="minorEastAsia" w:hAnsi="Simplified Arabic" w:cs="Simplified Arabic"/>
        </w:rPr>
      </w:pPr>
      <w:r w:rsidRPr="00FF3102">
        <w:rPr>
          <w:rFonts w:ascii="Simplified Arabic" w:hAnsi="Simplified Arabic" w:cs="Simplified Arabic"/>
          <w:noProof/>
          <w:snapToGrid/>
        </w:rPr>
        <mc:AlternateContent>
          <mc:Choice Requires="wps">
            <w:drawing>
              <wp:anchor distT="0" distB="0" distL="114300" distR="114300" simplePos="0" relativeHeight="251664384" behindDoc="0" locked="1" layoutInCell="1" allowOverlap="1" wp14:anchorId="4F821C92" wp14:editId="4D8EF1D1">
                <wp:simplePos x="0" y="0"/>
                <wp:positionH relativeFrom="column">
                  <wp:posOffset>1752600</wp:posOffset>
                </wp:positionH>
                <wp:positionV relativeFrom="paragraph">
                  <wp:posOffset>2540</wp:posOffset>
                </wp:positionV>
                <wp:extent cx="2130425" cy="173990"/>
                <wp:effectExtent l="0" t="0" r="22225" b="1651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17399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3D1054A" id="Rectangle 11" o:spid="_x0000_s1026" style="position:absolute;margin-left:138pt;margin-top:.2pt;width:167.75pt;height:13.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" fillcolor="window" strokecolor="window" strokeweight="2pt">
                <v:path arrowok="t"/>
                <w10:anchorlock/>
              </v:rect>
            </w:pict>
          </mc:Fallback>
        </mc:AlternateContent>
      </w:r>
    </w:p>
    <w:p w:rsidR="00C354E5" w:rsidRDefault="00C354E5">
      <w:pPr>
        <w:rPr>
          <w:rFonts w:ascii="Simplified Arabic" w:eastAsiaTheme="minorEastAsia" w:hAnsi="Simplified Arabic" w:cs="Simplified Arabic"/>
          <w:bCs/>
          <w:iCs/>
          <w:smallCaps/>
          <w:rtl/>
        </w:rPr>
      </w:pPr>
      <w:r>
        <w:rPr>
          <w:rFonts w:ascii="Simplified Arabic" w:eastAsiaTheme="minorEastAsia" w:hAnsi="Simplified Arabic" w:cs="Simplified Arabic"/>
          <w:bCs/>
          <w:iCs/>
          <w:smallCaps/>
          <w:rtl/>
        </w:rPr>
        <w:br w:type="page"/>
      </w:r>
    </w:p>
    <w:p w:rsidR="00C354E5" w:rsidRDefault="00C354E5">
      <w:pPr>
        <w:rPr>
          <w:rFonts w:ascii="Simplified Arabic" w:eastAsiaTheme="minorEastAsia" w:hAnsi="Simplified Arabic" w:cs="Simplified Arabic"/>
          <w:bCs/>
          <w:iCs/>
          <w:smallCaps/>
          <w:rtl/>
        </w:rPr>
      </w:pPr>
    </w:p>
    <w:p w:rsidR="00810BAC" w:rsidRPr="00C354E5" w:rsidRDefault="00810BAC" w:rsidP="00810BAC">
      <w:pPr>
        <w:keepNext/>
        <w:keepLines/>
        <w:bidi/>
        <w:spacing w:before="300" w:after="240"/>
        <w:jc w:val="center"/>
        <w:outlineLvl w:val="1"/>
        <w:rPr>
          <w:rFonts w:ascii="Simplified Arabic" w:eastAsiaTheme="minorEastAsia" w:hAnsi="Simplified Arabic" w:cs="Simplified Arabic"/>
          <w:b/>
          <w:i/>
          <w:smallCaps/>
        </w:rPr>
      </w:pPr>
      <w:r w:rsidRPr="00C354E5">
        <w:rPr>
          <w:rFonts w:ascii="Simplified Arabic" w:eastAsiaTheme="minorEastAsia" w:hAnsi="Simplified Arabic" w:cs="Simplified Arabic"/>
          <w:bCs/>
          <w:i/>
          <w:smallCaps/>
          <w:rtl/>
        </w:rPr>
        <w:t>الملحق الخامس</w:t>
      </w:r>
    </w:p>
    <w:p w:rsidR="00810BAC" w:rsidRPr="00C354E5" w:rsidRDefault="00810BAC" w:rsidP="00810BAC">
      <w:pPr>
        <w:keepNext/>
        <w:keepLines/>
        <w:bidi/>
        <w:spacing w:before="300" w:after="240"/>
        <w:jc w:val="center"/>
        <w:outlineLvl w:val="1"/>
        <w:rPr>
          <w:rFonts w:ascii="Simplified Arabic" w:eastAsiaTheme="minorEastAsia" w:hAnsi="Simplified Arabic" w:cs="Simplified Arabic"/>
          <w:i/>
        </w:rPr>
      </w:pPr>
      <w:r w:rsidRPr="00C354E5">
        <w:rPr>
          <w:rFonts w:ascii="Simplified Arabic" w:eastAsiaTheme="minorEastAsia" w:hAnsi="Simplified Arabic" w:cs="Simplified Arabic"/>
          <w:bCs/>
          <w:i/>
          <w:smallCaps/>
          <w:rtl/>
        </w:rPr>
        <w:t>استعراض الإنجاز والتعلم: قضايا أثيرت في مشاورات متصلة بمذكرة الإستراتيجية المؤقتة</w:t>
      </w:r>
    </w:p>
    <w:p w:rsidR="00810BAC" w:rsidRPr="00FF3102" w:rsidRDefault="00810BAC" w:rsidP="00810BAC">
      <w:pPr>
        <w:bidi/>
        <w:spacing w:before="240" w:after="240" w:line="276" w:lineRule="auto"/>
        <w:rPr>
          <w:rFonts w:ascii="Simplified Arabic" w:hAnsi="Simplified Arabic" w:cs="Simplified Arabic"/>
          <w:b/>
        </w:rPr>
      </w:pPr>
    </w:p>
    <w:p w:rsidR="00810BAC" w:rsidRPr="00FF3102" w:rsidRDefault="00810BAC" w:rsidP="00810BAC">
      <w:pPr>
        <w:bidi/>
        <w:spacing w:before="240" w:after="240" w:line="280" w:lineRule="auto"/>
        <w:rPr>
          <w:rFonts w:ascii="Simplified Arabic" w:eastAsiaTheme="minorEastAsia" w:hAnsi="Simplified Arabic" w:cs="Simplified Arabic"/>
        </w:rPr>
      </w:pPr>
      <w:r w:rsidRPr="00FF3102">
        <w:rPr>
          <w:rFonts w:ascii="Simplified Arabic" w:eastAsiaTheme="minorEastAsia" w:hAnsi="Simplified Arabic" w:cs="Simplified Arabic"/>
          <w:bCs/>
          <w:rtl/>
        </w:rPr>
        <w:t>الركيزة 1: إدارة الاقتصاد</w:t>
      </w:r>
    </w:p>
    <w:p w:rsidR="00810BAC" w:rsidRPr="00FF3102" w:rsidRDefault="00810BAC" w:rsidP="00810BAC">
      <w:p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u w:val="single"/>
          <w:rtl/>
        </w:rPr>
        <w:t xml:space="preserve">مقترحات لمشاركة البنك الدولي: </w:t>
      </w:r>
    </w:p>
    <w:p w:rsidR="00810BAC" w:rsidRPr="00FF3102" w:rsidRDefault="00810BAC" w:rsidP="001E71BE">
      <w:pPr>
        <w:numPr>
          <w:ilvl w:val="0"/>
          <w:numId w:val="39"/>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التركيز على الحماية الاجتماعية (مثل التحويلات النقدية المشروطة للتعليم، والتغذية، ودعم الطاقة المُوجَّه)؛ </w:t>
      </w:r>
    </w:p>
    <w:p w:rsidR="00810BAC" w:rsidRPr="00FF3102" w:rsidRDefault="00810BAC" w:rsidP="001E71BE">
      <w:pPr>
        <w:numPr>
          <w:ilvl w:val="0"/>
          <w:numId w:val="39"/>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التشجيع على التطوير المؤسسي لضمان إمكانية إطلاع الجمهور على المعلومات لإثراء مناقشة السياسات، وتقييم آثار السياسات العامة؛ </w:t>
      </w:r>
    </w:p>
    <w:p w:rsidR="00810BAC" w:rsidRPr="00FF3102" w:rsidRDefault="00810BAC" w:rsidP="001E71BE">
      <w:pPr>
        <w:numPr>
          <w:ilvl w:val="0"/>
          <w:numId w:val="39"/>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زيادة استخدام الغاز الطبيعي في الاقتصاد المصري، ومن ذلك نقل الغاز الطبيعي المضغوط؛ </w:t>
      </w:r>
    </w:p>
    <w:p w:rsidR="00810BAC" w:rsidRPr="00FF3102" w:rsidRDefault="00810BAC" w:rsidP="001E71BE">
      <w:pPr>
        <w:numPr>
          <w:ilvl w:val="0"/>
          <w:numId w:val="39"/>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مساندة نظام الإدارة العامة والحوكمة، والمساءلة، والرصد والتقييم، والشفافية.</w:t>
      </w:r>
    </w:p>
    <w:p w:rsidR="00810BAC" w:rsidRPr="00FF3102" w:rsidRDefault="00810BAC" w:rsidP="00810BAC">
      <w:pPr>
        <w:bidi/>
        <w:spacing w:before="240" w:after="240" w:line="276" w:lineRule="auto"/>
        <w:rPr>
          <w:rFonts w:ascii="Simplified Arabic" w:hAnsi="Simplified Arabic" w:cs="Simplified Arabic"/>
          <w:b/>
        </w:rPr>
      </w:pPr>
    </w:p>
    <w:p w:rsidR="00810BAC" w:rsidRPr="00FF3102" w:rsidRDefault="00810BAC" w:rsidP="00810BAC">
      <w:pPr>
        <w:bidi/>
        <w:spacing w:before="240" w:after="240" w:line="280" w:lineRule="auto"/>
        <w:rPr>
          <w:rFonts w:ascii="Simplified Arabic" w:eastAsiaTheme="minorEastAsia" w:hAnsi="Simplified Arabic" w:cs="Simplified Arabic"/>
        </w:rPr>
      </w:pPr>
      <w:r w:rsidRPr="00FF3102">
        <w:rPr>
          <w:rFonts w:ascii="Simplified Arabic" w:eastAsiaTheme="minorEastAsia" w:hAnsi="Simplified Arabic" w:cs="Simplified Arabic"/>
          <w:bCs/>
          <w:rtl/>
        </w:rPr>
        <w:t>الركيزة الثانية: الوظائف</w:t>
      </w:r>
    </w:p>
    <w:p w:rsidR="00810BAC" w:rsidRPr="00FF3102" w:rsidRDefault="00810BAC" w:rsidP="00810BAC">
      <w:p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مقترحات لمشاركة البنك الدولي: </w:t>
      </w:r>
    </w:p>
    <w:p w:rsidR="00810BAC" w:rsidRPr="00FF3102" w:rsidRDefault="00810BAC" w:rsidP="001E71BE">
      <w:pPr>
        <w:numPr>
          <w:ilvl w:val="0"/>
          <w:numId w:val="27"/>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التعليم الفني والتدريب المهني؛ </w:t>
      </w:r>
    </w:p>
    <w:p w:rsidR="00810BAC" w:rsidRPr="00FF3102" w:rsidRDefault="00810BAC" w:rsidP="001E71BE">
      <w:pPr>
        <w:numPr>
          <w:ilvl w:val="0"/>
          <w:numId w:val="27"/>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تحسين بيئة الأعمال وممارسة أنشطة الأعمال، ولاسيما تنمية المشروعات الصغيرة والمتوسطة، ومن ذلك من خلال بناء القدرات؛ </w:t>
      </w:r>
    </w:p>
    <w:p w:rsidR="00810BAC" w:rsidRPr="00FF3102" w:rsidRDefault="00810BAC" w:rsidP="001E71BE">
      <w:pPr>
        <w:numPr>
          <w:ilvl w:val="0"/>
          <w:numId w:val="27"/>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الإقراض من أجل تنمية المشروعات الصغيرة والمتوسطة، ومن أجل تهيئة فرص العمل والتوظيف؛ </w:t>
      </w:r>
    </w:p>
    <w:p w:rsidR="00810BAC" w:rsidRPr="00FF3102" w:rsidRDefault="00810BAC" w:rsidP="001E71BE">
      <w:pPr>
        <w:numPr>
          <w:ilvl w:val="0"/>
          <w:numId w:val="27"/>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التواصل مع البرلمان ووسائل الإعلام.</w:t>
      </w:r>
      <w:r w:rsidRPr="00FF3102">
        <w:rPr>
          <w:rFonts w:ascii="Simplified Arabic" w:eastAsiaTheme="minorEastAsia" w:hAnsi="Simplified Arabic" w:cs="Simplified Arabic"/>
        </w:rPr>
        <w:t xml:space="preserve"> </w:t>
      </w:r>
    </w:p>
    <w:p w:rsidR="00810BAC" w:rsidRPr="00FF3102" w:rsidRDefault="00810BAC" w:rsidP="00810BAC">
      <w:pPr>
        <w:bidi/>
        <w:spacing w:before="240" w:after="240"/>
        <w:contextualSpacing/>
        <w:rPr>
          <w:rFonts w:ascii="Simplified Arabic" w:hAnsi="Simplified Arabic" w:cs="Simplified Arabic"/>
          <w:b/>
        </w:rPr>
      </w:pPr>
    </w:p>
    <w:p w:rsidR="00810BAC" w:rsidRPr="00FF3102" w:rsidRDefault="00810BAC" w:rsidP="00810BAC">
      <w:pPr>
        <w:bidi/>
        <w:spacing w:before="240" w:after="240"/>
        <w:contextualSpacing/>
        <w:rPr>
          <w:rFonts w:ascii="Simplified Arabic" w:eastAsiaTheme="minorEastAsia" w:hAnsi="Simplified Arabic" w:cs="Simplified Arabic"/>
        </w:rPr>
      </w:pPr>
      <w:r w:rsidRPr="00FF3102">
        <w:rPr>
          <w:rFonts w:ascii="Simplified Arabic" w:eastAsiaTheme="minorEastAsia" w:hAnsi="Simplified Arabic" w:cs="Simplified Arabic"/>
          <w:bCs/>
          <w:rtl/>
        </w:rPr>
        <w:t>الركيزة 3: الاحتواء</w:t>
      </w:r>
    </w:p>
    <w:p w:rsidR="00810BAC" w:rsidRPr="00FF3102" w:rsidRDefault="00810BAC" w:rsidP="00810BAC">
      <w:pPr>
        <w:bidi/>
        <w:spacing w:before="240" w:after="240"/>
        <w:contextualSpacing/>
        <w:rPr>
          <w:rFonts w:ascii="Simplified Arabic" w:hAnsi="Simplified Arabic" w:cs="Simplified Arabic"/>
          <w:b/>
        </w:rPr>
      </w:pPr>
    </w:p>
    <w:p w:rsidR="00810BAC" w:rsidRPr="00FF3102" w:rsidRDefault="00810BAC" w:rsidP="00810BAC">
      <w:p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مقترحات لمشاركة البنك الدولي: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بذل مزيد من الجهد لتيسير الحصول على التعليم في المناطق الفقيرة لتحسين الإنصاف (على الأمد المتوسط)؛</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44C0B">
        <w:rPr>
          <w:rFonts w:ascii="Simplified Arabic" w:eastAsiaTheme="minorEastAsia" w:hAnsi="Simplified Arabic" w:cs="Simplified Arabic"/>
          <w:i/>
          <w:rtl/>
        </w:rPr>
        <w:t>تنمية الطفولة المبكرة</w:t>
      </w:r>
      <w:r w:rsidRPr="00FF3102">
        <w:rPr>
          <w:rFonts w:ascii="Simplified Arabic" w:eastAsiaTheme="minorEastAsia" w:hAnsi="Simplified Arabic" w:cs="Simplified Arabic"/>
          <w:iCs/>
          <w:rtl/>
        </w:rPr>
        <w:t xml:space="preserve">؛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الانخراط في أنشطة إرساء معايير مرجعية للقياس، وبناء القدرات، والرصد والتقييم (التعليم)؛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التعاون في القضاء على الأمية (في الأمد المتوسط)؛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الحوار بشأن تصميم التحوُّل إلى التغطية الصحية الشاملة للفقراء؛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حوكمة القطاع الصحي؛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التمويل المستند إلى النتائج والدفع مقابل الأداء الجيد؛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الوظائف المؤقتة (مثل جمع النفايات، وتنظيف الترع، وغيرها من الأعمال كثيفة الاستخدام للأيدي العاملة للفقراء، والمشاركة في برامج الحماية الاجتماعية؛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 xml:space="preserve">مساندة تحسينات الطرق في المناطق الريفية؛ </w:t>
      </w:r>
    </w:p>
    <w:p w:rsidR="00810BAC" w:rsidRPr="00FF3102" w:rsidRDefault="00810BAC" w:rsidP="001E71BE">
      <w:pPr>
        <w:numPr>
          <w:ilvl w:val="0"/>
          <w:numId w:val="40"/>
        </w:numPr>
        <w:bidi/>
        <w:spacing w:before="240" w:after="240" w:line="280" w:lineRule="auto"/>
        <w:contextualSpacing/>
        <w:rPr>
          <w:rFonts w:ascii="Simplified Arabic" w:eastAsiaTheme="minorEastAsia" w:hAnsi="Simplified Arabic" w:cs="Simplified Arabic"/>
        </w:rPr>
      </w:pPr>
      <w:r w:rsidRPr="00FF3102">
        <w:rPr>
          <w:rFonts w:ascii="Simplified Arabic" w:eastAsiaTheme="minorEastAsia" w:hAnsi="Simplified Arabic" w:cs="Simplified Arabic"/>
          <w:rtl/>
        </w:rPr>
        <w:t>مساندة الزراعة من أجل القضاء على الفقر.</w:t>
      </w: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b/>
          <w:i/>
          <w:smallCaps/>
        </w:rPr>
      </w:pPr>
      <w:r w:rsidRPr="00FF3102">
        <w:rPr>
          <w:rFonts w:ascii="Simplified Arabic" w:hAnsi="Simplified Arabic" w:cs="Simplified Arabic"/>
          <w:caps/>
        </w:rPr>
        <w:br w:type="page"/>
      </w:r>
    </w:p>
    <w:p w:rsidR="00F15E0B" w:rsidRDefault="00810BAC" w:rsidP="00A3197D">
      <w:pPr>
        <w:pStyle w:val="Annex"/>
        <w:rPr>
          <w:rtl/>
        </w:rPr>
      </w:pPr>
      <w:bookmarkStart w:id="925" w:name="_Toc439184801"/>
      <w:bookmarkStart w:id="926" w:name="_Toc439184189"/>
      <w:r w:rsidRPr="003A1252">
        <w:rPr>
          <w:rtl/>
        </w:rPr>
        <w:t>الملحق 3: أنشطة المانحين</w:t>
      </w:r>
      <w:bookmarkEnd w:id="925"/>
    </w:p>
    <w:p w:rsidR="00A3197D" w:rsidRDefault="00716CC5" w:rsidP="00A3197D">
      <w:pPr>
        <w:pStyle w:val="Annex"/>
        <w:rPr>
          <w:rtl/>
        </w:rPr>
      </w:pPr>
      <w:r w:rsidRPr="00F15E0B">
        <w:rPr>
          <w:noProof/>
        </w:rPr>
        <w:drawing>
          <wp:inline distT="0" distB="0" distL="0" distR="0" wp14:anchorId="1BB25F46" wp14:editId="24FDB435">
            <wp:extent cx="5838825" cy="7753350"/>
            <wp:effectExtent l="0" t="0" r="9525"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38825" cy="7753350"/>
                    </a:xfrm>
                    <a:prstGeom prst="rect">
                      <a:avLst/>
                    </a:prstGeom>
                    <a:noFill/>
                    <a:ln>
                      <a:noFill/>
                    </a:ln>
                  </pic:spPr>
                </pic:pic>
              </a:graphicData>
            </a:graphic>
          </wp:inline>
        </w:drawing>
      </w:r>
    </w:p>
    <w:p w:rsidR="00810BAC" w:rsidRPr="003A1252" w:rsidRDefault="00810BAC" w:rsidP="00A3197D">
      <w:pPr>
        <w:pStyle w:val="Annex"/>
        <w:bidi w:val="0"/>
      </w:pPr>
      <w:r w:rsidRPr="00FF3102">
        <w:br w:type="page"/>
      </w:r>
      <w:r w:rsidR="00716CC5" w:rsidRPr="00F15E0B">
        <w:rPr>
          <w:noProof/>
        </w:rPr>
        <w:drawing>
          <wp:inline distT="0" distB="0" distL="0" distR="0" wp14:anchorId="79183FF0" wp14:editId="3259E495">
            <wp:extent cx="5810250" cy="8362950"/>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10250" cy="8362950"/>
                    </a:xfrm>
                    <a:prstGeom prst="rect">
                      <a:avLst/>
                    </a:prstGeom>
                    <a:noFill/>
                    <a:ln>
                      <a:noFill/>
                    </a:ln>
                  </pic:spPr>
                </pic:pic>
              </a:graphicData>
            </a:graphic>
          </wp:inline>
        </w:drawing>
      </w:r>
      <w:r w:rsidRPr="00FF3102">
        <w:br w:type="page"/>
      </w:r>
      <w:r w:rsidR="00716CC5" w:rsidRPr="00FF3102">
        <w:rPr>
          <w:noProof/>
        </w:rPr>
        <w:drawing>
          <wp:inline distT="0" distB="0" distL="0" distR="0" wp14:anchorId="63C9A505" wp14:editId="49CC90B9">
            <wp:extent cx="5838825" cy="8334375"/>
            <wp:effectExtent l="0" t="0" r="9525" b="952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38825" cy="8334375"/>
                    </a:xfrm>
                    <a:prstGeom prst="rect">
                      <a:avLst/>
                    </a:prstGeom>
                    <a:noFill/>
                    <a:ln>
                      <a:noFill/>
                    </a:ln>
                  </pic:spPr>
                </pic:pic>
              </a:graphicData>
            </a:graphic>
          </wp:inline>
        </w:drawing>
      </w:r>
      <w:r w:rsidRPr="00FF3102">
        <w:br w:type="page"/>
      </w:r>
      <w:bookmarkStart w:id="927" w:name="_Toc439184802"/>
      <w:r w:rsidRPr="00F15E0B">
        <w:rPr>
          <w:rtl/>
        </w:rPr>
        <w:t>الملحق 4: مؤشرات مختارة لأداء وإدارة حافظة مشروعات البنك</w:t>
      </w:r>
      <w:bookmarkEnd w:id="926"/>
      <w:bookmarkEnd w:id="927"/>
    </w:p>
    <w:p w:rsidR="00810BAC" w:rsidRPr="00FF3102" w:rsidRDefault="00810BAC" w:rsidP="00810BAC">
      <w:pPr>
        <w:bidi/>
        <w:jc w:val="center"/>
        <w:rPr>
          <w:rFonts w:ascii="Simplified Arabic" w:eastAsiaTheme="minorEastAsia" w:hAnsi="Simplified Arabic" w:cs="Simplified Arabic"/>
        </w:rPr>
      </w:pPr>
      <w:r w:rsidRPr="00FF3102">
        <w:rPr>
          <w:rFonts w:ascii="Simplified Arabic" w:eastAsiaTheme="minorEastAsia" w:hAnsi="Simplified Arabic" w:cs="Simplified Arabic"/>
          <w:bCs/>
          <w:rtl/>
        </w:rPr>
        <w:t>في 20/10/2015</w:t>
      </w:r>
    </w:p>
    <w:p w:rsidR="00810BAC" w:rsidRPr="00FF3102" w:rsidRDefault="00810BAC" w:rsidP="00810BAC">
      <w:pPr>
        <w:bidi/>
        <w:rPr>
          <w:rFonts w:ascii="Simplified Arabic" w:hAnsi="Simplified Arabic" w:cs="Simplified Arabic"/>
        </w:rPr>
      </w:pPr>
    </w:p>
    <w:tbl>
      <w:tblPr>
        <w:bidiVisual/>
        <w:tblW w:w="9360" w:type="dxa"/>
        <w:tblLayout w:type="fixed"/>
        <w:tblLook w:val="00A0" w:firstRow="1" w:lastRow="0" w:firstColumn="1" w:lastColumn="0" w:noHBand="0" w:noVBand="0"/>
      </w:tblPr>
      <w:tblGrid>
        <w:gridCol w:w="4459"/>
        <w:gridCol w:w="1225"/>
        <w:gridCol w:w="1225"/>
        <w:gridCol w:w="1225"/>
        <w:gridCol w:w="1226"/>
      </w:tblGrid>
      <w:tr w:rsidR="00810BAC" w:rsidRPr="003A1252">
        <w:trPr>
          <w:trHeight w:val="20"/>
        </w:trPr>
        <w:tc>
          <w:tcPr>
            <w:tcW w:w="4459"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sz w:val="20"/>
                <w:szCs w:val="20"/>
                <w:rtl/>
              </w:rPr>
              <w:t>المؤشر</w:t>
            </w:r>
          </w:p>
        </w:tc>
        <w:tc>
          <w:tcPr>
            <w:tcW w:w="1225"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b/>
                <w:sz w:val="20"/>
                <w:szCs w:val="20"/>
              </w:rPr>
            </w:pPr>
            <w:r w:rsidRPr="003A1252">
              <w:rPr>
                <w:rFonts w:ascii="Simplified Arabic" w:hAnsi="Simplified Arabic" w:cs="Simplified Arabic"/>
                <w:b/>
                <w:sz w:val="20"/>
                <w:szCs w:val="20"/>
              </w:rPr>
              <w:t>2013</w:t>
            </w:r>
          </w:p>
        </w:tc>
        <w:tc>
          <w:tcPr>
            <w:tcW w:w="1225"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b/>
                <w:sz w:val="20"/>
                <w:szCs w:val="20"/>
              </w:rPr>
            </w:pPr>
            <w:r w:rsidRPr="003A1252">
              <w:rPr>
                <w:rFonts w:ascii="Simplified Arabic" w:hAnsi="Simplified Arabic" w:cs="Simplified Arabic"/>
                <w:b/>
                <w:sz w:val="20"/>
                <w:szCs w:val="20"/>
              </w:rPr>
              <w:t>2014</w:t>
            </w:r>
          </w:p>
        </w:tc>
        <w:tc>
          <w:tcPr>
            <w:tcW w:w="1225"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b/>
                <w:sz w:val="20"/>
                <w:szCs w:val="20"/>
              </w:rPr>
            </w:pPr>
            <w:r w:rsidRPr="003A1252">
              <w:rPr>
                <w:rFonts w:ascii="Simplified Arabic" w:hAnsi="Simplified Arabic" w:cs="Simplified Arabic"/>
                <w:b/>
                <w:sz w:val="20"/>
                <w:szCs w:val="20"/>
              </w:rPr>
              <w:t>2015</w:t>
            </w:r>
          </w:p>
        </w:tc>
        <w:tc>
          <w:tcPr>
            <w:tcW w:w="1226"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b/>
                <w:sz w:val="20"/>
                <w:szCs w:val="20"/>
              </w:rPr>
            </w:pPr>
            <w:r w:rsidRPr="003A1252">
              <w:rPr>
                <w:rFonts w:ascii="Simplified Arabic" w:hAnsi="Simplified Arabic" w:cs="Simplified Arabic"/>
                <w:b/>
                <w:sz w:val="20"/>
                <w:szCs w:val="20"/>
              </w:rPr>
              <w:t>2016</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iCs/>
                <w:sz w:val="20"/>
                <w:szCs w:val="20"/>
                <w:rtl/>
              </w:rPr>
              <w:t>تقييم الحافظة</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b/>
                <w:i/>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عدد المشروعات قيد التنفيذ </w:t>
            </w:r>
            <w:r w:rsidRPr="003A1252">
              <w:rPr>
                <w:rFonts w:ascii="Simplified Arabic" w:eastAsiaTheme="minorEastAsia" w:hAnsi="Simplified Arabic" w:cs="Simplified Arabic"/>
                <w:sz w:val="20"/>
                <w:szCs w:val="20"/>
                <w:vertAlign w:val="superscript"/>
                <w:rtl/>
              </w:rPr>
              <w:t>أ</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21</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22</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21</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22</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متوسط مدة التنفيذ (سنة) </w:t>
            </w:r>
            <w:r w:rsidRPr="003A1252">
              <w:rPr>
                <w:rFonts w:ascii="Simplified Arabic" w:eastAsiaTheme="minorEastAsia" w:hAnsi="Simplified Arabic" w:cs="Simplified Arabic"/>
                <w:sz w:val="20"/>
                <w:szCs w:val="20"/>
                <w:vertAlign w:val="superscript"/>
                <w:rtl/>
              </w:rPr>
              <w:t>ب</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4.1</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4.5</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4.0</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4.2</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نسبة المشروعات التي تعاني من مشاكل حسب العدد </w:t>
            </w:r>
            <w:r w:rsidRPr="003A1252">
              <w:rPr>
                <w:rFonts w:ascii="Simplified Arabic" w:eastAsiaTheme="minorEastAsia" w:hAnsi="Simplified Arabic" w:cs="Simplified Arabic"/>
                <w:sz w:val="20"/>
                <w:szCs w:val="20"/>
                <w:vertAlign w:val="superscript"/>
                <w:rtl/>
              </w:rPr>
              <w:t>أ</w:t>
            </w:r>
            <w:r w:rsidRPr="003A1252">
              <w:rPr>
                <w:rFonts w:ascii="Simplified Arabic" w:eastAsiaTheme="minorEastAsia" w:hAnsi="Simplified Arabic" w:cs="Simplified Arabic"/>
                <w:sz w:val="20"/>
                <w:szCs w:val="20"/>
                <w:rtl/>
              </w:rPr>
              <w:t xml:space="preserve"> ، </w:t>
            </w:r>
            <w:r w:rsidRPr="003A1252">
              <w:rPr>
                <w:rFonts w:ascii="Simplified Arabic" w:eastAsiaTheme="minorEastAsia" w:hAnsi="Simplified Arabic" w:cs="Simplified Arabic"/>
                <w:sz w:val="20"/>
                <w:szCs w:val="20"/>
                <w:vertAlign w:val="superscript"/>
                <w:rtl/>
              </w:rPr>
              <w:t>ج</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19.0</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18.2</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28.6</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27.3</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نسبة المشروعات التي تعاني من مشاكل حسب المبلغ </w:t>
            </w:r>
            <w:r w:rsidRPr="003A1252">
              <w:rPr>
                <w:rFonts w:ascii="Simplified Arabic" w:eastAsiaTheme="minorEastAsia" w:hAnsi="Simplified Arabic" w:cs="Simplified Arabic"/>
                <w:sz w:val="20"/>
                <w:szCs w:val="20"/>
                <w:vertAlign w:val="superscript"/>
                <w:rtl/>
              </w:rPr>
              <w:t>أ</w:t>
            </w:r>
            <w:r w:rsidRPr="003A1252">
              <w:rPr>
                <w:rFonts w:ascii="Simplified Arabic" w:eastAsiaTheme="minorEastAsia" w:hAnsi="Simplified Arabic" w:cs="Simplified Arabic"/>
                <w:sz w:val="20"/>
                <w:szCs w:val="20"/>
                <w:rtl/>
              </w:rPr>
              <w:t xml:space="preserve"> ، </w:t>
            </w:r>
            <w:r w:rsidRPr="003A1252">
              <w:rPr>
                <w:rFonts w:ascii="Simplified Arabic" w:eastAsiaTheme="minorEastAsia" w:hAnsi="Simplified Arabic" w:cs="Simplified Arabic"/>
                <w:sz w:val="20"/>
                <w:szCs w:val="20"/>
                <w:vertAlign w:val="superscript"/>
                <w:rtl/>
              </w:rPr>
              <w:t>ج</w:t>
            </w:r>
            <w:r w:rsidRPr="003A1252">
              <w:rPr>
                <w:rFonts w:ascii="Simplified Arabic" w:eastAsiaTheme="minorEastAsia" w:hAnsi="Simplified Arabic" w:cs="Simplified Arabic"/>
                <w:sz w:val="20"/>
                <w:szCs w:val="20"/>
                <w:rtl/>
              </w:rPr>
              <w:t xml:space="preserve"> </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8.6</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20.4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18.1</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16.5</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نسبة المشروعات التي تواجه مخاطر حسب العدد </w:t>
            </w:r>
            <w:r w:rsidRPr="003A1252">
              <w:rPr>
                <w:rFonts w:ascii="Simplified Arabic" w:eastAsiaTheme="minorEastAsia" w:hAnsi="Simplified Arabic" w:cs="Simplified Arabic"/>
                <w:sz w:val="20"/>
                <w:szCs w:val="20"/>
                <w:vertAlign w:val="superscript"/>
                <w:rtl/>
              </w:rPr>
              <w:t>أ</w:t>
            </w:r>
            <w:r w:rsidRPr="003A1252">
              <w:rPr>
                <w:rFonts w:ascii="Simplified Arabic" w:eastAsiaTheme="minorEastAsia" w:hAnsi="Simplified Arabic" w:cs="Simplified Arabic"/>
                <w:sz w:val="20"/>
                <w:szCs w:val="20"/>
                <w:rtl/>
              </w:rPr>
              <w:t xml:space="preserve">، </w:t>
            </w:r>
            <w:r w:rsidRPr="003A1252">
              <w:rPr>
                <w:rFonts w:ascii="Simplified Arabic" w:eastAsiaTheme="minorEastAsia" w:hAnsi="Simplified Arabic" w:cs="Simplified Arabic"/>
                <w:sz w:val="20"/>
                <w:szCs w:val="20"/>
                <w:vertAlign w:val="superscript"/>
                <w:rtl/>
              </w:rPr>
              <w:t>د</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19.0</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18.2</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28.6</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27.3</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نسبة المشروعات التي تواجه مخاطر حسب المبلغ </w:t>
            </w:r>
            <w:r w:rsidRPr="003A1252">
              <w:rPr>
                <w:rFonts w:ascii="Simplified Arabic" w:eastAsiaTheme="minorEastAsia" w:hAnsi="Simplified Arabic" w:cs="Simplified Arabic"/>
                <w:sz w:val="20"/>
                <w:szCs w:val="20"/>
                <w:vertAlign w:val="superscript"/>
                <w:rtl/>
              </w:rPr>
              <w:t>أ</w:t>
            </w:r>
            <w:r w:rsidRPr="003A1252">
              <w:rPr>
                <w:rFonts w:ascii="Simplified Arabic" w:eastAsiaTheme="minorEastAsia" w:hAnsi="Simplified Arabic" w:cs="Simplified Arabic"/>
                <w:sz w:val="20"/>
                <w:szCs w:val="20"/>
                <w:rtl/>
              </w:rPr>
              <w:t xml:space="preserve">، </w:t>
            </w:r>
            <w:r w:rsidRPr="003A1252">
              <w:rPr>
                <w:rFonts w:ascii="Simplified Arabic" w:eastAsiaTheme="minorEastAsia" w:hAnsi="Simplified Arabic" w:cs="Simplified Arabic"/>
                <w:sz w:val="20"/>
                <w:szCs w:val="20"/>
                <w:vertAlign w:val="superscript"/>
                <w:rtl/>
              </w:rPr>
              <w:t>د</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8.6</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20.4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18.1</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16.5</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نسبة المنصرف من حصيلة القرض (%) </w:t>
            </w:r>
            <w:r w:rsidRPr="003A1252">
              <w:rPr>
                <w:rFonts w:ascii="Simplified Arabic" w:eastAsiaTheme="minorEastAsia" w:hAnsi="Simplified Arabic" w:cs="Simplified Arabic"/>
                <w:sz w:val="20"/>
                <w:szCs w:val="20"/>
                <w:vertAlign w:val="superscript"/>
                <w:rtl/>
              </w:rPr>
              <w:t>ه</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14.4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11.4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19.0</w:t>
            </w: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5.0</w:t>
            </w: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iCs/>
                <w:sz w:val="20"/>
                <w:szCs w:val="20"/>
                <w:rtl/>
              </w:rPr>
              <w:t>إدارة الحافظة</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b/>
                <w:i/>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استعراض أداء الحافظة للبلد المعني خلال السنة (نعم/لا)</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موارد الإشراف (الإجمالي بالدولار الأمريكي)</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متوسط موارد الإشراف (دولار أمريكي/المشروع)</w:t>
            </w:r>
          </w:p>
        </w:tc>
        <w:tc>
          <w:tcPr>
            <w:tcW w:w="1225"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Pr>
              <w:t> </w:t>
            </w:r>
          </w:p>
        </w:tc>
        <w:tc>
          <w:tcPr>
            <w:tcW w:w="1225"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Pr>
              <w:t> </w:t>
            </w:r>
          </w:p>
        </w:tc>
        <w:tc>
          <w:tcPr>
            <w:tcW w:w="1225"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Pr>
              <w:t> </w:t>
            </w:r>
          </w:p>
        </w:tc>
        <w:tc>
          <w:tcPr>
            <w:tcW w:w="1226"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Pr>
              <w:t> </w:t>
            </w:r>
          </w:p>
        </w:tc>
      </w:tr>
    </w:tbl>
    <w:p w:rsidR="00810BAC" w:rsidRPr="003A1252" w:rsidRDefault="00810BAC" w:rsidP="00810BAC">
      <w:pPr>
        <w:bidi/>
        <w:rPr>
          <w:rFonts w:ascii="Simplified Arabic" w:hAnsi="Simplified Arabic" w:cs="Simplified Arabic"/>
          <w:sz w:val="20"/>
          <w:szCs w:val="20"/>
        </w:rPr>
      </w:pPr>
    </w:p>
    <w:tbl>
      <w:tblPr>
        <w:bidiVisual/>
        <w:tblW w:w="9360" w:type="dxa"/>
        <w:tblLayout w:type="fixed"/>
        <w:tblLook w:val="00A0" w:firstRow="1" w:lastRow="0" w:firstColumn="1" w:lastColumn="0" w:noHBand="0" w:noVBand="0"/>
      </w:tblPr>
      <w:tblGrid>
        <w:gridCol w:w="4459"/>
        <w:gridCol w:w="1225"/>
        <w:gridCol w:w="1225"/>
        <w:gridCol w:w="1225"/>
        <w:gridCol w:w="1226"/>
      </w:tblGrid>
      <w:tr w:rsidR="00810BAC" w:rsidRPr="003A1252">
        <w:trPr>
          <w:trHeight w:val="20"/>
        </w:trPr>
        <w:tc>
          <w:tcPr>
            <w:tcW w:w="4459"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sz w:val="20"/>
                <w:szCs w:val="20"/>
                <w:rtl/>
              </w:rPr>
              <w:t>بند إيضاحي</w:t>
            </w:r>
          </w:p>
        </w:tc>
        <w:tc>
          <w:tcPr>
            <w:tcW w:w="1225"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sz w:val="20"/>
                <w:szCs w:val="20"/>
                <w:rtl/>
              </w:rPr>
              <w:t>منذ السنة المالية 80</w:t>
            </w:r>
          </w:p>
        </w:tc>
        <w:tc>
          <w:tcPr>
            <w:tcW w:w="1225" w:type="dxa"/>
            <w:tcBorders>
              <w:top w:val="single" w:sz="4" w:space="0" w:color="auto"/>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bCs/>
                <w:sz w:val="20"/>
                <w:szCs w:val="20"/>
                <w:rtl/>
              </w:rPr>
              <w:t>آخر خمس سنوات مالية</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b/>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تقييم إدارة تقييم العمليات للمشروع حسب العدد</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107</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تقييم إدارة تقييم العمليات للمشروع حسب المبلغ (مليون دولار أمريكي)</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6,789.4</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351.0</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نسبة المشروعات التي قيمتها إدارة تقييم العمليات وحصلت على تقدير غير مرض أو غير مرض تماما حسب العدد</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23.5</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50.0</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4459" w:type="dxa"/>
            <w:tcBorders>
              <w:top w:val="nil"/>
              <w:left w:val="nil"/>
              <w:bottom w:val="single" w:sz="4" w:space="0" w:color="auto"/>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نسبة المشروعات التي قيمتها إدارة تقييم العمليات وحصلت على تقدير غير مرض أو غير مرض تماما حسب المبلغ</w:t>
            </w:r>
          </w:p>
        </w:tc>
        <w:tc>
          <w:tcPr>
            <w:tcW w:w="1225" w:type="dxa"/>
            <w:tcBorders>
              <w:top w:val="nil"/>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14.5</w:t>
            </w:r>
          </w:p>
        </w:tc>
        <w:tc>
          <w:tcPr>
            <w:tcW w:w="1225" w:type="dxa"/>
            <w:tcBorders>
              <w:top w:val="nil"/>
              <w:left w:val="nil"/>
              <w:bottom w:val="single" w:sz="4" w:space="0" w:color="auto"/>
              <w:right w:val="nil"/>
            </w:tcBorders>
            <w:noWrap/>
            <w:vAlign w:val="bottom"/>
          </w:tcPr>
          <w:p w:rsidR="00810BAC" w:rsidRPr="003A1252" w:rsidRDefault="00810BAC" w:rsidP="00810BAC">
            <w:pPr>
              <w:bidi/>
              <w:rPr>
                <w:rFonts w:ascii="Simplified Arabic" w:hAnsi="Simplified Arabic" w:cs="Simplified Arabic"/>
                <w:sz w:val="20"/>
                <w:szCs w:val="20"/>
              </w:rPr>
            </w:pPr>
            <w:r w:rsidRPr="003A1252">
              <w:rPr>
                <w:rFonts w:ascii="Simplified Arabic" w:hAnsi="Simplified Arabic" w:cs="Simplified Arabic"/>
                <w:sz w:val="20"/>
                <w:szCs w:val="20"/>
              </w:rPr>
              <w:t>88.8</w:t>
            </w:r>
          </w:p>
        </w:tc>
        <w:tc>
          <w:tcPr>
            <w:tcW w:w="1225"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c>
          <w:tcPr>
            <w:tcW w:w="1226" w:type="dxa"/>
            <w:tcBorders>
              <w:top w:val="nil"/>
              <w:left w:val="nil"/>
              <w:bottom w:val="nil"/>
              <w:right w:val="nil"/>
            </w:tcBorders>
            <w:noWrap/>
            <w:vAlign w:val="bottom"/>
          </w:tcPr>
          <w:p w:rsidR="00810BAC" w:rsidRPr="003A1252" w:rsidRDefault="00810BAC" w:rsidP="00810BAC">
            <w:pPr>
              <w:bidi/>
              <w:rPr>
                <w:rFonts w:ascii="Simplified Arabic" w:hAnsi="Simplified Arabic" w:cs="Simplified Arabic"/>
                <w:sz w:val="20"/>
                <w:szCs w:val="20"/>
              </w:rPr>
            </w:pPr>
          </w:p>
        </w:tc>
      </w:tr>
      <w:tr w:rsidR="00810BAC" w:rsidRPr="003A1252">
        <w:trPr>
          <w:trHeight w:val="20"/>
        </w:trPr>
        <w:tc>
          <w:tcPr>
            <w:tcW w:w="9360" w:type="dxa"/>
            <w:gridSpan w:val="5"/>
            <w:tcBorders>
              <w:top w:val="nil"/>
              <w:left w:val="nil"/>
              <w:right w:val="nil"/>
            </w:tcBorders>
            <w:noWrap/>
            <w:vAlign w:val="bottom"/>
          </w:tcPr>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أ. كما هو موضح في التقرير السنوي عن أداء الحافظة (فيما عدا السنة المالية الحالية)</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ب. متوسط عمر المشروعات في حافظة مشروعات البنك.</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ج. نسبة المشروعات التي حصلت على تقدير غير مرض أو غير مرض تماما في أهداف التنمية أو التقدم المحرز في عملية التنفيذ، أو في كليهما.</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د. كما هو محدد في برنامج تحسين الحافظة.</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هـ. نسبة المنصرف من حصيلة القرض خلال السنة إلى الرصيد غير المنصرف لحافظة البنك في</w:t>
            </w:r>
            <w:r w:rsidRPr="003A1252">
              <w:rPr>
                <w:rFonts w:ascii="Simplified Arabic" w:eastAsiaTheme="minorEastAsia" w:hAnsi="Simplified Arabic" w:cs="Simplified Arabic"/>
                <w:sz w:val="20"/>
                <w:szCs w:val="20"/>
              </w:rPr>
              <w:t xml:space="preserve"> </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 بداية السنة: المشروعات الاستثمارية فحسب</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تخص كافة المؤشرات المشروعات الجارية في الحافظة، باستثناء نسبة المدفوعات،</w:t>
            </w:r>
          </w:p>
          <w:p w:rsidR="00810BAC" w:rsidRPr="003A1252" w:rsidRDefault="00810BAC" w:rsidP="00810BAC">
            <w:pPr>
              <w:bidi/>
              <w:rPr>
                <w:rFonts w:ascii="Simplified Arabic" w:eastAsiaTheme="minorEastAsia" w:hAnsi="Simplified Arabic" w:cs="Simplified Arabic"/>
                <w:sz w:val="20"/>
                <w:szCs w:val="20"/>
              </w:rPr>
            </w:pPr>
            <w:r w:rsidRPr="003A1252">
              <w:rPr>
                <w:rFonts w:ascii="Simplified Arabic" w:eastAsiaTheme="minorEastAsia" w:hAnsi="Simplified Arabic" w:cs="Simplified Arabic"/>
                <w:sz w:val="20"/>
                <w:szCs w:val="20"/>
                <w:rtl/>
              </w:rPr>
              <w:t xml:space="preserve"> التي تشمل كافة المشروعات الجارية وكذلك المشروعات التي خرجت من الحافظة خلال السنة المالية.</w:t>
            </w:r>
          </w:p>
        </w:tc>
      </w:tr>
    </w:tbl>
    <w:p w:rsidR="00810BAC" w:rsidRPr="00FF3102" w:rsidRDefault="00810BAC" w:rsidP="00810BAC">
      <w:pPr>
        <w:keepNext/>
        <w:keepLines/>
        <w:bidi/>
        <w:spacing w:before="300" w:after="240"/>
        <w:ind w:left="360"/>
        <w:jc w:val="center"/>
        <w:outlineLvl w:val="1"/>
        <w:rPr>
          <w:rFonts w:ascii="Simplified Arabic" w:hAnsi="Simplified Arabic" w:cs="Simplified Arabic"/>
          <w:b/>
          <w:i/>
          <w:smallCaps/>
        </w:rPr>
        <w:sectPr w:rsidR="00810BAC" w:rsidRPr="00FF3102">
          <w:footerReference w:type="first" r:id="rId44"/>
          <w:pgSz w:w="12240" w:h="15840"/>
          <w:pgMar w:top="1440" w:right="1350" w:bottom="1440" w:left="1440" w:header="720" w:footer="720" w:gutter="0"/>
          <w:cols w:space="720"/>
          <w:docGrid w:linePitch="360"/>
        </w:sectPr>
      </w:pPr>
    </w:p>
    <w:p w:rsidR="00810BAC" w:rsidRPr="00F44C0B" w:rsidRDefault="00810BAC" w:rsidP="00A3197D">
      <w:pPr>
        <w:pStyle w:val="Annex"/>
        <w:rPr>
          <w:i w:val="0"/>
          <w:iCs w:val="0"/>
          <w:szCs w:val="24"/>
        </w:rPr>
      </w:pPr>
      <w:bookmarkStart w:id="928" w:name="_Toc439184190"/>
      <w:bookmarkStart w:id="929" w:name="_Toc439184803"/>
      <w:r w:rsidRPr="00F44C0B">
        <w:rPr>
          <w:i w:val="0"/>
          <w:iCs w:val="0"/>
          <w:rtl/>
        </w:rPr>
        <w:t>الملحق 5: حافظة العمليات الخاصة بمصر (البنك الدولي للإنشاء والتعمير/المؤسسة الدولية للتنمية والمنح)</w:t>
      </w:r>
      <w:bookmarkEnd w:id="928"/>
      <w:bookmarkEnd w:id="929"/>
    </w:p>
    <w:p w:rsidR="00810BAC" w:rsidRPr="00FF3102" w:rsidRDefault="00B82445" w:rsidP="0051140F">
      <w:pPr>
        <w:rPr>
          <w:rFonts w:ascii="Simplified Arabic" w:hAnsi="Simplified Arabic" w:cs="Simplified Arabic"/>
          <w:b/>
          <w:i/>
          <w:smallCaps/>
        </w:rPr>
        <w:sectPr w:rsidR="00810BAC" w:rsidRPr="00FF3102">
          <w:footerReference w:type="first" r:id="rId45"/>
          <w:pgSz w:w="15840" w:h="12240" w:orient="landscape"/>
          <w:pgMar w:top="1440" w:right="1440" w:bottom="1440" w:left="1440" w:header="720" w:footer="720" w:gutter="0"/>
          <w:cols w:space="720"/>
          <w:titlePg/>
          <w:docGrid w:linePitch="360"/>
        </w:sectPr>
      </w:pPr>
      <w:r w:rsidRPr="00FF3102">
        <w:rPr>
          <w:rFonts w:ascii="Simplified Arabic" w:hAnsi="Simplified Arabic" w:cs="Simplified Arabic"/>
          <w:b/>
          <w:i/>
          <w:smallCaps/>
          <w:noProof/>
        </w:rPr>
        <w:drawing>
          <wp:inline distT="0" distB="0" distL="0" distR="0" wp14:anchorId="1EFA0302" wp14:editId="78522151">
            <wp:extent cx="9096375" cy="5410200"/>
            <wp:effectExtent l="0" t="0" r="9525"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96375" cy="5410200"/>
                    </a:xfrm>
                    <a:prstGeom prst="rect">
                      <a:avLst/>
                    </a:prstGeom>
                    <a:noFill/>
                    <a:ln>
                      <a:noFill/>
                    </a:ln>
                  </pic:spPr>
                </pic:pic>
              </a:graphicData>
            </a:graphic>
          </wp:inline>
        </w:drawing>
      </w:r>
    </w:p>
    <w:p w:rsidR="00810BAC" w:rsidRPr="00F44C0B" w:rsidRDefault="00810BAC" w:rsidP="00A3197D">
      <w:pPr>
        <w:pStyle w:val="Annex"/>
        <w:rPr>
          <w:i w:val="0"/>
          <w:iCs w:val="0"/>
          <w:szCs w:val="24"/>
        </w:rPr>
      </w:pPr>
      <w:bookmarkStart w:id="930" w:name="_Toc439184191"/>
      <w:bookmarkStart w:id="931" w:name="_Toc439184804"/>
      <w:r w:rsidRPr="00F44C0B">
        <w:rPr>
          <w:i w:val="0"/>
          <w:iCs w:val="0"/>
          <w:rtl/>
        </w:rPr>
        <w:t>الملحق 6: بيان حافظة مؤسسة التمويل الدولية للمبالغ المُحتَفَظ بها والمدفوعة</w:t>
      </w:r>
      <w:bookmarkEnd w:id="930"/>
      <w:bookmarkEnd w:id="931"/>
    </w:p>
    <w:p w:rsidR="00810BAC" w:rsidRPr="00FF3102" w:rsidRDefault="00B82445" w:rsidP="00810BAC">
      <w:pPr>
        <w:keepNext/>
        <w:keepLines/>
        <w:bidi/>
        <w:spacing w:before="300" w:after="240"/>
        <w:ind w:left="-270"/>
        <w:jc w:val="center"/>
        <w:outlineLvl w:val="1"/>
        <w:rPr>
          <w:rFonts w:ascii="Simplified Arabic" w:hAnsi="Simplified Arabic" w:cs="Simplified Arabic"/>
          <w:b/>
          <w:i/>
          <w:smallCaps/>
        </w:rPr>
      </w:pPr>
      <w:r w:rsidRPr="00FF3102">
        <w:rPr>
          <w:rFonts w:ascii="Simplified Arabic" w:hAnsi="Simplified Arabic" w:cs="Simplified Arabic"/>
          <w:b/>
          <w:i/>
          <w:smallCaps/>
          <w:noProof/>
        </w:rPr>
        <w:drawing>
          <wp:inline distT="0" distB="0" distL="0" distR="0" wp14:anchorId="01D5061C" wp14:editId="64580004">
            <wp:extent cx="6610350" cy="5676900"/>
            <wp:effectExtent l="0" t="0" r="0"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10350" cy="5676900"/>
                    </a:xfrm>
                    <a:prstGeom prst="rect">
                      <a:avLst/>
                    </a:prstGeom>
                    <a:noFill/>
                    <a:ln>
                      <a:noFill/>
                    </a:ln>
                  </pic:spPr>
                </pic:pic>
              </a:graphicData>
            </a:graphic>
          </wp:inline>
        </w:drawing>
      </w:r>
    </w:p>
    <w:p w:rsidR="00810BAC" w:rsidRPr="00FF3102" w:rsidRDefault="00810BAC" w:rsidP="00810BAC">
      <w:pPr>
        <w:bidi/>
        <w:rPr>
          <w:rFonts w:ascii="Simplified Arabic" w:hAnsi="Simplified Arabic" w:cs="Simplified Arabic"/>
          <w:b/>
          <w:i/>
          <w:smallCaps/>
        </w:rPr>
        <w:sectPr w:rsidR="00810BAC" w:rsidRPr="00FF3102">
          <w:pgSz w:w="12240" w:h="15840"/>
          <w:pgMar w:top="1440" w:right="1440" w:bottom="1440" w:left="1440" w:header="720" w:footer="720" w:gutter="0"/>
          <w:cols w:space="720"/>
          <w:titlePg/>
          <w:docGrid w:linePitch="360"/>
        </w:sectPr>
      </w:pPr>
    </w:p>
    <w:p w:rsidR="00810BAC" w:rsidRPr="003A1252" w:rsidRDefault="00810BAC" w:rsidP="00A3197D">
      <w:pPr>
        <w:pStyle w:val="Annex"/>
        <w:rPr>
          <w:szCs w:val="24"/>
        </w:rPr>
      </w:pPr>
      <w:bookmarkStart w:id="932" w:name="_Toc439184192"/>
      <w:bookmarkStart w:id="933" w:name="_Toc439184805"/>
      <w:r w:rsidRPr="00F44C0B">
        <w:rPr>
          <w:i w:val="0"/>
          <w:iCs w:val="0"/>
          <w:rtl/>
        </w:rPr>
        <w:t>الملحق 7: أولويات الدراسة التشخيصية والتدخُّلات المقترحة لمجموعة البنك الدولي في إطار الشراكة</w:t>
      </w:r>
      <w:r w:rsidRPr="003A1252">
        <w:rPr>
          <w:rtl/>
        </w:rPr>
        <w:t xml:space="preserve"> </w:t>
      </w:r>
      <w:r w:rsidRPr="00F44C0B">
        <w:rPr>
          <w:i w:val="0"/>
          <w:iCs w:val="0"/>
          <w:rtl/>
        </w:rPr>
        <w:t>الإستراتيجية</w:t>
      </w:r>
      <w:bookmarkEnd w:id="932"/>
      <w:bookmarkEnd w:id="933"/>
    </w:p>
    <w:tbl>
      <w:tblPr>
        <w:bidiVisual/>
        <w:tblW w:w="94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0"/>
        <w:gridCol w:w="4680"/>
      </w:tblGrid>
      <w:tr w:rsidR="00810BAC" w:rsidRPr="00FF3102">
        <w:trPr>
          <w:trHeight w:val="20"/>
        </w:trPr>
        <w:tc>
          <w:tcPr>
            <w:tcW w:w="4770" w:type="dxa"/>
            <w:shd w:val="clear" w:color="auto" w:fill="D9D9D9"/>
            <w:vAlign w:val="center"/>
          </w:tcPr>
          <w:p w:rsidR="00810BAC" w:rsidRPr="00F44C0B" w:rsidRDefault="00810BAC" w:rsidP="00810BAC">
            <w:pPr>
              <w:pStyle w:val="Tableheading"/>
              <w:bidi/>
              <w:spacing w:before="60" w:after="60"/>
              <w:rPr>
                <w:rFonts w:ascii="Simplified Arabic" w:eastAsiaTheme="minorEastAsia" w:hAnsi="Simplified Arabic" w:cs="Simplified Arabic"/>
                <w:bCs w:val="0"/>
                <w:i w:val="0"/>
                <w:iCs w:val="0"/>
                <w:sz w:val="24"/>
              </w:rPr>
            </w:pPr>
            <w:r w:rsidRPr="00F44C0B">
              <w:rPr>
                <w:rFonts w:ascii="Simplified Arabic" w:eastAsiaTheme="minorEastAsia" w:hAnsi="Simplified Arabic" w:cs="Simplified Arabic"/>
                <w:i w:val="0"/>
                <w:iCs w:val="0"/>
                <w:sz w:val="24"/>
                <w:rtl/>
              </w:rPr>
              <w:t>أساس/مجالات ذات أولوية قصوى للدراسة التشخيصية</w:t>
            </w:r>
          </w:p>
        </w:tc>
        <w:tc>
          <w:tcPr>
            <w:tcW w:w="4680" w:type="dxa"/>
            <w:shd w:val="clear" w:color="auto" w:fill="D9D9D9"/>
            <w:vAlign w:val="center"/>
          </w:tcPr>
          <w:p w:rsidR="00810BAC" w:rsidRPr="00F44C0B" w:rsidRDefault="00810BAC" w:rsidP="00810BAC">
            <w:pPr>
              <w:pStyle w:val="Tableheading"/>
              <w:bidi/>
              <w:spacing w:before="60" w:after="60"/>
              <w:rPr>
                <w:rFonts w:ascii="Simplified Arabic" w:eastAsiaTheme="minorEastAsia" w:hAnsi="Simplified Arabic" w:cs="Simplified Arabic"/>
                <w:bCs w:val="0"/>
                <w:i w:val="0"/>
                <w:iCs w:val="0"/>
                <w:sz w:val="24"/>
              </w:rPr>
            </w:pPr>
            <w:r w:rsidRPr="00F44C0B">
              <w:rPr>
                <w:rFonts w:ascii="Simplified Arabic" w:eastAsiaTheme="minorEastAsia" w:hAnsi="Simplified Arabic" w:cs="Simplified Arabic"/>
                <w:i w:val="0"/>
                <w:iCs w:val="0"/>
                <w:sz w:val="24"/>
                <w:rtl/>
              </w:rPr>
              <w:t>تدخُّلات مجموعة البنك الدولي في إطار الشراكة الإستراتيجية</w:t>
            </w:r>
          </w:p>
        </w:tc>
      </w:tr>
      <w:tr w:rsidR="00810BAC" w:rsidRPr="00FF3102">
        <w:trPr>
          <w:trHeight w:val="20"/>
        </w:trPr>
        <w:tc>
          <w:tcPr>
            <w:tcW w:w="4770" w:type="dxa"/>
          </w:tcPr>
          <w:p w:rsidR="00810BAC" w:rsidRPr="00FF3102" w:rsidRDefault="00810BAC" w:rsidP="00810BAC">
            <w:pPr>
              <w:pStyle w:val="Tabletext"/>
              <w:bidi/>
              <w:spacing w:before="0" w:after="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bCs/>
                <w:sz w:val="24"/>
                <w:szCs w:val="24"/>
                <w:rtl/>
              </w:rPr>
              <w:t>تحسين حوكمة القطاع العام</w:t>
            </w:r>
          </w:p>
          <w:p w:rsidR="00810BAC" w:rsidRPr="00FF3102" w:rsidRDefault="00810BAC" w:rsidP="001E71BE">
            <w:pPr>
              <w:pStyle w:val="Tabletext"/>
              <w:numPr>
                <w:ilvl w:val="0"/>
                <w:numId w:val="51"/>
              </w:numPr>
              <w:bidi/>
              <w:spacing w:before="0" w:after="0"/>
              <w:ind w:left="450" w:hanging="27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sz w:val="24"/>
                <w:szCs w:val="24"/>
                <w:rtl/>
              </w:rPr>
              <w:t>زيادة شفافية الحكومة المصرية بإتاحة اطلاع الجمهور على مزيد من البيانات وتحقيق تقدم نحو قانون الحق في الحصول على المعلومات.</w:t>
            </w:r>
          </w:p>
          <w:p w:rsidR="00810BAC" w:rsidRPr="00FF3102" w:rsidRDefault="00810BAC" w:rsidP="001E71BE">
            <w:pPr>
              <w:pStyle w:val="Tabletext"/>
              <w:numPr>
                <w:ilvl w:val="0"/>
                <w:numId w:val="50"/>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تعديل قانون الخدمة المدنية لتسهيل التوظيف والترقية والتسريح على أساس الجدارة والاستحقاق.</w:t>
            </w:r>
            <w:r w:rsidRPr="00FF3102">
              <w:rPr>
                <w:rFonts w:ascii="Simplified Arabic" w:eastAsiaTheme="minorEastAsia" w:hAnsi="Simplified Arabic" w:cs="Simplified Arabic"/>
                <w:sz w:val="24"/>
                <w:szCs w:val="24"/>
              </w:rPr>
              <w:t xml:space="preserve"> </w:t>
            </w:r>
          </w:p>
          <w:p w:rsidR="00810BAC" w:rsidRPr="00FF3102" w:rsidRDefault="00810BAC" w:rsidP="001E71BE">
            <w:pPr>
              <w:pStyle w:val="Tabletext"/>
              <w:numPr>
                <w:ilvl w:val="0"/>
                <w:numId w:val="50"/>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تعديل قانون المشتريات العامة وفقا للممارسات الجيدة الصادرة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عن</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منظمة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التعاون</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والتنمية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في</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الميدان</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الاقتصادي</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لجنة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الأمم</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المتحدة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للقانون</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التجاري</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الدولي.</w:t>
            </w:r>
          </w:p>
        </w:tc>
        <w:tc>
          <w:tcPr>
            <w:tcW w:w="4680" w:type="dxa"/>
          </w:tcPr>
          <w:p w:rsidR="00810BAC" w:rsidRPr="00FF3102" w:rsidRDefault="00810BAC" w:rsidP="001E71BE">
            <w:pPr>
              <w:pStyle w:val="Tabletextbullet"/>
              <w:numPr>
                <w:ilvl w:val="0"/>
                <w:numId w:val="50"/>
              </w:numPr>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العمل مع الحكومة المصرية على المستوى المركزي وكذلك بين القطاعات، وغرس مزيد من الشفافية، ومشاركة المواطنين وتعليقاتهم التقييمية في كل مبادرات مجموعة البنك الدولي على المستوى القطاعي.</w:t>
            </w:r>
          </w:p>
          <w:p w:rsidR="00810BAC" w:rsidRPr="00FF3102" w:rsidRDefault="00810BAC" w:rsidP="001E71BE">
            <w:pPr>
              <w:pStyle w:val="Tabletextbullet"/>
              <w:numPr>
                <w:ilvl w:val="0"/>
                <w:numId w:val="50"/>
              </w:numPr>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 xml:space="preserve">المرحلة الثانية للمساعدة الفنية لحوكمة القطاع العام المصري </w:t>
            </w:r>
          </w:p>
          <w:p w:rsidR="00810BAC" w:rsidRPr="00FF3102" w:rsidRDefault="00810BAC" w:rsidP="001E71BE">
            <w:pPr>
              <w:pStyle w:val="Tabletextbullet"/>
              <w:numPr>
                <w:ilvl w:val="0"/>
                <w:numId w:val="50"/>
              </w:numPr>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المساعدة الفنية لإدارة شؤون المالية العامة</w:t>
            </w:r>
          </w:p>
          <w:p w:rsidR="00810BAC" w:rsidRPr="00FF3102" w:rsidRDefault="00810BAC" w:rsidP="001E71BE">
            <w:pPr>
              <w:pStyle w:val="Tabletextbullet"/>
              <w:numPr>
                <w:ilvl w:val="0"/>
                <w:numId w:val="50"/>
              </w:numPr>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إطار سياسات التنمية (السنة المالية 2016)</w:t>
            </w:r>
          </w:p>
        </w:tc>
      </w:tr>
      <w:tr w:rsidR="00810BAC" w:rsidRPr="00FF3102">
        <w:trPr>
          <w:trHeight w:val="20"/>
        </w:trPr>
        <w:tc>
          <w:tcPr>
            <w:tcW w:w="4770" w:type="dxa"/>
          </w:tcPr>
          <w:p w:rsidR="00810BAC" w:rsidRPr="00FF3102" w:rsidRDefault="00810BAC" w:rsidP="00810BAC">
            <w:pPr>
              <w:pStyle w:val="Tabletext"/>
              <w:bidi/>
              <w:spacing w:before="0" w:after="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bCs/>
                <w:sz w:val="24"/>
                <w:szCs w:val="24"/>
                <w:rtl/>
              </w:rPr>
              <w:t>ضبط أوضاع الاقتصاد الكلي</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الإصلاح الضريبي</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إصلاح دعم الطاقة.</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الاتجاه الصعودي لفاتورة الأجور</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التنسيق بين وزارة المالية والبنك المركزي</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تحسين إدارة الدين العام</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تحسين الأسواق الأولية والثانوية للأوراق المالية الحكومية</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إعداد نظام لإدارة الاستثمارات العامة</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تعزيز المنافسة في القطاع المالي بتسهيل دخول السوق والخروج منه وإنفاذ قواعد حوكمة الشركات</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تيسير الحصول على التمويل للقطاع الخاص، ولاسيما المشروعات المتوسطة والصغيرة والمتناهية الصغر، ومن ذلك من خلال تقوية البنية التحتية للقطاع المالي: تحسين نوعية وكمية بيانات الائتمان التي تجمعها شركة الاستعلام الائتماني، وإطار القروض المضمونة، وتسجيل الأصول المنقولة.</w:t>
            </w:r>
            <w:r w:rsidRPr="00FF3102">
              <w:rPr>
                <w:rFonts w:ascii="Simplified Arabic" w:eastAsiaTheme="minorEastAsia" w:hAnsi="Simplified Arabic" w:cs="Simplified Arabic"/>
                <w:sz w:val="24"/>
                <w:szCs w:val="24"/>
              </w:rPr>
              <w:t xml:space="preserve"> </w:t>
            </w:r>
          </w:p>
        </w:tc>
        <w:tc>
          <w:tcPr>
            <w:tcW w:w="4680" w:type="dxa"/>
          </w:tcPr>
          <w:p w:rsidR="00810BAC" w:rsidRPr="00FF3102" w:rsidRDefault="00810BAC" w:rsidP="00810BAC">
            <w:pPr>
              <w:pStyle w:val="Tabletextbullet"/>
              <w:bidi/>
              <w:rPr>
                <w:rFonts w:ascii="Simplified Arabic" w:hAnsi="Simplified Arabic" w:cs="Simplified Arabic"/>
                <w:sz w:val="24"/>
                <w:szCs w:val="24"/>
              </w:rPr>
            </w:pPr>
          </w:p>
          <w:p w:rsidR="00810BAC" w:rsidRPr="00FF3102" w:rsidRDefault="00810BAC" w:rsidP="00810BAC">
            <w:pPr>
              <w:pStyle w:val="Tabletextbullet"/>
              <w:bidi/>
              <w:rPr>
                <w:rFonts w:ascii="Simplified Arabic" w:eastAsiaTheme="minorEastAsia" w:hAnsi="Simplified Arabic" w:cs="Simplified Arabic"/>
                <w:b/>
                <w:sz w:val="24"/>
                <w:szCs w:val="24"/>
              </w:rPr>
            </w:pPr>
            <w:r w:rsidRPr="00FF3102">
              <w:rPr>
                <w:rFonts w:ascii="Simplified Arabic" w:eastAsiaTheme="minorEastAsia" w:hAnsi="Simplified Arabic" w:cs="Simplified Arabic"/>
                <w:sz w:val="24"/>
                <w:szCs w:val="24"/>
                <w:rtl/>
              </w:rPr>
              <w:t>أنشطة تحليلية واستشارية عن إصلاح قطاع وسياسات الطاقة</w:t>
            </w:r>
          </w:p>
          <w:p w:rsidR="00810BAC" w:rsidRPr="00FF3102" w:rsidRDefault="00810BAC" w:rsidP="00810BAC">
            <w:pPr>
              <w:pStyle w:val="Tabletextbullet"/>
              <w:bidi/>
              <w:rPr>
                <w:rFonts w:ascii="Simplified Arabic" w:hAnsi="Simplified Arabic" w:cs="Simplified Arabic"/>
                <w:sz w:val="24"/>
                <w:szCs w:val="24"/>
              </w:rPr>
            </w:pPr>
          </w:p>
          <w:p w:rsidR="00810BAC" w:rsidRPr="00FF3102" w:rsidRDefault="00810BAC" w:rsidP="00810BAC">
            <w:pPr>
              <w:pStyle w:val="Tabletextbullet"/>
              <w:bidi/>
              <w:rPr>
                <w:rFonts w:ascii="Simplified Arabic" w:hAnsi="Simplified Arabic" w:cs="Simplified Arabic"/>
                <w:sz w:val="24"/>
                <w:szCs w:val="24"/>
              </w:rPr>
            </w:pP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مساعدة فنية (خدمة استشارية تُرَد تكاليفها) بشأن إستراتيجية إدارة الدين المتوسط الأمد، وخدمة استشارية ثانية بشأن إنشاء مكتب لإدارة الدين، وأعمال محاسبية لالتزامات الطوارئ، وتطوير الأسواق الأولية والثانوية للأوراق المالية الحكومية.</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إطار سياسات التنمية (السنة المالية 2016)</w:t>
            </w:r>
          </w:p>
          <w:p w:rsidR="00810BAC" w:rsidRPr="00FF3102" w:rsidRDefault="00810BAC" w:rsidP="00810BAC">
            <w:pPr>
              <w:pStyle w:val="Tabletextbullet"/>
              <w:bidi/>
              <w:ind w:left="342"/>
              <w:rPr>
                <w:rFonts w:ascii="Simplified Arabic" w:hAnsi="Simplified Arabic" w:cs="Simplified Arabic"/>
                <w:sz w:val="24"/>
                <w:szCs w:val="24"/>
              </w:rPr>
            </w:pPr>
          </w:p>
        </w:tc>
      </w:tr>
      <w:tr w:rsidR="00810BAC" w:rsidRPr="00FF3102">
        <w:trPr>
          <w:trHeight w:val="20"/>
        </w:trPr>
        <w:tc>
          <w:tcPr>
            <w:tcW w:w="4770" w:type="dxa"/>
          </w:tcPr>
          <w:p w:rsidR="00810BAC" w:rsidRPr="00FF3102" w:rsidRDefault="00810BAC" w:rsidP="00810BAC">
            <w:pPr>
              <w:pStyle w:val="Tabletext"/>
              <w:bidi/>
              <w:spacing w:before="0" w:after="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bCs/>
                <w:sz w:val="24"/>
                <w:szCs w:val="24"/>
                <w:rtl/>
              </w:rPr>
              <w:t>دعم منتجات الطاقة</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إعادة تحديد ضوابط الأسعار الحالية على أساس معدلات دعم قيمية تتيح تعديل الأسعار وفق الأسعار العالمية.</w:t>
            </w:r>
            <w:r w:rsidRPr="00FF3102">
              <w:rPr>
                <w:rFonts w:ascii="Simplified Arabic" w:eastAsiaTheme="minorEastAsia" w:hAnsi="Simplified Arabic" w:cs="Simplified Arabic"/>
                <w:sz w:val="24"/>
                <w:szCs w:val="24"/>
              </w:rPr>
              <w:t xml:space="preserve"> </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 xml:space="preserve">إزالة التشوهات داخل قطاع الطاقة سواء بين أنواع الوقود أو المستخدمين، لتفادي الإبدال غير المستحب لنوع الوقود، والسلوكيات النفعية. </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تنفيذ خطة زمنية محددة وواضحة للإلغاء التدريجي للدعم الكلي للوقود، واستخدام ما ينتج عن ذلك من وفر في النفقات لتلبية الاحتياجات الاجتماعية ومتطلبات النمو ذات الأولوية المرتفعة.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ولابد أن تساند هذا خطة تواصل فاعلة، وإجراءات للحماية الاجتماعية لتعويض الفقراء والمحرومين عن صدمات الأسعار.</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توسيع برامج كفاءة استخدام الطاقة، وتحسين مزيج توليد الكهرباء لزيادة حصة الطاقة المتجددة، وتحقيق أمن إمدادات الغاز الطبيعي على الأمد الطويل.</w:t>
            </w:r>
            <w:r w:rsidRPr="00FF3102">
              <w:rPr>
                <w:rFonts w:ascii="Simplified Arabic" w:eastAsiaTheme="minorEastAsia" w:hAnsi="Simplified Arabic" w:cs="Simplified Arabic"/>
                <w:sz w:val="24"/>
                <w:szCs w:val="24"/>
              </w:rPr>
              <w:t xml:space="preserve"> </w:t>
            </w:r>
          </w:p>
          <w:p w:rsidR="00810BAC" w:rsidRPr="00FF3102" w:rsidRDefault="00810BAC" w:rsidP="001E71BE">
            <w:pPr>
              <w:pStyle w:val="Tabletext"/>
              <w:numPr>
                <w:ilvl w:val="0"/>
                <w:numId w:val="49"/>
              </w:numPr>
              <w:bidi/>
              <w:spacing w:before="0" w:after="0"/>
              <w:ind w:left="450" w:hanging="270"/>
              <w:rPr>
                <w:rFonts w:ascii="Simplified Arabic" w:eastAsiaTheme="minorEastAsia" w:hAnsi="Simplified Arabic" w:cs="Simplified Arabic"/>
                <w:b/>
                <w:sz w:val="24"/>
                <w:szCs w:val="24"/>
              </w:rPr>
            </w:pPr>
            <w:r w:rsidRPr="00FF3102">
              <w:rPr>
                <w:rFonts w:ascii="Simplified Arabic" w:eastAsiaTheme="minorEastAsia" w:hAnsi="Simplified Arabic" w:cs="Simplified Arabic"/>
                <w:sz w:val="24"/>
                <w:szCs w:val="24"/>
                <w:rtl/>
              </w:rPr>
              <w:t>تعزيز الإجراءات السالفة الذكر بخدمات طاقة مُحسَّنة، وتحسينات في هيكل الحوكمة في قطاعات الطاقة والغاز.</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Tabletext"/>
              <w:bidi/>
              <w:spacing w:before="0" w:after="0"/>
              <w:rPr>
                <w:rFonts w:ascii="Simplified Arabic" w:hAnsi="Simplified Arabic" w:cs="Simplified Arabic"/>
                <w:b/>
                <w:sz w:val="24"/>
                <w:szCs w:val="24"/>
              </w:rPr>
            </w:pPr>
          </w:p>
        </w:tc>
        <w:tc>
          <w:tcPr>
            <w:tcW w:w="4680" w:type="dxa"/>
          </w:tcPr>
          <w:p w:rsidR="00810BAC" w:rsidRPr="00FF3102" w:rsidRDefault="00810BAC" w:rsidP="00810BAC">
            <w:pPr>
              <w:pStyle w:val="Tabletextbullet"/>
              <w:bidi/>
              <w:ind w:left="342"/>
              <w:rPr>
                <w:rFonts w:ascii="Simplified Arabic" w:hAnsi="Simplified Arabic" w:cs="Simplified Arabic"/>
                <w:sz w:val="24"/>
                <w:szCs w:val="24"/>
              </w:rPr>
            </w:pP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إطار سياسات التنمية (السنة المالية 2016)</w:t>
            </w:r>
          </w:p>
        </w:tc>
      </w:tr>
    </w:tbl>
    <w:p w:rsidR="00810BAC" w:rsidRPr="00FF3102" w:rsidRDefault="00810BAC" w:rsidP="00810BAC">
      <w:pPr>
        <w:bidi/>
        <w:jc w:val="right"/>
        <w:rPr>
          <w:rFonts w:ascii="Simplified Arabic" w:hAnsi="Simplified Arabic" w:cs="Simplified Arabic"/>
        </w:rPr>
      </w:pPr>
    </w:p>
    <w:tbl>
      <w:tblPr>
        <w:bidiVisual/>
        <w:tblW w:w="94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0"/>
        <w:gridCol w:w="4680"/>
      </w:tblGrid>
      <w:tr w:rsidR="00810BAC" w:rsidRPr="00FF3102">
        <w:trPr>
          <w:trHeight w:val="20"/>
        </w:trPr>
        <w:tc>
          <w:tcPr>
            <w:tcW w:w="4770" w:type="dxa"/>
            <w:shd w:val="clear" w:color="auto" w:fill="D9D9D9"/>
            <w:vAlign w:val="center"/>
          </w:tcPr>
          <w:p w:rsidR="00810BAC" w:rsidRPr="00F44C0B" w:rsidRDefault="00810BAC" w:rsidP="00810BAC">
            <w:pPr>
              <w:pStyle w:val="Tableheading"/>
              <w:bidi/>
              <w:spacing w:before="60" w:after="60"/>
              <w:rPr>
                <w:rFonts w:ascii="Simplified Arabic" w:eastAsiaTheme="minorEastAsia" w:hAnsi="Simplified Arabic" w:cs="Simplified Arabic"/>
                <w:bCs w:val="0"/>
                <w:i w:val="0"/>
                <w:iCs w:val="0"/>
                <w:sz w:val="24"/>
              </w:rPr>
            </w:pPr>
            <w:r w:rsidRPr="00F44C0B">
              <w:rPr>
                <w:rFonts w:ascii="Simplified Arabic" w:eastAsiaTheme="minorEastAsia" w:hAnsi="Simplified Arabic" w:cs="Simplified Arabic"/>
                <w:i w:val="0"/>
                <w:iCs w:val="0"/>
                <w:sz w:val="24"/>
                <w:rtl/>
              </w:rPr>
              <w:t>أولويات الدراسة التشخيصية</w:t>
            </w:r>
            <w:r w:rsidRPr="00F44C0B">
              <w:rPr>
                <w:rFonts w:ascii="Simplified Arabic" w:eastAsiaTheme="minorEastAsia" w:hAnsi="Simplified Arabic" w:cs="Simplified Arabic"/>
                <w:bCs w:val="0"/>
                <w:i w:val="0"/>
                <w:iCs w:val="0"/>
                <w:sz w:val="24"/>
              </w:rPr>
              <w:t xml:space="preserve"> </w:t>
            </w:r>
          </w:p>
        </w:tc>
        <w:tc>
          <w:tcPr>
            <w:tcW w:w="4680" w:type="dxa"/>
            <w:shd w:val="clear" w:color="auto" w:fill="D9D9D9"/>
            <w:vAlign w:val="center"/>
          </w:tcPr>
          <w:p w:rsidR="00810BAC" w:rsidRPr="00F44C0B" w:rsidRDefault="00810BAC" w:rsidP="00810BAC">
            <w:pPr>
              <w:pStyle w:val="Tableheading"/>
              <w:bidi/>
              <w:spacing w:before="60" w:after="60"/>
              <w:rPr>
                <w:rFonts w:ascii="Simplified Arabic" w:eastAsiaTheme="minorEastAsia" w:hAnsi="Simplified Arabic" w:cs="Simplified Arabic"/>
                <w:bCs w:val="0"/>
                <w:i w:val="0"/>
                <w:iCs w:val="0"/>
                <w:sz w:val="24"/>
              </w:rPr>
            </w:pPr>
            <w:r w:rsidRPr="00F44C0B">
              <w:rPr>
                <w:rFonts w:ascii="Simplified Arabic" w:eastAsiaTheme="minorEastAsia" w:hAnsi="Simplified Arabic" w:cs="Simplified Arabic"/>
                <w:i w:val="0"/>
                <w:iCs w:val="0"/>
                <w:sz w:val="24"/>
                <w:rtl/>
              </w:rPr>
              <w:t>تدخُّلات مجموعة البنك الدولي</w:t>
            </w:r>
          </w:p>
        </w:tc>
      </w:tr>
      <w:tr w:rsidR="00810BAC" w:rsidRPr="00FF3102">
        <w:trPr>
          <w:trHeight w:val="20"/>
        </w:trPr>
        <w:tc>
          <w:tcPr>
            <w:tcW w:w="4770" w:type="dxa"/>
          </w:tcPr>
          <w:p w:rsidR="00810BAC" w:rsidRPr="00FF3102" w:rsidRDefault="00810BAC" w:rsidP="00810BAC">
            <w:pPr>
              <w:bidi/>
              <w:spacing w:before="60" w:after="60"/>
              <w:rPr>
                <w:rFonts w:ascii="Simplified Arabic" w:eastAsiaTheme="minorEastAsia" w:hAnsi="Simplified Arabic" w:cs="Simplified Arabic"/>
              </w:rPr>
            </w:pPr>
            <w:r w:rsidRPr="00FF3102">
              <w:rPr>
                <w:rFonts w:ascii="Simplified Arabic" w:eastAsiaTheme="minorEastAsia" w:hAnsi="Simplified Arabic" w:cs="Simplified Arabic"/>
                <w:bCs/>
                <w:rtl/>
              </w:rPr>
              <w:t>المُحرِّك الأول: تعزيز جهود خلق الوظائف بقيادة القطاع الخاص</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المنافسة</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المعلومات</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التبسيط</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الإفلاس</w:t>
            </w:r>
          </w:p>
        </w:tc>
        <w:tc>
          <w:tcPr>
            <w:tcW w:w="4680"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محور التركيز الأول/ زيادة جهود خلق الوظائف والتكامل المكاني بقيادة القطاع الخاص</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برنامج التنمية المحلية في صعيد مصر (السنة المالية 2016)</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برنامج التنمية الزراعية الشاملة (السنة المالية 2017)</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إطار سياسات التنمية (السنة المالية 2016)</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مساعدة فنية واستثمارات لوزارتي الاستثمار والصناعة والمؤسسات بشأن الحوكمة التنظيمية والسياسات.</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مساعدة فنية واستثمارات في مجالات التنافسية والمهارات</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مساعدة فنية خاصة بصناعات معينة: سياسة</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الاستثمار</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في</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تكنولوجيا المعلومات والاتصالات والتشجيع</w:t>
            </w:r>
            <w:r w:rsidRPr="00FF3102">
              <w:rPr>
                <w:rFonts w:ascii="Simplified Arabic" w:eastAsiaTheme="minorEastAsia" w:hAnsi="Simplified Arabic" w:cs="Simplified Arabic"/>
                <w:sz w:val="24"/>
                <w:szCs w:val="24"/>
              </w:rPr>
              <w:t xml:space="preserve"> </w:t>
            </w:r>
            <w:r w:rsidRPr="00FF3102">
              <w:rPr>
                <w:rFonts w:ascii="Simplified Arabic" w:eastAsiaTheme="minorEastAsia" w:hAnsi="Simplified Arabic" w:cs="Simplified Arabic"/>
                <w:sz w:val="24"/>
                <w:szCs w:val="24"/>
                <w:rtl/>
              </w:rPr>
              <w:t>عليه، وتطوير المهارات من أجل تكنولوجيا المعلومات والاتصالات، ومساعدة فنية بشأن الصناعات والابتكارات الخضراء المراعية للبيئة.</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دراسة تحليلية واستشارية عن ممارسة أنشطة الأعمال على مستوى المحافظات ومسح مؤسسات الأعمال</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مساندة إصلاح سياسات الطاقة، لتشمل إشراك القطاع الخاص، والتسعير، والسياسات التنظيمية، وتحسين حوكمة مؤسسات الأعمال المملوكة للدولة في مجال الطاقة.</w:t>
            </w:r>
          </w:p>
          <w:p w:rsidR="00810BAC" w:rsidRPr="00EE53E1" w:rsidRDefault="00810BAC" w:rsidP="00EE53E1">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المشروعات الاستثمارية والمساعدات الفنية لمؤسسة التمويل الدولية</w:t>
            </w:r>
            <w:r w:rsidR="00EE53E1">
              <w:rPr>
                <w:rFonts w:ascii="Simplified Arabic" w:eastAsiaTheme="minorEastAsia" w:hAnsi="Simplified Arabic" w:cs="Simplified Arabic" w:hint="cs"/>
                <w:sz w:val="24"/>
                <w:szCs w:val="24"/>
                <w:rtl/>
              </w:rPr>
              <w:t xml:space="preserve"> و</w:t>
            </w:r>
            <w:r w:rsidRPr="00EE53E1">
              <w:rPr>
                <w:rFonts w:ascii="Simplified Arabic" w:eastAsiaTheme="minorEastAsia" w:hAnsi="Simplified Arabic" w:cs="Simplified Arabic"/>
                <w:sz w:val="24"/>
                <w:szCs w:val="24"/>
                <w:rtl/>
              </w:rPr>
              <w:t>ضمانات الوكالة الدولية لضمان الاستثمار.</w:t>
            </w:r>
          </w:p>
        </w:tc>
      </w:tr>
      <w:tr w:rsidR="00810BAC" w:rsidRPr="00FF3102">
        <w:trPr>
          <w:trHeight w:val="20"/>
        </w:trPr>
        <w:tc>
          <w:tcPr>
            <w:tcW w:w="4770"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المُحرِّك الثاني الرئيسي: تعزيز التكامل المكاني</w:t>
            </w:r>
          </w:p>
          <w:p w:rsidR="00810BAC" w:rsidRPr="00FF3102" w:rsidRDefault="00810BAC" w:rsidP="00810BAC">
            <w:pPr>
              <w:bidi/>
              <w:rPr>
                <w:rFonts w:ascii="Simplified Arabic" w:hAnsi="Simplified Arabic" w:cs="Simplified Arabic"/>
                <w:b/>
              </w:rPr>
            </w:pPr>
          </w:p>
          <w:p w:rsidR="00810BAC" w:rsidRPr="00FF3102" w:rsidRDefault="00810BAC" w:rsidP="00810BAC">
            <w:pPr>
              <w:bidi/>
              <w:rPr>
                <w:rFonts w:ascii="Simplified Arabic" w:hAnsi="Simplified Arabic" w:cs="Simplified Arabic"/>
                <w:b/>
              </w:rPr>
            </w:pP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قانون التعاونيات</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القانون الخاص بالترع الفرعية</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لجنة الأراضي</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التخطيط الحضري</w:t>
            </w:r>
          </w:p>
        </w:tc>
        <w:tc>
          <w:tcPr>
            <w:tcW w:w="4680"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محور التركيز الأول: زيادة جهود خلق الوظائف والتكامل المكاني بقيادة القطاع الخاص</w:t>
            </w:r>
          </w:p>
          <w:p w:rsidR="00810BAC" w:rsidRPr="00FF3102" w:rsidRDefault="00810BAC" w:rsidP="00810BAC">
            <w:pPr>
              <w:bidi/>
              <w:rPr>
                <w:rFonts w:ascii="Simplified Arabic" w:hAnsi="Simplified Arabic" w:cs="Simplified Arabic"/>
                <w:b/>
              </w:rPr>
            </w:pP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برنامج التنمية المحلية في صعيد مصر (السنة المالية 2016)</w:t>
            </w:r>
          </w:p>
          <w:p w:rsidR="00810BAC" w:rsidRPr="00FF3102" w:rsidRDefault="00810BAC" w:rsidP="00810BAC">
            <w:pPr>
              <w:pStyle w:val="Boxtextbullet"/>
              <w:bidi/>
              <w:ind w:left="360"/>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برنامج التنمية الزراعية الشاملة (السنة المالية 2017)</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المساعدة الفنية والخبرات الدولية بشأن الإنتاجية الزراعية (السنتان الماليتان 2016-2017)</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مساندة برامجية محتملة لنظم الإدارة العامة والحوكمة الرشيدة والتخطيط في المدن الكبرى للتركيز على تحسين التخطيط الحضري والتنمية المؤسسية والتقديم الشامل للخدمات (السنة المالية 2017)</w:t>
            </w:r>
          </w:p>
        </w:tc>
      </w:tr>
      <w:tr w:rsidR="00810BAC" w:rsidRPr="00FF3102">
        <w:trPr>
          <w:trHeight w:val="20"/>
        </w:trPr>
        <w:tc>
          <w:tcPr>
            <w:tcW w:w="4770"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المُحرِّك الرئيسي الثالث: الاحتواء</w:t>
            </w:r>
          </w:p>
          <w:p w:rsidR="00810BAC" w:rsidRPr="00FF3102" w:rsidRDefault="00810BAC" w:rsidP="00810BAC">
            <w:pPr>
              <w:bidi/>
              <w:rPr>
                <w:rFonts w:ascii="Simplified Arabic" w:hAnsi="Simplified Arabic" w:cs="Simplified Arabic"/>
                <w:b/>
              </w:rPr>
            </w:pPr>
          </w:p>
          <w:p w:rsidR="00810BAC" w:rsidRPr="00FF3102" w:rsidRDefault="00810BAC" w:rsidP="00810BAC">
            <w:pPr>
              <w:bidi/>
              <w:rPr>
                <w:rFonts w:ascii="Simplified Arabic" w:hAnsi="Simplified Arabic" w:cs="Simplified Arabic"/>
                <w:b/>
              </w:rPr>
            </w:pP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نموذج خدمات صحة الأسرة</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التحويلات النقدية</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السجل الوطني الموحد</w:t>
            </w:r>
            <w:r w:rsidRPr="00FF3102">
              <w:rPr>
                <w:rFonts w:ascii="Simplified Arabic" w:eastAsiaTheme="minorEastAsia" w:hAnsi="Simplified Arabic" w:cs="Simplified Arabic"/>
                <w:sz w:val="24"/>
                <w:szCs w:val="24"/>
              </w:rPr>
              <w:t xml:space="preserve"> </w:t>
            </w:r>
          </w:p>
          <w:p w:rsidR="00810BAC" w:rsidRPr="00FF3102" w:rsidRDefault="00810BAC" w:rsidP="00810BAC">
            <w:pPr>
              <w:pStyle w:val="Tabletextbullet"/>
              <w:bidi/>
              <w:ind w:left="450"/>
              <w:rPr>
                <w:rFonts w:ascii="Simplified Arabic" w:hAnsi="Simplified Arabic" w:cs="Simplified Arabic"/>
                <w:sz w:val="24"/>
                <w:szCs w:val="24"/>
              </w:rPr>
            </w:pPr>
          </w:p>
        </w:tc>
        <w:tc>
          <w:tcPr>
            <w:tcW w:w="4680" w:type="dxa"/>
          </w:tcPr>
          <w:p w:rsidR="00810BAC" w:rsidRPr="00FF3102" w:rsidRDefault="00810BAC" w:rsidP="00810BAC">
            <w:pPr>
              <w:bidi/>
              <w:rPr>
                <w:rFonts w:ascii="Simplified Arabic" w:eastAsiaTheme="minorEastAsia" w:hAnsi="Simplified Arabic" w:cs="Simplified Arabic"/>
              </w:rPr>
            </w:pPr>
            <w:r w:rsidRPr="00FF3102">
              <w:rPr>
                <w:rFonts w:ascii="Simplified Arabic" w:eastAsiaTheme="minorEastAsia" w:hAnsi="Simplified Arabic" w:cs="Simplified Arabic"/>
                <w:bCs/>
                <w:rtl/>
              </w:rPr>
              <w:t>محور التركيز الثاني: تقديم الخدمات للفقراء والحماية الاجتماعية</w:t>
            </w:r>
          </w:p>
          <w:p w:rsidR="00810BAC" w:rsidRPr="00FF3102" w:rsidRDefault="00810BAC" w:rsidP="00810BAC">
            <w:pPr>
              <w:bidi/>
              <w:rPr>
                <w:rFonts w:ascii="Simplified Arabic" w:hAnsi="Simplified Arabic" w:cs="Simplified Arabic"/>
                <w:b/>
              </w:rPr>
            </w:pPr>
          </w:p>
          <w:p w:rsidR="00810BAC" w:rsidRPr="00FF3102" w:rsidRDefault="00F44C0B" w:rsidP="00EE53E1">
            <w:pPr>
              <w:pStyle w:val="Tabletextbullet"/>
              <w:bidi/>
              <w:rPr>
                <w:rFonts w:ascii="Simplified Arabic" w:eastAsiaTheme="minorEastAsia" w:hAnsi="Simplified Arabic" w:cs="Simplified Arabic"/>
                <w:sz w:val="24"/>
                <w:szCs w:val="24"/>
              </w:rPr>
            </w:pPr>
            <w:r>
              <w:rPr>
                <w:rFonts w:ascii="Simplified Arabic" w:eastAsiaTheme="minorEastAsia" w:hAnsi="Simplified Arabic" w:cs="Simplified Arabic"/>
                <w:sz w:val="24"/>
                <w:szCs w:val="24"/>
                <w:rtl/>
              </w:rPr>
              <w:t>مذكرات/أوراق</w:t>
            </w:r>
            <w:r>
              <w:rPr>
                <w:rFonts w:ascii="Simplified Arabic" w:eastAsiaTheme="minorEastAsia" w:hAnsi="Simplified Arabic" w:cs="Simplified Arabic" w:hint="cs"/>
                <w:sz w:val="24"/>
                <w:szCs w:val="24"/>
                <w:rtl/>
              </w:rPr>
              <w:t xml:space="preserve"> بحثية ودراسات</w:t>
            </w:r>
            <w:r w:rsidR="00EE53E1">
              <w:rPr>
                <w:rFonts w:ascii="Simplified Arabic" w:eastAsiaTheme="minorEastAsia" w:hAnsi="Simplified Arabic" w:cs="Simplified Arabic" w:hint="cs"/>
                <w:sz w:val="24"/>
                <w:szCs w:val="24"/>
                <w:rtl/>
              </w:rPr>
              <w:t xml:space="preserve"> حول</w:t>
            </w:r>
            <w:r w:rsidR="00810BAC" w:rsidRPr="00FF3102">
              <w:rPr>
                <w:rFonts w:ascii="Simplified Arabic" w:eastAsiaTheme="minorEastAsia" w:hAnsi="Simplified Arabic" w:cs="Simplified Arabic"/>
                <w:sz w:val="24"/>
                <w:szCs w:val="24"/>
                <w:rtl/>
              </w:rPr>
              <w:t xml:space="preserve"> جودة الرعاية الصحية </w:t>
            </w:r>
            <w:r w:rsidR="00EE53E1">
              <w:rPr>
                <w:rFonts w:ascii="Simplified Arabic" w:eastAsiaTheme="minorEastAsia" w:hAnsi="Simplified Arabic" w:cs="Simplified Arabic" w:hint="cs"/>
                <w:sz w:val="24"/>
                <w:szCs w:val="24"/>
                <w:rtl/>
              </w:rPr>
              <w:t xml:space="preserve">في الوقت الملائم </w:t>
            </w:r>
            <w:r w:rsidR="00810BAC" w:rsidRPr="00FF3102">
              <w:rPr>
                <w:rFonts w:ascii="Simplified Arabic" w:eastAsiaTheme="minorEastAsia" w:hAnsi="Simplified Arabic" w:cs="Simplified Arabic"/>
                <w:sz w:val="24"/>
                <w:szCs w:val="24"/>
                <w:rtl/>
              </w:rPr>
              <w:t>(السنة المالية 2017)</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عملية شبكات الأمان الاجتماعي (السنة المالية 2015)</w:t>
            </w:r>
            <w:r w:rsidRPr="00FF3102">
              <w:rPr>
                <w:rFonts w:ascii="Simplified Arabic" w:eastAsiaTheme="minorEastAsia" w:hAnsi="Simplified Arabic" w:cs="Simplified Arabic"/>
                <w:sz w:val="24"/>
                <w:szCs w:val="24"/>
              </w:rPr>
              <w:t xml:space="preserve"> </w:t>
            </w:r>
          </w:p>
          <w:p w:rsidR="00810BAC" w:rsidRPr="00FF3102" w:rsidRDefault="00810BAC" w:rsidP="00F44C0B">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 xml:space="preserve">مساندة برامجية للحماية الاجتماعية </w:t>
            </w:r>
            <w:r w:rsidR="00F44C0B">
              <w:rPr>
                <w:rFonts w:ascii="Simplified Arabic" w:eastAsiaTheme="minorEastAsia" w:hAnsi="Simplified Arabic" w:cs="Simplified Arabic" w:hint="cs"/>
                <w:sz w:val="24"/>
                <w:szCs w:val="24"/>
                <w:rtl/>
              </w:rPr>
              <w:t xml:space="preserve">فى الوقت الملائم </w:t>
            </w:r>
            <w:r w:rsidRPr="00FF3102">
              <w:rPr>
                <w:rFonts w:ascii="Simplified Arabic" w:eastAsiaTheme="minorEastAsia" w:hAnsi="Simplified Arabic" w:cs="Simplified Arabic"/>
                <w:sz w:val="24"/>
                <w:szCs w:val="24"/>
                <w:rtl/>
              </w:rPr>
              <w:t>(السنة المالية 2015)</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خدمة تحليلية واستشارية بشأن كفاءة تخصيص النفقات الاجتماعية (السنة المالية 2015)</w:t>
            </w:r>
          </w:p>
          <w:p w:rsidR="00810BAC" w:rsidRPr="00FF3102" w:rsidRDefault="00810BAC" w:rsidP="00810BAC">
            <w:pPr>
              <w:pStyle w:val="Tabletextbullet"/>
              <w:bidi/>
              <w:rPr>
                <w:rFonts w:ascii="Simplified Arabic" w:eastAsiaTheme="minorEastAsia" w:hAnsi="Simplified Arabic" w:cs="Simplified Arabic"/>
                <w:sz w:val="24"/>
                <w:szCs w:val="24"/>
              </w:rPr>
            </w:pPr>
            <w:r w:rsidRPr="00FF3102">
              <w:rPr>
                <w:rFonts w:ascii="Simplified Arabic" w:eastAsiaTheme="minorEastAsia" w:hAnsi="Simplified Arabic" w:cs="Simplified Arabic"/>
                <w:sz w:val="24"/>
                <w:szCs w:val="24"/>
                <w:rtl/>
              </w:rPr>
              <w:t>صندوق التحوُّل لإصلاح قطاع شبكات الأمان الاجتماعي (السنة المالية 2016)</w:t>
            </w:r>
          </w:p>
        </w:tc>
      </w:tr>
    </w:tbl>
    <w:p w:rsidR="00810BAC" w:rsidRPr="00FF3102" w:rsidRDefault="00810BAC" w:rsidP="00810BAC">
      <w:pPr>
        <w:pStyle w:val="Heading2Annexes"/>
        <w:tabs>
          <w:tab w:val="left" w:pos="720"/>
        </w:tabs>
        <w:bidi/>
        <w:jc w:val="left"/>
        <w:rPr>
          <w:rFonts w:ascii="Simplified Arabic" w:hAnsi="Simplified Arabic" w:cs="Simplified Arabic"/>
          <w:bCs w:val="0"/>
          <w:i/>
          <w:iCs w:val="0"/>
          <w:szCs w:val="24"/>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hAnsi="Simplified Arabic" w:cs="Simplified Arabic"/>
        </w:rPr>
      </w:pPr>
    </w:p>
    <w:p w:rsidR="00810BAC" w:rsidRPr="00FF3102" w:rsidRDefault="00810BAC" w:rsidP="00810BAC">
      <w:pPr>
        <w:bidi/>
        <w:rPr>
          <w:rFonts w:ascii="Simplified Arabic" w:eastAsiaTheme="minorEastAsia" w:hAnsi="Simplified Arabic" w:cs="Simplified Arabic"/>
          <w:highlight w:val="yellow"/>
        </w:rPr>
      </w:pPr>
    </w:p>
    <w:sectPr w:rsidR="00810BAC" w:rsidRPr="00FF3102">
      <w:footerReference w:type="first" r:id="rId48"/>
      <w:pgSz w:w="12240" w:h="15840"/>
      <w:pgMar w:top="1350" w:right="1440" w:bottom="108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94D" w:rsidRDefault="00F4694D">
      <w:pPr>
        <w:rPr>
          <w:rFonts w:eastAsiaTheme="minorEastAsia" w:cstheme="minorEastAsia"/>
        </w:rPr>
      </w:pPr>
      <w:r>
        <w:rPr>
          <w:rFonts w:eastAsiaTheme="minorEastAsia" w:cstheme="minorEastAsia"/>
        </w:rPr>
        <w:separator/>
      </w:r>
    </w:p>
  </w:endnote>
  <w:endnote w:type="continuationSeparator" w:id="0">
    <w:p w:rsidR="00F4694D" w:rsidRDefault="00F4694D">
      <w:pPr>
        <w:rPr>
          <w:rFonts w:eastAsiaTheme="minorEastAsia" w:cstheme="minorEastAsia"/>
        </w:rPr>
      </w:pPr>
      <w:r>
        <w:rPr>
          <w:rFonts w:eastAsiaTheme="minorEastAsia" w:cstheme="minorEastAsia"/>
        </w:rPr>
        <w:continuationSeparator/>
      </w:r>
    </w:p>
  </w:endnote>
  <w:endnote w:type="continuationNotice" w:id="1">
    <w:p w:rsidR="00F4694D" w:rsidRDefault="00F4694D">
      <w:pPr>
        <w:rPr>
          <w:rFonts w:eastAsiaTheme="minorEastAsia" w:cstheme="minor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Simplified Arabic">
    <w:panose1 w:val="02020603050405020304"/>
    <w:charset w:val="00"/>
    <w:family w:val="roman"/>
    <w:pitch w:val="variable"/>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Calibri (Arabic)">
    <w:panose1 w:val="00000000000000000000"/>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framePr w:wrap="around" w:vAnchor="text" w:hAnchor="margin" w:xAlign="center" w:y="1"/>
      <w:rPr>
        <w:rStyle w:val="PageNumber"/>
        <w:rFonts w:eastAsiaTheme="minorEastAsia" w:cstheme="minorEastAsia"/>
      </w:rPr>
    </w:pPr>
    <w:r>
      <w:rPr>
        <w:rStyle w:val="PageNumber"/>
        <w:rFonts w:eastAsiaTheme="minorEastAsia" w:cstheme="minorEastAsia"/>
      </w:rPr>
      <w:fldChar w:fldCharType="begin"/>
    </w:r>
    <w:r>
      <w:rPr>
        <w:rStyle w:val="PageNumber"/>
        <w:rFonts w:eastAsiaTheme="minorEastAsia" w:cstheme="minorEastAsia"/>
      </w:rPr>
      <w:instrText xml:space="preserve">PAGE  </w:instrText>
    </w:r>
    <w:r>
      <w:rPr>
        <w:rStyle w:val="PageNumber"/>
        <w:rFonts w:eastAsiaTheme="minorEastAsia" w:cstheme="minorEastAsia"/>
      </w:rPr>
      <w:fldChar w:fldCharType="end"/>
    </w:r>
  </w:p>
  <w:p w:rsidR="00F4694D" w:rsidRDefault="00F4694D">
    <w:pPr>
      <w:pStyle w:val="Footer"/>
      <w:rPr>
        <w:rFonts w:eastAsiaTheme="minorEastAsia" w:cstheme="minor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133A41">
      <w:rPr>
        <w:rFonts w:eastAsiaTheme="minorEastAsia" w:cstheme="minorEastAsia"/>
        <w:noProof/>
      </w:rPr>
      <w:t>4</w:t>
    </w:r>
    <w:r>
      <w:rPr>
        <w:rFonts w:eastAsiaTheme="minorEastAsia" w:cstheme="minorEastAsi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133A41">
      <w:rPr>
        <w:rFonts w:eastAsiaTheme="minorEastAsia" w:cstheme="minorEastAsia"/>
        <w:noProof/>
      </w:rPr>
      <w:t>140</w:t>
    </w:r>
    <w:r>
      <w:rPr>
        <w:rFonts w:eastAsiaTheme="minorEastAsia" w:cstheme="minorEastAsia"/>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133A41">
      <w:rPr>
        <w:rFonts w:eastAsiaTheme="minorEastAsia" w:cstheme="minorEastAsia"/>
        <w:noProof/>
      </w:rPr>
      <w:t>1</w:t>
    </w:r>
    <w:r>
      <w:rPr>
        <w:rFonts w:eastAsiaTheme="minorEastAsia" w:cstheme="minorEastAsi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p>
  <w:p w:rsidR="00F4694D" w:rsidRDefault="00F4694D">
    <w:pPr>
      <w:pStyle w:val="Footer"/>
      <w:rPr>
        <w:rFonts w:eastAsiaTheme="minorEastAsia" w:cstheme="minor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E43588">
      <w:rPr>
        <w:rFonts w:eastAsiaTheme="minorEastAsia" w:cstheme="minorEastAsia"/>
        <w:noProof/>
      </w:rPr>
      <w:t>v</w:t>
    </w:r>
    <w:r>
      <w:rPr>
        <w:rFonts w:eastAsiaTheme="minorEastAsia" w:cstheme="minorEastAsia"/>
      </w:rPr>
      <w:fldChar w:fldCharType="end"/>
    </w:r>
  </w:p>
  <w:p w:rsidR="00F4694D" w:rsidRDefault="00F4694D">
    <w:pPr>
      <w:pStyle w:val="Footer"/>
      <w:rPr>
        <w:rFonts w:eastAsiaTheme="minorEastAsia" w:cstheme="minor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rPr>
        <w:rFonts w:eastAsiaTheme="minorEastAsia" w:cstheme="minor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noProof/>
      </w:rPr>
      <w:t>i</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5D2ACD">
      <w:rPr>
        <w:rFonts w:eastAsiaTheme="minorEastAsia" w:cstheme="minorEastAsia"/>
        <w:noProof/>
      </w:rPr>
      <w:t>47</w:t>
    </w:r>
    <w:r>
      <w:rPr>
        <w:rFonts w:eastAsiaTheme="minorEastAsia" w:cstheme="minorEastAsi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133A41">
      <w:rPr>
        <w:rFonts w:eastAsiaTheme="minorEastAsia" w:cstheme="minorEastAsia"/>
        <w:noProof/>
      </w:rPr>
      <w:t>92</w:t>
    </w:r>
    <w:r>
      <w:rPr>
        <w:rFonts w:eastAsiaTheme="minorEastAsia" w:cstheme="minorEastAsia"/>
      </w:rPr>
      <w:fldChar w:fldCharType="end"/>
    </w:r>
  </w:p>
  <w:p w:rsidR="00F4694D" w:rsidRDefault="00F4694D">
    <w:pPr>
      <w:pStyle w:val="Footer"/>
      <w:jc w:val="center"/>
      <w:rPr>
        <w:rFonts w:eastAsiaTheme="minorEastAsia" w:cstheme="minorEastAsia"/>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Footer"/>
      <w:jc w:val="center"/>
      <w:rPr>
        <w:rFonts w:eastAsiaTheme="minorEastAsia" w:cstheme="minorEastAsia"/>
      </w:rPr>
    </w:pPr>
    <w:r>
      <w:rPr>
        <w:rFonts w:eastAsiaTheme="minorEastAsia" w:cstheme="minorEastAsia"/>
      </w:rPr>
      <w:fldChar w:fldCharType="begin"/>
    </w:r>
    <w:r>
      <w:rPr>
        <w:rFonts w:eastAsiaTheme="minorEastAsia" w:cstheme="minorEastAsia"/>
      </w:rPr>
      <w:instrText xml:space="preserve"> PAGE   \* MERGEFORMAT </w:instrText>
    </w:r>
    <w:r>
      <w:rPr>
        <w:rFonts w:eastAsiaTheme="minorEastAsia" w:cstheme="minorEastAsia"/>
      </w:rPr>
      <w:fldChar w:fldCharType="separate"/>
    </w:r>
    <w:r w:rsidR="00133A41">
      <w:rPr>
        <w:rFonts w:eastAsiaTheme="minorEastAsia" w:cstheme="minorEastAsia"/>
        <w:noProof/>
      </w:rPr>
      <w:t>108</w:t>
    </w:r>
    <w:r>
      <w:rPr>
        <w:rFonts w:eastAsiaTheme="minorEastAsia" w:cstheme="minor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94D" w:rsidRDefault="00F4694D" w:rsidP="00810BAC">
      <w:pPr>
        <w:bidi/>
        <w:rPr>
          <w:rFonts w:eastAsiaTheme="minorEastAsia" w:cstheme="minorEastAsia"/>
        </w:rPr>
      </w:pPr>
      <w:r>
        <w:rPr>
          <w:rFonts w:eastAsiaTheme="minorEastAsia" w:cstheme="minorEastAsia"/>
        </w:rPr>
        <w:separator/>
      </w:r>
    </w:p>
  </w:footnote>
  <w:footnote w:type="continuationSeparator" w:id="0">
    <w:p w:rsidR="00F4694D" w:rsidRDefault="00F4694D">
      <w:pPr>
        <w:rPr>
          <w:rFonts w:eastAsiaTheme="minorEastAsia" w:cstheme="minorEastAsia"/>
        </w:rPr>
      </w:pPr>
      <w:r>
        <w:rPr>
          <w:rFonts w:eastAsiaTheme="minorEastAsia" w:cstheme="minorEastAsia"/>
        </w:rPr>
        <w:continuationSeparator/>
      </w:r>
    </w:p>
  </w:footnote>
  <w:footnote w:type="continuationNotice" w:id="1">
    <w:p w:rsidR="00F4694D" w:rsidRDefault="00F4694D">
      <w:pPr>
        <w:rPr>
          <w:rFonts w:eastAsiaTheme="minorEastAsia" w:cstheme="minorEastAsia"/>
        </w:rPr>
      </w:pPr>
    </w:p>
  </w:footnote>
  <w:footnote w:id="2">
    <w:p w:rsidR="00F4694D"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 xml:space="preserve">تشجيع إنهاء الفقر وتعزيز الرخاء المشترك في مصر، دراسة تشخيصية منهجية خاصة بمصر، البنك الدولي، </w:t>
      </w:r>
      <w:r>
        <w:rPr>
          <w:rFonts w:ascii="Simplified Arabic" w:eastAsiaTheme="minorEastAsia" w:hAnsi="Simplified Arabic"/>
          <w:spacing w:val="-4"/>
          <w:sz w:val="20"/>
          <w:szCs w:val="20"/>
        </w:rPr>
        <w:t>(P151429)</w:t>
      </w:r>
      <w:r>
        <w:rPr>
          <w:rFonts w:eastAsiaTheme="minorEastAsia" w:cs="Simplified Arabic"/>
          <w:spacing w:val="-4"/>
          <w:sz w:val="20"/>
          <w:szCs w:val="20"/>
          <w:rtl/>
        </w:rPr>
        <w:t xml:space="preserve">، سبتمبر 2015. </w:t>
      </w:r>
      <w:r>
        <w:rPr>
          <w:rFonts w:eastAsiaTheme="minorEastAsia"/>
          <w:spacing w:val="-4"/>
          <w:sz w:val="20"/>
          <w:szCs w:val="20"/>
        </w:rPr>
        <w:t>.</w:t>
      </w:r>
      <w:hyperlink r:id="rId1" w:history="1">
        <w:r>
          <w:rPr>
            <w:rStyle w:val="Hyperlink"/>
            <w:rFonts w:ascii="Simplified Arabic" w:eastAsiaTheme="minorEastAsia" w:hAnsi="Simplified Arabic"/>
            <w:sz w:val="20"/>
            <w:szCs w:val="20"/>
          </w:rPr>
          <w:t>http://documents.worldbank.org/curated/en/2015/09/25096259/egypt-promoting-poverty-reduction-shared-prosperity-systematic-country-diagnostic</w:t>
        </w:r>
      </w:hyperlink>
      <w:r>
        <w:rPr>
          <w:rStyle w:val="Hyperlink"/>
          <w:rFonts w:eastAsiaTheme="minorEastAsia"/>
          <w:sz w:val="20"/>
          <w:szCs w:val="20"/>
        </w:rPr>
        <w:t>.</w:t>
      </w:r>
    </w:p>
  </w:footnote>
  <w:footnote w:id="3">
    <w:p w:rsidR="00F4694D" w:rsidRPr="00810BAC" w:rsidRDefault="00F4694D" w:rsidP="002A2E25">
      <w:pPr>
        <w:pStyle w:val="FootnoteText"/>
        <w:bidi/>
        <w:rPr>
          <w:rtl/>
        </w:rPr>
      </w:pPr>
      <w:r>
        <w:rPr>
          <w:rStyle w:val="FootnoteReference"/>
        </w:rPr>
        <w:footnoteRef/>
      </w:r>
      <w:r>
        <w:rPr>
          <w:rtl/>
        </w:rPr>
        <w:t xml:space="preserve"> </w:t>
      </w:r>
      <w:r>
        <w:rPr>
          <w:rFonts w:eastAsiaTheme="minorEastAsia" w:cs="Simplified Arabic"/>
          <w:spacing w:val="-2"/>
          <w:sz w:val="20"/>
          <w:szCs w:val="20"/>
          <w:rtl/>
        </w:rPr>
        <w:t>الدراسة التشخيصية المنهجية هي تحليل يستند إلى الشواهد تجريه مجموعة البنك الدولي للمعوقات والفرص القائمة ببلد ما أمام إنهاء الفقر المدقع وتعزيز الرخاء المشترك على نحو مستدام.</w:t>
      </w:r>
      <w:r>
        <w:rPr>
          <w:rFonts w:ascii="Simplified Arabic" w:eastAsiaTheme="minorEastAsia" w:hAnsi="Simplified Arabic" w:cstheme="minorEastAsia"/>
          <w:spacing w:val="-2"/>
          <w:sz w:val="20"/>
          <w:rtl/>
        </w:rPr>
        <w:t xml:space="preserve"> </w:t>
      </w:r>
      <w:r>
        <w:rPr>
          <w:rFonts w:eastAsiaTheme="minorEastAsia" w:cs="Simplified Arabic"/>
          <w:spacing w:val="-2"/>
          <w:sz w:val="20"/>
          <w:szCs w:val="20"/>
          <w:rtl/>
        </w:rPr>
        <w:t xml:space="preserve">بالنسبة لمصر، انظر "تشجيع إنهاء الفقر وتعزيز الرخاء المشترك في مصر"، دراسة تشخيصية منهجية خاصة بمصر، البنك الدولي، </w:t>
      </w:r>
      <w:r>
        <w:rPr>
          <w:rFonts w:ascii="Simplified Arabic" w:eastAsiaTheme="minorEastAsia" w:hAnsi="Simplified Arabic"/>
          <w:spacing w:val="-2"/>
          <w:sz w:val="20"/>
          <w:szCs w:val="20"/>
        </w:rPr>
        <w:t>(P151429)</w:t>
      </w:r>
      <w:r>
        <w:rPr>
          <w:rFonts w:eastAsiaTheme="minorEastAsia" w:cs="Simplified Arabic"/>
          <w:spacing w:val="-2"/>
          <w:sz w:val="20"/>
          <w:szCs w:val="20"/>
          <w:rtl/>
        </w:rPr>
        <w:t>، سبتمبر 2015.</w:t>
      </w:r>
    </w:p>
  </w:footnote>
  <w:footnote w:id="4">
    <w:p w:rsidR="00F4694D" w:rsidRPr="00810BAC" w:rsidRDefault="00F4694D" w:rsidP="002A2E25">
      <w:pPr>
        <w:pStyle w:val="FootnoteText"/>
        <w:bidi/>
        <w:rPr>
          <w:rtl/>
        </w:rPr>
      </w:pPr>
      <w:r>
        <w:rPr>
          <w:rStyle w:val="FootnoteReference"/>
        </w:rPr>
        <w:footnoteRef/>
      </w:r>
      <w:r>
        <w:rPr>
          <w:rtl/>
        </w:rPr>
        <w:t xml:space="preserve"> </w:t>
      </w:r>
      <w:r>
        <w:rPr>
          <w:rFonts w:eastAsiaTheme="minorEastAsia" w:cs="Simplified Arabic"/>
          <w:spacing w:val="-2"/>
          <w:sz w:val="20"/>
          <w:szCs w:val="20"/>
          <w:rtl/>
        </w:rPr>
        <w:t>يقوم إطار الشراكة الإستراتيجية هذا بتصنيف أولويات الإصلاح الثلاث الرئيسية والمحركات الرئيسية الثلاثة التي حددتها الدراسة التشخيصية المنهجية الخاصة بمصر إلى ثلاث ركائز للمساندة.</w:t>
      </w:r>
      <w:r>
        <w:rPr>
          <w:rFonts w:ascii="Simplified Arabic" w:eastAsiaTheme="minorEastAsia" w:hAnsi="Simplified Arabic" w:cstheme="minorEastAsia"/>
          <w:spacing w:val="-2"/>
          <w:sz w:val="20"/>
          <w:rtl/>
        </w:rPr>
        <w:t xml:space="preserve"> </w:t>
      </w:r>
      <w:r>
        <w:rPr>
          <w:rFonts w:eastAsiaTheme="minorEastAsia" w:cs="Simplified Arabic"/>
          <w:spacing w:val="-2"/>
          <w:sz w:val="20"/>
          <w:szCs w:val="20"/>
          <w:rtl/>
        </w:rPr>
        <w:t>تشمل الركيزة الأولى المتعلقة بتحسين نظام الإدارة العامة والحوكمة كل أولويات الإصلاح الثلاث الرئيسية المحددة في الدراسة التشخيصية (تحسين حوكمة القطاع العام، واستقرار الاقتصاد الكلي، ودعم الطاقة)، في حين يشمل خلق فرص العمل بقياد القطاع الخاص المحركات الرئيسية نفسها الواردة في الدراسة التشخيصية وجوانب مختارة للتكامل المكاني بهذه الدراسة. وتشمل الركيزة الثالثة، وهي الاحتواء الاجتماعي، الجوانب الأخرى للتكامل المكاني والاحتواء.</w:t>
      </w:r>
    </w:p>
  </w:footnote>
  <w:footnote w:id="5">
    <w:p w:rsidR="00F4694D" w:rsidRPr="00810BAC" w:rsidRDefault="00F4694D" w:rsidP="002A2E25">
      <w:pPr>
        <w:pStyle w:val="FootnoteText"/>
        <w:bidi/>
        <w:rPr>
          <w:rtl/>
        </w:rPr>
      </w:pPr>
      <w:r>
        <w:rPr>
          <w:rStyle w:val="FootnoteReference"/>
        </w:rPr>
        <w:footnoteRef/>
      </w:r>
      <w:r>
        <w:t xml:space="preserve"> </w:t>
      </w:r>
      <w:r>
        <w:rPr>
          <w:rFonts w:eastAsiaTheme="minorEastAsia" w:cs="Simplified Arabic"/>
          <w:sz w:val="20"/>
          <w:szCs w:val="20"/>
          <w:rtl/>
        </w:rPr>
        <w:t>يتسق ذلك مع اعتماد الأمم المتحدة، في سبتمبر 2015، لأهداف التنمية المستدامة من بينها الهدف 16 الذي ينص على:</w:t>
      </w:r>
      <w:r>
        <w:rPr>
          <w:rFonts w:ascii="Simplified Arabic" w:eastAsiaTheme="minorEastAsia" w:hAnsi="Simplified Arabic" w:cstheme="minorEastAsia"/>
          <w:sz w:val="20"/>
          <w:rtl/>
        </w:rPr>
        <w:t xml:space="preserve"> </w:t>
      </w:r>
      <w:r>
        <w:rPr>
          <w:rFonts w:eastAsiaTheme="minorEastAsia" w:cs="Simplified Arabic"/>
          <w:sz w:val="20"/>
          <w:szCs w:val="20"/>
          <w:rtl/>
        </w:rPr>
        <w:t>تشجيع وجود المجتمعات السلمية الشاملة للجميع تحقيقا للتنمية المستدامة، وتوفير إمكانية اللجوء إلى القضاء أمام الجميع، والقيام على جميع المستويات ببناء مؤسسات فاعلة وخاضعة للمساءلة وشاملة للجميع</w:t>
      </w:r>
      <w:r>
        <w:rPr>
          <w:rFonts w:eastAsiaTheme="minorEastAsia"/>
          <w:sz w:val="20"/>
          <w:szCs w:val="20"/>
        </w:rPr>
        <w:t>.</w:t>
      </w:r>
    </w:p>
  </w:footnote>
  <w:footnote w:id="6">
    <w:p w:rsidR="00F4694D" w:rsidRPr="00810BAC"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أُطيح بالرئيس مبارك في فبراير 2011، وأتت أول انتخابات ديمقراطية في مصر بالذراع السياسية لجماعة الإخوان المسلمين إلى السلطة في عام 2012، لكن قيادة الجماعة سرعان ما أقصت شرائح عريضة من المجتمع، وتصاعدت حدة التوترات السياسية.</w:t>
      </w:r>
      <w:r>
        <w:rPr>
          <w:rFonts w:ascii="Simplified Arabic" w:eastAsiaTheme="minorEastAsia" w:hAnsi="Simplified Arabic" w:cstheme="minorEastAsia"/>
          <w:spacing w:val="-4"/>
          <w:sz w:val="20"/>
          <w:rtl/>
        </w:rPr>
        <w:t xml:space="preserve"> </w:t>
      </w:r>
      <w:r>
        <w:rPr>
          <w:rFonts w:eastAsiaTheme="minorEastAsia" w:cs="Simplified Arabic"/>
          <w:spacing w:val="-4"/>
          <w:sz w:val="20"/>
          <w:szCs w:val="20"/>
          <w:rtl/>
        </w:rPr>
        <w:t>وفي يوليو 2013، عُزِل الرئيس مرسي من منصبه بعد خروج مظاهرات شعبية حاشدة.</w:t>
      </w:r>
      <w:r>
        <w:rPr>
          <w:rFonts w:ascii="Simplified Arabic" w:eastAsiaTheme="minorEastAsia" w:hAnsi="Simplified Arabic" w:cstheme="minorEastAsia"/>
          <w:spacing w:val="-4"/>
          <w:sz w:val="20"/>
          <w:rtl/>
        </w:rPr>
        <w:t xml:space="preserve"> </w:t>
      </w:r>
      <w:r>
        <w:rPr>
          <w:rFonts w:eastAsiaTheme="minorEastAsia" w:cs="Simplified Arabic"/>
          <w:spacing w:val="-4"/>
          <w:sz w:val="20"/>
          <w:szCs w:val="20"/>
          <w:rtl/>
        </w:rPr>
        <w:t>وتم تنصيب رئيس مؤقت لحين إجراء الانتخابات الرئاسية في مايو 2014.</w:t>
      </w:r>
    </w:p>
  </w:footnote>
  <w:footnote w:id="7">
    <w:p w:rsidR="00F4694D" w:rsidRPr="00810BAC"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خلال الأشهر التسعة الأولى من السنة المالية 2015، بلغ متوسط معدل النمو 4.7 في المائة مرتفعاً بواقع ثلاثة أمثال عن المعدل المتحقق في الفترة نفسها من العام السابق.</w:t>
      </w:r>
    </w:p>
  </w:footnote>
  <w:footnote w:id="8">
    <w:p w:rsidR="00F4694D" w:rsidRPr="00810BAC" w:rsidRDefault="00F4694D" w:rsidP="002A2E25">
      <w:pPr>
        <w:pStyle w:val="FootnoteText"/>
        <w:bidi/>
        <w:rPr>
          <w:rtl/>
        </w:rPr>
      </w:pPr>
      <w:r>
        <w:rPr>
          <w:rStyle w:val="FootnoteReference"/>
        </w:rPr>
        <w:footnoteRef/>
      </w:r>
      <w:r>
        <w:rPr>
          <w:rtl/>
        </w:rPr>
        <w:t xml:space="preserve"> </w:t>
      </w:r>
      <w:r w:rsidRPr="00545C76">
        <w:rPr>
          <w:rFonts w:ascii="Simplified Arabic" w:hAnsi="Simplified Arabic" w:hint="eastAsia"/>
          <w:spacing w:val="-4"/>
          <w:sz w:val="16"/>
          <w:szCs w:val="20"/>
          <w:rtl/>
        </w:rPr>
        <w:t>تراوح</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قياس</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معدل</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التفاوت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وفقاً</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لمعامل</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جيني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من</w:t>
      </w:r>
      <w:r w:rsidRPr="00545C76">
        <w:rPr>
          <w:rFonts w:ascii="Simplified Arabic" w:hAnsi="Simplified Arabic"/>
          <w:spacing w:val="-4"/>
          <w:sz w:val="16"/>
          <w:szCs w:val="20"/>
          <w:rtl/>
        </w:rPr>
        <w:t xml:space="preserve"> 32 </w:t>
      </w:r>
      <w:r w:rsidRPr="00545C76">
        <w:rPr>
          <w:rFonts w:ascii="Simplified Arabic" w:hAnsi="Simplified Arabic" w:hint="eastAsia"/>
          <w:spacing w:val="-4"/>
          <w:sz w:val="16"/>
          <w:szCs w:val="20"/>
          <w:rtl/>
        </w:rPr>
        <w:t>إلى</w:t>
      </w:r>
      <w:r w:rsidRPr="00545C76">
        <w:rPr>
          <w:rFonts w:ascii="Simplified Arabic" w:hAnsi="Simplified Arabic"/>
          <w:spacing w:val="-4"/>
          <w:sz w:val="16"/>
          <w:szCs w:val="20"/>
          <w:rtl/>
        </w:rPr>
        <w:t xml:space="preserve"> 34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المائة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بالنسبة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لمصر</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عامي</w:t>
      </w:r>
      <w:r w:rsidRPr="00545C76">
        <w:rPr>
          <w:rFonts w:ascii="Simplified Arabic" w:hAnsi="Simplified Arabic"/>
          <w:spacing w:val="-4"/>
          <w:sz w:val="16"/>
          <w:szCs w:val="20"/>
          <w:rtl/>
        </w:rPr>
        <w:t xml:space="preserve"> 2008 </w:t>
      </w:r>
      <w:r w:rsidRPr="00545C76">
        <w:rPr>
          <w:rFonts w:ascii="Simplified Arabic" w:hAnsi="Simplified Arabic" w:hint="eastAsia"/>
          <w:spacing w:val="-4"/>
          <w:sz w:val="16"/>
          <w:szCs w:val="20"/>
          <w:rtl/>
        </w:rPr>
        <w:t>و</w:t>
      </w:r>
      <w:r w:rsidRPr="00545C76">
        <w:rPr>
          <w:rFonts w:ascii="Simplified Arabic" w:hAnsi="Simplified Arabic"/>
          <w:spacing w:val="-4"/>
          <w:sz w:val="16"/>
          <w:szCs w:val="20"/>
          <w:rtl/>
        </w:rPr>
        <w:t xml:space="preserve"> 2009</w:t>
      </w:r>
      <w:r w:rsidRPr="00545C76">
        <w:rPr>
          <w:rFonts w:ascii="Simplified Arabic" w:hAnsi="Simplified Arabic" w:hint="eastAsia"/>
          <w:spacing w:val="-4"/>
          <w:sz w:val="16"/>
          <w:szCs w:val="20"/>
          <w:rtl/>
        </w:rPr>
        <w:t>،</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منخفضاً</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عما</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كان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عليه</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السنوات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السابقة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وهو</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أدنى</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المعدلات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العالم</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وبين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البلدان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المشابهة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متوسط</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دخل</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الفرد</w:t>
      </w:r>
      <w:r w:rsidRPr="00545C76">
        <w:rPr>
          <w:rFonts w:ascii="Simplified Arabic" w:hAnsi="Simplified Arabic"/>
          <w:spacing w:val="-4"/>
          <w:sz w:val="16"/>
          <w:szCs w:val="20"/>
          <w:rtl/>
        </w:rPr>
        <w:t>.</w:t>
      </w:r>
      <w:r>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ومع</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ذلك،</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ازدادت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التصورات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الحياة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المصريين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الفترة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عامي</w:t>
      </w:r>
      <w:r w:rsidRPr="00545C76">
        <w:rPr>
          <w:rFonts w:ascii="Simplified Arabic" w:hAnsi="Simplified Arabic"/>
          <w:spacing w:val="-4"/>
          <w:sz w:val="16"/>
          <w:szCs w:val="20"/>
          <w:rtl/>
        </w:rPr>
        <w:t xml:space="preserve"> 2000 </w:t>
      </w:r>
      <w:r w:rsidRPr="00545C76">
        <w:rPr>
          <w:rFonts w:ascii="Simplified Arabic" w:hAnsi="Simplified Arabic" w:hint="eastAsia"/>
          <w:spacing w:val="-4"/>
          <w:sz w:val="16"/>
          <w:szCs w:val="20"/>
          <w:rtl/>
        </w:rPr>
        <w:t>و</w:t>
      </w:r>
      <w:r w:rsidRPr="00545C76">
        <w:rPr>
          <w:rFonts w:ascii="Simplified Arabic" w:hAnsi="Simplified Arabic"/>
          <w:spacing w:val="-4"/>
          <w:sz w:val="16"/>
          <w:szCs w:val="20"/>
          <w:rtl/>
        </w:rPr>
        <w:t xml:space="preserve"> 2008</w:t>
      </w:r>
      <w:r w:rsidRPr="00545C76">
        <w:rPr>
          <w:rFonts w:ascii="Simplified Arabic" w:hAnsi="Simplified Arabic" w:hint="eastAsia"/>
          <w:spacing w:val="-4"/>
          <w:sz w:val="16"/>
          <w:szCs w:val="20"/>
          <w:rtl/>
        </w:rPr>
        <w:t>،</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مع</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زيادة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شعور</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المشاركين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الاستقصاء</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بالفقر</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وعدم</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الرضا</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وضعهم</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المالي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عام</w:t>
      </w:r>
      <w:r w:rsidRPr="00545C76">
        <w:rPr>
          <w:rFonts w:ascii="Simplified Arabic" w:hAnsi="Simplified Arabic"/>
          <w:spacing w:val="-4"/>
          <w:sz w:val="16"/>
          <w:szCs w:val="20"/>
          <w:rtl/>
        </w:rPr>
        <w:t xml:space="preserve"> 2008 </w:t>
      </w:r>
      <w:r w:rsidRPr="00545C76">
        <w:rPr>
          <w:rFonts w:ascii="Simplified Arabic" w:hAnsi="Simplified Arabic" w:hint="eastAsia"/>
          <w:spacing w:val="-4"/>
          <w:sz w:val="16"/>
          <w:szCs w:val="20"/>
          <w:rtl/>
        </w:rPr>
        <w:t>منه</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عام</w:t>
      </w:r>
      <w:r w:rsidRPr="00545C76">
        <w:rPr>
          <w:rFonts w:ascii="Simplified Arabic" w:hAnsi="Simplified Arabic"/>
          <w:spacing w:val="-4"/>
          <w:sz w:val="16"/>
          <w:szCs w:val="20"/>
          <w:rtl/>
        </w:rPr>
        <w:t xml:space="preserve"> 2000.</w:t>
      </w:r>
    </w:p>
  </w:footnote>
  <w:footnote w:id="9">
    <w:p w:rsidR="00F4694D" w:rsidRPr="00810BAC" w:rsidRDefault="00F4694D" w:rsidP="002A2E25">
      <w:pPr>
        <w:pStyle w:val="FootnoteText"/>
        <w:bidi/>
        <w:rPr>
          <w:b/>
          <w:bCs/>
          <w:rtl/>
        </w:rPr>
      </w:pPr>
      <w:r>
        <w:rPr>
          <w:rStyle w:val="FootnoteReference"/>
        </w:rPr>
        <w:footnoteRef/>
      </w:r>
      <w:r>
        <w:rPr>
          <w:rtl/>
        </w:rPr>
        <w:t xml:space="preserve"> </w:t>
      </w:r>
      <w:r w:rsidRPr="00545C76">
        <w:rPr>
          <w:rFonts w:ascii="Simplified Arabic" w:hAnsi="Simplified Arabic" w:hint="eastAsia"/>
          <w:spacing w:val="-4"/>
          <w:sz w:val="16"/>
          <w:szCs w:val="20"/>
          <w:rtl/>
        </w:rPr>
        <w:t>المواجز</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الإعلامية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للمشاركات</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القُطرية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بشأن</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الأنظمة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الصحية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منطقة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الشرق</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الأوسط</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وشمال</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أفريقيا</w:t>
      </w:r>
      <w:r w:rsidRPr="00545C76">
        <w:rPr>
          <w:rFonts w:ascii="Simplified Arabic" w:hAnsi="Simplified Arabic"/>
          <w:spacing w:val="-4"/>
          <w:sz w:val="16"/>
          <w:szCs w:val="20"/>
          <w:rtl/>
        </w:rPr>
        <w:t>:</w:t>
      </w:r>
      <w:r>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مصر</w:t>
      </w:r>
      <w:r w:rsidRPr="00545C76">
        <w:rPr>
          <w:rFonts w:ascii="Simplified Arabic" w:hAnsi="Simplified Arabic"/>
          <w:spacing w:val="-4"/>
          <w:sz w:val="16"/>
          <w:szCs w:val="20"/>
          <w:rtl/>
        </w:rPr>
        <w:t>:</w:t>
      </w:r>
      <w:r>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العدالة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والمساءلة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في</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الأنظمة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الصحية،</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نوفمبر</w:t>
      </w:r>
      <w:r w:rsidRPr="00545C76">
        <w:rPr>
          <w:rFonts w:ascii="Simplified Arabic" w:hAnsi="Simplified Arabic"/>
          <w:spacing w:val="-4"/>
          <w:sz w:val="16"/>
          <w:szCs w:val="20"/>
          <w:rtl/>
        </w:rPr>
        <w:t xml:space="preserve"> 2013</w:t>
      </w:r>
      <w:r w:rsidRPr="00545C76">
        <w:rPr>
          <w:rFonts w:ascii="Simplified Arabic" w:hAnsi="Simplified Arabic" w:hint="eastAsia"/>
          <w:spacing w:val="-4"/>
          <w:sz w:val="16"/>
          <w:szCs w:val="20"/>
          <w:rtl/>
        </w:rPr>
        <w:t>،</w:t>
      </w:r>
      <w:r w:rsidRPr="00545C76">
        <w:rPr>
          <w:rFonts w:ascii="Simplified Arabic" w:hAnsi="Simplified Arabic"/>
          <w:spacing w:val="-4"/>
          <w:sz w:val="16"/>
          <w:szCs w:val="20"/>
          <w:rtl/>
        </w:rPr>
        <w:t xml:space="preserve"> </w:t>
      </w:r>
      <w:r w:rsidRPr="00545C76">
        <w:rPr>
          <w:rFonts w:ascii="Simplified Arabic" w:hAnsi="Simplified Arabic" w:hint="eastAsia"/>
          <w:spacing w:val="-4"/>
          <w:sz w:val="16"/>
          <w:szCs w:val="20"/>
          <w:rtl/>
        </w:rPr>
        <w:t>الصفحة</w:t>
      </w:r>
      <w:r w:rsidRPr="00545C76">
        <w:rPr>
          <w:rFonts w:ascii="Simplified Arabic" w:hAnsi="Simplified Arabic"/>
          <w:spacing w:val="-4"/>
          <w:sz w:val="16"/>
          <w:szCs w:val="20"/>
          <w:rtl/>
        </w:rPr>
        <w:t xml:space="preserve"> 5.</w:t>
      </w:r>
    </w:p>
  </w:footnote>
  <w:footnote w:id="10">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يساند تمويل سياسات التنمية تنفيذ جدول زمني مخطط لتعديلات تعريفة الكهرباء بخلاف ما تم تنفيذه في السنة المالية 2015.</w:t>
      </w:r>
      <w:r>
        <w:rPr>
          <w:rFonts w:ascii="Simplified Arabic" w:eastAsiaTheme="minorEastAsia" w:hAnsi="Simplified Arabic" w:cstheme="minorEastAsia"/>
          <w:spacing w:val="-4"/>
          <w:sz w:val="20"/>
        </w:rPr>
        <w:t xml:space="preserve"> </w:t>
      </w:r>
      <w:r>
        <w:rPr>
          <w:rFonts w:eastAsiaTheme="minorEastAsia" w:cs="Simplified Arabic"/>
          <w:spacing w:val="-4"/>
          <w:sz w:val="20"/>
          <w:szCs w:val="20"/>
          <w:rtl/>
        </w:rPr>
        <w:t>وتوصل التحليل، الذي تم إجراؤه على الآثار المباشرة لهذه التغييرات، إلى حدوث تأثيرات صغيرة على معدلات الفقر والرفاهة.</w:t>
      </w:r>
      <w:r>
        <w:rPr>
          <w:rFonts w:ascii="Simplified Arabic" w:eastAsiaTheme="minorEastAsia" w:hAnsi="Simplified Arabic" w:cstheme="minorEastAsia"/>
          <w:spacing w:val="-4"/>
          <w:sz w:val="20"/>
        </w:rPr>
        <w:t xml:space="preserve"> </w:t>
      </w:r>
      <w:r>
        <w:rPr>
          <w:rFonts w:eastAsiaTheme="minorEastAsia" w:cs="Simplified Arabic"/>
          <w:sz w:val="20"/>
          <w:szCs w:val="20"/>
          <w:rtl/>
        </w:rPr>
        <w:t>فالكهرباء تمثل في المتوسط 1.8 في المائة من إجمالي الإنفاق الاستهلاكي للأسر المعيشية في مصر، أي أقل كثيراً من نسبة الإنفاق البالغة 10 في المائة والتي تُعتبر عادةً مؤشرا على القدرة على التحمُّل.</w:t>
      </w:r>
    </w:p>
  </w:footnote>
  <w:footnote w:id="11">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hint="cs"/>
          <w:spacing w:val="-4"/>
          <w:sz w:val="20"/>
          <w:szCs w:val="20"/>
          <w:rtl/>
        </w:rPr>
        <w:t>بُذلت</w:t>
      </w:r>
      <w:r>
        <w:rPr>
          <w:rFonts w:eastAsiaTheme="minorEastAsia" w:cs="Simplified Arabic"/>
          <w:spacing w:val="-4"/>
          <w:sz w:val="20"/>
          <w:szCs w:val="20"/>
          <w:rtl/>
        </w:rPr>
        <w:t xml:space="preserve"> جهود لتحسين مستوى أداء المعلمين منذ عام 2007، من بينها:</w:t>
      </w:r>
      <w:r>
        <w:rPr>
          <w:rFonts w:ascii="Simplified Arabic" w:eastAsiaTheme="minorEastAsia" w:hAnsi="Simplified Arabic" w:cstheme="minorEastAsia"/>
          <w:spacing w:val="-4"/>
          <w:sz w:val="20"/>
        </w:rPr>
        <w:t xml:space="preserve"> </w:t>
      </w:r>
      <w:r>
        <w:rPr>
          <w:rFonts w:eastAsiaTheme="minorEastAsia" w:cs="Simplified Arabic"/>
          <w:spacing w:val="-4"/>
          <w:sz w:val="20"/>
          <w:szCs w:val="20"/>
          <w:rtl/>
        </w:rPr>
        <w:t>إنشاء كادر للمعلمين (2007)، ووضع نظام للمسار الوظيفي والترقيات للمعلمين، بالإضافة إلى زيادة في الراتب الأساسي بنسبة 50 في المائة (2007) وعلاوات لكل درجة ترقية اعتبارا من (2008).</w:t>
      </w:r>
      <w:r>
        <w:rPr>
          <w:rFonts w:ascii="Simplified Arabic" w:eastAsiaTheme="minorEastAsia" w:hAnsi="Simplified Arabic" w:cstheme="minorEastAsia"/>
          <w:spacing w:val="-4"/>
          <w:sz w:val="20"/>
        </w:rPr>
        <w:t xml:space="preserve"> </w:t>
      </w:r>
      <w:r>
        <w:rPr>
          <w:rFonts w:eastAsiaTheme="minorEastAsia" w:cs="Simplified Arabic"/>
          <w:spacing w:val="-4"/>
          <w:sz w:val="20"/>
          <w:szCs w:val="20"/>
          <w:rtl/>
        </w:rPr>
        <w:t>ومع ذلك، مازال مستوى أداء المعلمين يمثل مشكلة.</w:t>
      </w:r>
    </w:p>
  </w:footnote>
  <w:footnote w:id="12">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جريدة فاينانشال</w:t>
      </w:r>
      <w:r>
        <w:rPr>
          <w:rFonts w:ascii="Simplified Arabic" w:eastAsiaTheme="minorEastAsia" w:hAnsi="Simplified Arabic"/>
          <w:spacing w:val="-4"/>
          <w:sz w:val="20"/>
          <w:szCs w:val="20"/>
        </w:rPr>
        <w:t xml:space="preserve"> </w:t>
      </w:r>
      <w:r>
        <w:rPr>
          <w:rFonts w:eastAsiaTheme="minorEastAsia" w:cs="Simplified Arabic"/>
          <w:spacing w:val="-4"/>
          <w:sz w:val="20"/>
          <w:szCs w:val="20"/>
          <w:rtl/>
        </w:rPr>
        <w:t>تايمز، 3 أغسطس 2014، نيك بتلر.</w:t>
      </w:r>
    </w:p>
  </w:footnote>
  <w:footnote w:id="13">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البنك الدولي، التحليل البيئي الخاص بجمهورية مصر العربية، 2005، المستشهد به في الدراسة التشخيصية المنهجية، فبراير 2015، الصفحة 35.</w:t>
      </w:r>
    </w:p>
  </w:footnote>
  <w:footnote w:id="14">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سيتطلب التصدي لشح المياه وتغيُّر المناخ مساندة إقليمية عالية المستوى، وتشجيع الابتكارات على صعيد السياسات والتكنولوجيات بما في ذلك ما يتعلق بإدارة المياه المستدامة بالمناطق الحضرية وأنظمة إنتاجية المياه الزراعية، وكذلك تعزيز التعاون بين الموارد المائية العابرة للحدود من خلال اتفاقيات دولية لإدارة المياه.</w:t>
      </w:r>
    </w:p>
  </w:footnote>
  <w:footnote w:id="15">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البنك الدولي، المرجع السابق ذكره، صفحة 36.</w:t>
      </w:r>
    </w:p>
  </w:footnote>
  <w:footnote w:id="16">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المصدر</w:t>
      </w:r>
      <w:r w:rsidRPr="002A2E25">
        <w:rPr>
          <w:rFonts w:eastAsiaTheme="minorEastAsia" w:cs="Simplified Arabic"/>
          <w:spacing w:val="-4"/>
          <w:sz w:val="20"/>
          <w:szCs w:val="20"/>
          <w:rtl/>
        </w:rPr>
        <w:t>:</w:t>
      </w:r>
      <w:r>
        <w:rPr>
          <w:rFonts w:ascii="Simplified Arabic" w:eastAsiaTheme="minorEastAsia" w:hAnsi="Simplified Arabic" w:cstheme="minorEastAsia"/>
          <w:spacing w:val="-4"/>
          <w:sz w:val="20"/>
          <w:rtl/>
        </w:rPr>
        <w:t xml:space="preserve"> </w:t>
      </w:r>
      <w:r w:rsidRPr="002A2E25">
        <w:rPr>
          <w:rFonts w:eastAsiaTheme="minorEastAsia" w:cs="Simplified Arabic"/>
          <w:spacing w:val="-4"/>
          <w:sz w:val="20"/>
          <w:szCs w:val="20"/>
          <w:rtl/>
        </w:rPr>
        <w:t>إستراتيجية مصر الوطنية للتكيُّف مع تغيُّر المناخ والحد من مخاطر الكوارث، 2011.</w:t>
      </w:r>
    </w:p>
  </w:footnote>
  <w:footnote w:id="17">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استناداً إلى إستراتيجية الحكومة المصرية للتنمية المستدامة:</w:t>
      </w:r>
      <w:r>
        <w:rPr>
          <w:rFonts w:ascii="Simplified Arabic" w:eastAsiaTheme="minorEastAsia" w:hAnsi="Simplified Arabic" w:cstheme="minorEastAsia"/>
          <w:spacing w:val="-4"/>
          <w:sz w:val="20"/>
          <w:rtl/>
        </w:rPr>
        <w:t xml:space="preserve"> </w:t>
      </w:r>
      <w:r>
        <w:rPr>
          <w:rFonts w:eastAsiaTheme="minorEastAsia" w:cs="Simplified Arabic"/>
          <w:sz w:val="20"/>
          <w:szCs w:val="20"/>
          <w:rtl/>
        </w:rPr>
        <w:t>رؤية مصر لعام 2030 التي طُرِحت في مؤتمر</w:t>
      </w:r>
      <w:r>
        <w:rPr>
          <w:rFonts w:ascii="Simplified Arabic" w:eastAsiaTheme="minorEastAsia" w:hAnsi="Simplified Arabic"/>
          <w:sz w:val="20"/>
          <w:szCs w:val="20"/>
        </w:rPr>
        <w:t xml:space="preserve"> </w:t>
      </w:r>
      <w:r>
        <w:rPr>
          <w:rFonts w:eastAsiaTheme="minorEastAsia" w:cs="Simplified Arabic"/>
          <w:sz w:val="20"/>
          <w:szCs w:val="20"/>
          <w:rtl/>
        </w:rPr>
        <w:t>دعم</w:t>
      </w:r>
      <w:r>
        <w:rPr>
          <w:rFonts w:ascii="Simplified Arabic" w:eastAsiaTheme="minorEastAsia" w:hAnsi="Simplified Arabic"/>
          <w:sz w:val="20"/>
          <w:szCs w:val="20"/>
        </w:rPr>
        <w:t xml:space="preserve"> </w:t>
      </w:r>
      <w:r>
        <w:rPr>
          <w:rFonts w:eastAsiaTheme="minorEastAsia" w:cs="Simplified Arabic"/>
          <w:sz w:val="20"/>
          <w:szCs w:val="20"/>
          <w:rtl/>
        </w:rPr>
        <w:t>وتنمية</w:t>
      </w:r>
      <w:r>
        <w:rPr>
          <w:rFonts w:ascii="Simplified Arabic" w:eastAsiaTheme="minorEastAsia" w:hAnsi="Simplified Arabic"/>
          <w:sz w:val="20"/>
          <w:szCs w:val="20"/>
        </w:rPr>
        <w:t xml:space="preserve"> </w:t>
      </w:r>
      <w:r>
        <w:rPr>
          <w:rFonts w:eastAsiaTheme="minorEastAsia" w:cs="Simplified Arabic"/>
          <w:sz w:val="20"/>
          <w:szCs w:val="20"/>
          <w:rtl/>
        </w:rPr>
        <w:t>الاقتصاد</w:t>
      </w:r>
      <w:r>
        <w:rPr>
          <w:rFonts w:ascii="Simplified Arabic" w:eastAsiaTheme="minorEastAsia" w:hAnsi="Simplified Arabic"/>
          <w:sz w:val="20"/>
          <w:szCs w:val="20"/>
        </w:rPr>
        <w:t xml:space="preserve"> </w:t>
      </w:r>
      <w:r>
        <w:rPr>
          <w:rFonts w:eastAsiaTheme="minorEastAsia" w:cs="Simplified Arabic"/>
          <w:sz w:val="20"/>
          <w:szCs w:val="20"/>
          <w:rtl/>
        </w:rPr>
        <w:t>المصري</w:t>
      </w:r>
      <w:r>
        <w:rPr>
          <w:rFonts w:ascii="Simplified Arabic" w:eastAsiaTheme="minorEastAsia" w:hAnsi="Simplified Arabic"/>
          <w:sz w:val="20"/>
          <w:szCs w:val="20"/>
        </w:rPr>
        <w:t xml:space="preserve"> </w:t>
      </w:r>
      <w:r>
        <w:rPr>
          <w:rFonts w:eastAsiaTheme="minorEastAsia" w:cs="Simplified Arabic"/>
          <w:sz w:val="20"/>
          <w:szCs w:val="20"/>
          <w:rtl/>
        </w:rPr>
        <w:t>الذي</w:t>
      </w:r>
      <w:r>
        <w:rPr>
          <w:rFonts w:ascii="Simplified Arabic" w:eastAsiaTheme="minorEastAsia" w:hAnsi="Simplified Arabic"/>
          <w:sz w:val="20"/>
          <w:szCs w:val="20"/>
        </w:rPr>
        <w:t xml:space="preserve"> </w:t>
      </w:r>
      <w:r>
        <w:rPr>
          <w:rFonts w:eastAsiaTheme="minorEastAsia" w:cs="Simplified Arabic"/>
          <w:sz w:val="20"/>
          <w:szCs w:val="20"/>
          <w:rtl/>
        </w:rPr>
        <w:t>عُقد</w:t>
      </w:r>
      <w:r>
        <w:rPr>
          <w:rFonts w:ascii="Simplified Arabic" w:eastAsiaTheme="minorEastAsia" w:hAnsi="Simplified Arabic"/>
          <w:sz w:val="20"/>
          <w:szCs w:val="20"/>
        </w:rPr>
        <w:t xml:space="preserve"> </w:t>
      </w:r>
      <w:r>
        <w:rPr>
          <w:rFonts w:eastAsiaTheme="minorEastAsia" w:cs="Simplified Arabic"/>
          <w:sz w:val="20"/>
          <w:szCs w:val="20"/>
          <w:rtl/>
        </w:rPr>
        <w:t>في</w:t>
      </w:r>
      <w:r>
        <w:rPr>
          <w:rFonts w:ascii="Simplified Arabic" w:eastAsiaTheme="minorEastAsia" w:hAnsi="Simplified Arabic"/>
          <w:sz w:val="20"/>
          <w:szCs w:val="20"/>
        </w:rPr>
        <w:t xml:space="preserve"> </w:t>
      </w:r>
      <w:r>
        <w:rPr>
          <w:rFonts w:eastAsiaTheme="minorEastAsia" w:cs="Simplified Arabic"/>
          <w:sz w:val="20"/>
          <w:szCs w:val="20"/>
          <w:rtl/>
        </w:rPr>
        <w:t>مارس 2015، وخارطة طريق عام 2013، والموازنة الحكومية المقترحة للسنة المالية 2015، والمشاورات مع أصحاب المصلحة.</w:t>
      </w:r>
    </w:p>
  </w:footnote>
  <w:footnote w:id="18">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يقدِّر خبراء البنك الدولي عجز الموازنة الكلي (شاملاً المنح) بنسبة تبلغ 10.6 في المائة من إجمالي الناتج المحلي في السنة المالية 2016.</w:t>
      </w:r>
    </w:p>
  </w:footnote>
  <w:footnote w:id="19">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pacing w:val="-4"/>
          <w:sz w:val="20"/>
          <w:szCs w:val="20"/>
          <w:rtl/>
        </w:rPr>
        <w:t>ستتم مساندتها بتقديم خدمات استشارية مستردة التكاليف من جانب مجموعة البنك الدولي والتي تم توقيع عقد بشأنها.</w:t>
      </w:r>
    </w:p>
  </w:footnote>
  <w:footnote w:id="20">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تخطط الحكومة لإقامة شراكة مع القطاع الخاص في تنفيذ هذه المشروعات العملاقة مع قيام الحكومة بشكل رئيسي بتوفير الأراضي والاحتياجات من البنية التحتية الأساسية وتهيئة بيئة تنظيمية مواتية، وتولي القطاع الخاص زمام القيادة في تنفيذ هذه المشروعات وتمويلها وإدارتها.</w:t>
      </w:r>
      <w:r>
        <w:rPr>
          <w:rFonts w:ascii="Simplified Arabic" w:eastAsiaTheme="minorEastAsia" w:hAnsi="Simplified Arabic" w:cstheme="minorEastAsia"/>
          <w:sz w:val="20"/>
        </w:rPr>
        <w:t xml:space="preserve"> </w:t>
      </w:r>
    </w:p>
  </w:footnote>
  <w:footnote w:id="21">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تعكس إستراتيجية مجموعة البنك الدولي أيضا أهداف التنمية المستدامة التي اعتمدتها الأمم المتحدة مؤخراً، لاسيما الهدف 16، وهو تشجيع وجود المجتمعات السلمية الشاملة للجميع تحقيقا للتنمية المستدامة، وتوفير إمكانية اللجوء إلى القضاء أمام الجميع، والقيام على جميع المستويات ببناء مؤسسات فاعلة وخاضعة للمساءلة وشاملة للجميع</w:t>
      </w:r>
      <w:r>
        <w:rPr>
          <w:rFonts w:eastAsiaTheme="minorEastAsia"/>
          <w:sz w:val="20"/>
          <w:szCs w:val="20"/>
        </w:rPr>
        <w:t>.</w:t>
      </w:r>
    </w:p>
  </w:footnote>
  <w:footnote w:id="22">
    <w:p w:rsidR="00F4694D" w:rsidRPr="002A2E25" w:rsidRDefault="00F4694D" w:rsidP="002A2E25">
      <w:pPr>
        <w:pStyle w:val="FootnoteText"/>
        <w:bidi/>
        <w:rPr>
          <w:rtl/>
        </w:rPr>
      </w:pPr>
      <w:r>
        <w:rPr>
          <w:rStyle w:val="FootnoteReference"/>
        </w:rPr>
        <w:footnoteRef/>
      </w:r>
      <w:r>
        <w:rPr>
          <w:rtl/>
        </w:rPr>
        <w:t xml:space="preserve"> </w:t>
      </w:r>
      <w:r>
        <w:rPr>
          <w:rFonts w:eastAsiaTheme="minorEastAsia" w:cs="Simplified Arabic"/>
          <w:sz w:val="20"/>
          <w:szCs w:val="20"/>
          <w:rtl/>
        </w:rPr>
        <w:t>انظر الحاشية رقم 1 والملحق 7 للمطابقة بين مجالات الإصلاح ذات الأولوية القصوى والمحركات الرئيسية الواردة بالدراسة التشخيصية المنهجية الخاصة بمصر من ناحية، ومجالات تركيز إطار الشراكة الإستراتيجية من ناحية أخرى.</w:t>
      </w:r>
      <w:r>
        <w:rPr>
          <w:rFonts w:ascii="Simplified Arabic" w:eastAsiaTheme="minorEastAsia" w:hAnsi="Simplified Arabic" w:cstheme="minorEastAsia"/>
          <w:sz w:val="20"/>
          <w:rtl/>
        </w:rPr>
        <w:t xml:space="preserve"> </w:t>
      </w:r>
      <w:r>
        <w:rPr>
          <w:rFonts w:eastAsiaTheme="minorEastAsia" w:cs="Simplified Arabic"/>
          <w:sz w:val="20"/>
          <w:szCs w:val="20"/>
          <w:rtl/>
        </w:rPr>
        <w:t>وأحد جوانب الاختلاف بين إطار الشراكة الإستراتيجية والدراسة التشخيصية هو كيفية تناول التكامل المكاني:</w:t>
      </w:r>
      <w:r>
        <w:rPr>
          <w:rFonts w:ascii="Simplified Arabic" w:eastAsiaTheme="minorEastAsia" w:hAnsi="Simplified Arabic" w:cstheme="minorEastAsia"/>
          <w:sz w:val="20"/>
          <w:rtl/>
        </w:rPr>
        <w:t xml:space="preserve"> </w:t>
      </w:r>
      <w:r>
        <w:rPr>
          <w:rFonts w:eastAsiaTheme="minorEastAsia" w:cs="Simplified Arabic"/>
          <w:sz w:val="20"/>
          <w:szCs w:val="20"/>
          <w:rtl/>
        </w:rPr>
        <w:t>فالدراسة تنظر إليه باعتباره محركا رئيسيا منفصلا، في حين يصنِّف الإطار هدف التكامل المكاني من ناحيةٍ ضمن ركيزة القطاع الخاص باعتباره عاملا رئيسيا في ربط العمال بالعمل ومن ثم يساند خلق فرص العمل، ومن ناحيةٍ أخرى ضمن الاحتواء الاجتماعي لأنه سيساند تقديم الخدمات العامة، مثل الرعاية الصحية والتعليم.</w:t>
      </w:r>
    </w:p>
  </w:footnote>
  <w:footnote w:id="23">
    <w:p w:rsidR="00F4694D" w:rsidRPr="00902C4B" w:rsidRDefault="00F4694D" w:rsidP="00902C4B">
      <w:pPr>
        <w:pStyle w:val="FootnoteText"/>
        <w:bidi/>
        <w:rPr>
          <w:rtl/>
        </w:rPr>
      </w:pPr>
      <w:r>
        <w:rPr>
          <w:rStyle w:val="FootnoteReference"/>
        </w:rPr>
        <w:footnoteRef/>
      </w:r>
      <w:r>
        <w:rPr>
          <w:rtl/>
        </w:rPr>
        <w:t xml:space="preserve"> </w:t>
      </w:r>
      <w:r>
        <w:rPr>
          <w:rFonts w:cs="Simplified Arabic" w:hint="eastAsia"/>
          <w:sz w:val="20"/>
          <w:szCs w:val="20"/>
          <w:rtl/>
        </w:rPr>
        <w:t>تشمل</w:t>
      </w:r>
      <w:r>
        <w:rPr>
          <w:rFonts w:cs="Simplified Arabic"/>
          <w:sz w:val="20"/>
          <w:szCs w:val="20"/>
          <w:rtl/>
        </w:rPr>
        <w:t xml:space="preserve"> </w:t>
      </w:r>
      <w:r>
        <w:rPr>
          <w:rFonts w:cs="Simplified Arabic" w:hint="eastAsia"/>
          <w:sz w:val="20"/>
          <w:szCs w:val="20"/>
          <w:rtl/>
        </w:rPr>
        <w:t>هذه</w:t>
      </w:r>
      <w:r>
        <w:rPr>
          <w:rFonts w:cs="Simplified Arabic"/>
          <w:sz w:val="20"/>
          <w:szCs w:val="20"/>
          <w:rtl/>
        </w:rPr>
        <w:t xml:space="preserve"> </w:t>
      </w:r>
      <w:r>
        <w:rPr>
          <w:rFonts w:cs="Simplified Arabic" w:hint="eastAsia"/>
          <w:sz w:val="20"/>
          <w:szCs w:val="20"/>
          <w:rtl/>
        </w:rPr>
        <w:t>الأعمال</w:t>
      </w:r>
      <w:r>
        <w:rPr>
          <w:rFonts w:cs="Simplified Arabic"/>
          <w:sz w:val="20"/>
          <w:szCs w:val="20"/>
          <w:rtl/>
        </w:rPr>
        <w:t xml:space="preserve"> </w:t>
      </w:r>
      <w:r>
        <w:rPr>
          <w:rFonts w:cs="Simplified Arabic" w:hint="eastAsia"/>
          <w:sz w:val="20"/>
          <w:szCs w:val="20"/>
          <w:rtl/>
        </w:rPr>
        <w:t>ما</w:t>
      </w:r>
      <w:r>
        <w:rPr>
          <w:rFonts w:cs="Simplified Arabic"/>
          <w:sz w:val="20"/>
          <w:szCs w:val="20"/>
          <w:rtl/>
        </w:rPr>
        <w:t xml:space="preserve"> </w:t>
      </w:r>
      <w:r>
        <w:rPr>
          <w:rFonts w:cs="Simplified Arabic" w:hint="eastAsia"/>
          <w:sz w:val="20"/>
          <w:szCs w:val="20"/>
          <w:rtl/>
        </w:rPr>
        <w:t>تصدره</w:t>
      </w:r>
      <w:r>
        <w:rPr>
          <w:rFonts w:cs="Simplified Arabic"/>
          <w:sz w:val="20"/>
          <w:szCs w:val="20"/>
          <w:rtl/>
        </w:rPr>
        <w:t xml:space="preserve"> </w:t>
      </w:r>
      <w:r>
        <w:rPr>
          <w:rFonts w:cs="Simplified Arabic" w:hint="eastAsia"/>
          <w:sz w:val="20"/>
          <w:szCs w:val="20"/>
          <w:rtl/>
        </w:rPr>
        <w:t>منظمة</w:t>
      </w:r>
      <w:r>
        <w:rPr>
          <w:rFonts w:cs="Simplified Arabic"/>
          <w:sz w:val="20"/>
          <w:szCs w:val="20"/>
          <w:rtl/>
        </w:rPr>
        <w:t xml:space="preserve"> </w:t>
      </w:r>
      <w:r>
        <w:rPr>
          <w:rFonts w:cs="Simplified Arabic" w:hint="eastAsia"/>
          <w:sz w:val="20"/>
          <w:szCs w:val="20"/>
          <w:rtl/>
        </w:rPr>
        <w:t>اليونيسف</w:t>
      </w:r>
      <w:r>
        <w:rPr>
          <w:rFonts w:cs="Simplified Arabic"/>
          <w:sz w:val="20"/>
          <w:szCs w:val="20"/>
          <w:rtl/>
        </w:rPr>
        <w:t xml:space="preserve"> </w:t>
      </w:r>
      <w:r>
        <w:rPr>
          <w:rFonts w:cs="Simplified Arabic" w:hint="eastAsia"/>
          <w:sz w:val="20"/>
          <w:szCs w:val="20"/>
          <w:rtl/>
        </w:rPr>
        <w:t>من</w:t>
      </w:r>
      <w:r>
        <w:rPr>
          <w:rFonts w:cs="Simplified Arabic"/>
          <w:sz w:val="20"/>
          <w:szCs w:val="20"/>
          <w:rtl/>
        </w:rPr>
        <w:t xml:space="preserve"> </w:t>
      </w:r>
      <w:r>
        <w:rPr>
          <w:rFonts w:cs="Simplified Arabic" w:hint="eastAsia"/>
          <w:sz w:val="20"/>
          <w:szCs w:val="20"/>
          <w:rtl/>
        </w:rPr>
        <w:t>تقارير</w:t>
      </w:r>
      <w:r>
        <w:rPr>
          <w:rFonts w:cs="Simplified Arabic"/>
          <w:sz w:val="20"/>
          <w:szCs w:val="20"/>
          <w:rtl/>
        </w:rPr>
        <w:t xml:space="preserve"> </w:t>
      </w:r>
      <w:r>
        <w:rPr>
          <w:rFonts w:cs="Simplified Arabic" w:hint="eastAsia"/>
          <w:sz w:val="20"/>
          <w:szCs w:val="20"/>
          <w:rtl/>
        </w:rPr>
        <w:t>سنوية</w:t>
      </w:r>
      <w:r>
        <w:rPr>
          <w:rFonts w:cs="Simplified Arabic"/>
          <w:sz w:val="20"/>
          <w:szCs w:val="20"/>
          <w:rtl/>
        </w:rPr>
        <w:t xml:space="preserve"> </w:t>
      </w:r>
      <w:r>
        <w:rPr>
          <w:rFonts w:cs="Simplified Arabic" w:hint="eastAsia"/>
          <w:sz w:val="20"/>
          <w:szCs w:val="20"/>
          <w:rtl/>
        </w:rPr>
        <w:t>أو</w:t>
      </w:r>
      <w:r>
        <w:rPr>
          <w:rFonts w:cs="Simplified Arabic"/>
          <w:sz w:val="20"/>
          <w:szCs w:val="20"/>
          <w:rtl/>
        </w:rPr>
        <w:t xml:space="preserve"> </w:t>
      </w:r>
      <w:r>
        <w:rPr>
          <w:rFonts w:cs="Simplified Arabic" w:hint="eastAsia"/>
          <w:sz w:val="20"/>
          <w:szCs w:val="20"/>
          <w:rtl/>
        </w:rPr>
        <w:t>نصف</w:t>
      </w:r>
      <w:r>
        <w:rPr>
          <w:rFonts w:cs="Simplified Arabic"/>
          <w:sz w:val="20"/>
          <w:szCs w:val="20"/>
          <w:rtl/>
        </w:rPr>
        <w:t xml:space="preserve"> </w:t>
      </w:r>
      <w:r>
        <w:rPr>
          <w:rFonts w:cs="Simplified Arabic" w:hint="eastAsia"/>
          <w:sz w:val="20"/>
          <w:szCs w:val="20"/>
          <w:rtl/>
        </w:rPr>
        <w:t>سنوية</w:t>
      </w:r>
      <w:r>
        <w:rPr>
          <w:rFonts w:cs="Simplified Arabic"/>
          <w:sz w:val="20"/>
          <w:szCs w:val="20"/>
          <w:rtl/>
        </w:rPr>
        <w:t xml:space="preserve"> (</w:t>
      </w:r>
      <w:r>
        <w:rPr>
          <w:rFonts w:cs="Simplified Arabic" w:hint="eastAsia"/>
          <w:sz w:val="20"/>
          <w:szCs w:val="20"/>
          <w:rtl/>
        </w:rPr>
        <w:t>أحيانا</w:t>
      </w:r>
      <w:r>
        <w:rPr>
          <w:rFonts w:cs="Simplified Arabic"/>
          <w:sz w:val="20"/>
          <w:szCs w:val="20"/>
          <w:rtl/>
        </w:rPr>
        <w:t xml:space="preserve">) </w:t>
      </w:r>
      <w:r>
        <w:rPr>
          <w:rFonts w:cs="Simplified Arabic" w:hint="eastAsia"/>
          <w:sz w:val="20"/>
          <w:szCs w:val="20"/>
          <w:rtl/>
        </w:rPr>
        <w:t>عن</w:t>
      </w:r>
      <w:r>
        <w:rPr>
          <w:rFonts w:cs="Simplified Arabic"/>
          <w:sz w:val="20"/>
          <w:szCs w:val="20"/>
          <w:rtl/>
        </w:rPr>
        <w:t xml:space="preserve"> </w:t>
      </w:r>
      <w:r>
        <w:rPr>
          <w:rFonts w:cs="Simplified Arabic" w:hint="eastAsia"/>
          <w:sz w:val="20"/>
          <w:szCs w:val="20"/>
          <w:rtl/>
        </w:rPr>
        <w:t>صحة</w:t>
      </w:r>
      <w:r>
        <w:rPr>
          <w:rFonts w:cs="Simplified Arabic"/>
          <w:sz w:val="20"/>
          <w:szCs w:val="20"/>
          <w:rtl/>
        </w:rPr>
        <w:t xml:space="preserve"> </w:t>
      </w:r>
      <w:r>
        <w:rPr>
          <w:rFonts w:cs="Simplified Arabic" w:hint="eastAsia"/>
          <w:sz w:val="20"/>
          <w:szCs w:val="20"/>
          <w:rtl/>
        </w:rPr>
        <w:t>الأطفال</w:t>
      </w:r>
      <w:r>
        <w:rPr>
          <w:rFonts w:cs="Simplified Arabic"/>
          <w:sz w:val="20"/>
          <w:szCs w:val="20"/>
          <w:rtl/>
        </w:rPr>
        <w:t xml:space="preserve"> </w:t>
      </w:r>
      <w:r>
        <w:rPr>
          <w:rFonts w:cs="Simplified Arabic" w:hint="eastAsia"/>
          <w:sz w:val="20"/>
          <w:szCs w:val="20"/>
          <w:rtl/>
        </w:rPr>
        <w:t>والأمهات،</w:t>
      </w:r>
      <w:r>
        <w:rPr>
          <w:rFonts w:cs="Simplified Arabic"/>
          <w:sz w:val="20"/>
          <w:szCs w:val="20"/>
          <w:rtl/>
        </w:rPr>
        <w:t xml:space="preserve"> </w:t>
      </w:r>
      <w:r>
        <w:rPr>
          <w:rFonts w:cs="Simplified Arabic" w:hint="eastAsia"/>
          <w:sz w:val="20"/>
          <w:szCs w:val="20"/>
          <w:rtl/>
        </w:rPr>
        <w:t>والتقرير</w:t>
      </w:r>
      <w:r>
        <w:rPr>
          <w:rFonts w:cs="Simplified Arabic"/>
          <w:sz w:val="20"/>
          <w:szCs w:val="20"/>
          <w:rtl/>
        </w:rPr>
        <w:t xml:space="preserve"> </w:t>
      </w:r>
      <w:r>
        <w:rPr>
          <w:rFonts w:cs="Simplified Arabic" w:hint="eastAsia"/>
          <w:sz w:val="20"/>
          <w:szCs w:val="20"/>
          <w:rtl/>
        </w:rPr>
        <w:t>السنوي</w:t>
      </w:r>
      <w:r>
        <w:rPr>
          <w:rFonts w:cs="Simplified Arabic"/>
          <w:sz w:val="20"/>
          <w:szCs w:val="20"/>
          <w:rtl/>
        </w:rPr>
        <w:t xml:space="preserve"> </w:t>
      </w:r>
      <w:r>
        <w:rPr>
          <w:rFonts w:cs="Simplified Arabic" w:hint="eastAsia"/>
          <w:sz w:val="20"/>
          <w:szCs w:val="20"/>
          <w:rtl/>
        </w:rPr>
        <w:t>للجهاز</w:t>
      </w:r>
      <w:r>
        <w:rPr>
          <w:rFonts w:cs="Simplified Arabic"/>
          <w:sz w:val="20"/>
          <w:szCs w:val="20"/>
          <w:rtl/>
        </w:rPr>
        <w:t xml:space="preserve"> </w:t>
      </w:r>
      <w:r>
        <w:rPr>
          <w:rFonts w:cs="Simplified Arabic" w:hint="eastAsia"/>
          <w:sz w:val="20"/>
          <w:szCs w:val="20"/>
          <w:rtl/>
        </w:rPr>
        <w:t>المركزي</w:t>
      </w:r>
      <w:r>
        <w:rPr>
          <w:rFonts w:cs="Simplified Arabic"/>
          <w:sz w:val="20"/>
          <w:szCs w:val="20"/>
          <w:rtl/>
        </w:rPr>
        <w:t xml:space="preserve"> </w:t>
      </w:r>
      <w:r>
        <w:rPr>
          <w:rFonts w:cs="Simplified Arabic" w:hint="eastAsia"/>
          <w:sz w:val="20"/>
          <w:szCs w:val="20"/>
          <w:rtl/>
        </w:rPr>
        <w:t>للتعبئة</w:t>
      </w:r>
      <w:r>
        <w:rPr>
          <w:rFonts w:cs="Simplified Arabic"/>
          <w:sz w:val="20"/>
          <w:szCs w:val="20"/>
          <w:rtl/>
        </w:rPr>
        <w:t xml:space="preserve"> </w:t>
      </w:r>
      <w:r>
        <w:rPr>
          <w:rFonts w:cs="Simplified Arabic" w:hint="eastAsia"/>
          <w:sz w:val="20"/>
          <w:szCs w:val="20"/>
          <w:rtl/>
        </w:rPr>
        <w:t>العامة</w:t>
      </w:r>
      <w:r>
        <w:rPr>
          <w:rFonts w:cs="Simplified Arabic"/>
          <w:sz w:val="20"/>
          <w:szCs w:val="20"/>
          <w:rtl/>
        </w:rPr>
        <w:t xml:space="preserve"> </w:t>
      </w:r>
      <w:r>
        <w:rPr>
          <w:rFonts w:cs="Simplified Arabic" w:hint="eastAsia"/>
          <w:sz w:val="20"/>
          <w:szCs w:val="20"/>
          <w:rtl/>
        </w:rPr>
        <w:t>والإحصاء،</w:t>
      </w:r>
      <w:r>
        <w:rPr>
          <w:rFonts w:cs="Simplified Arabic"/>
          <w:sz w:val="20"/>
          <w:szCs w:val="20"/>
          <w:rtl/>
        </w:rPr>
        <w:t xml:space="preserve"> </w:t>
      </w:r>
      <w:r>
        <w:rPr>
          <w:rFonts w:cs="Simplified Arabic" w:hint="eastAsia"/>
          <w:sz w:val="20"/>
          <w:szCs w:val="20"/>
          <w:rtl/>
        </w:rPr>
        <w:t>والحسابات</w:t>
      </w:r>
      <w:r>
        <w:rPr>
          <w:rFonts w:cs="Simplified Arabic"/>
          <w:sz w:val="20"/>
          <w:szCs w:val="20"/>
          <w:rtl/>
        </w:rPr>
        <w:t xml:space="preserve"> </w:t>
      </w:r>
      <w:r>
        <w:rPr>
          <w:rFonts w:cs="Simplified Arabic" w:hint="eastAsia"/>
          <w:sz w:val="20"/>
          <w:szCs w:val="20"/>
          <w:rtl/>
        </w:rPr>
        <w:t>الصحية</w:t>
      </w:r>
      <w:r>
        <w:rPr>
          <w:rFonts w:cs="Simplified Arabic"/>
          <w:sz w:val="20"/>
          <w:szCs w:val="20"/>
          <w:rtl/>
        </w:rPr>
        <w:t xml:space="preserve"> </w:t>
      </w:r>
      <w:r>
        <w:rPr>
          <w:rFonts w:cs="Simplified Arabic" w:hint="eastAsia"/>
          <w:sz w:val="20"/>
          <w:szCs w:val="20"/>
          <w:rtl/>
        </w:rPr>
        <w:t>القومية</w:t>
      </w:r>
      <w:r>
        <w:rPr>
          <w:rFonts w:cs="Simplified Arabic"/>
          <w:sz w:val="20"/>
          <w:szCs w:val="20"/>
          <w:rtl/>
        </w:rPr>
        <w:t xml:space="preserve"> (</w:t>
      </w:r>
      <w:r>
        <w:rPr>
          <w:rFonts w:cs="Simplified Arabic" w:hint="eastAsia"/>
          <w:sz w:val="20"/>
          <w:szCs w:val="20"/>
          <w:rtl/>
        </w:rPr>
        <w:t>التي</w:t>
      </w:r>
      <w:r>
        <w:rPr>
          <w:rFonts w:cs="Simplified Arabic"/>
          <w:sz w:val="20"/>
          <w:szCs w:val="20"/>
          <w:rtl/>
        </w:rPr>
        <w:t xml:space="preserve"> </w:t>
      </w:r>
      <w:r>
        <w:rPr>
          <w:rFonts w:cs="Simplified Arabic" w:hint="eastAsia"/>
          <w:sz w:val="20"/>
          <w:szCs w:val="20"/>
          <w:rtl/>
        </w:rPr>
        <w:t>كانت</w:t>
      </w:r>
      <w:r>
        <w:rPr>
          <w:rFonts w:cs="Simplified Arabic"/>
          <w:sz w:val="20"/>
          <w:szCs w:val="20"/>
          <w:rtl/>
        </w:rPr>
        <w:t xml:space="preserve"> </w:t>
      </w:r>
      <w:r>
        <w:rPr>
          <w:rFonts w:cs="Simplified Arabic" w:hint="eastAsia"/>
          <w:sz w:val="20"/>
          <w:szCs w:val="20"/>
          <w:rtl/>
        </w:rPr>
        <w:t>تساندها</w:t>
      </w:r>
      <w:r>
        <w:rPr>
          <w:rFonts w:cs="Simplified Arabic"/>
          <w:sz w:val="20"/>
          <w:szCs w:val="20"/>
          <w:rtl/>
        </w:rPr>
        <w:t xml:space="preserve"> </w:t>
      </w:r>
      <w:r>
        <w:rPr>
          <w:rFonts w:cs="Simplified Arabic" w:hint="eastAsia"/>
          <w:sz w:val="20"/>
          <w:szCs w:val="20"/>
          <w:rtl/>
        </w:rPr>
        <w:t>الوكالة</w:t>
      </w:r>
      <w:r>
        <w:rPr>
          <w:rFonts w:cs="Simplified Arabic"/>
          <w:sz w:val="20"/>
          <w:szCs w:val="20"/>
          <w:rtl/>
        </w:rPr>
        <w:t xml:space="preserve"> </w:t>
      </w:r>
      <w:r>
        <w:rPr>
          <w:rFonts w:cs="Simplified Arabic" w:hint="eastAsia"/>
          <w:sz w:val="20"/>
          <w:szCs w:val="20"/>
          <w:rtl/>
        </w:rPr>
        <w:t>الأمريكية</w:t>
      </w:r>
      <w:r>
        <w:rPr>
          <w:rFonts w:cs="Simplified Arabic"/>
          <w:sz w:val="20"/>
          <w:szCs w:val="20"/>
          <w:rtl/>
        </w:rPr>
        <w:t xml:space="preserve"> </w:t>
      </w:r>
      <w:r>
        <w:rPr>
          <w:rFonts w:cs="Simplified Arabic" w:hint="eastAsia"/>
          <w:sz w:val="20"/>
          <w:szCs w:val="20"/>
          <w:rtl/>
        </w:rPr>
        <w:t>للتنمية</w:t>
      </w:r>
      <w:r>
        <w:rPr>
          <w:rFonts w:cs="Simplified Arabic"/>
          <w:sz w:val="20"/>
          <w:szCs w:val="20"/>
          <w:rtl/>
        </w:rPr>
        <w:t xml:space="preserve"> </w:t>
      </w:r>
      <w:r>
        <w:rPr>
          <w:rFonts w:cs="Simplified Arabic" w:hint="eastAsia"/>
          <w:sz w:val="20"/>
          <w:szCs w:val="20"/>
          <w:rtl/>
        </w:rPr>
        <w:t>الدولية</w:t>
      </w:r>
      <w:r>
        <w:rPr>
          <w:rFonts w:cs="Simplified Arabic"/>
          <w:sz w:val="20"/>
          <w:szCs w:val="20"/>
          <w:rtl/>
        </w:rPr>
        <w:t xml:space="preserve"> </w:t>
      </w:r>
      <w:r>
        <w:rPr>
          <w:rFonts w:cs="Simplified Arabic" w:hint="eastAsia"/>
          <w:sz w:val="20"/>
          <w:szCs w:val="20"/>
          <w:rtl/>
        </w:rPr>
        <w:t>في</w:t>
      </w:r>
      <w:r>
        <w:rPr>
          <w:rFonts w:cs="Simplified Arabic"/>
          <w:sz w:val="20"/>
          <w:szCs w:val="20"/>
          <w:rtl/>
        </w:rPr>
        <w:t xml:space="preserve"> </w:t>
      </w:r>
      <w:r>
        <w:rPr>
          <w:rFonts w:cs="Simplified Arabic" w:hint="eastAsia"/>
          <w:sz w:val="20"/>
          <w:szCs w:val="20"/>
          <w:rtl/>
        </w:rPr>
        <w:t>السابق،</w:t>
      </w:r>
      <w:r>
        <w:rPr>
          <w:rFonts w:cs="Simplified Arabic"/>
          <w:sz w:val="20"/>
          <w:szCs w:val="20"/>
          <w:rtl/>
        </w:rPr>
        <w:t xml:space="preserve"> </w:t>
      </w:r>
      <w:r>
        <w:rPr>
          <w:rFonts w:cs="Simplified Arabic" w:hint="eastAsia"/>
          <w:sz w:val="20"/>
          <w:szCs w:val="20"/>
          <w:rtl/>
        </w:rPr>
        <w:t>لكن</w:t>
      </w:r>
      <w:r>
        <w:rPr>
          <w:rFonts w:cs="Simplified Arabic"/>
          <w:sz w:val="20"/>
          <w:szCs w:val="20"/>
          <w:rtl/>
        </w:rPr>
        <w:t xml:space="preserve"> </w:t>
      </w:r>
      <w:r>
        <w:rPr>
          <w:rFonts w:cs="Simplified Arabic" w:hint="eastAsia"/>
          <w:sz w:val="20"/>
          <w:szCs w:val="20"/>
          <w:rtl/>
        </w:rPr>
        <w:t>تساندها</w:t>
      </w:r>
      <w:r>
        <w:rPr>
          <w:rFonts w:cs="Simplified Arabic"/>
          <w:sz w:val="20"/>
          <w:szCs w:val="20"/>
          <w:rtl/>
        </w:rPr>
        <w:t xml:space="preserve"> </w:t>
      </w:r>
      <w:r>
        <w:rPr>
          <w:rFonts w:cs="Simplified Arabic" w:hint="eastAsia"/>
          <w:sz w:val="20"/>
          <w:szCs w:val="20"/>
          <w:rtl/>
        </w:rPr>
        <w:t>الآن</w:t>
      </w:r>
      <w:r>
        <w:rPr>
          <w:rFonts w:cs="Simplified Arabic"/>
          <w:sz w:val="20"/>
          <w:szCs w:val="20"/>
          <w:rtl/>
        </w:rPr>
        <w:t xml:space="preserve"> </w:t>
      </w:r>
      <w:r>
        <w:rPr>
          <w:rFonts w:cs="Simplified Arabic" w:hint="eastAsia"/>
          <w:sz w:val="20"/>
          <w:szCs w:val="20"/>
          <w:rtl/>
        </w:rPr>
        <w:t>منظمة</w:t>
      </w:r>
      <w:r>
        <w:rPr>
          <w:rFonts w:cs="Simplified Arabic"/>
          <w:sz w:val="20"/>
          <w:szCs w:val="20"/>
          <w:rtl/>
        </w:rPr>
        <w:t xml:space="preserve"> </w:t>
      </w:r>
      <w:r>
        <w:rPr>
          <w:rFonts w:cs="Simplified Arabic" w:hint="eastAsia"/>
          <w:sz w:val="20"/>
          <w:szCs w:val="20"/>
          <w:rtl/>
        </w:rPr>
        <w:t>الصحة</w:t>
      </w:r>
      <w:r>
        <w:rPr>
          <w:rFonts w:cs="Simplified Arabic"/>
          <w:sz w:val="20"/>
          <w:szCs w:val="20"/>
          <w:rtl/>
        </w:rPr>
        <w:t xml:space="preserve"> </w:t>
      </w:r>
      <w:r>
        <w:rPr>
          <w:rFonts w:cs="Simplified Arabic" w:hint="eastAsia"/>
          <w:sz w:val="20"/>
          <w:szCs w:val="20"/>
          <w:rtl/>
        </w:rPr>
        <w:t>العالمية</w:t>
      </w:r>
      <w:r>
        <w:rPr>
          <w:rFonts w:cs="Simplified Arabic"/>
          <w:sz w:val="20"/>
          <w:szCs w:val="20"/>
          <w:rtl/>
        </w:rPr>
        <w:t xml:space="preserve">) </w:t>
      </w:r>
      <w:r>
        <w:rPr>
          <w:rFonts w:cs="Simplified Arabic" w:hint="eastAsia"/>
          <w:sz w:val="20"/>
          <w:szCs w:val="20"/>
          <w:rtl/>
        </w:rPr>
        <w:t>التي</w:t>
      </w:r>
      <w:r>
        <w:rPr>
          <w:rFonts w:cs="Simplified Arabic"/>
          <w:sz w:val="20"/>
          <w:szCs w:val="20"/>
          <w:rtl/>
        </w:rPr>
        <w:t xml:space="preserve"> </w:t>
      </w:r>
      <w:r>
        <w:rPr>
          <w:rFonts w:cs="Simplified Arabic" w:hint="eastAsia"/>
          <w:sz w:val="20"/>
          <w:szCs w:val="20"/>
          <w:rtl/>
        </w:rPr>
        <w:t>تصدر</w:t>
      </w:r>
      <w:r>
        <w:rPr>
          <w:rFonts w:cs="Simplified Arabic"/>
          <w:sz w:val="20"/>
          <w:szCs w:val="20"/>
          <w:rtl/>
        </w:rPr>
        <w:t xml:space="preserve"> </w:t>
      </w:r>
      <w:r>
        <w:rPr>
          <w:rFonts w:cs="Simplified Arabic" w:hint="eastAsia"/>
          <w:sz w:val="20"/>
          <w:szCs w:val="20"/>
          <w:rtl/>
        </w:rPr>
        <w:t>كل</w:t>
      </w:r>
      <w:r>
        <w:rPr>
          <w:rFonts w:cs="Simplified Arabic"/>
          <w:sz w:val="20"/>
          <w:szCs w:val="20"/>
          <w:rtl/>
        </w:rPr>
        <w:t xml:space="preserve"> </w:t>
      </w:r>
      <w:r>
        <w:rPr>
          <w:rFonts w:cs="Simplified Arabic" w:hint="eastAsia"/>
          <w:sz w:val="20"/>
          <w:szCs w:val="20"/>
          <w:rtl/>
        </w:rPr>
        <w:t>بضع</w:t>
      </w:r>
      <w:r>
        <w:rPr>
          <w:rFonts w:cs="Simplified Arabic"/>
          <w:sz w:val="20"/>
          <w:szCs w:val="20"/>
          <w:rtl/>
        </w:rPr>
        <w:t xml:space="preserve"> </w:t>
      </w:r>
      <w:r>
        <w:rPr>
          <w:rFonts w:cs="Simplified Arabic" w:hint="eastAsia"/>
          <w:sz w:val="20"/>
          <w:szCs w:val="20"/>
          <w:rtl/>
        </w:rPr>
        <w:t>سنوات</w:t>
      </w:r>
      <w:r>
        <w:rPr>
          <w:rFonts w:cs="Simplified Arabic"/>
          <w:sz w:val="20"/>
          <w:szCs w:val="20"/>
          <w:rtl/>
        </w:rPr>
        <w:t xml:space="preserve"> (3-5 </w:t>
      </w:r>
      <w:r>
        <w:rPr>
          <w:rFonts w:cs="Simplified Arabic" w:hint="eastAsia"/>
          <w:sz w:val="20"/>
          <w:szCs w:val="20"/>
          <w:rtl/>
        </w:rPr>
        <w:t>سنوات</w:t>
      </w:r>
      <w:r>
        <w:rPr>
          <w:rFonts w:cs="Simplified Arabic"/>
          <w:sz w:val="20"/>
          <w:szCs w:val="20"/>
          <w:rtl/>
        </w:rPr>
        <w:t>)</w:t>
      </w:r>
      <w:r>
        <w:rPr>
          <w:rFonts w:cs="Simplified Arabic" w:hint="eastAsia"/>
          <w:sz w:val="20"/>
          <w:szCs w:val="20"/>
          <w:rtl/>
        </w:rPr>
        <w:t>،</w:t>
      </w:r>
      <w:r>
        <w:rPr>
          <w:rFonts w:cs="Simplified Arabic"/>
          <w:sz w:val="20"/>
          <w:szCs w:val="20"/>
          <w:rtl/>
        </w:rPr>
        <w:t xml:space="preserve"> </w:t>
      </w:r>
      <w:r>
        <w:rPr>
          <w:rFonts w:cs="Simplified Arabic" w:hint="eastAsia"/>
          <w:sz w:val="20"/>
          <w:szCs w:val="20"/>
          <w:rtl/>
        </w:rPr>
        <w:t>وتحليل</w:t>
      </w:r>
      <w:r>
        <w:rPr>
          <w:rFonts w:cs="Simplified Arabic"/>
          <w:sz w:val="20"/>
          <w:szCs w:val="20"/>
          <w:rtl/>
        </w:rPr>
        <w:t xml:space="preserve"> </w:t>
      </w:r>
      <w:r>
        <w:rPr>
          <w:rFonts w:cs="Simplified Arabic" w:hint="eastAsia"/>
          <w:sz w:val="20"/>
          <w:szCs w:val="20"/>
          <w:rtl/>
        </w:rPr>
        <w:t>البنك</w:t>
      </w:r>
      <w:r>
        <w:rPr>
          <w:rFonts w:cs="Simplified Arabic"/>
          <w:sz w:val="20"/>
          <w:szCs w:val="20"/>
          <w:rtl/>
        </w:rPr>
        <w:t xml:space="preserve"> </w:t>
      </w:r>
      <w:r>
        <w:rPr>
          <w:rFonts w:cs="Simplified Arabic" w:hint="eastAsia"/>
          <w:sz w:val="20"/>
          <w:szCs w:val="20"/>
          <w:rtl/>
        </w:rPr>
        <w:t>الدولي</w:t>
      </w:r>
      <w:r>
        <w:rPr>
          <w:rFonts w:cs="Simplified Arabic"/>
          <w:sz w:val="20"/>
          <w:szCs w:val="20"/>
          <w:rtl/>
        </w:rPr>
        <w:t xml:space="preserve"> </w:t>
      </w:r>
      <w:r>
        <w:rPr>
          <w:rFonts w:cs="Simplified Arabic" w:hint="eastAsia"/>
          <w:sz w:val="20"/>
          <w:szCs w:val="20"/>
          <w:rtl/>
        </w:rPr>
        <w:t>المتعمق</w:t>
      </w:r>
      <w:r>
        <w:rPr>
          <w:rFonts w:cs="Simplified Arabic"/>
          <w:sz w:val="20"/>
          <w:szCs w:val="20"/>
          <w:rtl/>
        </w:rPr>
        <w:t xml:space="preserve"> </w:t>
      </w:r>
      <w:r>
        <w:rPr>
          <w:rFonts w:cs="Simplified Arabic" w:hint="eastAsia"/>
          <w:sz w:val="20"/>
          <w:szCs w:val="20"/>
          <w:rtl/>
        </w:rPr>
        <w:t>لتقديم</w:t>
      </w:r>
      <w:r>
        <w:rPr>
          <w:rFonts w:cs="Simplified Arabic"/>
          <w:sz w:val="20"/>
          <w:szCs w:val="20"/>
          <w:rtl/>
        </w:rPr>
        <w:t xml:space="preserve"> </w:t>
      </w:r>
      <w:r>
        <w:rPr>
          <w:rFonts w:cs="Simplified Arabic" w:hint="eastAsia"/>
          <w:sz w:val="20"/>
          <w:szCs w:val="20"/>
          <w:rtl/>
        </w:rPr>
        <w:t>الخدمات</w:t>
      </w:r>
      <w:r>
        <w:rPr>
          <w:rFonts w:cs="Simplified Arabic"/>
          <w:sz w:val="20"/>
          <w:szCs w:val="20"/>
          <w:rtl/>
        </w:rPr>
        <w:t xml:space="preserve"> </w:t>
      </w:r>
      <w:r>
        <w:rPr>
          <w:rFonts w:cs="Simplified Arabic" w:hint="eastAsia"/>
          <w:sz w:val="20"/>
          <w:szCs w:val="20"/>
          <w:rtl/>
        </w:rPr>
        <w:t>في</w:t>
      </w:r>
      <w:r>
        <w:rPr>
          <w:rFonts w:cs="Simplified Arabic"/>
          <w:sz w:val="20"/>
          <w:szCs w:val="20"/>
          <w:rtl/>
        </w:rPr>
        <w:t xml:space="preserve"> </w:t>
      </w:r>
      <w:r>
        <w:rPr>
          <w:rFonts w:cs="Simplified Arabic" w:hint="eastAsia"/>
          <w:sz w:val="20"/>
          <w:szCs w:val="20"/>
          <w:rtl/>
        </w:rPr>
        <w:t>دراسة</w:t>
      </w:r>
      <w:r>
        <w:rPr>
          <w:rFonts w:cs="Simplified Arabic"/>
          <w:sz w:val="20"/>
          <w:szCs w:val="20"/>
          <w:rtl/>
        </w:rPr>
        <w:t xml:space="preserve"> </w:t>
      </w:r>
      <w:r>
        <w:rPr>
          <w:rFonts w:cs="Simplified Arabic" w:hint="eastAsia"/>
          <w:sz w:val="20"/>
          <w:szCs w:val="20"/>
          <w:rtl/>
        </w:rPr>
        <w:t>هانا</w:t>
      </w:r>
      <w:r>
        <w:rPr>
          <w:rFonts w:ascii="Simplified Arabic" w:hAnsi="Simplified Arabic"/>
          <w:sz w:val="20"/>
          <w:szCs w:val="20"/>
        </w:rPr>
        <w:t xml:space="preserve"> </w:t>
      </w:r>
      <w:r>
        <w:rPr>
          <w:rFonts w:cs="Simplified Arabic" w:hint="eastAsia"/>
          <w:sz w:val="20"/>
          <w:szCs w:val="20"/>
          <w:rtl/>
        </w:rPr>
        <w:t>بريكسي</w:t>
      </w:r>
      <w:r>
        <w:rPr>
          <w:rFonts w:ascii="Simplified Arabic" w:hAnsi="Simplified Arabic"/>
          <w:sz w:val="20"/>
          <w:szCs w:val="20"/>
        </w:rPr>
        <w:t xml:space="preserve"> </w:t>
      </w:r>
      <w:r>
        <w:rPr>
          <w:rFonts w:cs="Simplified Arabic" w:hint="eastAsia"/>
          <w:sz w:val="20"/>
          <w:szCs w:val="20"/>
          <w:rtl/>
        </w:rPr>
        <w:t>وإيلين</w:t>
      </w:r>
      <w:r>
        <w:rPr>
          <w:rFonts w:ascii="Simplified Arabic" w:hAnsi="Simplified Arabic"/>
          <w:sz w:val="20"/>
          <w:szCs w:val="20"/>
        </w:rPr>
        <w:t xml:space="preserve"> </w:t>
      </w:r>
      <w:r>
        <w:rPr>
          <w:rFonts w:cs="Simplified Arabic" w:hint="eastAsia"/>
          <w:sz w:val="20"/>
          <w:szCs w:val="20"/>
          <w:rtl/>
        </w:rPr>
        <w:t>لاست</w:t>
      </w:r>
      <w:r>
        <w:rPr>
          <w:rFonts w:ascii="Simplified Arabic" w:hAnsi="Simplified Arabic"/>
          <w:sz w:val="20"/>
          <w:szCs w:val="20"/>
        </w:rPr>
        <w:t xml:space="preserve"> </w:t>
      </w:r>
      <w:r>
        <w:rPr>
          <w:rFonts w:cs="Simplified Arabic" w:hint="eastAsia"/>
          <w:sz w:val="20"/>
          <w:szCs w:val="20"/>
          <w:rtl/>
        </w:rPr>
        <w:t>ومايكل</w:t>
      </w:r>
      <w:r>
        <w:rPr>
          <w:rFonts w:ascii="Simplified Arabic" w:hAnsi="Simplified Arabic"/>
          <w:sz w:val="20"/>
          <w:szCs w:val="20"/>
        </w:rPr>
        <w:t xml:space="preserve"> </w:t>
      </w:r>
      <w:r>
        <w:rPr>
          <w:rFonts w:cs="Simplified Arabic" w:hint="eastAsia"/>
          <w:sz w:val="20"/>
          <w:szCs w:val="20"/>
          <w:rtl/>
        </w:rPr>
        <w:t>وولكوك</w:t>
      </w:r>
      <w:r>
        <w:rPr>
          <w:rFonts w:cs="Simplified Arabic"/>
          <w:sz w:val="20"/>
          <w:szCs w:val="20"/>
          <w:rtl/>
        </w:rPr>
        <w:t>.</w:t>
      </w:r>
      <w:r>
        <w:rPr>
          <w:rStyle w:val="tw4winMark"/>
          <w:rFonts w:ascii="Arial Unicode MS" w:eastAsiaTheme="minorEastAsia" w:cs="Simplified Arabic"/>
          <w:vanish w:val="0"/>
          <w:rtl/>
        </w:rPr>
        <w:t xml:space="preserve"> </w:t>
      </w:r>
      <w:r>
        <w:rPr>
          <w:rFonts w:ascii="Simplified Arabic" w:hAnsi="Simplified Arabic" w:cstheme="minorEastAsia"/>
          <w:sz w:val="20"/>
        </w:rPr>
        <w:t>2015</w:t>
      </w:r>
      <w:r>
        <w:rPr>
          <w:sz w:val="20"/>
          <w:rtl/>
        </w:rPr>
        <w:t>.</w:t>
      </w:r>
      <w:r>
        <w:rPr>
          <w:rFonts w:ascii="Simplified Arabic" w:hAnsi="Simplified Arabic" w:cstheme="minorEastAsia"/>
          <w:sz w:val="20"/>
        </w:rPr>
        <w:t xml:space="preserve"> </w:t>
      </w:r>
      <w:r>
        <w:rPr>
          <w:rFonts w:cs="Simplified Arabic" w:hint="eastAsia"/>
          <w:sz w:val="20"/>
          <w:szCs w:val="20"/>
          <w:rtl/>
        </w:rPr>
        <w:t>الثقة</w:t>
      </w:r>
      <w:r>
        <w:rPr>
          <w:rFonts w:cs="Simplified Arabic"/>
          <w:sz w:val="20"/>
          <w:szCs w:val="20"/>
          <w:rtl/>
        </w:rPr>
        <w:t xml:space="preserve"> </w:t>
      </w:r>
      <w:r>
        <w:rPr>
          <w:rFonts w:cs="Simplified Arabic" w:hint="eastAsia"/>
          <w:sz w:val="20"/>
          <w:szCs w:val="20"/>
          <w:rtl/>
        </w:rPr>
        <w:t>والتعبير</w:t>
      </w:r>
      <w:r>
        <w:rPr>
          <w:rFonts w:cs="Simplified Arabic"/>
          <w:sz w:val="20"/>
          <w:szCs w:val="20"/>
          <w:rtl/>
        </w:rPr>
        <w:t xml:space="preserve"> </w:t>
      </w:r>
      <w:r>
        <w:rPr>
          <w:rFonts w:cs="Simplified Arabic" w:hint="eastAsia"/>
          <w:sz w:val="20"/>
          <w:szCs w:val="20"/>
          <w:rtl/>
        </w:rPr>
        <w:t>عن</w:t>
      </w:r>
      <w:r>
        <w:rPr>
          <w:rFonts w:cs="Simplified Arabic"/>
          <w:sz w:val="20"/>
          <w:szCs w:val="20"/>
          <w:rtl/>
        </w:rPr>
        <w:t xml:space="preserve"> </w:t>
      </w:r>
      <w:r>
        <w:rPr>
          <w:rFonts w:cs="Simplified Arabic" w:hint="eastAsia"/>
          <w:sz w:val="20"/>
          <w:szCs w:val="20"/>
          <w:rtl/>
        </w:rPr>
        <w:t>الرأي</w:t>
      </w:r>
      <w:r>
        <w:rPr>
          <w:rFonts w:cs="Simplified Arabic"/>
          <w:sz w:val="20"/>
          <w:szCs w:val="20"/>
          <w:rtl/>
        </w:rPr>
        <w:t xml:space="preserve"> </w:t>
      </w:r>
      <w:r>
        <w:rPr>
          <w:rFonts w:cs="Simplified Arabic" w:hint="eastAsia"/>
          <w:sz w:val="20"/>
          <w:szCs w:val="20"/>
          <w:rtl/>
        </w:rPr>
        <w:t>والحوافز</w:t>
      </w:r>
      <w:r>
        <w:rPr>
          <w:rFonts w:cs="Simplified Arabic"/>
          <w:sz w:val="20"/>
          <w:szCs w:val="20"/>
          <w:rtl/>
        </w:rPr>
        <w:t>:</w:t>
      </w:r>
      <w:r>
        <w:rPr>
          <w:rFonts w:ascii="Simplified Arabic" w:hAnsi="Simplified Arabic" w:cstheme="minorEastAsia"/>
          <w:sz w:val="20"/>
        </w:rPr>
        <w:t xml:space="preserve"> </w:t>
      </w:r>
      <w:r>
        <w:rPr>
          <w:rFonts w:cs="Simplified Arabic" w:hint="eastAsia"/>
          <w:sz w:val="20"/>
          <w:szCs w:val="20"/>
          <w:rtl/>
        </w:rPr>
        <w:t>التعلُّم</w:t>
      </w:r>
      <w:r>
        <w:rPr>
          <w:rFonts w:cs="Simplified Arabic"/>
          <w:sz w:val="20"/>
          <w:szCs w:val="20"/>
          <w:rtl/>
        </w:rPr>
        <w:t xml:space="preserve"> </w:t>
      </w:r>
      <w:r>
        <w:rPr>
          <w:rFonts w:cs="Simplified Arabic" w:hint="eastAsia"/>
          <w:sz w:val="20"/>
          <w:szCs w:val="20"/>
          <w:rtl/>
        </w:rPr>
        <w:t>من</w:t>
      </w:r>
      <w:r>
        <w:rPr>
          <w:rFonts w:cs="Simplified Arabic"/>
          <w:sz w:val="20"/>
          <w:szCs w:val="20"/>
          <w:rtl/>
        </w:rPr>
        <w:t xml:space="preserve"> </w:t>
      </w:r>
      <w:r>
        <w:rPr>
          <w:rFonts w:cs="Simplified Arabic" w:hint="eastAsia"/>
          <w:sz w:val="20"/>
          <w:szCs w:val="20"/>
          <w:rtl/>
        </w:rPr>
        <w:t>قصص</w:t>
      </w:r>
      <w:r>
        <w:rPr>
          <w:rFonts w:cs="Simplified Arabic"/>
          <w:sz w:val="20"/>
          <w:szCs w:val="20"/>
          <w:rtl/>
        </w:rPr>
        <w:t xml:space="preserve"> </w:t>
      </w:r>
      <w:r>
        <w:rPr>
          <w:rFonts w:cs="Simplified Arabic" w:hint="eastAsia"/>
          <w:sz w:val="20"/>
          <w:szCs w:val="20"/>
          <w:rtl/>
        </w:rPr>
        <w:t>النجاح</w:t>
      </w:r>
      <w:r>
        <w:rPr>
          <w:rFonts w:cs="Simplified Arabic"/>
          <w:sz w:val="20"/>
          <w:szCs w:val="20"/>
          <w:rtl/>
        </w:rPr>
        <w:t xml:space="preserve"> </w:t>
      </w:r>
      <w:r>
        <w:rPr>
          <w:rFonts w:cs="Simplified Arabic" w:hint="eastAsia"/>
          <w:sz w:val="20"/>
          <w:szCs w:val="20"/>
          <w:rtl/>
        </w:rPr>
        <w:t>المحلية</w:t>
      </w:r>
      <w:r>
        <w:rPr>
          <w:rFonts w:cs="Simplified Arabic"/>
          <w:sz w:val="20"/>
          <w:szCs w:val="20"/>
          <w:rtl/>
        </w:rPr>
        <w:t xml:space="preserve"> </w:t>
      </w:r>
      <w:r>
        <w:rPr>
          <w:rFonts w:cs="Simplified Arabic" w:hint="eastAsia"/>
          <w:sz w:val="20"/>
          <w:szCs w:val="20"/>
          <w:rtl/>
        </w:rPr>
        <w:t>في</w:t>
      </w:r>
      <w:r>
        <w:rPr>
          <w:rFonts w:cs="Simplified Arabic"/>
          <w:sz w:val="20"/>
          <w:szCs w:val="20"/>
          <w:rtl/>
        </w:rPr>
        <w:t xml:space="preserve"> </w:t>
      </w:r>
      <w:r>
        <w:rPr>
          <w:rFonts w:cs="Simplified Arabic" w:hint="eastAsia"/>
          <w:sz w:val="20"/>
          <w:szCs w:val="20"/>
          <w:rtl/>
        </w:rPr>
        <w:t>تقديم</w:t>
      </w:r>
      <w:r>
        <w:rPr>
          <w:rFonts w:cs="Simplified Arabic"/>
          <w:sz w:val="20"/>
          <w:szCs w:val="20"/>
          <w:rtl/>
        </w:rPr>
        <w:t xml:space="preserve"> </w:t>
      </w:r>
      <w:r>
        <w:rPr>
          <w:rFonts w:cs="Simplified Arabic" w:hint="eastAsia"/>
          <w:sz w:val="20"/>
          <w:szCs w:val="20"/>
          <w:rtl/>
        </w:rPr>
        <w:t>الخدمات</w:t>
      </w:r>
      <w:r>
        <w:rPr>
          <w:rFonts w:cs="Simplified Arabic"/>
          <w:sz w:val="20"/>
          <w:szCs w:val="20"/>
          <w:rtl/>
        </w:rPr>
        <w:t xml:space="preserve"> </w:t>
      </w:r>
      <w:r>
        <w:rPr>
          <w:rFonts w:cs="Simplified Arabic" w:hint="eastAsia"/>
          <w:sz w:val="20"/>
          <w:szCs w:val="20"/>
          <w:rtl/>
        </w:rPr>
        <w:t>بمنطقة</w:t>
      </w:r>
      <w:r>
        <w:rPr>
          <w:rFonts w:cs="Simplified Arabic"/>
          <w:sz w:val="20"/>
          <w:szCs w:val="20"/>
          <w:rtl/>
        </w:rPr>
        <w:t xml:space="preserve"> </w:t>
      </w:r>
      <w:r>
        <w:rPr>
          <w:rFonts w:cs="Simplified Arabic" w:hint="eastAsia"/>
          <w:sz w:val="20"/>
          <w:szCs w:val="20"/>
          <w:rtl/>
        </w:rPr>
        <w:t>الشرق</w:t>
      </w:r>
      <w:r>
        <w:rPr>
          <w:rFonts w:cs="Simplified Arabic"/>
          <w:sz w:val="20"/>
          <w:szCs w:val="20"/>
          <w:rtl/>
        </w:rPr>
        <w:t xml:space="preserve"> </w:t>
      </w:r>
      <w:r>
        <w:rPr>
          <w:rFonts w:cs="Simplified Arabic" w:hint="eastAsia"/>
          <w:sz w:val="20"/>
          <w:szCs w:val="20"/>
          <w:rtl/>
        </w:rPr>
        <w:t>الأوسط</w:t>
      </w:r>
      <w:r>
        <w:rPr>
          <w:rFonts w:cs="Simplified Arabic"/>
          <w:sz w:val="20"/>
          <w:szCs w:val="20"/>
          <w:rtl/>
        </w:rPr>
        <w:t xml:space="preserve"> </w:t>
      </w:r>
      <w:r>
        <w:rPr>
          <w:rFonts w:cs="Simplified Arabic" w:hint="eastAsia"/>
          <w:sz w:val="20"/>
          <w:szCs w:val="20"/>
          <w:rtl/>
        </w:rPr>
        <w:t>وشمال</w:t>
      </w:r>
      <w:r>
        <w:rPr>
          <w:rFonts w:cs="Simplified Arabic"/>
          <w:sz w:val="20"/>
          <w:szCs w:val="20"/>
          <w:rtl/>
        </w:rPr>
        <w:t xml:space="preserve"> </w:t>
      </w:r>
      <w:r>
        <w:rPr>
          <w:rFonts w:cs="Simplified Arabic" w:hint="eastAsia"/>
          <w:sz w:val="20"/>
          <w:szCs w:val="20"/>
          <w:rtl/>
        </w:rPr>
        <w:t>أفريقيا</w:t>
      </w:r>
      <w:r>
        <w:rPr>
          <w:rFonts w:cs="Simplified Arabic"/>
          <w:sz w:val="20"/>
          <w:szCs w:val="20"/>
          <w:rtl/>
        </w:rPr>
        <w:t>.</w:t>
      </w:r>
      <w:r>
        <w:rPr>
          <w:rFonts w:ascii="Simplified Arabic" w:hAnsi="Simplified Arabic" w:cstheme="minorEastAsia"/>
          <w:sz w:val="20"/>
        </w:rPr>
        <w:t xml:space="preserve"> </w:t>
      </w:r>
      <w:r>
        <w:rPr>
          <w:rFonts w:cs="Simplified Arabic" w:hint="eastAsia"/>
          <w:sz w:val="20"/>
          <w:szCs w:val="20"/>
          <w:rtl/>
        </w:rPr>
        <w:t>واشنطن</w:t>
      </w:r>
      <w:r>
        <w:rPr>
          <w:rFonts w:cs="Simplified Arabic"/>
          <w:sz w:val="20"/>
          <w:szCs w:val="20"/>
          <w:rtl/>
        </w:rPr>
        <w:t xml:space="preserve"> </w:t>
      </w:r>
      <w:r>
        <w:rPr>
          <w:rFonts w:cs="Simplified Arabic" w:hint="eastAsia"/>
          <w:sz w:val="20"/>
          <w:szCs w:val="20"/>
          <w:rtl/>
        </w:rPr>
        <w:t>العاصمة</w:t>
      </w:r>
      <w:r>
        <w:rPr>
          <w:rFonts w:cs="Simplified Arabic"/>
          <w:sz w:val="20"/>
          <w:szCs w:val="20"/>
          <w:rtl/>
        </w:rPr>
        <w:t>:</w:t>
      </w:r>
      <w:r>
        <w:rPr>
          <w:rFonts w:ascii="Simplified Arabic" w:hAnsi="Simplified Arabic" w:cstheme="minorEastAsia"/>
          <w:sz w:val="20"/>
        </w:rPr>
        <w:t xml:space="preserve"> </w:t>
      </w:r>
      <w:r>
        <w:rPr>
          <w:rFonts w:cs="Simplified Arabic" w:hint="eastAsia"/>
          <w:sz w:val="20"/>
          <w:szCs w:val="20"/>
          <w:rtl/>
        </w:rPr>
        <w:t>البنك</w:t>
      </w:r>
      <w:r>
        <w:rPr>
          <w:rFonts w:cs="Simplified Arabic"/>
          <w:sz w:val="20"/>
          <w:szCs w:val="20"/>
          <w:rtl/>
        </w:rPr>
        <w:t xml:space="preserve"> </w:t>
      </w:r>
      <w:r>
        <w:rPr>
          <w:rFonts w:cs="Simplified Arabic" w:hint="eastAsia"/>
          <w:sz w:val="20"/>
          <w:szCs w:val="20"/>
          <w:rtl/>
        </w:rPr>
        <w:t>الدولي</w:t>
      </w:r>
      <w:r>
        <w:rPr>
          <w:rFonts w:eastAsiaTheme="minorEastAsia"/>
          <w:sz w:val="20"/>
          <w:szCs w:val="20"/>
        </w:rPr>
        <w:t>.</w:t>
      </w:r>
      <w:hyperlink r:id="rId2" w:history="1">
        <w:r>
          <w:rPr>
            <w:rStyle w:val="Hyperlink"/>
            <w:rFonts w:ascii="Simplified Arabic" w:hAnsi="Simplified Arabic" w:cs="Arial Unicode MS"/>
            <w:sz w:val="20"/>
            <w:szCs w:val="20"/>
          </w:rPr>
          <w:t>https://www.openknowledge.worldbank.org/handle/10986/21607</w:t>
        </w:r>
      </w:hyperlink>
    </w:p>
  </w:footnote>
  <w:footnote w:id="24">
    <w:p w:rsidR="00F4694D" w:rsidRPr="00902C4B" w:rsidRDefault="00F4694D" w:rsidP="00902C4B">
      <w:pPr>
        <w:pStyle w:val="FootnoteText"/>
        <w:bidi/>
        <w:rPr>
          <w:rtl/>
        </w:rPr>
      </w:pPr>
      <w:r>
        <w:rPr>
          <w:rStyle w:val="FootnoteReference"/>
        </w:rPr>
        <w:footnoteRef/>
      </w:r>
      <w:r>
        <w:rPr>
          <w:rtl/>
        </w:rPr>
        <w:t xml:space="preserve"> </w:t>
      </w:r>
      <w:r>
        <w:rPr>
          <w:rFonts w:eastAsiaTheme="minorEastAsia" w:cs="Simplified Arabic"/>
          <w:sz w:val="20"/>
          <w:szCs w:val="20"/>
          <w:rtl/>
        </w:rPr>
        <w:t>تشتمل مساندة المرفق الاستشاري للهياكل الأساسية المشتركة بين القطاعين العام والخاص على أعمال الشراكة بين القطاعين العام والخاص في قطاعات الري ومياه الصرف والكهرباء وطاقة الرياح والطرق، وكذلك إجراء دراسة تشخيصية عن هذه الشراكات في مصر.</w:t>
      </w:r>
    </w:p>
  </w:footnote>
  <w:footnote w:id="25">
    <w:p w:rsidR="00F4694D" w:rsidRPr="00902C4B" w:rsidRDefault="00F4694D" w:rsidP="00902C4B">
      <w:pPr>
        <w:pStyle w:val="FootnoteText"/>
        <w:bidi/>
        <w:rPr>
          <w:rtl/>
        </w:rPr>
      </w:pPr>
      <w:r>
        <w:rPr>
          <w:rStyle w:val="FootnoteReference"/>
        </w:rPr>
        <w:footnoteRef/>
      </w:r>
      <w:r>
        <w:rPr>
          <w:rtl/>
        </w:rPr>
        <w:t xml:space="preserve"> </w:t>
      </w:r>
      <w:r>
        <w:rPr>
          <w:rFonts w:eastAsiaTheme="minorEastAsia" w:cs="Simplified Arabic"/>
          <w:sz w:val="20"/>
          <w:szCs w:val="20"/>
          <w:rtl/>
        </w:rPr>
        <w:t>الشركاء هم:</w:t>
      </w:r>
      <w:r>
        <w:rPr>
          <w:rFonts w:ascii="Simplified Arabic" w:eastAsiaTheme="minorEastAsia" w:hAnsi="Simplified Arabic" w:cstheme="minorEastAsia"/>
          <w:sz w:val="20"/>
          <w:rtl/>
        </w:rPr>
        <w:t xml:space="preserve"> </w:t>
      </w:r>
      <w:r>
        <w:rPr>
          <w:rFonts w:eastAsiaTheme="minorEastAsia" w:cs="Simplified Arabic"/>
          <w:sz w:val="20"/>
          <w:szCs w:val="20"/>
          <w:rtl/>
        </w:rPr>
        <w:t>البنك الإسلامي للتنمية (450 مليون دولار) والصندوق العربي للإنماء الاقتصادي والاجتماعي (400 مليون دولار) والصندوق الكويتي (214 مليون دولار) وصندوق الأوبك (70 مليون دولار).</w:t>
      </w:r>
      <w:r>
        <w:rPr>
          <w:rFonts w:ascii="Simplified Arabic" w:eastAsiaTheme="minorEastAsia" w:hAnsi="Simplified Arabic" w:cstheme="minorEastAsia"/>
          <w:sz w:val="20"/>
          <w:rtl/>
        </w:rPr>
        <w:t xml:space="preserve"> </w:t>
      </w:r>
      <w:r>
        <w:rPr>
          <w:rFonts w:eastAsiaTheme="minorEastAsia" w:cs="Simplified Arabic"/>
          <w:sz w:val="20"/>
          <w:szCs w:val="20"/>
          <w:rtl/>
        </w:rPr>
        <w:t>ويساند البنك الأفريقي للتنمية هذه الجهود (550 مليون دولار) وكذلك البنك الأوروبي للاستثمار (307 ملايين دولار).</w:t>
      </w:r>
    </w:p>
  </w:footnote>
  <w:footnote w:id="26">
    <w:p w:rsidR="00F4694D" w:rsidRPr="00902C4B" w:rsidRDefault="00F4694D" w:rsidP="00902C4B">
      <w:pPr>
        <w:pStyle w:val="FootnoteText"/>
        <w:bidi/>
        <w:rPr>
          <w:rtl/>
        </w:rPr>
      </w:pPr>
      <w:r>
        <w:rPr>
          <w:rStyle w:val="FootnoteReference"/>
        </w:rPr>
        <w:footnoteRef/>
      </w:r>
      <w:r>
        <w:rPr>
          <w:rtl/>
        </w:rPr>
        <w:t xml:space="preserve"> </w:t>
      </w:r>
      <w:r>
        <w:rPr>
          <w:rFonts w:eastAsiaTheme="minorEastAsia" w:cs="Simplified Arabic"/>
          <w:sz w:val="20"/>
          <w:szCs w:val="20"/>
          <w:rtl/>
        </w:rPr>
        <w:t>تضييق الفجوة:</w:t>
      </w:r>
      <w:r>
        <w:rPr>
          <w:rFonts w:ascii="Simplified Arabic" w:eastAsiaTheme="minorEastAsia" w:hAnsi="Simplified Arabic" w:cstheme="minorEastAsia"/>
          <w:color w:val="000000"/>
          <w:sz w:val="20"/>
          <w:rtl/>
        </w:rPr>
        <w:t xml:space="preserve"> </w:t>
      </w:r>
      <w:r>
        <w:rPr>
          <w:rFonts w:eastAsiaTheme="minorEastAsia" w:cs="Simplified Arabic"/>
          <w:color w:val="000000"/>
          <w:sz w:val="20"/>
          <w:szCs w:val="20"/>
          <w:rtl/>
        </w:rPr>
        <w:t>تحسين فرص النساء في سوق العمل بمصر"، البنك الدولي.</w:t>
      </w:r>
      <w:r>
        <w:rPr>
          <w:rFonts w:ascii="Simplified Arabic" w:eastAsiaTheme="minorEastAsia" w:hAnsi="Simplified Arabic" w:cstheme="minorEastAsia"/>
          <w:color w:val="000000"/>
          <w:sz w:val="20"/>
        </w:rPr>
        <w:t xml:space="preserve"> </w:t>
      </w:r>
      <w:r>
        <w:rPr>
          <w:rFonts w:eastAsiaTheme="minorEastAsia" w:cs="Simplified Arabic"/>
          <w:sz w:val="20"/>
          <w:szCs w:val="20"/>
          <w:rtl/>
        </w:rPr>
        <w:t>2011 والتي تمت الاستنارة بها أيضاً في نهج إطار الشراكة الإستراتيجية في مجالات أخرى كالتعليم والصرف الصحي ومشروعات الأشغال كثيفة الاستخدام للأيدي العاملة الجاري تنفيذها.</w:t>
      </w:r>
      <w:r>
        <w:rPr>
          <w:rFonts w:ascii="Simplified Arabic" w:eastAsiaTheme="minorEastAsia" w:hAnsi="Simplified Arabic" w:cstheme="minorEastAsia"/>
          <w:sz w:val="20"/>
          <w:rtl/>
        </w:rPr>
        <w:t xml:space="preserve"> </w:t>
      </w:r>
      <w:r>
        <w:rPr>
          <w:rFonts w:eastAsiaTheme="minorEastAsia" w:cs="Simplified Arabic"/>
          <w:sz w:val="20"/>
          <w:szCs w:val="20"/>
          <w:rtl/>
        </w:rPr>
        <w:t>"رسم طرق تراعي المساواة بين الجنسين أمام احتواء الجميع:</w:t>
      </w:r>
      <w:r>
        <w:rPr>
          <w:rFonts w:ascii="Simplified Arabic" w:eastAsiaTheme="minorEastAsia" w:hAnsi="Simplified Arabic" w:cstheme="minorEastAsia"/>
          <w:sz w:val="20"/>
          <w:rtl/>
        </w:rPr>
        <w:t xml:space="preserve"> </w:t>
      </w:r>
      <w:r>
        <w:rPr>
          <w:rFonts w:eastAsiaTheme="minorEastAsia" w:cs="Simplified Arabic"/>
          <w:sz w:val="20"/>
          <w:szCs w:val="20"/>
          <w:rtl/>
        </w:rPr>
        <w:t>صياغة السياسة المعنية بالشباب في صعيد مصر"، 2013، تقرير التنمية في منطقة الشرق الأوسط وشمال أفريقيا.</w:t>
      </w:r>
      <w:r>
        <w:rPr>
          <w:rFonts w:ascii="Simplified Arabic" w:eastAsiaTheme="minorEastAsia" w:hAnsi="Simplified Arabic" w:cstheme="minorEastAsia"/>
          <w:color w:val="000000"/>
          <w:sz w:val="20"/>
        </w:rPr>
        <w:t xml:space="preserve"> </w:t>
      </w:r>
      <w:r>
        <w:rPr>
          <w:rFonts w:eastAsiaTheme="minorEastAsia" w:cs="Simplified Arabic"/>
          <w:color w:val="000000"/>
          <w:sz w:val="20"/>
          <w:szCs w:val="20"/>
          <w:rtl/>
        </w:rPr>
        <w:t>واشنطن العاصمة.</w:t>
      </w:r>
      <w:r>
        <w:rPr>
          <w:rFonts w:ascii="Simplified Arabic" w:eastAsiaTheme="minorEastAsia" w:hAnsi="Simplified Arabic" w:cstheme="minorEastAsia"/>
          <w:color w:val="000000"/>
          <w:sz w:val="20"/>
        </w:rPr>
        <w:t xml:space="preserve"> </w:t>
      </w:r>
      <w:r>
        <w:rPr>
          <w:rFonts w:eastAsiaTheme="minorEastAsia" w:cs="Simplified Arabic"/>
          <w:sz w:val="20"/>
          <w:szCs w:val="20"/>
          <w:rtl/>
        </w:rPr>
        <w:t>البنك الدولي.</w:t>
      </w:r>
    </w:p>
  </w:footnote>
  <w:footnote w:id="27">
    <w:p w:rsidR="00F4694D" w:rsidRPr="0058653D" w:rsidRDefault="00F4694D" w:rsidP="0058653D">
      <w:pPr>
        <w:pStyle w:val="FootnoteText"/>
        <w:bidi/>
        <w:rPr>
          <w:rtl/>
        </w:rPr>
      </w:pPr>
      <w:r>
        <w:rPr>
          <w:rStyle w:val="FootnoteReference"/>
        </w:rPr>
        <w:footnoteRef/>
      </w:r>
      <w:r>
        <w:rPr>
          <w:rtl/>
        </w:rPr>
        <w:t xml:space="preserve"> </w:t>
      </w:r>
      <w:r>
        <w:rPr>
          <w:rFonts w:eastAsiaTheme="minorEastAsia" w:cs="Simplified Arabic"/>
          <w:sz w:val="20"/>
          <w:szCs w:val="20"/>
          <w:rtl/>
        </w:rPr>
        <w:t>في المشروعات التي يمولها البنك حتى نهاية السنة المالية 2014، كانت مخاطر الإدارة المالية متوسطة في 75 في المائة من العمليات (بما يمثل 86 في المائة من الارتباطات)، مع الأخذ بعين الاعتبار إجراءات التخفيف القائمة.</w:t>
      </w:r>
    </w:p>
  </w:footnote>
  <w:footnote w:id="28">
    <w:p w:rsidR="00F4694D" w:rsidRDefault="00F4694D" w:rsidP="00941C03">
      <w:pPr>
        <w:pStyle w:val="FootnoteText"/>
        <w:bidi/>
        <w:rPr>
          <w:rtl/>
        </w:rPr>
      </w:pPr>
      <w:r>
        <w:rPr>
          <w:rStyle w:val="FootnoteReference"/>
          <w:rFonts w:hint="cs"/>
          <w:rtl/>
        </w:rPr>
        <w:t>26</w:t>
      </w:r>
      <w:r>
        <w:rPr>
          <w:rtl/>
        </w:rPr>
        <w:t xml:space="preserve"> </w:t>
      </w:r>
      <w:r>
        <w:rPr>
          <w:rFonts w:eastAsiaTheme="minorEastAsia" w:cs="Simplified Arabic"/>
          <w:sz w:val="20"/>
          <w:szCs w:val="20"/>
          <w:rtl/>
        </w:rPr>
        <w:t>يُمكن الاطلاع على تحليل تفصيلي لنتائج الإنجاز في تحقيق الأهداف في الملحق الأول.</w:t>
      </w:r>
    </w:p>
  </w:footnote>
  <w:footnote w:id="29">
    <w:p w:rsidR="00F4694D" w:rsidRDefault="00F4694D" w:rsidP="00132A21">
      <w:pPr>
        <w:pStyle w:val="FootnoteText"/>
        <w:bidi/>
        <w:jc w:val="both"/>
        <w:rPr>
          <w:rFonts w:eastAsiaTheme="minorEastAsia" w:cstheme="minorEastAsia"/>
          <w:spacing w:val="-4"/>
          <w:sz w:val="20"/>
        </w:rPr>
      </w:pPr>
      <w:r>
        <w:rPr>
          <w:rStyle w:val="FootnoteReference"/>
          <w:rFonts w:eastAsiaTheme="minorEastAsia" w:cstheme="minorEastAsia" w:hint="cs"/>
          <w:spacing w:val="-4"/>
          <w:rtl/>
        </w:rPr>
        <w:t>27</w:t>
      </w:r>
      <w:r>
        <w:rPr>
          <w:rFonts w:eastAsiaTheme="minorEastAsia" w:cstheme="minorEastAsia"/>
          <w:spacing w:val="-4"/>
          <w:sz w:val="20"/>
          <w:rtl/>
        </w:rPr>
        <w:t xml:space="preserve"> </w:t>
      </w:r>
      <w:r>
        <w:rPr>
          <w:rFonts w:eastAsiaTheme="minorEastAsia" w:cs="Simplified Arabic"/>
          <w:spacing w:val="-4"/>
          <w:sz w:val="20"/>
          <w:szCs w:val="20"/>
          <w:rtl/>
        </w:rPr>
        <w:t>تشير الوثيقة إلى الركائز الواردة في مذكرة الإستراتيجية المؤقتة.</w:t>
      </w:r>
      <w:r>
        <w:rPr>
          <w:rFonts w:ascii="Simplified Arabic" w:eastAsiaTheme="minorEastAsia" w:hAnsi="Simplified Arabic" w:cstheme="minorEastAsia"/>
          <w:spacing w:val="-4"/>
          <w:sz w:val="20"/>
          <w:rtl/>
        </w:rPr>
        <w:t xml:space="preserve"> </w:t>
      </w:r>
      <w:r>
        <w:rPr>
          <w:rFonts w:eastAsiaTheme="minorEastAsia" w:cs="Simplified Arabic"/>
          <w:spacing w:val="-4"/>
          <w:sz w:val="20"/>
          <w:szCs w:val="20"/>
          <w:rtl/>
        </w:rPr>
        <w:t>بيد أن كل النتائج المُحدَّدة المشار إليها تتضمَّن كلا من إستراتيجية المساعدة الخاصة بمصر ومذكرة الإستراتيجية المؤقتة.</w:t>
      </w:r>
    </w:p>
  </w:footnote>
  <w:footnote w:id="30">
    <w:p w:rsidR="00F4694D" w:rsidRDefault="00F4694D" w:rsidP="00941C03">
      <w:pPr>
        <w:pStyle w:val="FootnoteText"/>
        <w:bidi/>
        <w:rPr>
          <w:rtl/>
        </w:rPr>
      </w:pPr>
      <w:r>
        <w:rPr>
          <w:rStyle w:val="FootnoteReference"/>
        </w:rPr>
        <w:footnoteRef/>
      </w:r>
      <w:r>
        <w:rPr>
          <w:rtl/>
        </w:rPr>
        <w:t xml:space="preserve"> </w:t>
      </w:r>
      <w:r>
        <w:rPr>
          <w:rFonts w:eastAsiaTheme="minorEastAsia" w:cs="Simplified Arabic"/>
          <w:sz w:val="20"/>
          <w:szCs w:val="20"/>
          <w:rtl/>
        </w:rPr>
        <w:t>بلغ إجمالي ارتباطات مؤسسة التمويل الدولية في السنوات المالية 2011-2014 نحو مليار دولار منها 340 مليون دولار تمت تعبئتها من مقرضين آخرين.</w:t>
      </w:r>
    </w:p>
  </w:footnote>
  <w:footnote w:id="31">
    <w:p w:rsidR="00F4694D" w:rsidRDefault="00F4694D" w:rsidP="00941C03">
      <w:pPr>
        <w:pStyle w:val="FootnoteText"/>
        <w:bidi/>
        <w:rPr>
          <w:rtl/>
        </w:rPr>
      </w:pPr>
      <w:r>
        <w:rPr>
          <w:rStyle w:val="FootnoteReference"/>
        </w:rPr>
        <w:footnoteRef/>
      </w:r>
      <w:r>
        <w:rPr>
          <w:rtl/>
        </w:rPr>
        <w:t xml:space="preserve"> </w:t>
      </w:r>
      <w:r>
        <w:rPr>
          <w:rFonts w:cs="Simplified Arabic" w:hint="eastAsia"/>
          <w:sz w:val="20"/>
          <w:szCs w:val="20"/>
          <w:rtl/>
        </w:rPr>
        <w:t>مؤشر</w:t>
      </w:r>
      <w:r>
        <w:rPr>
          <w:rFonts w:cs="Simplified Arabic"/>
          <w:sz w:val="20"/>
          <w:szCs w:val="20"/>
          <w:rtl/>
        </w:rPr>
        <w:t xml:space="preserve"> </w:t>
      </w:r>
      <w:r>
        <w:rPr>
          <w:rFonts w:cs="Simplified Arabic" w:hint="eastAsia"/>
          <w:sz w:val="20"/>
          <w:szCs w:val="20"/>
          <w:rtl/>
        </w:rPr>
        <w:t>الميزانية</w:t>
      </w:r>
      <w:r>
        <w:rPr>
          <w:rFonts w:cs="Simplified Arabic"/>
          <w:sz w:val="20"/>
          <w:szCs w:val="20"/>
          <w:rtl/>
        </w:rPr>
        <w:t xml:space="preserve"> </w:t>
      </w:r>
      <w:r>
        <w:rPr>
          <w:rFonts w:cs="Simplified Arabic" w:hint="eastAsia"/>
          <w:sz w:val="20"/>
          <w:szCs w:val="20"/>
          <w:rtl/>
        </w:rPr>
        <w:t>المفتوحة</w:t>
      </w:r>
      <w:r>
        <w:rPr>
          <w:rFonts w:cs="Simplified Arabic"/>
          <w:sz w:val="20"/>
          <w:szCs w:val="20"/>
          <w:rtl/>
        </w:rPr>
        <w:t xml:space="preserve"> 2010</w:t>
      </w:r>
      <w:r>
        <w:rPr>
          <w:rFonts w:cs="Simplified Arabic" w:hint="eastAsia"/>
          <w:sz w:val="20"/>
          <w:szCs w:val="20"/>
          <w:rtl/>
        </w:rPr>
        <w:t>،</w:t>
      </w:r>
      <w:r>
        <w:rPr>
          <w:rFonts w:cs="Simplified Arabic"/>
          <w:sz w:val="20"/>
          <w:szCs w:val="20"/>
          <w:rtl/>
        </w:rPr>
        <w:t xml:space="preserve"> </w:t>
      </w:r>
      <w:r>
        <w:rPr>
          <w:rFonts w:cs="Simplified Arabic" w:hint="eastAsia"/>
          <w:sz w:val="20"/>
          <w:szCs w:val="20"/>
          <w:rtl/>
        </w:rPr>
        <w:t>شراكة</w:t>
      </w:r>
      <w:r>
        <w:rPr>
          <w:rFonts w:cs="Simplified Arabic"/>
          <w:sz w:val="20"/>
          <w:szCs w:val="20"/>
          <w:rtl/>
        </w:rPr>
        <w:t xml:space="preserve"> </w:t>
      </w:r>
      <w:r>
        <w:rPr>
          <w:rFonts w:cs="Simplified Arabic" w:hint="eastAsia"/>
          <w:sz w:val="20"/>
          <w:szCs w:val="20"/>
          <w:rtl/>
        </w:rPr>
        <w:t>الميزانية</w:t>
      </w:r>
      <w:r>
        <w:rPr>
          <w:rFonts w:cs="Simplified Arabic"/>
          <w:sz w:val="20"/>
          <w:szCs w:val="20"/>
          <w:rtl/>
        </w:rPr>
        <w:t xml:space="preserve"> </w:t>
      </w:r>
      <w:r>
        <w:rPr>
          <w:rFonts w:cs="Simplified Arabic" w:hint="eastAsia"/>
          <w:sz w:val="20"/>
          <w:szCs w:val="20"/>
          <w:rtl/>
        </w:rPr>
        <w:t>الدولية</w:t>
      </w:r>
      <w:r>
        <w:rPr>
          <w:rFonts w:cs="Simplified Arabic"/>
          <w:sz w:val="20"/>
          <w:szCs w:val="20"/>
          <w:rtl/>
        </w:rPr>
        <w:t xml:space="preserve">. </w:t>
      </w:r>
      <w:hyperlink r:id="rId3" w:history="1">
        <w:r>
          <w:rPr>
            <w:rStyle w:val="Hyperlink"/>
            <w:rFonts w:ascii="Simplified Arabic" w:hAnsi="Simplified Arabic" w:cs="Calibri (Arabic)"/>
            <w:sz w:val="20"/>
            <w:szCs w:val="20"/>
          </w:rPr>
          <w:t>www.internationalbudget.org</w:t>
        </w:r>
      </w:hyperlink>
    </w:p>
  </w:footnote>
  <w:footnote w:id="32">
    <w:p w:rsidR="00F4694D" w:rsidRDefault="00F4694D" w:rsidP="00941C03">
      <w:pPr>
        <w:pStyle w:val="FootnoteText"/>
        <w:bidi/>
        <w:rPr>
          <w:rtl/>
        </w:rPr>
      </w:pPr>
      <w:r>
        <w:rPr>
          <w:rStyle w:val="FootnoteReference"/>
        </w:rPr>
        <w:footnoteRef/>
      </w:r>
      <w:r>
        <w:rPr>
          <w:rtl/>
        </w:rPr>
        <w:t xml:space="preserve"> </w:t>
      </w:r>
      <w:r>
        <w:rPr>
          <w:rFonts w:cs="Simplified Arabic" w:hint="eastAsia"/>
          <w:spacing w:val="-4"/>
          <w:sz w:val="20"/>
          <w:szCs w:val="20"/>
          <w:rtl/>
        </w:rPr>
        <w:t>في</w:t>
      </w:r>
      <w:r>
        <w:rPr>
          <w:rFonts w:cs="Simplified Arabic"/>
          <w:spacing w:val="-4"/>
          <w:sz w:val="20"/>
          <w:szCs w:val="20"/>
          <w:rtl/>
        </w:rPr>
        <w:t xml:space="preserve"> </w:t>
      </w:r>
      <w:r>
        <w:rPr>
          <w:rFonts w:cs="Simplified Arabic" w:hint="eastAsia"/>
          <w:spacing w:val="-4"/>
          <w:sz w:val="20"/>
          <w:szCs w:val="20"/>
          <w:rtl/>
        </w:rPr>
        <w:t>استعراض</w:t>
      </w:r>
      <w:r>
        <w:rPr>
          <w:rFonts w:cs="Simplified Arabic"/>
          <w:spacing w:val="-4"/>
          <w:sz w:val="20"/>
          <w:szCs w:val="20"/>
          <w:rtl/>
        </w:rPr>
        <w:t xml:space="preserve"> </w:t>
      </w:r>
      <w:r>
        <w:rPr>
          <w:rFonts w:cs="Simplified Arabic" w:hint="eastAsia"/>
          <w:spacing w:val="-4"/>
          <w:sz w:val="20"/>
          <w:szCs w:val="20"/>
          <w:rtl/>
        </w:rPr>
        <w:t>أجرته</w:t>
      </w:r>
      <w:r>
        <w:rPr>
          <w:rFonts w:cs="Simplified Arabic"/>
          <w:spacing w:val="-4"/>
          <w:sz w:val="20"/>
          <w:szCs w:val="20"/>
          <w:rtl/>
        </w:rPr>
        <w:t xml:space="preserve"> </w:t>
      </w:r>
      <w:r>
        <w:rPr>
          <w:rFonts w:cs="Simplified Arabic" w:hint="eastAsia"/>
          <w:spacing w:val="-4"/>
          <w:sz w:val="20"/>
          <w:szCs w:val="20"/>
          <w:rtl/>
        </w:rPr>
        <w:t>مجموعة</w:t>
      </w:r>
      <w:r>
        <w:rPr>
          <w:rFonts w:cs="Simplified Arabic"/>
          <w:spacing w:val="-4"/>
          <w:sz w:val="20"/>
          <w:szCs w:val="20"/>
          <w:rtl/>
        </w:rPr>
        <w:t xml:space="preserve"> </w:t>
      </w:r>
      <w:r>
        <w:rPr>
          <w:rFonts w:cs="Simplified Arabic" w:hint="eastAsia"/>
          <w:spacing w:val="-4"/>
          <w:sz w:val="20"/>
          <w:szCs w:val="20"/>
          <w:rtl/>
        </w:rPr>
        <w:t>التقييم</w:t>
      </w:r>
      <w:r>
        <w:rPr>
          <w:rFonts w:cs="Simplified Arabic"/>
          <w:spacing w:val="-4"/>
          <w:sz w:val="20"/>
          <w:szCs w:val="20"/>
          <w:rtl/>
        </w:rPr>
        <w:t xml:space="preserve"> </w:t>
      </w:r>
      <w:r>
        <w:rPr>
          <w:rFonts w:cs="Simplified Arabic" w:hint="eastAsia"/>
          <w:spacing w:val="-4"/>
          <w:sz w:val="20"/>
          <w:szCs w:val="20"/>
          <w:rtl/>
        </w:rPr>
        <w:t>المستقلة</w:t>
      </w:r>
      <w:r>
        <w:rPr>
          <w:rFonts w:cs="Simplified Arabic"/>
          <w:spacing w:val="-4"/>
          <w:sz w:val="20"/>
          <w:szCs w:val="20"/>
          <w:rtl/>
        </w:rPr>
        <w:t xml:space="preserve"> </w:t>
      </w:r>
      <w:r>
        <w:rPr>
          <w:rFonts w:cs="Simplified Arabic" w:hint="eastAsia"/>
          <w:spacing w:val="-4"/>
          <w:sz w:val="20"/>
          <w:szCs w:val="20"/>
          <w:rtl/>
        </w:rPr>
        <w:t>في</w:t>
      </w:r>
      <w:r>
        <w:rPr>
          <w:rFonts w:cs="Simplified Arabic"/>
          <w:spacing w:val="-4"/>
          <w:sz w:val="20"/>
          <w:szCs w:val="20"/>
          <w:rtl/>
        </w:rPr>
        <w:t xml:space="preserve"> </w:t>
      </w:r>
      <w:r>
        <w:rPr>
          <w:rFonts w:cs="Simplified Arabic" w:hint="eastAsia"/>
          <w:spacing w:val="-4"/>
          <w:sz w:val="20"/>
          <w:szCs w:val="20"/>
          <w:rtl/>
        </w:rPr>
        <w:t>الآونة</w:t>
      </w:r>
      <w:r>
        <w:rPr>
          <w:rFonts w:cs="Simplified Arabic"/>
          <w:spacing w:val="-4"/>
          <w:sz w:val="20"/>
          <w:szCs w:val="20"/>
          <w:rtl/>
        </w:rPr>
        <w:t xml:space="preserve"> </w:t>
      </w:r>
      <w:r>
        <w:rPr>
          <w:rFonts w:cs="Simplified Arabic" w:hint="eastAsia"/>
          <w:spacing w:val="-4"/>
          <w:sz w:val="20"/>
          <w:szCs w:val="20"/>
          <w:rtl/>
        </w:rPr>
        <w:t>الأخيرة</w:t>
      </w:r>
      <w:r>
        <w:rPr>
          <w:rFonts w:cs="Simplified Arabic"/>
          <w:spacing w:val="-4"/>
          <w:sz w:val="20"/>
          <w:szCs w:val="20"/>
          <w:rtl/>
        </w:rPr>
        <w:t xml:space="preserve"> </w:t>
      </w:r>
      <w:r>
        <w:rPr>
          <w:rFonts w:cs="Simplified Arabic" w:hint="eastAsia"/>
          <w:spacing w:val="-4"/>
          <w:sz w:val="20"/>
          <w:szCs w:val="20"/>
          <w:rtl/>
        </w:rPr>
        <w:t>تم</w:t>
      </w:r>
      <w:r>
        <w:rPr>
          <w:rFonts w:cs="Simplified Arabic"/>
          <w:spacing w:val="-4"/>
          <w:sz w:val="20"/>
          <w:szCs w:val="20"/>
          <w:rtl/>
        </w:rPr>
        <w:t xml:space="preserve"> </w:t>
      </w:r>
      <w:r>
        <w:rPr>
          <w:rFonts w:cs="Simplified Arabic" w:hint="eastAsia"/>
          <w:spacing w:val="-4"/>
          <w:sz w:val="20"/>
          <w:szCs w:val="20"/>
          <w:rtl/>
        </w:rPr>
        <w:t>تصنيف</w:t>
      </w:r>
      <w:r>
        <w:rPr>
          <w:rFonts w:cs="Simplified Arabic"/>
          <w:spacing w:val="-4"/>
          <w:sz w:val="20"/>
          <w:szCs w:val="20"/>
          <w:rtl/>
        </w:rPr>
        <w:t xml:space="preserve"> </w:t>
      </w:r>
      <w:r>
        <w:rPr>
          <w:rFonts w:cs="Simplified Arabic" w:hint="eastAsia"/>
          <w:spacing w:val="-4"/>
          <w:sz w:val="20"/>
          <w:szCs w:val="20"/>
          <w:rtl/>
        </w:rPr>
        <w:t>النتيجة</w:t>
      </w:r>
      <w:r>
        <w:rPr>
          <w:rFonts w:cs="Simplified Arabic"/>
          <w:spacing w:val="-4"/>
          <w:sz w:val="20"/>
          <w:szCs w:val="20"/>
          <w:rtl/>
        </w:rPr>
        <w:t xml:space="preserve"> </w:t>
      </w:r>
      <w:r>
        <w:rPr>
          <w:rFonts w:cs="Simplified Arabic" w:hint="eastAsia"/>
          <w:spacing w:val="-4"/>
          <w:sz w:val="20"/>
          <w:szCs w:val="20"/>
          <w:rtl/>
        </w:rPr>
        <w:t>المتوقعة</w:t>
      </w:r>
      <w:r>
        <w:rPr>
          <w:rFonts w:cs="Simplified Arabic"/>
          <w:spacing w:val="-4"/>
          <w:sz w:val="20"/>
          <w:szCs w:val="20"/>
          <w:rtl/>
        </w:rPr>
        <w:t xml:space="preserve"> </w:t>
      </w:r>
      <w:r>
        <w:rPr>
          <w:rFonts w:cs="Simplified Arabic" w:hint="eastAsia"/>
          <w:spacing w:val="-4"/>
          <w:sz w:val="20"/>
          <w:szCs w:val="20"/>
          <w:rtl/>
        </w:rPr>
        <w:t>لمشروع</w:t>
      </w:r>
      <w:r>
        <w:rPr>
          <w:rFonts w:cs="Simplified Arabic"/>
          <w:spacing w:val="-4"/>
          <w:sz w:val="20"/>
          <w:szCs w:val="20"/>
          <w:rtl/>
        </w:rPr>
        <w:t xml:space="preserve"> </w:t>
      </w:r>
      <w:r>
        <w:rPr>
          <w:rFonts w:cs="Simplified Arabic" w:hint="eastAsia"/>
          <w:spacing w:val="-4"/>
          <w:sz w:val="20"/>
          <w:szCs w:val="20"/>
          <w:rtl/>
        </w:rPr>
        <w:t>كهرباء</w:t>
      </w:r>
      <w:r>
        <w:rPr>
          <w:rFonts w:cs="Simplified Arabic"/>
          <w:spacing w:val="-4"/>
          <w:sz w:val="20"/>
          <w:szCs w:val="20"/>
          <w:rtl/>
        </w:rPr>
        <w:t xml:space="preserve"> </w:t>
      </w:r>
      <w:r>
        <w:rPr>
          <w:rFonts w:cs="Simplified Arabic" w:hint="eastAsia"/>
          <w:spacing w:val="-4"/>
          <w:sz w:val="20"/>
          <w:szCs w:val="20"/>
          <w:rtl/>
        </w:rPr>
        <w:t>التبين</w:t>
      </w:r>
      <w:r>
        <w:rPr>
          <w:rFonts w:cs="Simplified Arabic"/>
          <w:spacing w:val="-4"/>
          <w:sz w:val="20"/>
          <w:szCs w:val="20"/>
          <w:rtl/>
        </w:rPr>
        <w:t xml:space="preserve"> </w:t>
      </w:r>
      <w:r>
        <w:rPr>
          <w:rFonts w:cs="Simplified Arabic" w:hint="eastAsia"/>
          <w:spacing w:val="-4"/>
          <w:sz w:val="20"/>
          <w:szCs w:val="20"/>
          <w:rtl/>
        </w:rPr>
        <w:t>على</w:t>
      </w:r>
      <w:r>
        <w:rPr>
          <w:rFonts w:cs="Simplified Arabic"/>
          <w:spacing w:val="-4"/>
          <w:sz w:val="20"/>
          <w:szCs w:val="20"/>
          <w:rtl/>
        </w:rPr>
        <w:t xml:space="preserve"> </w:t>
      </w:r>
      <w:r>
        <w:rPr>
          <w:rFonts w:cs="Simplified Arabic" w:hint="eastAsia"/>
          <w:spacing w:val="-4"/>
          <w:sz w:val="20"/>
          <w:szCs w:val="20"/>
          <w:rtl/>
        </w:rPr>
        <w:t>أنه</w:t>
      </w:r>
      <w:r>
        <w:rPr>
          <w:rFonts w:cs="Simplified Arabic"/>
          <w:spacing w:val="-4"/>
          <w:sz w:val="20"/>
          <w:szCs w:val="20"/>
          <w:rtl/>
        </w:rPr>
        <w:t xml:space="preserve"> </w:t>
      </w:r>
      <w:r>
        <w:rPr>
          <w:rFonts w:cs="Simplified Arabic" w:hint="eastAsia"/>
          <w:spacing w:val="-4"/>
          <w:sz w:val="20"/>
          <w:szCs w:val="20"/>
          <w:rtl/>
        </w:rPr>
        <w:t>غير</w:t>
      </w:r>
      <w:r>
        <w:rPr>
          <w:rFonts w:cs="Simplified Arabic"/>
          <w:spacing w:val="-4"/>
          <w:sz w:val="20"/>
          <w:szCs w:val="20"/>
          <w:rtl/>
        </w:rPr>
        <w:t xml:space="preserve"> </w:t>
      </w:r>
      <w:r>
        <w:rPr>
          <w:rFonts w:cs="Simplified Arabic" w:hint="eastAsia"/>
          <w:spacing w:val="-4"/>
          <w:sz w:val="20"/>
          <w:szCs w:val="20"/>
          <w:rtl/>
        </w:rPr>
        <w:t>مرض</w:t>
      </w:r>
      <w:r>
        <w:rPr>
          <w:rFonts w:cs="Simplified Arabic"/>
          <w:spacing w:val="-4"/>
          <w:sz w:val="20"/>
          <w:szCs w:val="20"/>
          <w:rtl/>
        </w:rPr>
        <w:t xml:space="preserve"> </w:t>
      </w:r>
      <w:r>
        <w:rPr>
          <w:rFonts w:cs="Simplified Arabic" w:hint="eastAsia"/>
          <w:spacing w:val="-4"/>
          <w:sz w:val="20"/>
          <w:szCs w:val="20"/>
          <w:rtl/>
        </w:rPr>
        <w:t>إلى</w:t>
      </w:r>
      <w:r>
        <w:rPr>
          <w:rFonts w:cs="Simplified Arabic"/>
          <w:spacing w:val="-4"/>
          <w:sz w:val="20"/>
          <w:szCs w:val="20"/>
          <w:rtl/>
        </w:rPr>
        <w:t xml:space="preserve"> </w:t>
      </w:r>
      <w:r>
        <w:rPr>
          <w:rFonts w:cs="Simplified Arabic" w:hint="eastAsia"/>
          <w:spacing w:val="-4"/>
          <w:sz w:val="20"/>
          <w:szCs w:val="20"/>
          <w:rtl/>
        </w:rPr>
        <w:t>حد</w:t>
      </w:r>
      <w:r>
        <w:rPr>
          <w:rFonts w:cs="Simplified Arabic"/>
          <w:spacing w:val="-4"/>
          <w:sz w:val="20"/>
          <w:szCs w:val="20"/>
          <w:rtl/>
        </w:rPr>
        <w:t xml:space="preserve"> </w:t>
      </w:r>
      <w:r>
        <w:rPr>
          <w:rFonts w:cs="Simplified Arabic" w:hint="eastAsia"/>
          <w:spacing w:val="-4"/>
          <w:sz w:val="20"/>
          <w:szCs w:val="20"/>
          <w:rtl/>
        </w:rPr>
        <w:t>ما</w:t>
      </w:r>
      <w:r>
        <w:rPr>
          <w:rFonts w:cs="Simplified Arabic"/>
          <w:spacing w:val="-4"/>
          <w:sz w:val="20"/>
          <w:szCs w:val="20"/>
          <w:rtl/>
        </w:rPr>
        <w:t>.</w:t>
      </w:r>
      <w:r>
        <w:rPr>
          <w:rFonts w:ascii="Simplified Arabic" w:hAnsi="Simplified Arabic" w:cstheme="minorEastAsia"/>
          <w:spacing w:val="-4"/>
          <w:sz w:val="20"/>
        </w:rPr>
        <w:t xml:space="preserve"> </w:t>
      </w:r>
      <w:r>
        <w:rPr>
          <w:rFonts w:cs="Simplified Arabic" w:hint="eastAsia"/>
          <w:spacing w:val="-4"/>
          <w:sz w:val="20"/>
          <w:szCs w:val="20"/>
          <w:rtl/>
        </w:rPr>
        <w:t>وأوصى</w:t>
      </w:r>
      <w:r>
        <w:rPr>
          <w:rFonts w:cs="Simplified Arabic"/>
          <w:spacing w:val="-4"/>
          <w:sz w:val="20"/>
          <w:szCs w:val="20"/>
          <w:rtl/>
        </w:rPr>
        <w:t xml:space="preserve"> </w:t>
      </w:r>
      <w:r>
        <w:rPr>
          <w:rFonts w:cs="Simplified Arabic" w:hint="eastAsia"/>
          <w:spacing w:val="-4"/>
          <w:sz w:val="20"/>
          <w:szCs w:val="20"/>
          <w:rtl/>
        </w:rPr>
        <w:t>فريق</w:t>
      </w:r>
      <w:r>
        <w:rPr>
          <w:rFonts w:cs="Simplified Arabic"/>
          <w:spacing w:val="-4"/>
          <w:sz w:val="20"/>
          <w:szCs w:val="20"/>
          <w:rtl/>
        </w:rPr>
        <w:t xml:space="preserve"> </w:t>
      </w:r>
      <w:r>
        <w:rPr>
          <w:rFonts w:cs="Simplified Arabic" w:hint="eastAsia"/>
          <w:spacing w:val="-4"/>
          <w:sz w:val="20"/>
          <w:szCs w:val="20"/>
          <w:rtl/>
        </w:rPr>
        <w:t>البنك</w:t>
      </w:r>
      <w:r>
        <w:rPr>
          <w:rFonts w:cs="Simplified Arabic"/>
          <w:spacing w:val="-4"/>
          <w:sz w:val="20"/>
          <w:szCs w:val="20"/>
          <w:rtl/>
        </w:rPr>
        <w:t xml:space="preserve"> </w:t>
      </w:r>
      <w:r>
        <w:rPr>
          <w:rFonts w:cs="Simplified Arabic" w:hint="eastAsia"/>
          <w:spacing w:val="-4"/>
          <w:sz w:val="20"/>
          <w:szCs w:val="20"/>
          <w:rtl/>
        </w:rPr>
        <w:t>بتصنيف</w:t>
      </w:r>
      <w:r>
        <w:rPr>
          <w:rFonts w:cs="Simplified Arabic"/>
          <w:spacing w:val="-4"/>
          <w:sz w:val="20"/>
          <w:szCs w:val="20"/>
          <w:rtl/>
        </w:rPr>
        <w:t xml:space="preserve"> </w:t>
      </w:r>
      <w:r>
        <w:rPr>
          <w:rFonts w:cs="Simplified Arabic" w:hint="eastAsia"/>
          <w:spacing w:val="-4"/>
          <w:sz w:val="20"/>
          <w:szCs w:val="20"/>
          <w:rtl/>
        </w:rPr>
        <w:t>مرض</w:t>
      </w:r>
      <w:r>
        <w:rPr>
          <w:rFonts w:cs="Simplified Arabic"/>
          <w:spacing w:val="-4"/>
          <w:sz w:val="20"/>
          <w:szCs w:val="20"/>
          <w:rtl/>
        </w:rPr>
        <w:t xml:space="preserve"> </w:t>
      </w:r>
      <w:r>
        <w:rPr>
          <w:rFonts w:cs="Simplified Arabic" w:hint="eastAsia"/>
          <w:spacing w:val="-4"/>
          <w:sz w:val="20"/>
          <w:szCs w:val="20"/>
          <w:rtl/>
        </w:rPr>
        <w:t>إلى</w:t>
      </w:r>
      <w:r>
        <w:rPr>
          <w:rFonts w:cs="Simplified Arabic"/>
          <w:spacing w:val="-4"/>
          <w:sz w:val="20"/>
          <w:szCs w:val="20"/>
          <w:rtl/>
        </w:rPr>
        <w:t xml:space="preserve"> </w:t>
      </w:r>
      <w:r>
        <w:rPr>
          <w:rFonts w:cs="Simplified Arabic" w:hint="eastAsia"/>
          <w:spacing w:val="-4"/>
          <w:sz w:val="20"/>
          <w:szCs w:val="20"/>
          <w:rtl/>
        </w:rPr>
        <w:t>حد</w:t>
      </w:r>
      <w:r>
        <w:rPr>
          <w:rFonts w:cs="Simplified Arabic"/>
          <w:spacing w:val="-4"/>
          <w:sz w:val="20"/>
          <w:szCs w:val="20"/>
          <w:rtl/>
        </w:rPr>
        <w:t xml:space="preserve"> </w:t>
      </w:r>
      <w:r>
        <w:rPr>
          <w:rFonts w:cs="Simplified Arabic" w:hint="eastAsia"/>
          <w:spacing w:val="-4"/>
          <w:sz w:val="20"/>
          <w:szCs w:val="20"/>
          <w:rtl/>
        </w:rPr>
        <w:t>ما</w:t>
      </w:r>
      <w:r>
        <w:rPr>
          <w:rFonts w:cs="Simplified Arabic"/>
          <w:spacing w:val="-4"/>
          <w:sz w:val="20"/>
          <w:szCs w:val="20"/>
          <w:rtl/>
        </w:rPr>
        <w:t xml:space="preserve"> </w:t>
      </w:r>
      <w:r>
        <w:rPr>
          <w:rFonts w:cs="Simplified Arabic" w:hint="eastAsia"/>
          <w:spacing w:val="-4"/>
          <w:sz w:val="20"/>
          <w:szCs w:val="20"/>
          <w:rtl/>
        </w:rPr>
        <w:t>بسبب</w:t>
      </w:r>
      <w:r>
        <w:rPr>
          <w:rFonts w:cs="Simplified Arabic"/>
          <w:spacing w:val="-4"/>
          <w:sz w:val="20"/>
          <w:szCs w:val="20"/>
          <w:rtl/>
        </w:rPr>
        <w:t xml:space="preserve"> </w:t>
      </w:r>
      <w:r>
        <w:rPr>
          <w:rFonts w:cs="Simplified Arabic" w:hint="eastAsia"/>
          <w:spacing w:val="-4"/>
          <w:sz w:val="20"/>
          <w:szCs w:val="20"/>
          <w:rtl/>
        </w:rPr>
        <w:t>كفاءة</w:t>
      </w:r>
      <w:r>
        <w:rPr>
          <w:rFonts w:cs="Simplified Arabic"/>
          <w:spacing w:val="-4"/>
          <w:sz w:val="20"/>
          <w:szCs w:val="20"/>
          <w:rtl/>
        </w:rPr>
        <w:t xml:space="preserve"> </w:t>
      </w:r>
      <w:r>
        <w:rPr>
          <w:rFonts w:cs="Simplified Arabic" w:hint="eastAsia"/>
          <w:spacing w:val="-4"/>
          <w:sz w:val="20"/>
          <w:szCs w:val="20"/>
          <w:rtl/>
        </w:rPr>
        <w:t>تشغيل</w:t>
      </w:r>
      <w:r>
        <w:rPr>
          <w:rFonts w:cs="Simplified Arabic"/>
          <w:spacing w:val="-4"/>
          <w:sz w:val="20"/>
          <w:szCs w:val="20"/>
          <w:rtl/>
        </w:rPr>
        <w:t xml:space="preserve"> </w:t>
      </w:r>
      <w:r>
        <w:rPr>
          <w:rFonts w:cs="Simplified Arabic" w:hint="eastAsia"/>
          <w:spacing w:val="-4"/>
          <w:sz w:val="20"/>
          <w:szCs w:val="20"/>
          <w:rtl/>
        </w:rPr>
        <w:t>المحطة</w:t>
      </w:r>
      <w:r>
        <w:rPr>
          <w:rFonts w:cs="Simplified Arabic"/>
          <w:spacing w:val="-4"/>
          <w:sz w:val="20"/>
          <w:szCs w:val="20"/>
          <w:rtl/>
        </w:rPr>
        <w:t xml:space="preserve"> </w:t>
      </w:r>
      <w:r>
        <w:rPr>
          <w:rFonts w:cs="Simplified Arabic" w:hint="eastAsia"/>
          <w:spacing w:val="-4"/>
          <w:sz w:val="20"/>
          <w:szCs w:val="20"/>
          <w:rtl/>
        </w:rPr>
        <w:t>قبل</w:t>
      </w:r>
      <w:r>
        <w:rPr>
          <w:rFonts w:cs="Simplified Arabic"/>
          <w:spacing w:val="-4"/>
          <w:sz w:val="20"/>
          <w:szCs w:val="20"/>
          <w:rtl/>
        </w:rPr>
        <w:t xml:space="preserve"> </w:t>
      </w:r>
      <w:r>
        <w:rPr>
          <w:rFonts w:cs="Simplified Arabic" w:hint="eastAsia"/>
          <w:spacing w:val="-4"/>
          <w:sz w:val="20"/>
          <w:szCs w:val="20"/>
          <w:rtl/>
        </w:rPr>
        <w:t>تعرضها</w:t>
      </w:r>
      <w:r>
        <w:rPr>
          <w:rFonts w:cs="Simplified Arabic"/>
          <w:spacing w:val="-4"/>
          <w:sz w:val="20"/>
          <w:szCs w:val="20"/>
          <w:rtl/>
        </w:rPr>
        <w:t xml:space="preserve"> </w:t>
      </w:r>
      <w:r>
        <w:rPr>
          <w:rFonts w:cs="Simplified Arabic" w:hint="eastAsia"/>
          <w:spacing w:val="-4"/>
          <w:sz w:val="20"/>
          <w:szCs w:val="20"/>
          <w:rtl/>
        </w:rPr>
        <w:t>لحادث</w:t>
      </w:r>
      <w:r>
        <w:rPr>
          <w:rFonts w:cs="Simplified Arabic"/>
          <w:spacing w:val="-4"/>
          <w:sz w:val="20"/>
          <w:szCs w:val="20"/>
          <w:rtl/>
        </w:rPr>
        <w:t xml:space="preserve"> </w:t>
      </w:r>
      <w:r>
        <w:rPr>
          <w:rFonts w:cs="Simplified Arabic" w:hint="eastAsia"/>
          <w:spacing w:val="-4"/>
          <w:sz w:val="20"/>
          <w:szCs w:val="20"/>
          <w:rtl/>
        </w:rPr>
        <w:t>حريق</w:t>
      </w:r>
      <w:r>
        <w:rPr>
          <w:rFonts w:cs="Simplified Arabic"/>
          <w:spacing w:val="-4"/>
          <w:sz w:val="20"/>
          <w:szCs w:val="20"/>
          <w:rtl/>
        </w:rPr>
        <w:t xml:space="preserve"> </w:t>
      </w:r>
      <w:r>
        <w:rPr>
          <w:rFonts w:cs="Simplified Arabic" w:hint="eastAsia"/>
          <w:spacing w:val="-4"/>
          <w:sz w:val="20"/>
          <w:szCs w:val="20"/>
          <w:rtl/>
        </w:rPr>
        <w:t>واستمرار</w:t>
      </w:r>
      <w:r>
        <w:rPr>
          <w:rFonts w:cs="Simplified Arabic"/>
          <w:spacing w:val="-4"/>
          <w:sz w:val="20"/>
          <w:szCs w:val="20"/>
          <w:rtl/>
        </w:rPr>
        <w:t xml:space="preserve"> </w:t>
      </w:r>
      <w:r>
        <w:rPr>
          <w:rFonts w:cs="Simplified Arabic" w:hint="eastAsia"/>
          <w:spacing w:val="-4"/>
          <w:sz w:val="20"/>
          <w:szCs w:val="20"/>
          <w:rtl/>
        </w:rPr>
        <w:t>الجهود</w:t>
      </w:r>
      <w:r>
        <w:rPr>
          <w:rFonts w:cs="Simplified Arabic"/>
          <w:spacing w:val="-4"/>
          <w:sz w:val="20"/>
          <w:szCs w:val="20"/>
          <w:rtl/>
        </w:rPr>
        <w:t xml:space="preserve"> </w:t>
      </w:r>
      <w:r>
        <w:rPr>
          <w:rFonts w:cs="Simplified Arabic" w:hint="eastAsia"/>
          <w:spacing w:val="-4"/>
          <w:sz w:val="20"/>
          <w:szCs w:val="20"/>
          <w:rtl/>
        </w:rPr>
        <w:t>الناجحة</w:t>
      </w:r>
      <w:r>
        <w:rPr>
          <w:rFonts w:cs="Simplified Arabic"/>
          <w:spacing w:val="-4"/>
          <w:sz w:val="20"/>
          <w:szCs w:val="20"/>
          <w:rtl/>
        </w:rPr>
        <w:t xml:space="preserve"> </w:t>
      </w:r>
      <w:r>
        <w:rPr>
          <w:rFonts w:cs="Simplified Arabic" w:hint="eastAsia"/>
          <w:spacing w:val="-4"/>
          <w:sz w:val="20"/>
          <w:szCs w:val="20"/>
          <w:rtl/>
        </w:rPr>
        <w:t>لإصلاح</w:t>
      </w:r>
      <w:r>
        <w:rPr>
          <w:rFonts w:cs="Simplified Arabic"/>
          <w:spacing w:val="-4"/>
          <w:sz w:val="20"/>
          <w:szCs w:val="20"/>
          <w:rtl/>
        </w:rPr>
        <w:t xml:space="preserve"> </w:t>
      </w:r>
      <w:r>
        <w:rPr>
          <w:rFonts w:cs="Simplified Arabic" w:hint="eastAsia"/>
          <w:spacing w:val="-4"/>
          <w:sz w:val="20"/>
          <w:szCs w:val="20"/>
          <w:rtl/>
        </w:rPr>
        <w:t>المحطة</w:t>
      </w:r>
      <w:r>
        <w:rPr>
          <w:rFonts w:cs="Simplified Arabic"/>
          <w:spacing w:val="-4"/>
          <w:sz w:val="20"/>
          <w:szCs w:val="20"/>
          <w:rtl/>
        </w:rPr>
        <w:t>.</w:t>
      </w:r>
      <w:r>
        <w:rPr>
          <w:rFonts w:ascii="Simplified Arabic" w:hAnsi="Simplified Arabic" w:cstheme="minorEastAsia"/>
          <w:spacing w:val="-4"/>
          <w:sz w:val="20"/>
          <w:rtl/>
        </w:rPr>
        <w:t xml:space="preserve"> </w:t>
      </w:r>
      <w:r>
        <w:rPr>
          <w:rFonts w:cs="Simplified Arabic" w:hint="eastAsia"/>
          <w:spacing w:val="-4"/>
          <w:sz w:val="20"/>
          <w:szCs w:val="20"/>
          <w:rtl/>
        </w:rPr>
        <w:t>وفضلا</w:t>
      </w:r>
      <w:r>
        <w:rPr>
          <w:rFonts w:cs="Simplified Arabic"/>
          <w:spacing w:val="-4"/>
          <w:sz w:val="20"/>
          <w:szCs w:val="20"/>
          <w:rtl/>
        </w:rPr>
        <w:t xml:space="preserve"> </w:t>
      </w:r>
      <w:r>
        <w:rPr>
          <w:rFonts w:cs="Simplified Arabic" w:hint="eastAsia"/>
          <w:spacing w:val="-4"/>
          <w:sz w:val="20"/>
          <w:szCs w:val="20"/>
          <w:rtl/>
        </w:rPr>
        <w:t>عن</w:t>
      </w:r>
      <w:r>
        <w:rPr>
          <w:rFonts w:cs="Simplified Arabic"/>
          <w:spacing w:val="-4"/>
          <w:sz w:val="20"/>
          <w:szCs w:val="20"/>
          <w:rtl/>
        </w:rPr>
        <w:t xml:space="preserve"> </w:t>
      </w:r>
      <w:r>
        <w:rPr>
          <w:rFonts w:cs="Simplified Arabic" w:hint="eastAsia"/>
          <w:spacing w:val="-4"/>
          <w:sz w:val="20"/>
          <w:szCs w:val="20"/>
          <w:rtl/>
        </w:rPr>
        <w:t>ذلك،</w:t>
      </w:r>
      <w:r>
        <w:rPr>
          <w:rFonts w:cs="Simplified Arabic"/>
          <w:spacing w:val="-4"/>
          <w:sz w:val="20"/>
          <w:szCs w:val="20"/>
          <w:rtl/>
        </w:rPr>
        <w:t xml:space="preserve"> </w:t>
      </w:r>
      <w:r>
        <w:rPr>
          <w:rFonts w:cs="Simplified Arabic" w:hint="eastAsia"/>
          <w:spacing w:val="-4"/>
          <w:sz w:val="20"/>
          <w:szCs w:val="20"/>
          <w:rtl/>
        </w:rPr>
        <w:t>سيؤدي</w:t>
      </w:r>
      <w:r>
        <w:rPr>
          <w:rFonts w:cs="Simplified Arabic"/>
          <w:spacing w:val="-4"/>
          <w:sz w:val="20"/>
          <w:szCs w:val="20"/>
          <w:rtl/>
        </w:rPr>
        <w:t xml:space="preserve"> </w:t>
      </w:r>
      <w:r>
        <w:rPr>
          <w:rFonts w:cs="Simplified Arabic" w:hint="eastAsia"/>
          <w:spacing w:val="-4"/>
          <w:sz w:val="20"/>
          <w:szCs w:val="20"/>
          <w:rtl/>
        </w:rPr>
        <w:t>اثنان</w:t>
      </w:r>
      <w:r>
        <w:rPr>
          <w:rFonts w:cs="Simplified Arabic"/>
          <w:spacing w:val="-4"/>
          <w:sz w:val="20"/>
          <w:szCs w:val="20"/>
          <w:rtl/>
        </w:rPr>
        <w:t xml:space="preserve"> </w:t>
      </w:r>
      <w:r>
        <w:rPr>
          <w:rFonts w:cs="Simplified Arabic" w:hint="eastAsia"/>
          <w:spacing w:val="-4"/>
          <w:sz w:val="20"/>
          <w:szCs w:val="20"/>
          <w:rtl/>
        </w:rPr>
        <w:t>من</w:t>
      </w:r>
      <w:r>
        <w:rPr>
          <w:rFonts w:cs="Simplified Arabic"/>
          <w:spacing w:val="-4"/>
          <w:sz w:val="20"/>
          <w:szCs w:val="20"/>
          <w:rtl/>
        </w:rPr>
        <w:t xml:space="preserve"> </w:t>
      </w:r>
      <w:r>
        <w:rPr>
          <w:rFonts w:cs="Simplified Arabic" w:hint="eastAsia"/>
          <w:spacing w:val="-4"/>
          <w:sz w:val="20"/>
          <w:szCs w:val="20"/>
          <w:rtl/>
        </w:rPr>
        <w:t>المكونات</w:t>
      </w:r>
      <w:r>
        <w:rPr>
          <w:rFonts w:cs="Simplified Arabic"/>
          <w:spacing w:val="-4"/>
          <w:sz w:val="20"/>
          <w:szCs w:val="20"/>
          <w:rtl/>
        </w:rPr>
        <w:t xml:space="preserve"> </w:t>
      </w:r>
      <w:r>
        <w:rPr>
          <w:rFonts w:cs="Simplified Arabic" w:hint="eastAsia"/>
          <w:spacing w:val="-4"/>
          <w:sz w:val="20"/>
          <w:szCs w:val="20"/>
          <w:rtl/>
        </w:rPr>
        <w:t>الثلاثة</w:t>
      </w:r>
      <w:r>
        <w:rPr>
          <w:rFonts w:cs="Simplified Arabic"/>
          <w:spacing w:val="-4"/>
          <w:sz w:val="20"/>
          <w:szCs w:val="20"/>
          <w:rtl/>
        </w:rPr>
        <w:t xml:space="preserve"> </w:t>
      </w:r>
      <w:r>
        <w:rPr>
          <w:rFonts w:cs="Simplified Arabic" w:hint="eastAsia"/>
          <w:spacing w:val="-4"/>
          <w:sz w:val="20"/>
          <w:szCs w:val="20"/>
          <w:rtl/>
        </w:rPr>
        <w:t>للمساعدة</w:t>
      </w:r>
      <w:r>
        <w:rPr>
          <w:rFonts w:cs="Simplified Arabic"/>
          <w:spacing w:val="-4"/>
          <w:sz w:val="20"/>
          <w:szCs w:val="20"/>
          <w:rtl/>
        </w:rPr>
        <w:t xml:space="preserve"> </w:t>
      </w:r>
      <w:r>
        <w:rPr>
          <w:rFonts w:cs="Simplified Arabic" w:hint="eastAsia"/>
          <w:spacing w:val="-4"/>
          <w:sz w:val="20"/>
          <w:szCs w:val="20"/>
          <w:rtl/>
        </w:rPr>
        <w:t>الفنية</w:t>
      </w:r>
      <w:r>
        <w:rPr>
          <w:rFonts w:cs="Simplified Arabic"/>
          <w:spacing w:val="-4"/>
          <w:sz w:val="20"/>
          <w:szCs w:val="20"/>
          <w:rtl/>
        </w:rPr>
        <w:t xml:space="preserve"> </w:t>
      </w:r>
      <w:r>
        <w:rPr>
          <w:rFonts w:cs="Simplified Arabic" w:hint="eastAsia"/>
          <w:spacing w:val="-4"/>
          <w:sz w:val="20"/>
          <w:szCs w:val="20"/>
          <w:rtl/>
        </w:rPr>
        <w:t>إلى</w:t>
      </w:r>
      <w:r>
        <w:rPr>
          <w:rFonts w:cs="Simplified Arabic"/>
          <w:spacing w:val="-4"/>
          <w:sz w:val="20"/>
          <w:szCs w:val="20"/>
          <w:rtl/>
        </w:rPr>
        <w:t xml:space="preserve"> </w:t>
      </w:r>
      <w:r>
        <w:rPr>
          <w:rFonts w:cs="Simplified Arabic" w:hint="eastAsia"/>
          <w:spacing w:val="-4"/>
          <w:sz w:val="20"/>
          <w:szCs w:val="20"/>
          <w:rtl/>
        </w:rPr>
        <w:t>تحسين</w:t>
      </w:r>
      <w:r>
        <w:rPr>
          <w:rFonts w:cs="Simplified Arabic"/>
          <w:spacing w:val="-4"/>
          <w:sz w:val="20"/>
          <w:szCs w:val="20"/>
          <w:rtl/>
        </w:rPr>
        <w:t xml:space="preserve"> </w:t>
      </w:r>
      <w:r>
        <w:rPr>
          <w:rFonts w:cs="Simplified Arabic" w:hint="eastAsia"/>
          <w:spacing w:val="-4"/>
          <w:sz w:val="20"/>
          <w:szCs w:val="20"/>
          <w:rtl/>
        </w:rPr>
        <w:t>كفاءة</w:t>
      </w:r>
      <w:r>
        <w:rPr>
          <w:rFonts w:cs="Simplified Arabic"/>
          <w:spacing w:val="-4"/>
          <w:sz w:val="20"/>
          <w:szCs w:val="20"/>
          <w:rtl/>
        </w:rPr>
        <w:t xml:space="preserve"> </w:t>
      </w:r>
      <w:r>
        <w:rPr>
          <w:rFonts w:cs="Simplified Arabic" w:hint="eastAsia"/>
          <w:spacing w:val="-4"/>
          <w:sz w:val="20"/>
          <w:szCs w:val="20"/>
          <w:rtl/>
        </w:rPr>
        <w:t>استخدام</w:t>
      </w:r>
      <w:r>
        <w:rPr>
          <w:rFonts w:cs="Simplified Arabic"/>
          <w:spacing w:val="-4"/>
          <w:sz w:val="20"/>
          <w:szCs w:val="20"/>
          <w:rtl/>
        </w:rPr>
        <w:t xml:space="preserve"> </w:t>
      </w:r>
      <w:r>
        <w:rPr>
          <w:rFonts w:cs="Simplified Arabic" w:hint="eastAsia"/>
          <w:spacing w:val="-4"/>
          <w:sz w:val="20"/>
          <w:szCs w:val="20"/>
          <w:rtl/>
        </w:rPr>
        <w:t>الطاقة</w:t>
      </w:r>
      <w:r>
        <w:rPr>
          <w:rFonts w:cs="Simplified Arabic"/>
          <w:spacing w:val="-4"/>
          <w:sz w:val="20"/>
          <w:szCs w:val="20"/>
          <w:rtl/>
        </w:rPr>
        <w:t xml:space="preserve"> </w:t>
      </w:r>
      <w:r>
        <w:rPr>
          <w:rFonts w:cs="Simplified Arabic" w:hint="eastAsia"/>
          <w:spacing w:val="-4"/>
          <w:sz w:val="20"/>
          <w:szCs w:val="20"/>
          <w:rtl/>
        </w:rPr>
        <w:t>في</w:t>
      </w:r>
      <w:r>
        <w:rPr>
          <w:rFonts w:cs="Simplified Arabic"/>
          <w:spacing w:val="-4"/>
          <w:sz w:val="20"/>
          <w:szCs w:val="20"/>
          <w:rtl/>
        </w:rPr>
        <w:t xml:space="preserve"> </w:t>
      </w:r>
      <w:r>
        <w:rPr>
          <w:rFonts w:cs="Simplified Arabic" w:hint="eastAsia"/>
          <w:spacing w:val="-4"/>
          <w:sz w:val="20"/>
          <w:szCs w:val="20"/>
          <w:rtl/>
        </w:rPr>
        <w:t>القطاع</w:t>
      </w:r>
      <w:r>
        <w:rPr>
          <w:rFonts w:cs="Simplified Arabic"/>
          <w:spacing w:val="-4"/>
          <w:sz w:val="20"/>
          <w:szCs w:val="20"/>
          <w:rtl/>
        </w:rPr>
        <w:t xml:space="preserve"> </w:t>
      </w:r>
      <w:r>
        <w:rPr>
          <w:rFonts w:cs="Simplified Arabic" w:hint="eastAsia"/>
          <w:spacing w:val="-4"/>
          <w:sz w:val="20"/>
          <w:szCs w:val="20"/>
          <w:rtl/>
        </w:rPr>
        <w:t>الصناعي</w:t>
      </w:r>
      <w:r>
        <w:rPr>
          <w:rFonts w:cs="Simplified Arabic"/>
          <w:spacing w:val="-4"/>
          <w:sz w:val="20"/>
          <w:szCs w:val="20"/>
          <w:rtl/>
        </w:rPr>
        <w:t xml:space="preserve"> </w:t>
      </w:r>
      <w:r>
        <w:rPr>
          <w:rFonts w:cs="Simplified Arabic" w:hint="eastAsia"/>
          <w:spacing w:val="-4"/>
          <w:sz w:val="20"/>
          <w:szCs w:val="20"/>
          <w:rtl/>
        </w:rPr>
        <w:t>ومن</w:t>
      </w:r>
      <w:r>
        <w:rPr>
          <w:rFonts w:cs="Simplified Arabic"/>
          <w:spacing w:val="-4"/>
          <w:sz w:val="20"/>
          <w:szCs w:val="20"/>
          <w:rtl/>
        </w:rPr>
        <w:t xml:space="preserve"> </w:t>
      </w:r>
      <w:r>
        <w:rPr>
          <w:rFonts w:cs="Simplified Arabic" w:hint="eastAsia"/>
          <w:spacing w:val="-4"/>
          <w:sz w:val="20"/>
          <w:szCs w:val="20"/>
          <w:rtl/>
        </w:rPr>
        <w:t>ثم</w:t>
      </w:r>
      <w:r>
        <w:rPr>
          <w:rFonts w:cs="Simplified Arabic"/>
          <w:spacing w:val="-4"/>
          <w:sz w:val="20"/>
          <w:szCs w:val="20"/>
          <w:rtl/>
        </w:rPr>
        <w:t xml:space="preserve"> </w:t>
      </w:r>
      <w:r>
        <w:rPr>
          <w:rFonts w:cs="Simplified Arabic" w:hint="eastAsia"/>
          <w:spacing w:val="-4"/>
          <w:sz w:val="20"/>
          <w:szCs w:val="20"/>
          <w:rtl/>
        </w:rPr>
        <w:t>إلى</w:t>
      </w:r>
      <w:r>
        <w:rPr>
          <w:rFonts w:cs="Simplified Arabic"/>
          <w:spacing w:val="-4"/>
          <w:sz w:val="20"/>
          <w:szCs w:val="20"/>
          <w:rtl/>
        </w:rPr>
        <w:t xml:space="preserve"> </w:t>
      </w:r>
      <w:r>
        <w:rPr>
          <w:rFonts w:cs="Simplified Arabic" w:hint="eastAsia"/>
          <w:spacing w:val="-4"/>
          <w:sz w:val="20"/>
          <w:szCs w:val="20"/>
          <w:rtl/>
        </w:rPr>
        <w:t>مكاسب</w:t>
      </w:r>
      <w:r>
        <w:rPr>
          <w:rFonts w:cs="Simplified Arabic"/>
          <w:spacing w:val="-4"/>
          <w:sz w:val="20"/>
          <w:szCs w:val="20"/>
          <w:rtl/>
        </w:rPr>
        <w:t xml:space="preserve"> </w:t>
      </w:r>
      <w:r>
        <w:rPr>
          <w:rFonts w:cs="Simplified Arabic" w:hint="eastAsia"/>
          <w:spacing w:val="-4"/>
          <w:sz w:val="20"/>
          <w:szCs w:val="20"/>
          <w:rtl/>
        </w:rPr>
        <w:t>مالية</w:t>
      </w:r>
      <w:r>
        <w:rPr>
          <w:rFonts w:cs="Simplified Arabic"/>
          <w:spacing w:val="-4"/>
          <w:sz w:val="20"/>
          <w:szCs w:val="20"/>
          <w:rtl/>
        </w:rPr>
        <w:t xml:space="preserve"> </w:t>
      </w:r>
      <w:r>
        <w:rPr>
          <w:rFonts w:cs="Simplified Arabic" w:hint="eastAsia"/>
          <w:spacing w:val="-4"/>
          <w:sz w:val="20"/>
          <w:szCs w:val="20"/>
          <w:rtl/>
        </w:rPr>
        <w:t>لقطاع</w:t>
      </w:r>
      <w:r>
        <w:rPr>
          <w:rFonts w:cs="Simplified Arabic"/>
          <w:spacing w:val="-4"/>
          <w:sz w:val="20"/>
          <w:szCs w:val="20"/>
          <w:rtl/>
        </w:rPr>
        <w:t xml:space="preserve"> </w:t>
      </w:r>
      <w:r>
        <w:rPr>
          <w:rFonts w:cs="Simplified Arabic" w:hint="eastAsia"/>
          <w:spacing w:val="-4"/>
          <w:sz w:val="20"/>
          <w:szCs w:val="20"/>
          <w:rtl/>
        </w:rPr>
        <w:t>الكهرباء</w:t>
      </w:r>
      <w:r>
        <w:rPr>
          <w:rFonts w:cs="Simplified Arabic"/>
          <w:spacing w:val="-4"/>
          <w:sz w:val="20"/>
          <w:szCs w:val="20"/>
          <w:rtl/>
        </w:rPr>
        <w:t xml:space="preserve"> </w:t>
      </w:r>
      <w:r>
        <w:rPr>
          <w:rFonts w:cs="Simplified Arabic" w:hint="eastAsia"/>
          <w:spacing w:val="-4"/>
          <w:sz w:val="20"/>
          <w:szCs w:val="20"/>
          <w:rtl/>
        </w:rPr>
        <w:t>في</w:t>
      </w:r>
      <w:r>
        <w:rPr>
          <w:rFonts w:cs="Simplified Arabic"/>
          <w:spacing w:val="-4"/>
          <w:sz w:val="20"/>
          <w:szCs w:val="20"/>
          <w:rtl/>
        </w:rPr>
        <w:t xml:space="preserve"> </w:t>
      </w:r>
      <w:r>
        <w:rPr>
          <w:rFonts w:cs="Simplified Arabic" w:hint="eastAsia"/>
          <w:spacing w:val="-4"/>
          <w:sz w:val="20"/>
          <w:szCs w:val="20"/>
          <w:rtl/>
        </w:rPr>
        <w:t>مصر</w:t>
      </w:r>
      <w:r>
        <w:rPr>
          <w:rFonts w:cs="Simplified Arabic"/>
          <w:spacing w:val="-4"/>
          <w:sz w:val="20"/>
          <w:szCs w:val="20"/>
          <w:rtl/>
        </w:rPr>
        <w:t>.</w:t>
      </w:r>
    </w:p>
  </w:footnote>
  <w:footnote w:id="33">
    <w:p w:rsidR="00F4694D" w:rsidRDefault="00F4694D" w:rsidP="00941C03">
      <w:pPr>
        <w:pStyle w:val="FootnoteText"/>
        <w:bidi/>
        <w:rPr>
          <w:rtl/>
        </w:rPr>
      </w:pPr>
      <w:r>
        <w:rPr>
          <w:rStyle w:val="FootnoteReference"/>
        </w:rPr>
        <w:footnoteRef/>
      </w:r>
      <w:r>
        <w:rPr>
          <w:rtl/>
        </w:rPr>
        <w:t xml:space="preserve"> </w:t>
      </w:r>
      <w:r>
        <w:rPr>
          <w:rFonts w:cs="Simplified Arabic" w:hint="eastAsia"/>
          <w:spacing w:val="-4"/>
          <w:sz w:val="20"/>
          <w:szCs w:val="20"/>
          <w:rtl/>
        </w:rPr>
        <w:t>تساعد</w:t>
      </w:r>
      <w:r>
        <w:rPr>
          <w:rFonts w:cs="Simplified Arabic"/>
          <w:spacing w:val="-4"/>
          <w:sz w:val="20"/>
          <w:szCs w:val="20"/>
          <w:rtl/>
        </w:rPr>
        <w:t xml:space="preserve"> </w:t>
      </w:r>
      <w:r>
        <w:rPr>
          <w:rFonts w:cs="Simplified Arabic" w:hint="eastAsia"/>
          <w:color w:val="000000"/>
          <w:sz w:val="20"/>
          <w:szCs w:val="20"/>
          <w:rtl/>
        </w:rPr>
        <w:t>الأداة</w:t>
      </w:r>
      <w:r>
        <w:rPr>
          <w:rFonts w:ascii="Simplified Arabic" w:hAnsi="Simplified Arabic" w:cs="Calibri (Arabic)"/>
          <w:color w:val="000000"/>
          <w:sz w:val="20"/>
          <w:szCs w:val="20"/>
        </w:rPr>
        <w:t xml:space="preserve"> </w:t>
      </w:r>
      <w:r>
        <w:rPr>
          <w:rFonts w:cs="Simplified Arabic" w:hint="eastAsia"/>
          <w:color w:val="000000"/>
          <w:sz w:val="20"/>
          <w:szCs w:val="20"/>
          <w:rtl/>
        </w:rPr>
        <w:t>التشخيصية</w:t>
      </w:r>
      <w:r>
        <w:rPr>
          <w:rFonts w:ascii="Simplified Arabic" w:hAnsi="Simplified Arabic" w:cs="Calibri (Arabic)"/>
          <w:color w:val="000000"/>
          <w:sz w:val="20"/>
          <w:szCs w:val="20"/>
        </w:rPr>
        <w:t xml:space="preserve"> </w:t>
      </w:r>
      <w:r>
        <w:rPr>
          <w:rFonts w:cs="Simplified Arabic"/>
          <w:color w:val="000000"/>
          <w:sz w:val="20"/>
          <w:szCs w:val="20"/>
          <w:rtl/>
        </w:rPr>
        <w:t>(</w:t>
      </w:r>
      <w:r>
        <w:rPr>
          <w:rFonts w:cs="Simplified Arabic" w:hint="eastAsia"/>
          <w:sz w:val="20"/>
          <w:szCs w:val="20"/>
          <w:rtl/>
        </w:rPr>
        <w:t>نهج</w:t>
      </w:r>
      <w:r>
        <w:rPr>
          <w:rFonts w:ascii="Simplified Arabic" w:hAnsi="Simplified Arabic" w:cs="Calibri (Arabic)"/>
          <w:sz w:val="20"/>
          <w:szCs w:val="20"/>
        </w:rPr>
        <w:t xml:space="preserve"> </w:t>
      </w:r>
      <w:r>
        <w:rPr>
          <w:rFonts w:cs="Simplified Arabic" w:hint="eastAsia"/>
          <w:sz w:val="20"/>
          <w:szCs w:val="20"/>
          <w:rtl/>
        </w:rPr>
        <w:t>النظم</w:t>
      </w:r>
      <w:r>
        <w:rPr>
          <w:rFonts w:ascii="Simplified Arabic" w:hAnsi="Simplified Arabic" w:cs="Calibri (Arabic)"/>
          <w:sz w:val="20"/>
          <w:szCs w:val="20"/>
        </w:rPr>
        <w:t xml:space="preserve"> </w:t>
      </w:r>
      <w:r>
        <w:rPr>
          <w:rFonts w:cs="Simplified Arabic" w:hint="eastAsia"/>
          <w:sz w:val="20"/>
          <w:szCs w:val="20"/>
          <w:rtl/>
        </w:rPr>
        <w:t>من</w:t>
      </w:r>
      <w:r>
        <w:rPr>
          <w:rFonts w:ascii="Simplified Arabic" w:hAnsi="Simplified Arabic" w:cs="Calibri (Arabic)"/>
          <w:sz w:val="20"/>
          <w:szCs w:val="20"/>
        </w:rPr>
        <w:t xml:space="preserve"> </w:t>
      </w:r>
      <w:r>
        <w:rPr>
          <w:rFonts w:cs="Simplified Arabic" w:hint="eastAsia"/>
          <w:sz w:val="20"/>
          <w:szCs w:val="20"/>
          <w:rtl/>
        </w:rPr>
        <w:t>أجل</w:t>
      </w:r>
      <w:r>
        <w:rPr>
          <w:rFonts w:ascii="Simplified Arabic" w:hAnsi="Simplified Arabic" w:cs="Calibri (Arabic)"/>
          <w:sz w:val="20"/>
          <w:szCs w:val="20"/>
        </w:rPr>
        <w:t xml:space="preserve"> </w:t>
      </w:r>
      <w:r>
        <w:rPr>
          <w:rFonts w:cs="Simplified Arabic" w:hint="eastAsia"/>
          <w:sz w:val="20"/>
          <w:szCs w:val="20"/>
          <w:rtl/>
        </w:rPr>
        <w:t>تحسين</w:t>
      </w:r>
      <w:r>
        <w:rPr>
          <w:rFonts w:ascii="Simplified Arabic" w:hAnsi="Simplified Arabic" w:cs="Calibri (Arabic)"/>
          <w:sz w:val="20"/>
          <w:szCs w:val="20"/>
        </w:rPr>
        <w:t xml:space="preserve"> </w:t>
      </w:r>
      <w:r>
        <w:rPr>
          <w:rFonts w:cs="Simplified Arabic" w:hint="eastAsia"/>
          <w:sz w:val="20"/>
          <w:szCs w:val="20"/>
          <w:rtl/>
        </w:rPr>
        <w:t>نواتج</w:t>
      </w:r>
      <w:r>
        <w:rPr>
          <w:rFonts w:ascii="Simplified Arabic" w:hAnsi="Simplified Arabic" w:cs="Calibri (Arabic)"/>
          <w:sz w:val="20"/>
          <w:szCs w:val="20"/>
        </w:rPr>
        <w:t xml:space="preserve"> </w:t>
      </w:r>
      <w:r>
        <w:rPr>
          <w:rFonts w:cs="Simplified Arabic" w:hint="eastAsia"/>
          <w:sz w:val="20"/>
          <w:szCs w:val="20"/>
          <w:rtl/>
        </w:rPr>
        <w:t>التعليم</w:t>
      </w:r>
      <w:r>
        <w:rPr>
          <w:rFonts w:ascii="Simplified Arabic" w:hAnsi="Simplified Arabic" w:cs="Calibri (Arabic)"/>
          <w:sz w:val="20"/>
          <w:szCs w:val="20"/>
        </w:rPr>
        <w:t xml:space="preserve"> </w:t>
      </w:r>
      <w:r>
        <w:rPr>
          <w:rFonts w:cs="Simplified Arabic" w:hint="eastAsia"/>
          <w:sz w:val="20"/>
          <w:szCs w:val="20"/>
          <w:rtl/>
        </w:rPr>
        <w:t>في</w:t>
      </w:r>
      <w:r>
        <w:rPr>
          <w:rFonts w:ascii="Simplified Arabic" w:hAnsi="Simplified Arabic" w:cs="Calibri (Arabic)"/>
          <w:sz w:val="20"/>
          <w:szCs w:val="20"/>
        </w:rPr>
        <w:t xml:space="preserve"> </w:t>
      </w:r>
      <w:r>
        <w:rPr>
          <w:rFonts w:cs="Simplified Arabic" w:hint="eastAsia"/>
          <w:sz w:val="20"/>
          <w:szCs w:val="20"/>
          <w:rtl/>
        </w:rPr>
        <w:t>إطار</w:t>
      </w:r>
      <w:r>
        <w:rPr>
          <w:rFonts w:ascii="Simplified Arabic" w:hAnsi="Simplified Arabic" w:cs="Calibri (Arabic)"/>
          <w:sz w:val="20"/>
          <w:szCs w:val="20"/>
        </w:rPr>
        <w:t xml:space="preserve"> </w:t>
      </w:r>
      <w:r>
        <w:rPr>
          <w:rFonts w:cs="Simplified Arabic" w:hint="eastAsia"/>
          <w:sz w:val="20"/>
          <w:szCs w:val="20"/>
          <w:rtl/>
        </w:rPr>
        <w:t>خطة</w:t>
      </w:r>
      <w:r>
        <w:rPr>
          <w:rFonts w:ascii="Simplified Arabic" w:hAnsi="Simplified Arabic" w:cs="Calibri (Arabic)"/>
          <w:sz w:val="20"/>
          <w:szCs w:val="20"/>
        </w:rPr>
        <w:t xml:space="preserve"> </w:t>
      </w:r>
      <w:r>
        <w:rPr>
          <w:rFonts w:cs="Simplified Arabic" w:hint="eastAsia"/>
          <w:sz w:val="20"/>
          <w:szCs w:val="20"/>
          <w:rtl/>
        </w:rPr>
        <w:t>تنمية</w:t>
      </w:r>
      <w:r>
        <w:rPr>
          <w:rFonts w:ascii="Simplified Arabic" w:hAnsi="Simplified Arabic" w:cs="Calibri (Arabic)"/>
          <w:sz w:val="20"/>
          <w:szCs w:val="20"/>
        </w:rPr>
        <w:t xml:space="preserve"> </w:t>
      </w:r>
      <w:r>
        <w:rPr>
          <w:rFonts w:cs="Simplified Arabic" w:hint="eastAsia"/>
          <w:sz w:val="20"/>
          <w:szCs w:val="20"/>
          <w:rtl/>
        </w:rPr>
        <w:t>القوى</w:t>
      </w:r>
      <w:r>
        <w:rPr>
          <w:rFonts w:ascii="Simplified Arabic" w:hAnsi="Simplified Arabic" w:cs="Calibri (Arabic)"/>
          <w:sz w:val="20"/>
          <w:szCs w:val="20"/>
        </w:rPr>
        <w:t xml:space="preserve"> </w:t>
      </w:r>
      <w:r>
        <w:rPr>
          <w:rFonts w:cs="Simplified Arabic" w:hint="eastAsia"/>
          <w:sz w:val="20"/>
          <w:szCs w:val="20"/>
          <w:rtl/>
        </w:rPr>
        <w:t>العاملة</w:t>
      </w:r>
      <w:r>
        <w:rPr>
          <w:rFonts w:cs="Simplified Arabic"/>
          <w:sz w:val="20"/>
          <w:szCs w:val="20"/>
          <w:rtl/>
        </w:rPr>
        <w:t xml:space="preserve">) </w:t>
      </w:r>
      <w:r>
        <w:rPr>
          <w:rFonts w:cs="Simplified Arabic" w:hint="eastAsia"/>
          <w:sz w:val="20"/>
          <w:szCs w:val="20"/>
          <w:rtl/>
        </w:rPr>
        <w:t>البلدان</w:t>
      </w:r>
      <w:r>
        <w:rPr>
          <w:rFonts w:cs="Simplified Arabic"/>
          <w:sz w:val="20"/>
          <w:szCs w:val="20"/>
          <w:rtl/>
        </w:rPr>
        <w:t xml:space="preserve"> </w:t>
      </w:r>
      <w:r>
        <w:rPr>
          <w:rFonts w:cs="Simplified Arabic" w:hint="eastAsia"/>
          <w:sz w:val="20"/>
          <w:szCs w:val="20"/>
          <w:rtl/>
        </w:rPr>
        <w:t>على</w:t>
      </w:r>
      <w:r>
        <w:rPr>
          <w:rFonts w:cs="Simplified Arabic"/>
          <w:sz w:val="20"/>
          <w:szCs w:val="20"/>
          <w:rtl/>
        </w:rPr>
        <w:t xml:space="preserve"> </w:t>
      </w:r>
      <w:r>
        <w:rPr>
          <w:rFonts w:cs="Simplified Arabic" w:hint="eastAsia"/>
          <w:sz w:val="20"/>
          <w:szCs w:val="20"/>
          <w:rtl/>
        </w:rPr>
        <w:t>تقييم</w:t>
      </w:r>
      <w:r>
        <w:rPr>
          <w:rFonts w:cs="Simplified Arabic"/>
          <w:sz w:val="20"/>
          <w:szCs w:val="20"/>
          <w:rtl/>
        </w:rPr>
        <w:t xml:space="preserve"> </w:t>
      </w:r>
      <w:r>
        <w:rPr>
          <w:rFonts w:cs="Simplified Arabic" w:hint="eastAsia"/>
          <w:sz w:val="20"/>
          <w:szCs w:val="20"/>
          <w:rtl/>
        </w:rPr>
        <w:t>الخيارات</w:t>
      </w:r>
      <w:r>
        <w:rPr>
          <w:rFonts w:cs="Simplified Arabic"/>
          <w:sz w:val="20"/>
          <w:szCs w:val="20"/>
          <w:rtl/>
        </w:rPr>
        <w:t xml:space="preserve"> </w:t>
      </w:r>
      <w:r>
        <w:rPr>
          <w:rFonts w:cs="Simplified Arabic" w:hint="eastAsia"/>
          <w:sz w:val="20"/>
          <w:szCs w:val="20"/>
          <w:rtl/>
        </w:rPr>
        <w:t>المتاحة</w:t>
      </w:r>
      <w:r>
        <w:rPr>
          <w:rFonts w:cs="Simplified Arabic"/>
          <w:sz w:val="20"/>
          <w:szCs w:val="20"/>
          <w:rtl/>
        </w:rPr>
        <w:t xml:space="preserve"> </w:t>
      </w:r>
      <w:r>
        <w:rPr>
          <w:rFonts w:cs="Simplified Arabic" w:hint="eastAsia"/>
          <w:sz w:val="20"/>
          <w:szCs w:val="20"/>
          <w:rtl/>
        </w:rPr>
        <w:t>لتحسين</w:t>
      </w:r>
      <w:r>
        <w:rPr>
          <w:rFonts w:cs="Simplified Arabic"/>
          <w:sz w:val="20"/>
          <w:szCs w:val="20"/>
          <w:rtl/>
        </w:rPr>
        <w:t xml:space="preserve"> </w:t>
      </w:r>
      <w:r>
        <w:rPr>
          <w:rFonts w:cs="Simplified Arabic" w:hint="eastAsia"/>
          <w:sz w:val="20"/>
          <w:szCs w:val="20"/>
          <w:rtl/>
        </w:rPr>
        <w:t>سياسة</w:t>
      </w:r>
      <w:r>
        <w:rPr>
          <w:rFonts w:cs="Simplified Arabic"/>
          <w:sz w:val="20"/>
          <w:szCs w:val="20"/>
          <w:rtl/>
        </w:rPr>
        <w:t xml:space="preserve"> </w:t>
      </w:r>
      <w:r>
        <w:rPr>
          <w:rFonts w:cs="Simplified Arabic" w:hint="eastAsia"/>
          <w:sz w:val="20"/>
          <w:szCs w:val="20"/>
          <w:rtl/>
        </w:rPr>
        <w:t>تنمية</w:t>
      </w:r>
      <w:r>
        <w:rPr>
          <w:rFonts w:cs="Simplified Arabic"/>
          <w:sz w:val="20"/>
          <w:szCs w:val="20"/>
          <w:rtl/>
        </w:rPr>
        <w:t xml:space="preserve"> </w:t>
      </w:r>
      <w:r>
        <w:rPr>
          <w:rFonts w:cs="Simplified Arabic" w:hint="eastAsia"/>
          <w:sz w:val="20"/>
          <w:szCs w:val="20"/>
          <w:rtl/>
        </w:rPr>
        <w:t>المهارات</w:t>
      </w:r>
      <w:r>
        <w:rPr>
          <w:rFonts w:cs="Simplified Arabic"/>
          <w:sz w:val="20"/>
          <w:szCs w:val="20"/>
          <w:rtl/>
        </w:rPr>
        <w:t>.</w:t>
      </w:r>
      <w:r>
        <w:rPr>
          <w:rFonts w:ascii="Simplified Arabic" w:hAnsi="Simplified Arabic" w:cstheme="minorEastAsia"/>
          <w:spacing w:val="-4"/>
          <w:sz w:val="20"/>
        </w:rPr>
        <w:t xml:space="preserve"> </w:t>
      </w:r>
      <w:r>
        <w:rPr>
          <w:rFonts w:cs="Simplified Arabic" w:hint="eastAsia"/>
          <w:spacing w:val="-4"/>
          <w:sz w:val="20"/>
          <w:szCs w:val="20"/>
          <w:rtl/>
        </w:rPr>
        <w:t>وفي</w:t>
      </w:r>
      <w:r>
        <w:rPr>
          <w:rFonts w:cs="Simplified Arabic"/>
          <w:spacing w:val="-4"/>
          <w:sz w:val="20"/>
          <w:szCs w:val="20"/>
          <w:rtl/>
        </w:rPr>
        <w:t xml:space="preserve"> </w:t>
      </w:r>
      <w:r>
        <w:rPr>
          <w:rFonts w:cs="Simplified Arabic" w:hint="eastAsia"/>
          <w:spacing w:val="-4"/>
          <w:sz w:val="20"/>
          <w:szCs w:val="20"/>
          <w:rtl/>
        </w:rPr>
        <w:t>أعقاب</w:t>
      </w:r>
      <w:r>
        <w:rPr>
          <w:rFonts w:cs="Simplified Arabic"/>
          <w:spacing w:val="-4"/>
          <w:sz w:val="20"/>
          <w:szCs w:val="20"/>
          <w:rtl/>
        </w:rPr>
        <w:t xml:space="preserve"> </w:t>
      </w:r>
      <w:r>
        <w:rPr>
          <w:rFonts w:cs="Simplified Arabic" w:hint="eastAsia"/>
          <w:spacing w:val="-4"/>
          <w:sz w:val="20"/>
          <w:szCs w:val="20"/>
          <w:rtl/>
        </w:rPr>
        <w:t>إطلاق</w:t>
      </w:r>
      <w:r>
        <w:rPr>
          <w:rFonts w:cs="Simplified Arabic"/>
          <w:spacing w:val="-4"/>
          <w:sz w:val="20"/>
          <w:szCs w:val="20"/>
          <w:rtl/>
        </w:rPr>
        <w:t xml:space="preserve"> </w:t>
      </w:r>
      <w:r>
        <w:rPr>
          <w:rFonts w:cs="Simplified Arabic" w:hint="eastAsia"/>
          <w:spacing w:val="-4"/>
          <w:sz w:val="20"/>
          <w:szCs w:val="20"/>
          <w:rtl/>
        </w:rPr>
        <w:t>إستراتيجية</w:t>
      </w:r>
      <w:r>
        <w:rPr>
          <w:rFonts w:cs="Simplified Arabic"/>
          <w:spacing w:val="-4"/>
          <w:sz w:val="20"/>
          <w:szCs w:val="20"/>
          <w:rtl/>
        </w:rPr>
        <w:t xml:space="preserve"> </w:t>
      </w:r>
      <w:r>
        <w:rPr>
          <w:rFonts w:cs="Simplified Arabic" w:hint="eastAsia"/>
          <w:spacing w:val="-4"/>
          <w:sz w:val="20"/>
          <w:szCs w:val="20"/>
          <w:rtl/>
        </w:rPr>
        <w:t>البنك</w:t>
      </w:r>
      <w:r>
        <w:rPr>
          <w:rFonts w:cs="Simplified Arabic"/>
          <w:spacing w:val="-4"/>
          <w:sz w:val="20"/>
          <w:szCs w:val="20"/>
          <w:rtl/>
        </w:rPr>
        <w:t xml:space="preserve"> </w:t>
      </w:r>
      <w:r>
        <w:rPr>
          <w:rFonts w:cs="Simplified Arabic" w:hint="eastAsia"/>
          <w:spacing w:val="-4"/>
          <w:sz w:val="20"/>
          <w:szCs w:val="20"/>
          <w:rtl/>
        </w:rPr>
        <w:t>الدولي</w:t>
      </w:r>
      <w:r>
        <w:rPr>
          <w:rFonts w:cs="Simplified Arabic"/>
          <w:spacing w:val="-4"/>
          <w:sz w:val="20"/>
          <w:szCs w:val="20"/>
          <w:rtl/>
        </w:rPr>
        <w:t xml:space="preserve"> </w:t>
      </w:r>
      <w:r>
        <w:rPr>
          <w:rFonts w:cs="Simplified Arabic" w:hint="eastAsia"/>
          <w:spacing w:val="-4"/>
          <w:sz w:val="20"/>
          <w:szCs w:val="20"/>
          <w:rtl/>
        </w:rPr>
        <w:t>لقطاع</w:t>
      </w:r>
      <w:r>
        <w:rPr>
          <w:rFonts w:cs="Simplified Arabic"/>
          <w:spacing w:val="-4"/>
          <w:sz w:val="20"/>
          <w:szCs w:val="20"/>
          <w:rtl/>
        </w:rPr>
        <w:t xml:space="preserve"> </w:t>
      </w:r>
      <w:r>
        <w:rPr>
          <w:rFonts w:cs="Simplified Arabic" w:hint="eastAsia"/>
          <w:spacing w:val="-4"/>
          <w:sz w:val="20"/>
          <w:szCs w:val="20"/>
          <w:rtl/>
        </w:rPr>
        <w:t>التعليم</w:t>
      </w:r>
      <w:r>
        <w:rPr>
          <w:rFonts w:cs="Simplified Arabic"/>
          <w:spacing w:val="-4"/>
          <w:sz w:val="20"/>
          <w:szCs w:val="20"/>
          <w:rtl/>
        </w:rPr>
        <w:t xml:space="preserve"> </w:t>
      </w:r>
      <w:r>
        <w:rPr>
          <w:rFonts w:cs="Simplified Arabic" w:hint="eastAsia"/>
          <w:spacing w:val="-4"/>
          <w:sz w:val="20"/>
          <w:szCs w:val="20"/>
          <w:rtl/>
        </w:rPr>
        <w:t>حتى</w:t>
      </w:r>
      <w:r>
        <w:rPr>
          <w:rFonts w:cs="Simplified Arabic"/>
          <w:spacing w:val="-4"/>
          <w:sz w:val="20"/>
          <w:szCs w:val="20"/>
          <w:rtl/>
        </w:rPr>
        <w:t xml:space="preserve"> </w:t>
      </w:r>
      <w:r>
        <w:rPr>
          <w:rFonts w:cs="Simplified Arabic" w:hint="eastAsia"/>
          <w:spacing w:val="-4"/>
          <w:sz w:val="20"/>
          <w:szCs w:val="20"/>
          <w:rtl/>
        </w:rPr>
        <w:t>عام</w:t>
      </w:r>
      <w:r>
        <w:rPr>
          <w:rFonts w:cs="Simplified Arabic"/>
          <w:spacing w:val="-4"/>
          <w:sz w:val="20"/>
          <w:szCs w:val="20"/>
          <w:rtl/>
        </w:rPr>
        <w:t xml:space="preserve"> 2020</w:t>
      </w:r>
      <w:r>
        <w:rPr>
          <w:rFonts w:cs="Simplified Arabic" w:hint="eastAsia"/>
          <w:spacing w:val="-4"/>
          <w:sz w:val="20"/>
          <w:szCs w:val="20"/>
          <w:rtl/>
        </w:rPr>
        <w:t>،</w:t>
      </w:r>
      <w:r>
        <w:rPr>
          <w:rFonts w:cs="Simplified Arabic"/>
          <w:spacing w:val="-4"/>
          <w:sz w:val="20"/>
          <w:szCs w:val="20"/>
          <w:rtl/>
        </w:rPr>
        <w:t xml:space="preserve"> </w:t>
      </w:r>
      <w:r>
        <w:rPr>
          <w:rFonts w:cs="Simplified Arabic" w:hint="eastAsia"/>
          <w:spacing w:val="-4"/>
          <w:sz w:val="20"/>
          <w:szCs w:val="20"/>
          <w:rtl/>
        </w:rPr>
        <w:t>شرع</w:t>
      </w:r>
      <w:r>
        <w:rPr>
          <w:rFonts w:cs="Simplified Arabic"/>
          <w:spacing w:val="-4"/>
          <w:sz w:val="20"/>
          <w:szCs w:val="20"/>
          <w:rtl/>
        </w:rPr>
        <w:t xml:space="preserve"> </w:t>
      </w:r>
      <w:r>
        <w:rPr>
          <w:rFonts w:cs="Simplified Arabic" w:hint="eastAsia"/>
          <w:spacing w:val="-4"/>
          <w:sz w:val="20"/>
          <w:szCs w:val="20"/>
          <w:rtl/>
        </w:rPr>
        <w:t>البنك</w:t>
      </w:r>
      <w:r>
        <w:rPr>
          <w:rFonts w:cs="Simplified Arabic"/>
          <w:spacing w:val="-4"/>
          <w:sz w:val="20"/>
          <w:szCs w:val="20"/>
          <w:rtl/>
        </w:rPr>
        <w:t xml:space="preserve"> </w:t>
      </w:r>
      <w:r>
        <w:rPr>
          <w:rFonts w:cs="Simplified Arabic" w:hint="eastAsia"/>
          <w:spacing w:val="-4"/>
          <w:sz w:val="20"/>
          <w:szCs w:val="20"/>
          <w:rtl/>
        </w:rPr>
        <w:t>في</w:t>
      </w:r>
      <w:r>
        <w:rPr>
          <w:rFonts w:cs="Simplified Arabic"/>
          <w:spacing w:val="-4"/>
          <w:sz w:val="20"/>
          <w:szCs w:val="20"/>
          <w:rtl/>
        </w:rPr>
        <w:t xml:space="preserve"> </w:t>
      </w:r>
      <w:r>
        <w:rPr>
          <w:rFonts w:cs="Simplified Arabic" w:hint="eastAsia"/>
          <w:spacing w:val="-4"/>
          <w:sz w:val="20"/>
          <w:szCs w:val="20"/>
          <w:rtl/>
        </w:rPr>
        <w:t>تنفيذ</w:t>
      </w:r>
      <w:r>
        <w:rPr>
          <w:rFonts w:cs="Simplified Arabic"/>
          <w:spacing w:val="-4"/>
          <w:sz w:val="20"/>
          <w:szCs w:val="20"/>
          <w:rtl/>
        </w:rPr>
        <w:t xml:space="preserve"> </w:t>
      </w:r>
      <w:r>
        <w:rPr>
          <w:rFonts w:cs="Simplified Arabic" w:hint="eastAsia"/>
          <w:spacing w:val="-4"/>
          <w:sz w:val="20"/>
          <w:szCs w:val="20"/>
          <w:rtl/>
        </w:rPr>
        <w:t>مبادرة</w:t>
      </w:r>
      <w:r>
        <w:rPr>
          <w:rFonts w:cs="Simplified Arabic"/>
          <w:spacing w:val="-4"/>
          <w:sz w:val="20"/>
          <w:szCs w:val="20"/>
          <w:rtl/>
        </w:rPr>
        <w:t xml:space="preserve"> </w:t>
      </w:r>
      <w:r>
        <w:rPr>
          <w:rFonts w:cs="Simplified Arabic" w:hint="eastAsia"/>
          <w:sz w:val="20"/>
          <w:szCs w:val="20"/>
          <w:rtl/>
        </w:rPr>
        <w:t>برنامج</w:t>
      </w:r>
      <w:r>
        <w:rPr>
          <w:rFonts w:ascii="Simplified Arabic" w:hAnsi="Simplified Arabic" w:cs="Calibri (Arabic)"/>
          <w:sz w:val="20"/>
          <w:szCs w:val="20"/>
        </w:rPr>
        <w:t xml:space="preserve"> </w:t>
      </w:r>
      <w:r>
        <w:rPr>
          <w:rFonts w:cs="Simplified Arabic" w:hint="eastAsia"/>
          <w:sz w:val="20"/>
          <w:szCs w:val="20"/>
          <w:rtl/>
        </w:rPr>
        <w:t>التقييم</w:t>
      </w:r>
      <w:r>
        <w:rPr>
          <w:rFonts w:ascii="Simplified Arabic" w:hAnsi="Simplified Arabic" w:cs="Calibri (Arabic)"/>
          <w:sz w:val="20"/>
          <w:szCs w:val="20"/>
        </w:rPr>
        <w:t xml:space="preserve"> </w:t>
      </w:r>
      <w:r>
        <w:rPr>
          <w:rFonts w:cs="Simplified Arabic" w:hint="eastAsia"/>
          <w:sz w:val="20"/>
          <w:szCs w:val="20"/>
          <w:rtl/>
        </w:rPr>
        <w:t>والقياس</w:t>
      </w:r>
      <w:r>
        <w:rPr>
          <w:rFonts w:ascii="Simplified Arabic" w:hAnsi="Simplified Arabic" w:cs="Calibri (Arabic)"/>
          <w:sz w:val="20"/>
          <w:szCs w:val="20"/>
        </w:rPr>
        <w:t xml:space="preserve"> </w:t>
      </w:r>
      <w:r>
        <w:rPr>
          <w:rFonts w:cs="Simplified Arabic" w:hint="eastAsia"/>
          <w:sz w:val="20"/>
          <w:szCs w:val="20"/>
          <w:rtl/>
        </w:rPr>
        <w:t>النظامي</w:t>
      </w:r>
      <w:r>
        <w:rPr>
          <w:rFonts w:ascii="Simplified Arabic" w:hAnsi="Simplified Arabic" w:cs="Calibri (Arabic)"/>
          <w:sz w:val="20"/>
          <w:szCs w:val="20"/>
        </w:rPr>
        <w:t xml:space="preserve"> </w:t>
      </w:r>
      <w:r>
        <w:rPr>
          <w:rFonts w:cs="Simplified Arabic" w:hint="eastAsia"/>
          <w:sz w:val="20"/>
          <w:szCs w:val="20"/>
          <w:rtl/>
        </w:rPr>
        <w:t>لنتائج</w:t>
      </w:r>
      <w:r>
        <w:rPr>
          <w:rFonts w:ascii="Simplified Arabic" w:hAnsi="Simplified Arabic" w:cs="Calibri (Arabic)"/>
          <w:sz w:val="20"/>
          <w:szCs w:val="20"/>
        </w:rPr>
        <w:t xml:space="preserve"> </w:t>
      </w:r>
      <w:r>
        <w:rPr>
          <w:rFonts w:cs="Simplified Arabic" w:hint="eastAsia"/>
          <w:sz w:val="20"/>
          <w:szCs w:val="20"/>
          <w:rtl/>
        </w:rPr>
        <w:t>التعليم</w:t>
      </w:r>
      <w:r>
        <w:rPr>
          <w:rFonts w:cs="Simplified Arabic"/>
          <w:sz w:val="20"/>
          <w:szCs w:val="20"/>
          <w:rtl/>
        </w:rPr>
        <w:t xml:space="preserve"> </w:t>
      </w:r>
      <w:r>
        <w:rPr>
          <w:rFonts w:ascii="Simplified Arabic" w:hAnsi="Simplified Arabic" w:cs="Calibri (Arabic)"/>
          <w:spacing w:val="-4"/>
          <w:sz w:val="20"/>
          <w:szCs w:val="20"/>
        </w:rPr>
        <w:t>SABER</w:t>
      </w:r>
      <w:r>
        <w:rPr>
          <w:rFonts w:cs="Simplified Arabic" w:hint="eastAsia"/>
          <w:spacing w:val="-4"/>
          <w:sz w:val="20"/>
          <w:szCs w:val="20"/>
          <w:rtl/>
        </w:rPr>
        <w:t>،</w:t>
      </w:r>
      <w:r>
        <w:rPr>
          <w:rFonts w:cs="Simplified Arabic"/>
          <w:spacing w:val="-4"/>
          <w:sz w:val="20"/>
          <w:szCs w:val="20"/>
          <w:rtl/>
        </w:rPr>
        <w:t xml:space="preserve"> </w:t>
      </w:r>
      <w:r>
        <w:rPr>
          <w:rFonts w:cs="Simplified Arabic" w:hint="eastAsia"/>
          <w:spacing w:val="-4"/>
          <w:sz w:val="20"/>
          <w:szCs w:val="20"/>
          <w:rtl/>
        </w:rPr>
        <w:t>بغية</w:t>
      </w:r>
      <w:r>
        <w:rPr>
          <w:rFonts w:cs="Simplified Arabic"/>
          <w:spacing w:val="-4"/>
          <w:sz w:val="20"/>
          <w:szCs w:val="20"/>
          <w:rtl/>
        </w:rPr>
        <w:t xml:space="preserve"> </w:t>
      </w:r>
      <w:r>
        <w:rPr>
          <w:rFonts w:cs="Simplified Arabic" w:hint="eastAsia"/>
          <w:spacing w:val="-4"/>
          <w:sz w:val="20"/>
          <w:szCs w:val="20"/>
          <w:rtl/>
        </w:rPr>
        <w:t>مساندة</w:t>
      </w:r>
      <w:r>
        <w:rPr>
          <w:rFonts w:cs="Simplified Arabic"/>
          <w:spacing w:val="-4"/>
          <w:sz w:val="20"/>
          <w:szCs w:val="20"/>
          <w:rtl/>
        </w:rPr>
        <w:t xml:space="preserve"> </w:t>
      </w:r>
      <w:r>
        <w:rPr>
          <w:rFonts w:cs="Simplified Arabic" w:hint="eastAsia"/>
          <w:spacing w:val="-4"/>
          <w:sz w:val="20"/>
          <w:szCs w:val="20"/>
          <w:rtl/>
        </w:rPr>
        <w:t>تنفيذ</w:t>
      </w:r>
      <w:r>
        <w:rPr>
          <w:rFonts w:cs="Simplified Arabic"/>
          <w:spacing w:val="-4"/>
          <w:sz w:val="20"/>
          <w:szCs w:val="20"/>
          <w:rtl/>
        </w:rPr>
        <w:t xml:space="preserve"> </w:t>
      </w:r>
      <w:r>
        <w:rPr>
          <w:rFonts w:cs="Simplified Arabic" w:hint="eastAsia"/>
          <w:spacing w:val="-4"/>
          <w:sz w:val="20"/>
          <w:szCs w:val="20"/>
          <w:rtl/>
        </w:rPr>
        <w:t>الإستراتيجية</w:t>
      </w:r>
      <w:r>
        <w:rPr>
          <w:rFonts w:cs="Simplified Arabic"/>
          <w:spacing w:val="-4"/>
          <w:sz w:val="20"/>
          <w:szCs w:val="20"/>
          <w:rtl/>
        </w:rPr>
        <w:t>.</w:t>
      </w:r>
    </w:p>
  </w:footnote>
  <w:footnote w:id="34">
    <w:p w:rsidR="00F4694D" w:rsidRDefault="00F4694D" w:rsidP="00FF3102">
      <w:pPr>
        <w:pStyle w:val="FootnoteText"/>
        <w:bidi/>
        <w:rPr>
          <w:rtl/>
        </w:rPr>
      </w:pPr>
      <w:r>
        <w:rPr>
          <w:rStyle w:val="FootnoteReference"/>
        </w:rPr>
        <w:footnoteRef/>
      </w:r>
      <w:r>
        <w:rPr>
          <w:rtl/>
        </w:rPr>
        <w:t xml:space="preserve"> </w:t>
      </w:r>
      <w:r>
        <w:rPr>
          <w:rFonts w:ascii="Simplified Arabic" w:hAnsi="Simplified Arabic" w:cs="Simplified Arabic" w:hint="cs"/>
          <w:sz w:val="20"/>
          <w:szCs w:val="20"/>
          <w:rtl/>
        </w:rPr>
        <w:t>تتضمن</w:t>
      </w:r>
      <w:r w:rsidRPr="00FF3102">
        <w:rPr>
          <w:rFonts w:ascii="Simplified Arabic" w:hAnsi="Simplified Arabic" w:cs="Simplified Arabic"/>
          <w:sz w:val="20"/>
          <w:szCs w:val="20"/>
          <w:rtl/>
        </w:rPr>
        <w:t xml:space="preserve"> </w:t>
      </w:r>
      <w:r>
        <w:rPr>
          <w:rFonts w:ascii="Simplified Arabic" w:hAnsi="Simplified Arabic" w:cs="Simplified Arabic"/>
          <w:sz w:val="20"/>
          <w:szCs w:val="20"/>
          <w:rtl/>
        </w:rPr>
        <w:t>البنية التحتية</w:t>
      </w:r>
      <w:r w:rsidRPr="00FF3102">
        <w:rPr>
          <w:rFonts w:ascii="Simplified Arabic" w:hAnsi="Simplified Arabic" w:cs="Simplified Arabic"/>
          <w:sz w:val="20"/>
          <w:szCs w:val="20"/>
          <w:rtl/>
        </w:rPr>
        <w:t xml:space="preserve">: </w:t>
      </w:r>
      <w:r>
        <w:rPr>
          <w:rFonts w:ascii="Simplified Arabic" w:hAnsi="Simplified Arabic" w:cs="Simplified Arabic" w:hint="cs"/>
          <w:sz w:val="20"/>
          <w:szCs w:val="20"/>
          <w:rtl/>
        </w:rPr>
        <w:t xml:space="preserve">قطاعات </w:t>
      </w:r>
      <w:r w:rsidRPr="00FF3102">
        <w:rPr>
          <w:rFonts w:ascii="Simplified Arabic" w:hAnsi="Simplified Arabic" w:cs="Simplified Arabic"/>
          <w:sz w:val="20"/>
          <w:szCs w:val="20"/>
          <w:rtl/>
        </w:rPr>
        <w:t>الطاقة والنقل والاتصالات في كل من إستراتيجية المساعدة ومذكرة الإستراتيجية المؤقتة الخاصتين بمصر.</w:t>
      </w:r>
      <w:r w:rsidRPr="00FF3102">
        <w:rPr>
          <w:rFonts w:hint="cs"/>
          <w:sz w:val="20"/>
          <w:szCs w:val="20"/>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94D" w:rsidRDefault="00F4694D">
    <w:pPr>
      <w:pStyle w:val="Header"/>
      <w:rPr>
        <w:rFonts w:eastAsia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E3C599A"/>
    <w:lvl w:ilvl="0">
      <w:start w:val="1"/>
      <w:numFmt w:val="decimal"/>
      <w:lvlText w:val="%1."/>
      <w:lvlJc w:val="left"/>
      <w:pPr>
        <w:tabs>
          <w:tab w:val="num" w:pos="1800"/>
        </w:tabs>
        <w:ind w:left="1800" w:hanging="360"/>
      </w:pPr>
    </w:lvl>
  </w:abstractNum>
  <w:abstractNum w:abstractNumId="1" w15:restartNumberingAfterBreak="0">
    <w:nsid w:val="FFFFFF7F"/>
    <w:multiLevelType w:val="singleLevel"/>
    <w:tmpl w:val="11E03FB8"/>
    <w:lvl w:ilvl="0">
      <w:start w:val="1"/>
      <w:numFmt w:val="decimal"/>
      <w:lvlText w:val="%1."/>
      <w:lvlJc w:val="left"/>
      <w:pPr>
        <w:tabs>
          <w:tab w:val="num" w:pos="720"/>
        </w:tabs>
        <w:ind w:left="720" w:hanging="360"/>
      </w:pPr>
    </w:lvl>
  </w:abstractNum>
  <w:abstractNum w:abstractNumId="2" w15:restartNumberingAfterBreak="0">
    <w:nsid w:val="FFFFFF80"/>
    <w:multiLevelType w:val="singleLevel"/>
    <w:tmpl w:val="B986D71A"/>
    <w:lvl w:ilvl="0">
      <w:start w:val="1"/>
      <w:numFmt w:val="bullet"/>
      <w:pStyle w:val="MainParanoChap-ExecSum"/>
      <w:lvlText w:val=""/>
      <w:lvlJc w:val="left"/>
      <w:pPr>
        <w:tabs>
          <w:tab w:val="num" w:pos="1800"/>
        </w:tabs>
        <w:ind w:left="1800" w:hanging="360"/>
      </w:pPr>
      <w:rPr>
        <w:rFonts w:ascii="Symbol" w:hAnsi="Symbol" w:hint="default"/>
      </w:rPr>
    </w:lvl>
  </w:abstractNum>
  <w:abstractNum w:abstractNumId="3" w15:restartNumberingAfterBreak="0">
    <w:nsid w:val="FFFFFF81"/>
    <w:multiLevelType w:val="singleLevel"/>
    <w:tmpl w:val="159A09EE"/>
    <w:lvl w:ilvl="0">
      <w:start w:val="1"/>
      <w:numFmt w:val="bullet"/>
      <w:pStyle w:val="Sub-Para3underXY"/>
      <w:lvlText w:val=""/>
      <w:lvlJc w:val="left"/>
      <w:pPr>
        <w:tabs>
          <w:tab w:val="num" w:pos="1440"/>
        </w:tabs>
        <w:ind w:left="1440" w:hanging="360"/>
      </w:pPr>
      <w:rPr>
        <w:rFonts w:ascii="Symbol" w:hAnsi="Symbol" w:hint="default"/>
      </w:rPr>
    </w:lvl>
  </w:abstractNum>
  <w:abstractNum w:abstractNumId="4" w15:restartNumberingAfterBreak="0">
    <w:nsid w:val="FFFFFF82"/>
    <w:multiLevelType w:val="singleLevel"/>
    <w:tmpl w:val="68784436"/>
    <w:lvl w:ilvl="0">
      <w:start w:val="1"/>
      <w:numFmt w:val="bullet"/>
      <w:pStyle w:val="MainParanoChapter"/>
      <w:lvlText w:val=""/>
      <w:lvlJc w:val="left"/>
      <w:pPr>
        <w:tabs>
          <w:tab w:val="num" w:pos="1080"/>
        </w:tabs>
        <w:ind w:left="1080" w:hanging="360"/>
      </w:pPr>
      <w:rPr>
        <w:rFonts w:ascii="Symbol" w:hAnsi="Symbol" w:hint="default"/>
      </w:rPr>
    </w:lvl>
  </w:abstractNum>
  <w:abstractNum w:abstractNumId="5" w15:restartNumberingAfterBreak="0">
    <w:nsid w:val="013160A3"/>
    <w:multiLevelType w:val="hybridMultilevel"/>
    <w:tmpl w:val="87C04AEA"/>
    <w:lvl w:ilvl="0" w:tplc="54746A3A">
      <w:start w:val="1"/>
      <w:numFmt w:val="decimal"/>
      <w:pStyle w:val="MainparanochapterAnnex2"/>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33D7031"/>
    <w:multiLevelType w:val="hybridMultilevel"/>
    <w:tmpl w:val="570CBEF0"/>
    <w:lvl w:ilvl="0" w:tplc="8C92637C">
      <w:start w:val="1"/>
      <w:numFmt w:val="bullet"/>
      <w:pStyle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3BE2E93"/>
    <w:multiLevelType w:val="multilevel"/>
    <w:tmpl w:val="E5CA145A"/>
    <w:lvl w:ilvl="0">
      <w:start w:val="1"/>
      <w:numFmt w:val="upperRoman"/>
      <w:pStyle w:val="Heading2"/>
      <w:lvlText w:val="%1."/>
      <w:lvlJc w:val="left"/>
      <w:pPr>
        <w:ind w:left="1080" w:hanging="720"/>
      </w:pPr>
      <w:rPr>
        <w:rFonts w:cs="Times New Roman" w:hint="default"/>
      </w:rPr>
    </w:lvl>
    <w:lvl w:ilvl="1">
      <w:start w:val="3"/>
      <w:numFmt w:val="decimal"/>
      <w:lvlText w:val="%1.%2"/>
      <w:lvlJc w:val="left"/>
      <w:pPr>
        <w:ind w:left="720" w:hanging="360"/>
      </w:pPr>
      <w:rPr>
        <w:rFonts w:cs="Times New Roman" w:hint="default"/>
      </w:rPr>
    </w:lvl>
    <w:lvl w:ilvl="2">
      <w:start w:val="1"/>
      <w:numFmt w:val="decimal"/>
      <w:lvlText w:val="%1.%2.%3"/>
      <w:lvlJc w:val="left"/>
      <w:pPr>
        <w:ind w:left="1080" w:hanging="720"/>
      </w:pPr>
      <w:rPr>
        <w:rFonts w:cs="Times New Roman" w:hint="default"/>
      </w:rPr>
    </w:lvl>
    <w:lvl w:ilvl="3">
      <w:start w:val="1"/>
      <w:numFmt w:val="decimal"/>
      <w:lvlText w:val="%1.%2.%3.%4"/>
      <w:lvlJc w:val="left"/>
      <w:pPr>
        <w:ind w:left="1080" w:hanging="720"/>
      </w:pPr>
      <w:rPr>
        <w:rFonts w:cs="Times New Roman" w:hint="default"/>
      </w:rPr>
    </w:lvl>
    <w:lvl w:ilvl="4">
      <w:start w:val="1"/>
      <w:numFmt w:val="decimal"/>
      <w:lvlText w:val="%1.%2.%3.%4.%5"/>
      <w:lvlJc w:val="left"/>
      <w:pPr>
        <w:ind w:left="1440" w:hanging="1080"/>
      </w:pPr>
      <w:rPr>
        <w:rFonts w:cs="Times New Roman" w:hint="default"/>
      </w:rPr>
    </w:lvl>
    <w:lvl w:ilvl="5">
      <w:start w:val="1"/>
      <w:numFmt w:val="decimal"/>
      <w:lvlText w:val="%1.%2.%3.%4.%5.%6"/>
      <w:lvlJc w:val="left"/>
      <w:pPr>
        <w:ind w:left="1440" w:hanging="1080"/>
      </w:pPr>
      <w:rPr>
        <w:rFonts w:cs="Times New Roman" w:hint="default"/>
      </w:rPr>
    </w:lvl>
    <w:lvl w:ilvl="6">
      <w:start w:val="1"/>
      <w:numFmt w:val="decimal"/>
      <w:lvlText w:val="%1.%2.%3.%4.%5.%6.%7"/>
      <w:lvlJc w:val="left"/>
      <w:pPr>
        <w:ind w:left="1800" w:hanging="1440"/>
      </w:pPr>
      <w:rPr>
        <w:rFonts w:cs="Times New Roman" w:hint="default"/>
      </w:rPr>
    </w:lvl>
    <w:lvl w:ilvl="7">
      <w:start w:val="1"/>
      <w:numFmt w:val="decimal"/>
      <w:lvlText w:val="%1.%2.%3.%4.%5.%6.%7.%8"/>
      <w:lvlJc w:val="left"/>
      <w:pPr>
        <w:ind w:left="1800" w:hanging="1440"/>
      </w:pPr>
      <w:rPr>
        <w:rFonts w:cs="Times New Roman" w:hint="default"/>
      </w:rPr>
    </w:lvl>
    <w:lvl w:ilvl="8">
      <w:start w:val="1"/>
      <w:numFmt w:val="decimal"/>
      <w:lvlText w:val="%1.%2.%3.%4.%5.%6.%7.%8.%9"/>
      <w:lvlJc w:val="left"/>
      <w:pPr>
        <w:ind w:left="2160" w:hanging="1800"/>
      </w:pPr>
      <w:rPr>
        <w:rFonts w:cs="Times New Roman" w:hint="default"/>
      </w:rPr>
    </w:lvl>
  </w:abstractNum>
  <w:abstractNum w:abstractNumId="8" w15:restartNumberingAfterBreak="0">
    <w:nsid w:val="0943046C"/>
    <w:multiLevelType w:val="hybridMultilevel"/>
    <w:tmpl w:val="212E4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B9178C"/>
    <w:multiLevelType w:val="hybridMultilevel"/>
    <w:tmpl w:val="B726B3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C5A1087"/>
    <w:multiLevelType w:val="hybridMultilevel"/>
    <w:tmpl w:val="ABE61B94"/>
    <w:lvl w:ilvl="0" w:tplc="B4AEF724">
      <w:numFmt w:val="bullet"/>
      <w:lvlText w:val="-"/>
      <w:lvlJc w:val="left"/>
      <w:pPr>
        <w:ind w:left="720" w:hanging="360"/>
      </w:pPr>
      <w:rPr>
        <w:rFonts w:asciiTheme="minorHAnsi" w:eastAsiaTheme="minorEastAsia"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087300"/>
    <w:multiLevelType w:val="hybridMultilevel"/>
    <w:tmpl w:val="02F4A84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2" w15:restartNumberingAfterBreak="0">
    <w:nsid w:val="12086C0D"/>
    <w:multiLevelType w:val="hybridMultilevel"/>
    <w:tmpl w:val="F83E1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745979"/>
    <w:multiLevelType w:val="hybridMultilevel"/>
    <w:tmpl w:val="400676EC"/>
    <w:lvl w:ilvl="0" w:tplc="A6DE1B22">
      <w:start w:val="1"/>
      <w:numFmt w:val="bullet"/>
      <w:pStyle w:val="Boxtext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9B51C3"/>
    <w:multiLevelType w:val="hybridMultilevel"/>
    <w:tmpl w:val="D390F664"/>
    <w:lvl w:ilvl="0" w:tplc="4CC2012E">
      <w:start w:val="1"/>
      <w:numFmt w:val="bullet"/>
      <w:lvlText w:val=""/>
      <w:lvlJc w:val="left"/>
      <w:pPr>
        <w:tabs>
          <w:tab w:val="num" w:pos="1080"/>
        </w:tabs>
        <w:ind w:left="1080" w:hanging="360"/>
      </w:pPr>
      <w:rPr>
        <w:rFonts w:ascii="Symbol" w:hAnsi="Symbol" w:hint="default"/>
      </w:rPr>
    </w:lvl>
    <w:lvl w:ilvl="1" w:tplc="36DAB73C">
      <w:start w:val="1"/>
      <w:numFmt w:val="bullet"/>
      <w:pStyle w:val="Bullet2"/>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start w:val="1"/>
      <w:numFmt w:val="bullet"/>
      <w:lvlText w:val=""/>
      <w:lvlJc w:val="left"/>
      <w:pPr>
        <w:tabs>
          <w:tab w:val="num" w:pos="0"/>
        </w:tabs>
        <w:ind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hint="default"/>
      </w:rPr>
    </w:lvl>
    <w:lvl w:ilvl="5" w:tplc="04090005">
      <w:start w:val="1"/>
      <w:numFmt w:val="bullet"/>
      <w:lvlText w:val=""/>
      <w:lvlJc w:val="left"/>
      <w:pPr>
        <w:tabs>
          <w:tab w:val="num" w:pos="1440"/>
        </w:tabs>
        <w:ind w:left="1440" w:hanging="360"/>
      </w:pPr>
      <w:rPr>
        <w:rFonts w:ascii="Wingdings" w:hAnsi="Wingdings" w:hint="default"/>
      </w:rPr>
    </w:lvl>
    <w:lvl w:ilvl="6" w:tplc="04090001">
      <w:start w:val="1"/>
      <w:numFmt w:val="bullet"/>
      <w:lvlText w:val=""/>
      <w:lvlJc w:val="left"/>
      <w:pPr>
        <w:tabs>
          <w:tab w:val="num" w:pos="2160"/>
        </w:tabs>
        <w:ind w:left="2160" w:hanging="360"/>
      </w:pPr>
      <w:rPr>
        <w:rFonts w:ascii="Symbol" w:hAnsi="Symbol" w:hint="default"/>
      </w:rPr>
    </w:lvl>
    <w:lvl w:ilvl="7" w:tplc="04090003" w:tentative="1">
      <w:start w:val="1"/>
      <w:numFmt w:val="bullet"/>
      <w:lvlText w:val="o"/>
      <w:lvlJc w:val="left"/>
      <w:pPr>
        <w:tabs>
          <w:tab w:val="num" w:pos="2880"/>
        </w:tabs>
        <w:ind w:left="2880" w:hanging="360"/>
      </w:pPr>
      <w:rPr>
        <w:rFonts w:ascii="Courier New" w:hAnsi="Courier New" w:hint="default"/>
      </w:rPr>
    </w:lvl>
    <w:lvl w:ilvl="8" w:tplc="04090005" w:tentative="1">
      <w:start w:val="1"/>
      <w:numFmt w:val="bullet"/>
      <w:lvlText w:val=""/>
      <w:lvlJc w:val="left"/>
      <w:pPr>
        <w:tabs>
          <w:tab w:val="num" w:pos="3600"/>
        </w:tabs>
        <w:ind w:left="3600" w:hanging="360"/>
      </w:pPr>
      <w:rPr>
        <w:rFonts w:ascii="Wingdings" w:hAnsi="Wingdings" w:hint="default"/>
      </w:rPr>
    </w:lvl>
  </w:abstractNum>
  <w:abstractNum w:abstractNumId="15" w15:restartNumberingAfterBreak="0">
    <w:nsid w:val="18DD0E2F"/>
    <w:multiLevelType w:val="hybridMultilevel"/>
    <w:tmpl w:val="BE82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562344"/>
    <w:multiLevelType w:val="hybridMultilevel"/>
    <w:tmpl w:val="AEDCCF62"/>
    <w:lvl w:ilvl="0" w:tplc="F7F4D688">
      <w:start w:val="1"/>
      <w:numFmt w:val="bullet"/>
      <w:pStyle w:val="Mainparanochaperannex2bullet"/>
      <w:lvlText w:val=""/>
      <w:lvlJc w:val="left"/>
      <w:pPr>
        <w:ind w:left="1080" w:hanging="360"/>
      </w:pPr>
      <w:rPr>
        <w:rFonts w:ascii="Symbol" w:hAnsi="Symbol" w:hint="default"/>
      </w:rPr>
    </w:lvl>
    <w:lvl w:ilvl="1" w:tplc="79505814">
      <w:start w:val="1"/>
      <w:numFmt w:val="bullet"/>
      <w:pStyle w:val="Mainparanochapterannex2bullet2"/>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DB7716"/>
    <w:multiLevelType w:val="hybridMultilevel"/>
    <w:tmpl w:val="CA06C1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371D62"/>
    <w:multiLevelType w:val="hybridMultilevel"/>
    <w:tmpl w:val="F2F686DA"/>
    <w:lvl w:ilvl="0" w:tplc="6F220524">
      <w:start w:val="1"/>
      <w:numFmt w:val="arabicAbjad"/>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15:restartNumberingAfterBreak="0">
    <w:nsid w:val="246A20C8"/>
    <w:multiLevelType w:val="hybridMultilevel"/>
    <w:tmpl w:val="F56CE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930A17"/>
    <w:multiLevelType w:val="hybridMultilevel"/>
    <w:tmpl w:val="3D347E72"/>
    <w:lvl w:ilvl="0" w:tplc="C0481BDE">
      <w:start w:val="1"/>
      <w:numFmt w:val="bullet"/>
      <w:lvlText w:val=""/>
      <w:lvlJc w:val="left"/>
      <w:pPr>
        <w:tabs>
          <w:tab w:val="num" w:pos="0"/>
        </w:tabs>
        <w:ind w:left="-72" w:firstLine="72"/>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7867035"/>
    <w:multiLevelType w:val="hybridMultilevel"/>
    <w:tmpl w:val="64548B28"/>
    <w:lvl w:ilvl="0" w:tplc="134A5F2A">
      <w:start w:val="1"/>
      <w:numFmt w:val="bullet"/>
      <w:pStyle w:val="Bullet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7AF1D77"/>
    <w:multiLevelType w:val="hybridMultilevel"/>
    <w:tmpl w:val="D5F6C620"/>
    <w:lvl w:ilvl="0" w:tplc="7D1E6B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BD4297B"/>
    <w:multiLevelType w:val="hybridMultilevel"/>
    <w:tmpl w:val="F384935A"/>
    <w:lvl w:ilvl="0" w:tplc="5F2EF448">
      <w:start w:val="1"/>
      <w:numFmt w:val="decimal"/>
      <w:lvlText w:val="%1."/>
      <w:lvlJc w:val="left"/>
      <w:pPr>
        <w:ind w:left="900" w:hanging="360"/>
      </w:pPr>
      <w:rPr>
        <w:rFonts w:asciiTheme="minorEastAsia" w:eastAsiaTheme="minorEastAsia" w:hAnsiTheme="minorEastAsia" w:cs="Times New Roman"/>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15:restartNumberingAfterBreak="0">
    <w:nsid w:val="319439E6"/>
    <w:multiLevelType w:val="multilevel"/>
    <w:tmpl w:val="0CC8AA5E"/>
    <w:lvl w:ilvl="0">
      <w:start w:val="1"/>
      <w:numFmt w:val="none"/>
      <w:suff w:val="nothing"/>
      <w:lvlText w:val="%1"/>
      <w:lvlJc w:val="left"/>
      <w:rPr>
        <w:rFonts w:cs="Times New Roman" w:hint="default"/>
      </w:rPr>
    </w:lvl>
    <w:lvl w:ilvl="1">
      <w:start w:val="1"/>
      <w:numFmt w:val="decimal"/>
      <w:lvlText w:val="%2."/>
      <w:lvlJc w:val="left"/>
      <w:pPr>
        <w:tabs>
          <w:tab w:val="num" w:pos="720"/>
        </w:tabs>
        <w:ind w:left="720" w:hanging="720"/>
      </w:pPr>
      <w:rPr>
        <w:rFonts w:cs="Times New Roman" w:hint="default"/>
        <w:b w:val="0"/>
        <w:i w:val="0"/>
        <w:strike w:val="0"/>
        <w:color w:val="auto"/>
      </w:rPr>
    </w:lvl>
    <w:lvl w:ilvl="2">
      <w:start w:val="1"/>
      <w:numFmt w:val="lowerLetter"/>
      <w:lvlText w:val="(%3)"/>
      <w:lvlJc w:val="left"/>
      <w:pPr>
        <w:tabs>
          <w:tab w:val="num" w:pos="1080"/>
        </w:tabs>
        <w:ind w:left="720" w:hanging="360"/>
      </w:pPr>
      <w:rPr>
        <w:rFonts w:cs="Times New Roman" w:hint="default"/>
      </w:rPr>
    </w:lvl>
    <w:lvl w:ilvl="3">
      <w:start w:val="1"/>
      <w:numFmt w:val="lowerRoman"/>
      <w:lvlText w:val="(%4)"/>
      <w:lvlJc w:val="left"/>
      <w:pPr>
        <w:tabs>
          <w:tab w:val="num" w:pos="1800"/>
        </w:tabs>
        <w:ind w:left="1080" w:hanging="360"/>
      </w:pPr>
      <w:rPr>
        <w:rFonts w:cs="Times New Roman" w:hint="default"/>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left"/>
      <w:pPr>
        <w:tabs>
          <w:tab w:val="num" w:pos="2160"/>
        </w:tabs>
        <w:ind w:left="180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5" w15:restartNumberingAfterBreak="0">
    <w:nsid w:val="36232269"/>
    <w:multiLevelType w:val="hybridMultilevel"/>
    <w:tmpl w:val="B00E8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5B0770"/>
    <w:multiLevelType w:val="hybridMultilevel"/>
    <w:tmpl w:val="90ACB872"/>
    <w:lvl w:ilvl="0" w:tplc="5BCAEACC">
      <w:start w:val="1"/>
      <w:numFmt w:val="decimal"/>
      <w:pStyle w:val="MainparanochapterAnnexE"/>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6D4334A"/>
    <w:multiLevelType w:val="hybridMultilevel"/>
    <w:tmpl w:val="9168E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7E86C3D"/>
    <w:multiLevelType w:val="hybridMultilevel"/>
    <w:tmpl w:val="E36A1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E51667"/>
    <w:multiLevelType w:val="hybridMultilevel"/>
    <w:tmpl w:val="327AD350"/>
    <w:lvl w:ilvl="0" w:tplc="380C83A0">
      <w:start w:val="1"/>
      <w:numFmt w:val="decimal"/>
      <w:pStyle w:val="Numberedparagraph"/>
      <w:lvlText w:val="%1."/>
      <w:lvlJc w:val="left"/>
      <w:pPr>
        <w:ind w:left="360" w:hanging="360"/>
      </w:pPr>
      <w:rPr>
        <w:rFonts w:cs="Times New Roman"/>
        <w:b/>
        <w:i w:val="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15:restartNumberingAfterBreak="0">
    <w:nsid w:val="3FE91830"/>
    <w:multiLevelType w:val="hybridMultilevel"/>
    <w:tmpl w:val="57A0304C"/>
    <w:lvl w:ilvl="0" w:tplc="6F220524">
      <w:start w:val="1"/>
      <w:numFmt w:val="arabicAbjad"/>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15:restartNumberingAfterBreak="0">
    <w:nsid w:val="456D1814"/>
    <w:multiLevelType w:val="hybridMultilevel"/>
    <w:tmpl w:val="FB522FA8"/>
    <w:lvl w:ilvl="0" w:tplc="9D9A82A4">
      <w:start w:val="1"/>
      <w:numFmt w:val="decimal"/>
      <w:lvlText w:val="%1."/>
      <w:lvlJc w:val="left"/>
      <w:pPr>
        <w:ind w:left="630" w:hanging="360"/>
      </w:pPr>
      <w:rPr>
        <w:rFonts w:asciiTheme="minorEastAsia" w:eastAsiaTheme="minorEastAsia" w:cs="Times New Roman" w:hint="default"/>
        <w:b w:val="0"/>
        <w:bCs/>
        <w:i w:val="0"/>
        <w:iCs/>
        <w:sz w:val="24"/>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4DBC5D36"/>
    <w:multiLevelType w:val="hybridMultilevel"/>
    <w:tmpl w:val="0E38B95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3" w15:restartNumberingAfterBreak="0">
    <w:nsid w:val="50B867F0"/>
    <w:multiLevelType w:val="hybridMultilevel"/>
    <w:tmpl w:val="9934C9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609669E"/>
    <w:multiLevelType w:val="hybridMultilevel"/>
    <w:tmpl w:val="E9004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A33EEC"/>
    <w:multiLevelType w:val="hybridMultilevel"/>
    <w:tmpl w:val="6BC4C582"/>
    <w:lvl w:ilvl="0" w:tplc="880A8168">
      <w:start w:val="1"/>
      <w:numFmt w:val="decimal"/>
      <w:pStyle w:val="ListParagraph"/>
      <w:lvlText w:val="%1."/>
      <w:lvlJc w:val="left"/>
      <w:pPr>
        <w:ind w:left="4230" w:hanging="360"/>
      </w:pPr>
      <w:rPr>
        <w:rFonts w:asciiTheme="minorEastAsia" w:eastAsiaTheme="minorEastAsia" w:cs="Times New Roman" w:hint="default"/>
        <w:b w:val="0"/>
        <w:i w:val="0"/>
        <w:color w:val="auto"/>
        <w:sz w:val="22"/>
      </w:rPr>
    </w:lvl>
    <w:lvl w:ilvl="1" w:tplc="04090019">
      <w:start w:val="1"/>
      <w:numFmt w:val="lowerLetter"/>
      <w:lvlText w:val="%2."/>
      <w:lvlJc w:val="left"/>
      <w:pPr>
        <w:ind w:left="1710" w:hanging="360"/>
      </w:pPr>
      <w:rPr>
        <w:rFonts w:cs="Times New Roman"/>
      </w:rPr>
    </w:lvl>
    <w:lvl w:ilvl="2" w:tplc="0409001B" w:tentative="1">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tentative="1">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36" w15:restartNumberingAfterBreak="0">
    <w:nsid w:val="5EEE1C56"/>
    <w:multiLevelType w:val="hybridMultilevel"/>
    <w:tmpl w:val="8E78254E"/>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15:restartNumberingAfterBreak="0">
    <w:nsid w:val="5FFC1620"/>
    <w:multiLevelType w:val="hybridMultilevel"/>
    <w:tmpl w:val="0166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8705F"/>
    <w:multiLevelType w:val="multilevel"/>
    <w:tmpl w:val="57166E3E"/>
    <w:lvl w:ilvl="0">
      <w:start w:val="1"/>
      <w:numFmt w:val="bullet"/>
      <w:lvlText w:val=""/>
      <w:lvlJc w:val="left"/>
      <w:pPr>
        <w:tabs>
          <w:tab w:val="num" w:pos="360"/>
        </w:tabs>
        <w:ind w:left="360" w:hanging="360"/>
      </w:pPr>
      <w:rPr>
        <w:rFonts w:ascii="Wingdings" w:hAnsi="Wingdings" w:hint="default"/>
      </w:rPr>
    </w:lvl>
    <w:lvl w:ilvl="1">
      <w:start w:val="1"/>
      <w:numFmt w:val="bullet"/>
      <w:pStyle w:val="ListBullet"/>
      <w:lvlText w:val=""/>
      <w:lvlJc w:val="left"/>
      <w:pPr>
        <w:tabs>
          <w:tab w:val="num" w:pos="690"/>
        </w:tabs>
        <w:ind w:left="690" w:hanging="360"/>
      </w:pPr>
      <w:rPr>
        <w:rFonts w:ascii="Wingdings 2" w:hAnsi="Wingdings 2" w:hint="default"/>
      </w:rPr>
    </w:lvl>
    <w:lvl w:ilvl="2">
      <w:start w:val="1"/>
      <w:numFmt w:val="bullet"/>
      <w:lvlText w:val=""/>
      <w:lvlJc w:val="left"/>
      <w:pPr>
        <w:tabs>
          <w:tab w:val="num" w:pos="1080"/>
        </w:tabs>
        <w:ind w:left="1080" w:hanging="360"/>
      </w:pPr>
      <w:rPr>
        <w:rFonts w:ascii="Wingdings 3" w:hAnsi="Wingdings 3" w:hint="default"/>
      </w:rPr>
    </w:lvl>
    <w:lvl w:ilvl="3">
      <w:start w:val="1"/>
      <w:numFmt w:val="bullet"/>
      <w:lvlText w:val=""/>
      <w:lvlJc w:val="left"/>
      <w:pPr>
        <w:tabs>
          <w:tab w:val="num" w:pos="1440"/>
        </w:tabs>
        <w:ind w:left="1440" w:hanging="360"/>
      </w:pPr>
      <w:rPr>
        <w:rFonts w:ascii="Wingdings 3" w:hAnsi="Wingdings 3" w:hint="default"/>
      </w:rPr>
    </w:lvl>
    <w:lvl w:ilvl="4">
      <w:start w:val="1"/>
      <w:numFmt w:val="bullet"/>
      <w:lvlText w:val=""/>
      <w:lvlJc w:val="left"/>
      <w:pPr>
        <w:tabs>
          <w:tab w:val="num" w:pos="1800"/>
        </w:tabs>
        <w:ind w:left="1800" w:hanging="360"/>
      </w:pPr>
      <w:rPr>
        <w:rFonts w:ascii="Wingdings" w:hAnsi="Wingdings" w:hint="default"/>
      </w:rPr>
    </w:lvl>
    <w:lvl w:ilvl="5">
      <w:start w:val="1"/>
      <w:numFmt w:val="bullet"/>
      <w:lvlText w:val="-"/>
      <w:lvlJc w:val="left"/>
      <w:pPr>
        <w:tabs>
          <w:tab w:val="num" w:pos="2160"/>
        </w:tabs>
        <w:ind w:left="2160" w:hanging="360"/>
      </w:pPr>
      <w:rPr>
        <w:rFonts w:ascii="Book Antiqua" w:hAnsi="Book Antiqua"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9" w15:restartNumberingAfterBreak="0">
    <w:nsid w:val="62937540"/>
    <w:multiLevelType w:val="hybridMultilevel"/>
    <w:tmpl w:val="A4B65E3C"/>
    <w:lvl w:ilvl="0" w:tplc="0409000F">
      <w:start w:val="1"/>
      <w:numFmt w:val="decimal"/>
      <w:lvlText w:val="%1."/>
      <w:lvlJc w:val="left"/>
      <w:pPr>
        <w:ind w:left="450" w:hanging="360"/>
      </w:pPr>
      <w:rPr>
        <w:rFonts w:cs="Times New Roman"/>
      </w:rPr>
    </w:lvl>
    <w:lvl w:ilvl="1" w:tplc="A378DF1A">
      <w:start w:val="1"/>
      <w:numFmt w:val="lowerLetter"/>
      <w:pStyle w:val="Mainparanochapter-annex2bullet"/>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15:restartNumberingAfterBreak="0">
    <w:nsid w:val="629F2741"/>
    <w:multiLevelType w:val="hybridMultilevel"/>
    <w:tmpl w:val="3C4ECE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3FC7C50"/>
    <w:multiLevelType w:val="hybridMultilevel"/>
    <w:tmpl w:val="BE54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5830D8F"/>
    <w:multiLevelType w:val="hybridMultilevel"/>
    <w:tmpl w:val="5A1C50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3" w15:restartNumberingAfterBreak="0">
    <w:nsid w:val="65BB032C"/>
    <w:multiLevelType w:val="hybridMultilevel"/>
    <w:tmpl w:val="BC547686"/>
    <w:lvl w:ilvl="0" w:tplc="6F220524">
      <w:start w:val="1"/>
      <w:numFmt w:val="arabicAbjad"/>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4" w15:restartNumberingAfterBreak="0">
    <w:nsid w:val="6BB261EC"/>
    <w:multiLevelType w:val="hybridMultilevel"/>
    <w:tmpl w:val="C3927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C5624E"/>
    <w:multiLevelType w:val="hybridMultilevel"/>
    <w:tmpl w:val="64D0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EF68DC"/>
    <w:multiLevelType w:val="hybridMultilevel"/>
    <w:tmpl w:val="E676CD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703A2A0E"/>
    <w:multiLevelType w:val="hybridMultilevel"/>
    <w:tmpl w:val="114E3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9A0BB5"/>
    <w:multiLevelType w:val="multilevel"/>
    <w:tmpl w:val="A0B83DCA"/>
    <w:styleLink w:val="List0"/>
    <w:lvl w:ilvl="0">
      <w:start w:val="1"/>
      <w:numFmt w:val="decimal"/>
      <w:lvlText w:val="%1."/>
      <w:lvlJc w:val="left"/>
      <w:pPr>
        <w:tabs>
          <w:tab w:val="num" w:pos="146"/>
        </w:tabs>
      </w:pPr>
      <w:rPr>
        <w:rFonts w:cs="Times New Roman"/>
        <w:position w:val="0"/>
        <w:sz w:val="24"/>
        <w:szCs w:val="24"/>
      </w:rPr>
    </w:lvl>
    <w:lvl w:ilvl="1">
      <w:start w:val="8"/>
      <w:numFmt w:val="decimal"/>
      <w:lvlText w:val="%2."/>
      <w:lvlJc w:val="left"/>
      <w:pPr>
        <w:tabs>
          <w:tab w:val="num" w:pos="540"/>
        </w:tabs>
        <w:ind w:left="540" w:hanging="540"/>
      </w:pPr>
      <w:rPr>
        <w:rFonts w:cs="Times New Roman"/>
        <w:position w:val="0"/>
        <w:sz w:val="24"/>
        <w:szCs w:val="24"/>
      </w:rPr>
    </w:lvl>
    <w:lvl w:ilvl="2">
      <w:start w:val="1"/>
      <w:numFmt w:val="lowerLetter"/>
      <w:lvlText w:val="(%3)"/>
      <w:lvlJc w:val="left"/>
      <w:pPr>
        <w:tabs>
          <w:tab w:val="num" w:pos="753"/>
        </w:tabs>
        <w:ind w:left="753" w:hanging="393"/>
      </w:pPr>
      <w:rPr>
        <w:rFonts w:cs="Times New Roman"/>
        <w:position w:val="0"/>
        <w:sz w:val="24"/>
        <w:szCs w:val="24"/>
      </w:rPr>
    </w:lvl>
    <w:lvl w:ilvl="3">
      <w:start w:val="1"/>
      <w:numFmt w:val="lowerRoman"/>
      <w:lvlText w:val="(%4)"/>
      <w:lvlJc w:val="left"/>
      <w:pPr>
        <w:tabs>
          <w:tab w:val="num" w:pos="1113"/>
        </w:tabs>
        <w:ind w:left="1113" w:hanging="393"/>
      </w:pPr>
      <w:rPr>
        <w:rFonts w:cs="Times New Roman"/>
        <w:position w:val="0"/>
        <w:sz w:val="24"/>
        <w:szCs w:val="24"/>
      </w:rPr>
    </w:lvl>
    <w:lvl w:ilvl="4">
      <w:start w:val="1"/>
      <w:numFmt w:val="lowerLetter"/>
      <w:lvlText w:val="%5."/>
      <w:lvlJc w:val="left"/>
      <w:pPr>
        <w:tabs>
          <w:tab w:val="num" w:pos="1473"/>
        </w:tabs>
        <w:ind w:left="1473" w:hanging="393"/>
      </w:pPr>
      <w:rPr>
        <w:rFonts w:cs="Times New Roman"/>
        <w:position w:val="0"/>
        <w:sz w:val="24"/>
        <w:szCs w:val="24"/>
      </w:rPr>
    </w:lvl>
    <w:lvl w:ilvl="5">
      <w:start w:val="1"/>
      <w:numFmt w:val="lowerRoman"/>
      <w:lvlText w:val="%6."/>
      <w:lvlJc w:val="left"/>
      <w:pPr>
        <w:tabs>
          <w:tab w:val="num" w:pos="1833"/>
        </w:tabs>
        <w:ind w:left="1833" w:hanging="393"/>
      </w:pPr>
      <w:rPr>
        <w:rFonts w:cs="Times New Roman"/>
        <w:position w:val="0"/>
        <w:sz w:val="24"/>
        <w:szCs w:val="24"/>
      </w:rPr>
    </w:lvl>
    <w:lvl w:ilvl="6">
      <w:start w:val="1"/>
      <w:numFmt w:val="decimal"/>
      <w:lvlText w:val="%7."/>
      <w:lvlJc w:val="left"/>
      <w:pPr>
        <w:tabs>
          <w:tab w:val="num" w:pos="2553"/>
        </w:tabs>
        <w:ind w:left="2553" w:hanging="393"/>
      </w:pPr>
      <w:rPr>
        <w:rFonts w:cs="Times New Roman"/>
        <w:position w:val="0"/>
        <w:sz w:val="24"/>
        <w:szCs w:val="24"/>
      </w:rPr>
    </w:lvl>
    <w:lvl w:ilvl="7">
      <w:start w:val="1"/>
      <w:numFmt w:val="lowerLetter"/>
      <w:lvlText w:val="%8."/>
      <w:lvlJc w:val="left"/>
      <w:pPr>
        <w:tabs>
          <w:tab w:val="num" w:pos="2913"/>
        </w:tabs>
        <w:ind w:left="2913" w:hanging="393"/>
      </w:pPr>
      <w:rPr>
        <w:rFonts w:cs="Times New Roman"/>
        <w:position w:val="0"/>
        <w:sz w:val="24"/>
        <w:szCs w:val="24"/>
      </w:rPr>
    </w:lvl>
    <w:lvl w:ilvl="8">
      <w:start w:val="1"/>
      <w:numFmt w:val="lowerRoman"/>
      <w:lvlText w:val="%9."/>
      <w:lvlJc w:val="left"/>
      <w:pPr>
        <w:tabs>
          <w:tab w:val="num" w:pos="3273"/>
        </w:tabs>
        <w:ind w:left="3273" w:hanging="393"/>
      </w:pPr>
      <w:rPr>
        <w:rFonts w:cs="Times New Roman"/>
        <w:position w:val="0"/>
        <w:sz w:val="24"/>
        <w:szCs w:val="24"/>
      </w:rPr>
    </w:lvl>
  </w:abstractNum>
  <w:abstractNum w:abstractNumId="49" w15:restartNumberingAfterBreak="0">
    <w:nsid w:val="70C57FDF"/>
    <w:multiLevelType w:val="hybridMultilevel"/>
    <w:tmpl w:val="B010C634"/>
    <w:lvl w:ilvl="0" w:tplc="EE027012">
      <w:numFmt w:val="bullet"/>
      <w:lvlText w:val="-"/>
      <w:lvlJc w:val="left"/>
      <w:pPr>
        <w:ind w:left="432" w:hanging="144"/>
      </w:pPr>
      <w:rPr>
        <w:rFonts w:asciiTheme="minorHAnsi" w:eastAsiaTheme="minorEastAsia"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3957075"/>
    <w:multiLevelType w:val="hybridMultilevel"/>
    <w:tmpl w:val="2FE4B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3B9557E"/>
    <w:multiLevelType w:val="hybridMultilevel"/>
    <w:tmpl w:val="F5B4A6E8"/>
    <w:lvl w:ilvl="0" w:tplc="CF2C451E">
      <w:numFmt w:val="bullet"/>
      <w:lvlText w:val="-"/>
      <w:lvlJc w:val="left"/>
      <w:pPr>
        <w:ind w:left="432" w:hanging="144"/>
      </w:pPr>
      <w:rPr>
        <w:rFonts w:asciiTheme="minorHAnsi" w:eastAsiaTheme="minorEastAsia" w:hAnsiTheme="minorHAns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3C11663"/>
    <w:multiLevelType w:val="multilevel"/>
    <w:tmpl w:val="930E28A4"/>
    <w:lvl w:ilvl="0">
      <w:start w:val="1"/>
      <w:numFmt w:val="decimal"/>
      <w:pStyle w:val="Heading1"/>
      <w:lvlText w:val="%1."/>
      <w:lvlJc w:val="left"/>
      <w:pPr>
        <w:tabs>
          <w:tab w:val="num" w:pos="360"/>
        </w:tabs>
        <w:ind w:left="360" w:hanging="360"/>
      </w:pPr>
      <w:rPr>
        <w:rFonts w:cs="Times New Roman" w:hint="default"/>
      </w:rPr>
    </w:lvl>
    <w:lvl w:ilvl="1">
      <w:start w:val="1"/>
      <w:numFmt w:val="decimal"/>
      <w:pStyle w:val="Sub-Para1underX"/>
      <w:lvlText w:val="%1.%2"/>
      <w:lvlJc w:val="left"/>
      <w:pPr>
        <w:tabs>
          <w:tab w:val="num" w:pos="720"/>
        </w:tabs>
        <w:ind w:left="720" w:hanging="720"/>
      </w:pPr>
      <w:rPr>
        <w:rFonts w:cs="Times New Roman" w:hint="default"/>
      </w:rPr>
    </w:lvl>
    <w:lvl w:ilvl="2">
      <w:start w:val="1"/>
      <w:numFmt w:val="lowerLetter"/>
      <w:pStyle w:val="Sub-Para2underX"/>
      <w:lvlText w:val="(%3)"/>
      <w:lvlJc w:val="left"/>
      <w:pPr>
        <w:tabs>
          <w:tab w:val="num" w:pos="1440"/>
        </w:tabs>
        <w:ind w:left="1080" w:hanging="360"/>
      </w:pPr>
      <w:rPr>
        <w:rFonts w:cs="Times New Roman" w:hint="default"/>
      </w:rPr>
    </w:lvl>
    <w:lvl w:ilvl="3">
      <w:start w:val="1"/>
      <w:numFmt w:val="lowerRoman"/>
      <w:pStyle w:val="Sub-Para3underX"/>
      <w:lvlText w:val="(%4)"/>
      <w:lvlJc w:val="left"/>
      <w:pPr>
        <w:tabs>
          <w:tab w:val="num" w:pos="2160"/>
        </w:tabs>
        <w:ind w:left="1440" w:hanging="360"/>
      </w:pPr>
      <w:rPr>
        <w:rFonts w:cs="Times New Roman" w:hint="default"/>
      </w:rPr>
    </w:lvl>
    <w:lvl w:ilvl="4">
      <w:start w:val="1"/>
      <w:numFmt w:val="lowerLetter"/>
      <w:pStyle w:val="Sub-Para4underX"/>
      <w:lvlText w:val="%5."/>
      <w:lvlJc w:val="left"/>
      <w:pPr>
        <w:tabs>
          <w:tab w:val="num" w:pos="1800"/>
        </w:tabs>
        <w:ind w:left="1800" w:hanging="360"/>
      </w:pPr>
      <w:rPr>
        <w:rFonts w:cs="Times New Roman" w:hint="default"/>
      </w:rPr>
    </w:lvl>
    <w:lvl w:ilvl="5">
      <w:start w:val="1"/>
      <w:numFmt w:val="lowerRoman"/>
      <w:lvlText w:val="%6."/>
      <w:lvlJc w:val="left"/>
      <w:pPr>
        <w:tabs>
          <w:tab w:val="num" w:pos="2520"/>
        </w:tabs>
        <w:ind w:left="2160" w:hanging="360"/>
      </w:pPr>
      <w:rPr>
        <w:rFonts w:cs="Times New Roman" w:hint="default"/>
      </w:rPr>
    </w:lvl>
    <w:lvl w:ilvl="6">
      <w:start w:val="1"/>
      <w:numFmt w:val="decimal"/>
      <w:lvlText w:val="%1.%2.%3.%4.%5.%6.%7."/>
      <w:lvlJc w:val="left"/>
      <w:pPr>
        <w:tabs>
          <w:tab w:val="num" w:pos="7200"/>
        </w:tabs>
        <w:ind w:left="6120" w:hanging="1080"/>
      </w:pPr>
      <w:rPr>
        <w:rFonts w:cs="Times New Roman" w:hint="default"/>
      </w:rPr>
    </w:lvl>
    <w:lvl w:ilvl="7">
      <w:start w:val="1"/>
      <w:numFmt w:val="decimal"/>
      <w:lvlText w:val="%1.%2.%3.%4.%5.%6.%7.%8."/>
      <w:lvlJc w:val="left"/>
      <w:pPr>
        <w:tabs>
          <w:tab w:val="num" w:pos="7560"/>
        </w:tabs>
        <w:ind w:left="6624" w:hanging="1224"/>
      </w:pPr>
      <w:rPr>
        <w:rFonts w:cs="Times New Roman" w:hint="default"/>
      </w:rPr>
    </w:lvl>
    <w:lvl w:ilvl="8">
      <w:start w:val="1"/>
      <w:numFmt w:val="decimal"/>
      <w:lvlText w:val="%1.%2.%3.%4.%5.%6.%7.%8.%9."/>
      <w:lvlJc w:val="left"/>
      <w:pPr>
        <w:tabs>
          <w:tab w:val="num" w:pos="8280"/>
        </w:tabs>
        <w:ind w:left="7200" w:hanging="1440"/>
      </w:pPr>
      <w:rPr>
        <w:rFonts w:cs="Times New Roman" w:hint="default"/>
      </w:rPr>
    </w:lvl>
  </w:abstractNum>
  <w:abstractNum w:abstractNumId="53" w15:restartNumberingAfterBreak="0">
    <w:nsid w:val="74C455C2"/>
    <w:multiLevelType w:val="hybridMultilevel"/>
    <w:tmpl w:val="49385086"/>
    <w:lvl w:ilvl="0" w:tplc="93D26244">
      <w:start w:val="1"/>
      <w:numFmt w:val="bullet"/>
      <w:pStyle w:val="Tablebullets"/>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54" w15:restartNumberingAfterBreak="0">
    <w:nsid w:val="784B27B6"/>
    <w:multiLevelType w:val="hybridMultilevel"/>
    <w:tmpl w:val="A9E4406C"/>
    <w:lvl w:ilvl="0" w:tplc="242E7702">
      <w:start w:val="1"/>
      <w:numFmt w:val="decimal"/>
      <w:pStyle w:val="firstsentence"/>
      <w:lvlText w:val="%1."/>
      <w:lvlJc w:val="left"/>
      <w:pPr>
        <w:ind w:left="1080" w:hanging="360"/>
      </w:pPr>
      <w:rPr>
        <w:rFonts w:cs="Times New Roman"/>
        <w:b w:val="0"/>
        <w:i w:val="0"/>
        <w:color w:val="auto"/>
        <w:sz w:val="24"/>
        <w:szCs w:val="24"/>
      </w:rPr>
    </w:lvl>
    <w:lvl w:ilvl="1" w:tplc="04090019">
      <w:start w:val="1"/>
      <w:numFmt w:val="lowerLetter"/>
      <w:lvlText w:val="%2."/>
      <w:lvlJc w:val="left"/>
      <w:pPr>
        <w:ind w:left="1440" w:hanging="360"/>
      </w:pPr>
      <w:rPr>
        <w:rFonts w:cs="Times New Roman"/>
      </w:rPr>
    </w:lvl>
    <w:lvl w:ilvl="2" w:tplc="0AEA19A0">
      <w:start w:val="1"/>
      <w:numFmt w:val="upperLetter"/>
      <w:lvlText w:val="%3."/>
      <w:lvlJc w:val="left"/>
      <w:pPr>
        <w:ind w:left="2340" w:hanging="360"/>
      </w:pPr>
      <w:rPr>
        <w:rFonts w:cs="Times New Roman" w:hint="default"/>
      </w:rPr>
    </w:lvl>
    <w:lvl w:ilvl="3" w:tplc="F454B9E6">
      <w:start w:val="1"/>
      <w:numFmt w:val="lowerRoman"/>
      <w:lvlText w:val="(%4)"/>
      <w:lvlJc w:val="left"/>
      <w:pPr>
        <w:ind w:left="3510" w:hanging="990"/>
      </w:pPr>
      <w:rPr>
        <w:rFonts w:asciiTheme="minorEastAsia" w:eastAsiaTheme="minorEastAsia" w:cs="Times New Roman" w:hint="default"/>
        <w:i/>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3"/>
  </w:num>
  <w:num w:numId="4">
    <w:abstractNumId w:val="4"/>
  </w:num>
  <w:num w:numId="5">
    <w:abstractNumId w:val="14"/>
  </w:num>
  <w:num w:numId="6">
    <w:abstractNumId w:val="38"/>
  </w:num>
  <w:num w:numId="7">
    <w:abstractNumId w:val="5"/>
  </w:num>
  <w:num w:numId="8">
    <w:abstractNumId w:val="26"/>
  </w:num>
  <w:num w:numId="9">
    <w:abstractNumId w:val="24"/>
  </w:num>
  <w:num w:numId="10">
    <w:abstractNumId w:val="52"/>
  </w:num>
  <w:num w:numId="11">
    <w:abstractNumId w:val="7"/>
  </w:num>
  <w:num w:numId="12">
    <w:abstractNumId w:val="35"/>
  </w:num>
  <w:num w:numId="13">
    <w:abstractNumId w:val="54"/>
  </w:num>
  <w:num w:numId="14">
    <w:abstractNumId w:val="39"/>
  </w:num>
  <w:num w:numId="15">
    <w:abstractNumId w:val="13"/>
  </w:num>
  <w:num w:numId="16">
    <w:abstractNumId w:val="6"/>
  </w:num>
  <w:num w:numId="17">
    <w:abstractNumId w:val="16"/>
  </w:num>
  <w:num w:numId="18">
    <w:abstractNumId w:val="48"/>
  </w:num>
  <w:num w:numId="19">
    <w:abstractNumId w:val="21"/>
  </w:num>
  <w:num w:numId="20">
    <w:abstractNumId w:val="29"/>
  </w:num>
  <w:num w:numId="21">
    <w:abstractNumId w:val="53"/>
  </w:num>
  <w:num w:numId="22">
    <w:abstractNumId w:val="31"/>
  </w:num>
  <w:num w:numId="23">
    <w:abstractNumId w:val="23"/>
  </w:num>
  <w:num w:numId="24">
    <w:abstractNumId w:val="10"/>
  </w:num>
  <w:num w:numId="25">
    <w:abstractNumId w:val="51"/>
  </w:num>
  <w:num w:numId="26">
    <w:abstractNumId w:val="49"/>
  </w:num>
  <w:num w:numId="27">
    <w:abstractNumId w:val="42"/>
  </w:num>
  <w:num w:numId="28">
    <w:abstractNumId w:val="17"/>
  </w:num>
  <w:num w:numId="29">
    <w:abstractNumId w:val="9"/>
  </w:num>
  <w:num w:numId="30">
    <w:abstractNumId w:val="40"/>
  </w:num>
  <w:num w:numId="31">
    <w:abstractNumId w:val="27"/>
  </w:num>
  <w:num w:numId="32">
    <w:abstractNumId w:val="43"/>
  </w:num>
  <w:num w:numId="33">
    <w:abstractNumId w:val="30"/>
  </w:num>
  <w:num w:numId="34">
    <w:abstractNumId w:val="18"/>
  </w:num>
  <w:num w:numId="35">
    <w:abstractNumId w:val="34"/>
  </w:num>
  <w:num w:numId="36">
    <w:abstractNumId w:val="50"/>
  </w:num>
  <w:num w:numId="37">
    <w:abstractNumId w:val="20"/>
  </w:num>
  <w:num w:numId="38">
    <w:abstractNumId w:val="33"/>
  </w:num>
  <w:num w:numId="3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num>
  <w:num w:numId="41">
    <w:abstractNumId w:val="28"/>
  </w:num>
  <w:num w:numId="42">
    <w:abstractNumId w:val="19"/>
  </w:num>
  <w:num w:numId="43">
    <w:abstractNumId w:val="47"/>
  </w:num>
  <w:num w:numId="44">
    <w:abstractNumId w:val="12"/>
  </w:num>
  <w:num w:numId="45">
    <w:abstractNumId w:val="15"/>
  </w:num>
  <w:num w:numId="46">
    <w:abstractNumId w:val="44"/>
  </w:num>
  <w:num w:numId="47">
    <w:abstractNumId w:val="11"/>
  </w:num>
  <w:num w:numId="48">
    <w:abstractNumId w:val="41"/>
  </w:num>
  <w:num w:numId="49">
    <w:abstractNumId w:val="45"/>
  </w:num>
  <w:num w:numId="50">
    <w:abstractNumId w:val="8"/>
  </w:num>
  <w:num w:numId="51">
    <w:abstractNumId w:val="25"/>
  </w:num>
  <w:num w:numId="52">
    <w:abstractNumId w:val="36"/>
  </w:num>
  <w:num w:numId="53">
    <w:abstractNumId w:val="37"/>
  </w:num>
  <w:num w:numId="54">
    <w:abstractNumId w:val="22"/>
  </w:num>
  <w:num w:numId="55">
    <w:abstractNumId w:val="1"/>
  </w:num>
  <w:num w:numId="56">
    <w:abstractNumId w:val="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146"/>
    <w:rsid w:val="00000292"/>
    <w:rsid w:val="00000D06"/>
    <w:rsid w:val="0000126B"/>
    <w:rsid w:val="00001345"/>
    <w:rsid w:val="00001415"/>
    <w:rsid w:val="00001EEB"/>
    <w:rsid w:val="000031E7"/>
    <w:rsid w:val="00003922"/>
    <w:rsid w:val="00003D00"/>
    <w:rsid w:val="00003FB7"/>
    <w:rsid w:val="000055A1"/>
    <w:rsid w:val="00005935"/>
    <w:rsid w:val="000059CA"/>
    <w:rsid w:val="00005D8B"/>
    <w:rsid w:val="000062C3"/>
    <w:rsid w:val="000065A6"/>
    <w:rsid w:val="000067EB"/>
    <w:rsid w:val="000069FF"/>
    <w:rsid w:val="00006B39"/>
    <w:rsid w:val="00006FF3"/>
    <w:rsid w:val="00007A26"/>
    <w:rsid w:val="00007E4A"/>
    <w:rsid w:val="00010057"/>
    <w:rsid w:val="00010178"/>
    <w:rsid w:val="0001038D"/>
    <w:rsid w:val="000107B7"/>
    <w:rsid w:val="0001093C"/>
    <w:rsid w:val="00011290"/>
    <w:rsid w:val="000119DA"/>
    <w:rsid w:val="0001291B"/>
    <w:rsid w:val="000131D7"/>
    <w:rsid w:val="00013B42"/>
    <w:rsid w:val="00013BC2"/>
    <w:rsid w:val="00013BF5"/>
    <w:rsid w:val="000142DE"/>
    <w:rsid w:val="00014C89"/>
    <w:rsid w:val="00014E58"/>
    <w:rsid w:val="000156D3"/>
    <w:rsid w:val="00015C2F"/>
    <w:rsid w:val="00015C89"/>
    <w:rsid w:val="00016914"/>
    <w:rsid w:val="000177B9"/>
    <w:rsid w:val="00017848"/>
    <w:rsid w:val="00017E74"/>
    <w:rsid w:val="00017F76"/>
    <w:rsid w:val="0002065A"/>
    <w:rsid w:val="00020BC1"/>
    <w:rsid w:val="00020F8A"/>
    <w:rsid w:val="0002101E"/>
    <w:rsid w:val="00021C87"/>
    <w:rsid w:val="00021E15"/>
    <w:rsid w:val="000221E2"/>
    <w:rsid w:val="00022330"/>
    <w:rsid w:val="00022767"/>
    <w:rsid w:val="0002369A"/>
    <w:rsid w:val="00023802"/>
    <w:rsid w:val="00023837"/>
    <w:rsid w:val="00023A97"/>
    <w:rsid w:val="000241D3"/>
    <w:rsid w:val="000242DF"/>
    <w:rsid w:val="000244E7"/>
    <w:rsid w:val="00024668"/>
    <w:rsid w:val="00025304"/>
    <w:rsid w:val="00025522"/>
    <w:rsid w:val="0002561E"/>
    <w:rsid w:val="0002591E"/>
    <w:rsid w:val="000260FC"/>
    <w:rsid w:val="0002633A"/>
    <w:rsid w:val="000265A0"/>
    <w:rsid w:val="0002717A"/>
    <w:rsid w:val="00027456"/>
    <w:rsid w:val="00027BF4"/>
    <w:rsid w:val="00027EF2"/>
    <w:rsid w:val="00030596"/>
    <w:rsid w:val="00030F12"/>
    <w:rsid w:val="00030F52"/>
    <w:rsid w:val="000317B0"/>
    <w:rsid w:val="00031E90"/>
    <w:rsid w:val="000320C5"/>
    <w:rsid w:val="000324B7"/>
    <w:rsid w:val="0003252E"/>
    <w:rsid w:val="00032776"/>
    <w:rsid w:val="00032D4B"/>
    <w:rsid w:val="000332FE"/>
    <w:rsid w:val="0003335B"/>
    <w:rsid w:val="00033452"/>
    <w:rsid w:val="000336BD"/>
    <w:rsid w:val="00033C02"/>
    <w:rsid w:val="00033C99"/>
    <w:rsid w:val="00034056"/>
    <w:rsid w:val="0003419F"/>
    <w:rsid w:val="00034386"/>
    <w:rsid w:val="00034856"/>
    <w:rsid w:val="00034C69"/>
    <w:rsid w:val="00034F95"/>
    <w:rsid w:val="00035676"/>
    <w:rsid w:val="00036956"/>
    <w:rsid w:val="00036A33"/>
    <w:rsid w:val="00036C14"/>
    <w:rsid w:val="0003743A"/>
    <w:rsid w:val="0003761F"/>
    <w:rsid w:val="00040581"/>
    <w:rsid w:val="000405E5"/>
    <w:rsid w:val="00040677"/>
    <w:rsid w:val="000411BF"/>
    <w:rsid w:val="0004180E"/>
    <w:rsid w:val="00041927"/>
    <w:rsid w:val="00043A52"/>
    <w:rsid w:val="00043B1C"/>
    <w:rsid w:val="00043DE6"/>
    <w:rsid w:val="0004480D"/>
    <w:rsid w:val="00044EB6"/>
    <w:rsid w:val="00044F57"/>
    <w:rsid w:val="00045166"/>
    <w:rsid w:val="00045563"/>
    <w:rsid w:val="00045A2F"/>
    <w:rsid w:val="00045C0B"/>
    <w:rsid w:val="00045D0B"/>
    <w:rsid w:val="00046045"/>
    <w:rsid w:val="000461EE"/>
    <w:rsid w:val="00046276"/>
    <w:rsid w:val="000466FC"/>
    <w:rsid w:val="000467CB"/>
    <w:rsid w:val="000476C0"/>
    <w:rsid w:val="00047969"/>
    <w:rsid w:val="00047C13"/>
    <w:rsid w:val="00050448"/>
    <w:rsid w:val="000504E1"/>
    <w:rsid w:val="00050CBD"/>
    <w:rsid w:val="00050F31"/>
    <w:rsid w:val="00051957"/>
    <w:rsid w:val="00051B9B"/>
    <w:rsid w:val="00052065"/>
    <w:rsid w:val="000523EE"/>
    <w:rsid w:val="000525F0"/>
    <w:rsid w:val="00052653"/>
    <w:rsid w:val="00052B59"/>
    <w:rsid w:val="00053060"/>
    <w:rsid w:val="000533BB"/>
    <w:rsid w:val="000538F8"/>
    <w:rsid w:val="0005422E"/>
    <w:rsid w:val="000548BD"/>
    <w:rsid w:val="00054CA8"/>
    <w:rsid w:val="00054D70"/>
    <w:rsid w:val="00056694"/>
    <w:rsid w:val="00056BBD"/>
    <w:rsid w:val="00056D1E"/>
    <w:rsid w:val="000572DF"/>
    <w:rsid w:val="0005776B"/>
    <w:rsid w:val="0005779F"/>
    <w:rsid w:val="000577B6"/>
    <w:rsid w:val="00057CA4"/>
    <w:rsid w:val="00057CEC"/>
    <w:rsid w:val="000600A5"/>
    <w:rsid w:val="000600F8"/>
    <w:rsid w:val="0006047B"/>
    <w:rsid w:val="000608C4"/>
    <w:rsid w:val="00060A7E"/>
    <w:rsid w:val="00060BB9"/>
    <w:rsid w:val="000627D7"/>
    <w:rsid w:val="00062AE1"/>
    <w:rsid w:val="00062AF1"/>
    <w:rsid w:val="00063513"/>
    <w:rsid w:val="0006366E"/>
    <w:rsid w:val="0006377C"/>
    <w:rsid w:val="0006378B"/>
    <w:rsid w:val="000637F3"/>
    <w:rsid w:val="00063E6B"/>
    <w:rsid w:val="00064F4A"/>
    <w:rsid w:val="000653E8"/>
    <w:rsid w:val="0006582F"/>
    <w:rsid w:val="0006606A"/>
    <w:rsid w:val="000662EA"/>
    <w:rsid w:val="0006637E"/>
    <w:rsid w:val="00066B39"/>
    <w:rsid w:val="000670BF"/>
    <w:rsid w:val="0006728F"/>
    <w:rsid w:val="00067302"/>
    <w:rsid w:val="000676EE"/>
    <w:rsid w:val="0006792E"/>
    <w:rsid w:val="00067A57"/>
    <w:rsid w:val="00067BCF"/>
    <w:rsid w:val="00067E00"/>
    <w:rsid w:val="00067E84"/>
    <w:rsid w:val="00067EB4"/>
    <w:rsid w:val="00067FD3"/>
    <w:rsid w:val="0007065E"/>
    <w:rsid w:val="00070B13"/>
    <w:rsid w:val="00070C63"/>
    <w:rsid w:val="00071FD4"/>
    <w:rsid w:val="000737F1"/>
    <w:rsid w:val="000743FD"/>
    <w:rsid w:val="0007461C"/>
    <w:rsid w:val="00074845"/>
    <w:rsid w:val="00074FDF"/>
    <w:rsid w:val="00075184"/>
    <w:rsid w:val="00075728"/>
    <w:rsid w:val="00075948"/>
    <w:rsid w:val="00075EF2"/>
    <w:rsid w:val="00075F2E"/>
    <w:rsid w:val="0007678D"/>
    <w:rsid w:val="00076BE3"/>
    <w:rsid w:val="00077797"/>
    <w:rsid w:val="00077EBE"/>
    <w:rsid w:val="000807D2"/>
    <w:rsid w:val="00080896"/>
    <w:rsid w:val="00080CA2"/>
    <w:rsid w:val="00080DCF"/>
    <w:rsid w:val="00081850"/>
    <w:rsid w:val="00082245"/>
    <w:rsid w:val="00082662"/>
    <w:rsid w:val="000827A8"/>
    <w:rsid w:val="00083000"/>
    <w:rsid w:val="000836B1"/>
    <w:rsid w:val="00083778"/>
    <w:rsid w:val="0008423D"/>
    <w:rsid w:val="00084AF4"/>
    <w:rsid w:val="0008542E"/>
    <w:rsid w:val="00085ACC"/>
    <w:rsid w:val="00085C16"/>
    <w:rsid w:val="000862C3"/>
    <w:rsid w:val="000864E3"/>
    <w:rsid w:val="00086660"/>
    <w:rsid w:val="00086C8D"/>
    <w:rsid w:val="00086CD4"/>
    <w:rsid w:val="00086D7E"/>
    <w:rsid w:val="000876ED"/>
    <w:rsid w:val="00087883"/>
    <w:rsid w:val="00091176"/>
    <w:rsid w:val="00091B82"/>
    <w:rsid w:val="00091BEB"/>
    <w:rsid w:val="000924BB"/>
    <w:rsid w:val="00092CFB"/>
    <w:rsid w:val="00093446"/>
    <w:rsid w:val="00094124"/>
    <w:rsid w:val="000947A1"/>
    <w:rsid w:val="000948BC"/>
    <w:rsid w:val="00094BFE"/>
    <w:rsid w:val="00094C0E"/>
    <w:rsid w:val="00094CFB"/>
    <w:rsid w:val="000959DA"/>
    <w:rsid w:val="00095ACB"/>
    <w:rsid w:val="0009611A"/>
    <w:rsid w:val="00096B74"/>
    <w:rsid w:val="00096BC0"/>
    <w:rsid w:val="00096CB7"/>
    <w:rsid w:val="00097014"/>
    <w:rsid w:val="000973A4"/>
    <w:rsid w:val="000977AE"/>
    <w:rsid w:val="000A0143"/>
    <w:rsid w:val="000A03DB"/>
    <w:rsid w:val="000A05CA"/>
    <w:rsid w:val="000A0866"/>
    <w:rsid w:val="000A0D0D"/>
    <w:rsid w:val="000A0E5B"/>
    <w:rsid w:val="000A18D0"/>
    <w:rsid w:val="000A20D2"/>
    <w:rsid w:val="000A21BD"/>
    <w:rsid w:val="000A23B0"/>
    <w:rsid w:val="000A2C01"/>
    <w:rsid w:val="000A395B"/>
    <w:rsid w:val="000A39B7"/>
    <w:rsid w:val="000A3ABF"/>
    <w:rsid w:val="000A3AC3"/>
    <w:rsid w:val="000A4052"/>
    <w:rsid w:val="000A4E5A"/>
    <w:rsid w:val="000A4F11"/>
    <w:rsid w:val="000A5A4B"/>
    <w:rsid w:val="000A5D93"/>
    <w:rsid w:val="000A62C9"/>
    <w:rsid w:val="000A6A4B"/>
    <w:rsid w:val="000A6B87"/>
    <w:rsid w:val="000A6C59"/>
    <w:rsid w:val="000A7235"/>
    <w:rsid w:val="000A74FC"/>
    <w:rsid w:val="000A7677"/>
    <w:rsid w:val="000A781F"/>
    <w:rsid w:val="000A78E8"/>
    <w:rsid w:val="000A79A4"/>
    <w:rsid w:val="000A7AFB"/>
    <w:rsid w:val="000A7B05"/>
    <w:rsid w:val="000B0251"/>
    <w:rsid w:val="000B03A2"/>
    <w:rsid w:val="000B04F0"/>
    <w:rsid w:val="000B0500"/>
    <w:rsid w:val="000B07BE"/>
    <w:rsid w:val="000B0A0F"/>
    <w:rsid w:val="000B0C58"/>
    <w:rsid w:val="000B0E54"/>
    <w:rsid w:val="000B1409"/>
    <w:rsid w:val="000B1462"/>
    <w:rsid w:val="000B1987"/>
    <w:rsid w:val="000B1BBF"/>
    <w:rsid w:val="000B1F04"/>
    <w:rsid w:val="000B2062"/>
    <w:rsid w:val="000B2529"/>
    <w:rsid w:val="000B25DA"/>
    <w:rsid w:val="000B28A2"/>
    <w:rsid w:val="000B298F"/>
    <w:rsid w:val="000B2AC3"/>
    <w:rsid w:val="000B2C8B"/>
    <w:rsid w:val="000B2DFA"/>
    <w:rsid w:val="000B319E"/>
    <w:rsid w:val="000B39C2"/>
    <w:rsid w:val="000B3DA6"/>
    <w:rsid w:val="000B4032"/>
    <w:rsid w:val="000B499E"/>
    <w:rsid w:val="000B4E6B"/>
    <w:rsid w:val="000B523C"/>
    <w:rsid w:val="000B571B"/>
    <w:rsid w:val="000B582E"/>
    <w:rsid w:val="000B5C5C"/>
    <w:rsid w:val="000B66AA"/>
    <w:rsid w:val="000B6E4E"/>
    <w:rsid w:val="000B708F"/>
    <w:rsid w:val="000B75CD"/>
    <w:rsid w:val="000B7624"/>
    <w:rsid w:val="000C04A8"/>
    <w:rsid w:val="000C085E"/>
    <w:rsid w:val="000C0D71"/>
    <w:rsid w:val="000C110B"/>
    <w:rsid w:val="000C144C"/>
    <w:rsid w:val="000C1745"/>
    <w:rsid w:val="000C18AC"/>
    <w:rsid w:val="000C18E0"/>
    <w:rsid w:val="000C1BDB"/>
    <w:rsid w:val="000C1F86"/>
    <w:rsid w:val="000C2051"/>
    <w:rsid w:val="000C252D"/>
    <w:rsid w:val="000C31BC"/>
    <w:rsid w:val="000C3217"/>
    <w:rsid w:val="000C32EE"/>
    <w:rsid w:val="000C3305"/>
    <w:rsid w:val="000C33C1"/>
    <w:rsid w:val="000C3B8B"/>
    <w:rsid w:val="000C3E7C"/>
    <w:rsid w:val="000C433C"/>
    <w:rsid w:val="000C443E"/>
    <w:rsid w:val="000C4A82"/>
    <w:rsid w:val="000C51B4"/>
    <w:rsid w:val="000C62A5"/>
    <w:rsid w:val="000C666E"/>
    <w:rsid w:val="000C6A0E"/>
    <w:rsid w:val="000C6C00"/>
    <w:rsid w:val="000C6C3B"/>
    <w:rsid w:val="000C6F0F"/>
    <w:rsid w:val="000C6F24"/>
    <w:rsid w:val="000C7439"/>
    <w:rsid w:val="000C74B7"/>
    <w:rsid w:val="000C79E1"/>
    <w:rsid w:val="000C7C47"/>
    <w:rsid w:val="000C7EFE"/>
    <w:rsid w:val="000D05B2"/>
    <w:rsid w:val="000D08C5"/>
    <w:rsid w:val="000D0B7E"/>
    <w:rsid w:val="000D0E61"/>
    <w:rsid w:val="000D1A3C"/>
    <w:rsid w:val="000D26A6"/>
    <w:rsid w:val="000D2E0C"/>
    <w:rsid w:val="000D2FCE"/>
    <w:rsid w:val="000D338D"/>
    <w:rsid w:val="000D39D5"/>
    <w:rsid w:val="000D426D"/>
    <w:rsid w:val="000D4C94"/>
    <w:rsid w:val="000D50F6"/>
    <w:rsid w:val="000D516E"/>
    <w:rsid w:val="000D5190"/>
    <w:rsid w:val="000D5B15"/>
    <w:rsid w:val="000D5BB1"/>
    <w:rsid w:val="000D627D"/>
    <w:rsid w:val="000D62C2"/>
    <w:rsid w:val="000D6335"/>
    <w:rsid w:val="000D6420"/>
    <w:rsid w:val="000D6435"/>
    <w:rsid w:val="000D67E4"/>
    <w:rsid w:val="000D6973"/>
    <w:rsid w:val="000D6F7C"/>
    <w:rsid w:val="000D76C8"/>
    <w:rsid w:val="000D7D40"/>
    <w:rsid w:val="000D7FCA"/>
    <w:rsid w:val="000E0089"/>
    <w:rsid w:val="000E04A0"/>
    <w:rsid w:val="000E0B78"/>
    <w:rsid w:val="000E0C74"/>
    <w:rsid w:val="000E128F"/>
    <w:rsid w:val="000E1945"/>
    <w:rsid w:val="000E1A70"/>
    <w:rsid w:val="000E1B57"/>
    <w:rsid w:val="000E1C7B"/>
    <w:rsid w:val="000E1D75"/>
    <w:rsid w:val="000E2235"/>
    <w:rsid w:val="000E33BF"/>
    <w:rsid w:val="000E43F9"/>
    <w:rsid w:val="000E4734"/>
    <w:rsid w:val="000E5B67"/>
    <w:rsid w:val="000E6051"/>
    <w:rsid w:val="000E6DB2"/>
    <w:rsid w:val="000E701B"/>
    <w:rsid w:val="000E702C"/>
    <w:rsid w:val="000E72A1"/>
    <w:rsid w:val="000E72F0"/>
    <w:rsid w:val="000E772D"/>
    <w:rsid w:val="000E7799"/>
    <w:rsid w:val="000F0059"/>
    <w:rsid w:val="000F0BFF"/>
    <w:rsid w:val="000F1846"/>
    <w:rsid w:val="000F1D2A"/>
    <w:rsid w:val="000F1F96"/>
    <w:rsid w:val="000F322D"/>
    <w:rsid w:val="000F3622"/>
    <w:rsid w:val="000F37B8"/>
    <w:rsid w:val="000F3A07"/>
    <w:rsid w:val="000F4666"/>
    <w:rsid w:val="000F48E1"/>
    <w:rsid w:val="000F4973"/>
    <w:rsid w:val="000F50C3"/>
    <w:rsid w:val="000F52AD"/>
    <w:rsid w:val="000F5650"/>
    <w:rsid w:val="000F5802"/>
    <w:rsid w:val="000F5CD0"/>
    <w:rsid w:val="000F5F12"/>
    <w:rsid w:val="000F6089"/>
    <w:rsid w:val="000F6383"/>
    <w:rsid w:val="000F64D4"/>
    <w:rsid w:val="000F6F45"/>
    <w:rsid w:val="000F7697"/>
    <w:rsid w:val="000F7EE6"/>
    <w:rsid w:val="001002AF"/>
    <w:rsid w:val="00100565"/>
    <w:rsid w:val="00100E4F"/>
    <w:rsid w:val="00100F22"/>
    <w:rsid w:val="001011E6"/>
    <w:rsid w:val="0010168F"/>
    <w:rsid w:val="00102431"/>
    <w:rsid w:val="001026AC"/>
    <w:rsid w:val="00102AD6"/>
    <w:rsid w:val="00103546"/>
    <w:rsid w:val="001036B5"/>
    <w:rsid w:val="00103ACA"/>
    <w:rsid w:val="00103CCD"/>
    <w:rsid w:val="0010471E"/>
    <w:rsid w:val="00104AF2"/>
    <w:rsid w:val="00104AF3"/>
    <w:rsid w:val="0010509D"/>
    <w:rsid w:val="001052C8"/>
    <w:rsid w:val="00105D28"/>
    <w:rsid w:val="001069DC"/>
    <w:rsid w:val="00106A30"/>
    <w:rsid w:val="00106AE4"/>
    <w:rsid w:val="001070D5"/>
    <w:rsid w:val="00107557"/>
    <w:rsid w:val="00107798"/>
    <w:rsid w:val="0010790B"/>
    <w:rsid w:val="0011086A"/>
    <w:rsid w:val="0011096B"/>
    <w:rsid w:val="00110AED"/>
    <w:rsid w:val="00110EC5"/>
    <w:rsid w:val="00110F2F"/>
    <w:rsid w:val="00111356"/>
    <w:rsid w:val="00111DB4"/>
    <w:rsid w:val="00111E4A"/>
    <w:rsid w:val="00111E60"/>
    <w:rsid w:val="00111EB8"/>
    <w:rsid w:val="0011233D"/>
    <w:rsid w:val="00112A4A"/>
    <w:rsid w:val="00112DA1"/>
    <w:rsid w:val="00113833"/>
    <w:rsid w:val="001138E5"/>
    <w:rsid w:val="00114323"/>
    <w:rsid w:val="0011440A"/>
    <w:rsid w:val="00114CCE"/>
    <w:rsid w:val="00114EE1"/>
    <w:rsid w:val="00114F10"/>
    <w:rsid w:val="00114F27"/>
    <w:rsid w:val="00115415"/>
    <w:rsid w:val="00115A9A"/>
    <w:rsid w:val="00116119"/>
    <w:rsid w:val="0011650B"/>
    <w:rsid w:val="00116AA6"/>
    <w:rsid w:val="00116F35"/>
    <w:rsid w:val="00117579"/>
    <w:rsid w:val="00117671"/>
    <w:rsid w:val="00117788"/>
    <w:rsid w:val="00117946"/>
    <w:rsid w:val="00120B9A"/>
    <w:rsid w:val="00120CCD"/>
    <w:rsid w:val="00121166"/>
    <w:rsid w:val="0012123E"/>
    <w:rsid w:val="00122E22"/>
    <w:rsid w:val="00123282"/>
    <w:rsid w:val="0012352E"/>
    <w:rsid w:val="00123767"/>
    <w:rsid w:val="00123A2B"/>
    <w:rsid w:val="00123FDD"/>
    <w:rsid w:val="001247F8"/>
    <w:rsid w:val="00124B0F"/>
    <w:rsid w:val="00124BD4"/>
    <w:rsid w:val="001250CB"/>
    <w:rsid w:val="001252DD"/>
    <w:rsid w:val="001256C6"/>
    <w:rsid w:val="00125AFC"/>
    <w:rsid w:val="00125D60"/>
    <w:rsid w:val="0012623F"/>
    <w:rsid w:val="00126469"/>
    <w:rsid w:val="0012667C"/>
    <w:rsid w:val="00126DCA"/>
    <w:rsid w:val="001303DA"/>
    <w:rsid w:val="00130475"/>
    <w:rsid w:val="0013075B"/>
    <w:rsid w:val="0013087F"/>
    <w:rsid w:val="00130D36"/>
    <w:rsid w:val="00130F44"/>
    <w:rsid w:val="0013234B"/>
    <w:rsid w:val="00132575"/>
    <w:rsid w:val="00132A21"/>
    <w:rsid w:val="00132AA3"/>
    <w:rsid w:val="00132FAD"/>
    <w:rsid w:val="001332FD"/>
    <w:rsid w:val="001335D1"/>
    <w:rsid w:val="00133A41"/>
    <w:rsid w:val="00133AFF"/>
    <w:rsid w:val="0013447E"/>
    <w:rsid w:val="001347FD"/>
    <w:rsid w:val="00134B16"/>
    <w:rsid w:val="00135301"/>
    <w:rsid w:val="00135707"/>
    <w:rsid w:val="00135902"/>
    <w:rsid w:val="00135988"/>
    <w:rsid w:val="001362CD"/>
    <w:rsid w:val="001363C5"/>
    <w:rsid w:val="0013680E"/>
    <w:rsid w:val="00136A7F"/>
    <w:rsid w:val="00136ABB"/>
    <w:rsid w:val="00136BA5"/>
    <w:rsid w:val="00137026"/>
    <w:rsid w:val="0013720C"/>
    <w:rsid w:val="001372A6"/>
    <w:rsid w:val="0013745F"/>
    <w:rsid w:val="001374B1"/>
    <w:rsid w:val="001377D7"/>
    <w:rsid w:val="00137AF9"/>
    <w:rsid w:val="00140523"/>
    <w:rsid w:val="00140A73"/>
    <w:rsid w:val="00140BBE"/>
    <w:rsid w:val="00140C7C"/>
    <w:rsid w:val="00140E2A"/>
    <w:rsid w:val="00140F54"/>
    <w:rsid w:val="001418B3"/>
    <w:rsid w:val="00141A63"/>
    <w:rsid w:val="00142940"/>
    <w:rsid w:val="00142A9D"/>
    <w:rsid w:val="00142CB6"/>
    <w:rsid w:val="00142E22"/>
    <w:rsid w:val="00143077"/>
    <w:rsid w:val="00144272"/>
    <w:rsid w:val="00144327"/>
    <w:rsid w:val="001443C7"/>
    <w:rsid w:val="001444F3"/>
    <w:rsid w:val="00144A21"/>
    <w:rsid w:val="00144F82"/>
    <w:rsid w:val="0014586B"/>
    <w:rsid w:val="00145930"/>
    <w:rsid w:val="00145A29"/>
    <w:rsid w:val="00145E88"/>
    <w:rsid w:val="0014600F"/>
    <w:rsid w:val="00146502"/>
    <w:rsid w:val="00146D86"/>
    <w:rsid w:val="00147040"/>
    <w:rsid w:val="001470AC"/>
    <w:rsid w:val="0014784F"/>
    <w:rsid w:val="00147C15"/>
    <w:rsid w:val="00147FA3"/>
    <w:rsid w:val="001501C8"/>
    <w:rsid w:val="0015020B"/>
    <w:rsid w:val="001504CB"/>
    <w:rsid w:val="00150744"/>
    <w:rsid w:val="00150BDD"/>
    <w:rsid w:val="0015282D"/>
    <w:rsid w:val="001529A1"/>
    <w:rsid w:val="00152A1C"/>
    <w:rsid w:val="00152C3E"/>
    <w:rsid w:val="00152EBA"/>
    <w:rsid w:val="001534DA"/>
    <w:rsid w:val="00153CBA"/>
    <w:rsid w:val="00154E67"/>
    <w:rsid w:val="001550BA"/>
    <w:rsid w:val="0015546D"/>
    <w:rsid w:val="001559A9"/>
    <w:rsid w:val="00155B5B"/>
    <w:rsid w:val="001568C9"/>
    <w:rsid w:val="00156D06"/>
    <w:rsid w:val="00156FA2"/>
    <w:rsid w:val="001570E3"/>
    <w:rsid w:val="0015715E"/>
    <w:rsid w:val="001574A5"/>
    <w:rsid w:val="00160967"/>
    <w:rsid w:val="00160C3B"/>
    <w:rsid w:val="00160FA2"/>
    <w:rsid w:val="00161319"/>
    <w:rsid w:val="00161616"/>
    <w:rsid w:val="001617D1"/>
    <w:rsid w:val="0016243B"/>
    <w:rsid w:val="0016263B"/>
    <w:rsid w:val="0016285E"/>
    <w:rsid w:val="0016291F"/>
    <w:rsid w:val="0016341A"/>
    <w:rsid w:val="00163518"/>
    <w:rsid w:val="001643C4"/>
    <w:rsid w:val="00164556"/>
    <w:rsid w:val="001646AD"/>
    <w:rsid w:val="00164B92"/>
    <w:rsid w:val="001652B2"/>
    <w:rsid w:val="00165D02"/>
    <w:rsid w:val="0016603D"/>
    <w:rsid w:val="00166405"/>
    <w:rsid w:val="00166846"/>
    <w:rsid w:val="00166F32"/>
    <w:rsid w:val="001671AA"/>
    <w:rsid w:val="00167BC9"/>
    <w:rsid w:val="001701FE"/>
    <w:rsid w:val="00170971"/>
    <w:rsid w:val="00170B80"/>
    <w:rsid w:val="00171BDA"/>
    <w:rsid w:val="00171ECC"/>
    <w:rsid w:val="00172180"/>
    <w:rsid w:val="00172A11"/>
    <w:rsid w:val="00172FA6"/>
    <w:rsid w:val="00173341"/>
    <w:rsid w:val="00173AC4"/>
    <w:rsid w:val="00173AE0"/>
    <w:rsid w:val="00173C0C"/>
    <w:rsid w:val="00173D0C"/>
    <w:rsid w:val="0017435A"/>
    <w:rsid w:val="001745CF"/>
    <w:rsid w:val="00174694"/>
    <w:rsid w:val="00174C46"/>
    <w:rsid w:val="0017512D"/>
    <w:rsid w:val="0017548F"/>
    <w:rsid w:val="00175687"/>
    <w:rsid w:val="00175B99"/>
    <w:rsid w:val="001762CA"/>
    <w:rsid w:val="001765BD"/>
    <w:rsid w:val="001766D5"/>
    <w:rsid w:val="00176F95"/>
    <w:rsid w:val="001776EE"/>
    <w:rsid w:val="00177780"/>
    <w:rsid w:val="00180172"/>
    <w:rsid w:val="001803A8"/>
    <w:rsid w:val="00180484"/>
    <w:rsid w:val="00180B78"/>
    <w:rsid w:val="00181BC5"/>
    <w:rsid w:val="001822D8"/>
    <w:rsid w:val="001824D3"/>
    <w:rsid w:val="0018279F"/>
    <w:rsid w:val="00182A95"/>
    <w:rsid w:val="00182F0A"/>
    <w:rsid w:val="0018330F"/>
    <w:rsid w:val="001836AD"/>
    <w:rsid w:val="00183B2D"/>
    <w:rsid w:val="00183F8C"/>
    <w:rsid w:val="00184E56"/>
    <w:rsid w:val="0018521E"/>
    <w:rsid w:val="0018529E"/>
    <w:rsid w:val="00185339"/>
    <w:rsid w:val="00185476"/>
    <w:rsid w:val="0018560C"/>
    <w:rsid w:val="00185878"/>
    <w:rsid w:val="00185E48"/>
    <w:rsid w:val="0018658D"/>
    <w:rsid w:val="00186ACF"/>
    <w:rsid w:val="00186B8D"/>
    <w:rsid w:val="00187271"/>
    <w:rsid w:val="00187501"/>
    <w:rsid w:val="00187CE9"/>
    <w:rsid w:val="00190420"/>
    <w:rsid w:val="00190789"/>
    <w:rsid w:val="00190D4F"/>
    <w:rsid w:val="00191CF0"/>
    <w:rsid w:val="00191F8A"/>
    <w:rsid w:val="00192425"/>
    <w:rsid w:val="0019279A"/>
    <w:rsid w:val="0019282F"/>
    <w:rsid w:val="00192BBC"/>
    <w:rsid w:val="00193C73"/>
    <w:rsid w:val="00193DFC"/>
    <w:rsid w:val="00193EB8"/>
    <w:rsid w:val="00193F22"/>
    <w:rsid w:val="001942D0"/>
    <w:rsid w:val="001946BA"/>
    <w:rsid w:val="001946BF"/>
    <w:rsid w:val="00194C05"/>
    <w:rsid w:val="0019593D"/>
    <w:rsid w:val="00196023"/>
    <w:rsid w:val="00196363"/>
    <w:rsid w:val="00196731"/>
    <w:rsid w:val="001967DE"/>
    <w:rsid w:val="001968C5"/>
    <w:rsid w:val="00196DB7"/>
    <w:rsid w:val="00196F6E"/>
    <w:rsid w:val="001972F7"/>
    <w:rsid w:val="00197303"/>
    <w:rsid w:val="001976E9"/>
    <w:rsid w:val="001A04A6"/>
    <w:rsid w:val="001A07BC"/>
    <w:rsid w:val="001A1A48"/>
    <w:rsid w:val="001A20E7"/>
    <w:rsid w:val="001A2205"/>
    <w:rsid w:val="001A23CD"/>
    <w:rsid w:val="001A23EB"/>
    <w:rsid w:val="001A2E00"/>
    <w:rsid w:val="001A3215"/>
    <w:rsid w:val="001A33E7"/>
    <w:rsid w:val="001A349E"/>
    <w:rsid w:val="001A37BC"/>
    <w:rsid w:val="001A3BC2"/>
    <w:rsid w:val="001A3BCA"/>
    <w:rsid w:val="001A470A"/>
    <w:rsid w:val="001A4822"/>
    <w:rsid w:val="001A49A2"/>
    <w:rsid w:val="001A57D8"/>
    <w:rsid w:val="001A5B65"/>
    <w:rsid w:val="001A5CC9"/>
    <w:rsid w:val="001A626D"/>
    <w:rsid w:val="001A643F"/>
    <w:rsid w:val="001A64E4"/>
    <w:rsid w:val="001A6C09"/>
    <w:rsid w:val="001A6D3A"/>
    <w:rsid w:val="001A70D7"/>
    <w:rsid w:val="001A72E9"/>
    <w:rsid w:val="001A73A0"/>
    <w:rsid w:val="001A7DB4"/>
    <w:rsid w:val="001B0360"/>
    <w:rsid w:val="001B0557"/>
    <w:rsid w:val="001B0A63"/>
    <w:rsid w:val="001B0CC8"/>
    <w:rsid w:val="001B0F13"/>
    <w:rsid w:val="001B0FD4"/>
    <w:rsid w:val="001B121C"/>
    <w:rsid w:val="001B137C"/>
    <w:rsid w:val="001B18C6"/>
    <w:rsid w:val="001B191E"/>
    <w:rsid w:val="001B1C1C"/>
    <w:rsid w:val="001B206C"/>
    <w:rsid w:val="001B2175"/>
    <w:rsid w:val="001B2EC1"/>
    <w:rsid w:val="001B34BA"/>
    <w:rsid w:val="001B34CF"/>
    <w:rsid w:val="001B36B4"/>
    <w:rsid w:val="001B40A9"/>
    <w:rsid w:val="001B498D"/>
    <w:rsid w:val="001B4C4F"/>
    <w:rsid w:val="001B5013"/>
    <w:rsid w:val="001B5504"/>
    <w:rsid w:val="001B59F8"/>
    <w:rsid w:val="001B5B94"/>
    <w:rsid w:val="001B5D30"/>
    <w:rsid w:val="001B6479"/>
    <w:rsid w:val="001B6E6F"/>
    <w:rsid w:val="001B73D2"/>
    <w:rsid w:val="001B7614"/>
    <w:rsid w:val="001B780B"/>
    <w:rsid w:val="001B798F"/>
    <w:rsid w:val="001B7DDB"/>
    <w:rsid w:val="001B7DE4"/>
    <w:rsid w:val="001C0399"/>
    <w:rsid w:val="001C0F81"/>
    <w:rsid w:val="001C1068"/>
    <w:rsid w:val="001C1137"/>
    <w:rsid w:val="001C1797"/>
    <w:rsid w:val="001C1945"/>
    <w:rsid w:val="001C1E00"/>
    <w:rsid w:val="001C1FB4"/>
    <w:rsid w:val="001C2455"/>
    <w:rsid w:val="001C27BA"/>
    <w:rsid w:val="001C2BF7"/>
    <w:rsid w:val="001C2DFE"/>
    <w:rsid w:val="001C2E7E"/>
    <w:rsid w:val="001C34CE"/>
    <w:rsid w:val="001C3533"/>
    <w:rsid w:val="001C3F3B"/>
    <w:rsid w:val="001C40FB"/>
    <w:rsid w:val="001C44B3"/>
    <w:rsid w:val="001C4997"/>
    <w:rsid w:val="001C52D1"/>
    <w:rsid w:val="001C538C"/>
    <w:rsid w:val="001C5612"/>
    <w:rsid w:val="001C5B9D"/>
    <w:rsid w:val="001C639B"/>
    <w:rsid w:val="001C6D6A"/>
    <w:rsid w:val="001C6E0D"/>
    <w:rsid w:val="001C6EEE"/>
    <w:rsid w:val="001C713D"/>
    <w:rsid w:val="001C76F3"/>
    <w:rsid w:val="001C7A3E"/>
    <w:rsid w:val="001C7AC1"/>
    <w:rsid w:val="001D01D7"/>
    <w:rsid w:val="001D0241"/>
    <w:rsid w:val="001D0712"/>
    <w:rsid w:val="001D0A09"/>
    <w:rsid w:val="001D0B27"/>
    <w:rsid w:val="001D1C1D"/>
    <w:rsid w:val="001D22D0"/>
    <w:rsid w:val="001D25B0"/>
    <w:rsid w:val="001D2778"/>
    <w:rsid w:val="001D294C"/>
    <w:rsid w:val="001D29D5"/>
    <w:rsid w:val="001D2CFC"/>
    <w:rsid w:val="001D3443"/>
    <w:rsid w:val="001D3AD9"/>
    <w:rsid w:val="001D3B25"/>
    <w:rsid w:val="001D3D6E"/>
    <w:rsid w:val="001D4134"/>
    <w:rsid w:val="001D445F"/>
    <w:rsid w:val="001D4E21"/>
    <w:rsid w:val="001D4E5B"/>
    <w:rsid w:val="001D4E9D"/>
    <w:rsid w:val="001D5D5A"/>
    <w:rsid w:val="001D699D"/>
    <w:rsid w:val="001D6AE0"/>
    <w:rsid w:val="001D705C"/>
    <w:rsid w:val="001D7E37"/>
    <w:rsid w:val="001E02CF"/>
    <w:rsid w:val="001E06CA"/>
    <w:rsid w:val="001E094B"/>
    <w:rsid w:val="001E13A4"/>
    <w:rsid w:val="001E1916"/>
    <w:rsid w:val="001E2174"/>
    <w:rsid w:val="001E2300"/>
    <w:rsid w:val="001E2F71"/>
    <w:rsid w:val="001E306D"/>
    <w:rsid w:val="001E3185"/>
    <w:rsid w:val="001E3291"/>
    <w:rsid w:val="001E4BA6"/>
    <w:rsid w:val="001E5404"/>
    <w:rsid w:val="001E5592"/>
    <w:rsid w:val="001E5C17"/>
    <w:rsid w:val="001E6917"/>
    <w:rsid w:val="001E6A9F"/>
    <w:rsid w:val="001E6BEB"/>
    <w:rsid w:val="001E71BE"/>
    <w:rsid w:val="001E755A"/>
    <w:rsid w:val="001E75E3"/>
    <w:rsid w:val="001E7A0F"/>
    <w:rsid w:val="001E7EEC"/>
    <w:rsid w:val="001F05AF"/>
    <w:rsid w:val="001F0A9E"/>
    <w:rsid w:val="001F0DAA"/>
    <w:rsid w:val="001F112B"/>
    <w:rsid w:val="001F1756"/>
    <w:rsid w:val="001F1C0D"/>
    <w:rsid w:val="001F2715"/>
    <w:rsid w:val="001F2AAD"/>
    <w:rsid w:val="001F2B63"/>
    <w:rsid w:val="001F2BE8"/>
    <w:rsid w:val="001F31DC"/>
    <w:rsid w:val="001F372A"/>
    <w:rsid w:val="001F3D26"/>
    <w:rsid w:val="001F3EE9"/>
    <w:rsid w:val="001F4077"/>
    <w:rsid w:val="001F4595"/>
    <w:rsid w:val="001F4A85"/>
    <w:rsid w:val="001F4B33"/>
    <w:rsid w:val="001F4EF2"/>
    <w:rsid w:val="001F560C"/>
    <w:rsid w:val="001F5681"/>
    <w:rsid w:val="001F584C"/>
    <w:rsid w:val="001F5A6C"/>
    <w:rsid w:val="001F6E0A"/>
    <w:rsid w:val="001F6FFB"/>
    <w:rsid w:val="001F727C"/>
    <w:rsid w:val="001F7366"/>
    <w:rsid w:val="001F75FC"/>
    <w:rsid w:val="001F7739"/>
    <w:rsid w:val="001F779A"/>
    <w:rsid w:val="001F7B3B"/>
    <w:rsid w:val="001F7FB1"/>
    <w:rsid w:val="0020080F"/>
    <w:rsid w:val="00200C2E"/>
    <w:rsid w:val="00200CE9"/>
    <w:rsid w:val="00201709"/>
    <w:rsid w:val="002017DA"/>
    <w:rsid w:val="00201FFC"/>
    <w:rsid w:val="0020230D"/>
    <w:rsid w:val="00202315"/>
    <w:rsid w:val="00202A0E"/>
    <w:rsid w:val="00202B7D"/>
    <w:rsid w:val="00202BE6"/>
    <w:rsid w:val="002032B6"/>
    <w:rsid w:val="0020384F"/>
    <w:rsid w:val="002044E0"/>
    <w:rsid w:val="00204ACF"/>
    <w:rsid w:val="00204C0E"/>
    <w:rsid w:val="00205585"/>
    <w:rsid w:val="002059B9"/>
    <w:rsid w:val="00205D83"/>
    <w:rsid w:val="00205F8D"/>
    <w:rsid w:val="0020659D"/>
    <w:rsid w:val="002069AA"/>
    <w:rsid w:val="00206ACF"/>
    <w:rsid w:val="002075B9"/>
    <w:rsid w:val="002075E8"/>
    <w:rsid w:val="00207B6C"/>
    <w:rsid w:val="00207C0E"/>
    <w:rsid w:val="002102A4"/>
    <w:rsid w:val="00210747"/>
    <w:rsid w:val="002107F8"/>
    <w:rsid w:val="002107FE"/>
    <w:rsid w:val="002109DA"/>
    <w:rsid w:val="00210B54"/>
    <w:rsid w:val="00210E73"/>
    <w:rsid w:val="002111B3"/>
    <w:rsid w:val="002112B8"/>
    <w:rsid w:val="002112E1"/>
    <w:rsid w:val="0021176B"/>
    <w:rsid w:val="002122D4"/>
    <w:rsid w:val="00212669"/>
    <w:rsid w:val="00212B80"/>
    <w:rsid w:val="00212C8A"/>
    <w:rsid w:val="002130AF"/>
    <w:rsid w:val="002139FA"/>
    <w:rsid w:val="00213EB7"/>
    <w:rsid w:val="00214CA0"/>
    <w:rsid w:val="00214E32"/>
    <w:rsid w:val="002156E2"/>
    <w:rsid w:val="00215B51"/>
    <w:rsid w:val="00215C17"/>
    <w:rsid w:val="00215EAF"/>
    <w:rsid w:val="002163E3"/>
    <w:rsid w:val="00216525"/>
    <w:rsid w:val="00216780"/>
    <w:rsid w:val="002169D7"/>
    <w:rsid w:val="002178CC"/>
    <w:rsid w:val="00220077"/>
    <w:rsid w:val="002203DA"/>
    <w:rsid w:val="00220447"/>
    <w:rsid w:val="002213C0"/>
    <w:rsid w:val="002213EB"/>
    <w:rsid w:val="00221484"/>
    <w:rsid w:val="00221BAF"/>
    <w:rsid w:val="00221D4D"/>
    <w:rsid w:val="00222305"/>
    <w:rsid w:val="002224A6"/>
    <w:rsid w:val="00222727"/>
    <w:rsid w:val="00222D0D"/>
    <w:rsid w:val="002230AE"/>
    <w:rsid w:val="002230F6"/>
    <w:rsid w:val="0022318A"/>
    <w:rsid w:val="002234C5"/>
    <w:rsid w:val="0022360A"/>
    <w:rsid w:val="0022373E"/>
    <w:rsid w:val="00223B0E"/>
    <w:rsid w:val="00223CCC"/>
    <w:rsid w:val="002241AE"/>
    <w:rsid w:val="002242D2"/>
    <w:rsid w:val="002244E0"/>
    <w:rsid w:val="00224663"/>
    <w:rsid w:val="00224A56"/>
    <w:rsid w:val="00224E53"/>
    <w:rsid w:val="00224FED"/>
    <w:rsid w:val="00226608"/>
    <w:rsid w:val="00226A05"/>
    <w:rsid w:val="00226DE0"/>
    <w:rsid w:val="0022721D"/>
    <w:rsid w:val="0022799F"/>
    <w:rsid w:val="00227D4B"/>
    <w:rsid w:val="00227DC5"/>
    <w:rsid w:val="00230739"/>
    <w:rsid w:val="0023086D"/>
    <w:rsid w:val="00230896"/>
    <w:rsid w:val="00231CC3"/>
    <w:rsid w:val="00231DD0"/>
    <w:rsid w:val="00231F26"/>
    <w:rsid w:val="0023249A"/>
    <w:rsid w:val="002329AA"/>
    <w:rsid w:val="00232D20"/>
    <w:rsid w:val="002330C8"/>
    <w:rsid w:val="002331E5"/>
    <w:rsid w:val="002332D5"/>
    <w:rsid w:val="00233D92"/>
    <w:rsid w:val="00233E81"/>
    <w:rsid w:val="0023490A"/>
    <w:rsid w:val="00234B53"/>
    <w:rsid w:val="0023526A"/>
    <w:rsid w:val="002352EE"/>
    <w:rsid w:val="002354FB"/>
    <w:rsid w:val="0023551F"/>
    <w:rsid w:val="002358E1"/>
    <w:rsid w:val="00236035"/>
    <w:rsid w:val="0023603F"/>
    <w:rsid w:val="002363FF"/>
    <w:rsid w:val="002369EF"/>
    <w:rsid w:val="00236A62"/>
    <w:rsid w:val="00237879"/>
    <w:rsid w:val="00237AEA"/>
    <w:rsid w:val="00237D08"/>
    <w:rsid w:val="00240387"/>
    <w:rsid w:val="00240592"/>
    <w:rsid w:val="00241125"/>
    <w:rsid w:val="00241132"/>
    <w:rsid w:val="0024180A"/>
    <w:rsid w:val="002424F9"/>
    <w:rsid w:val="0024296C"/>
    <w:rsid w:val="00242AEA"/>
    <w:rsid w:val="002430D8"/>
    <w:rsid w:val="0024387F"/>
    <w:rsid w:val="002439E3"/>
    <w:rsid w:val="0024449F"/>
    <w:rsid w:val="002448FF"/>
    <w:rsid w:val="00244DB7"/>
    <w:rsid w:val="002450BE"/>
    <w:rsid w:val="002451CC"/>
    <w:rsid w:val="00245663"/>
    <w:rsid w:val="00245765"/>
    <w:rsid w:val="0024579E"/>
    <w:rsid w:val="0024593F"/>
    <w:rsid w:val="00245BCC"/>
    <w:rsid w:val="002460B1"/>
    <w:rsid w:val="002460FF"/>
    <w:rsid w:val="002463BB"/>
    <w:rsid w:val="00246EE9"/>
    <w:rsid w:val="002471D8"/>
    <w:rsid w:val="002471E7"/>
    <w:rsid w:val="0024778D"/>
    <w:rsid w:val="002478E6"/>
    <w:rsid w:val="00247BA6"/>
    <w:rsid w:val="00250F6A"/>
    <w:rsid w:val="002512D4"/>
    <w:rsid w:val="002515D9"/>
    <w:rsid w:val="002518CA"/>
    <w:rsid w:val="00251CC3"/>
    <w:rsid w:val="00251D6F"/>
    <w:rsid w:val="00251EDB"/>
    <w:rsid w:val="00251F0F"/>
    <w:rsid w:val="00252007"/>
    <w:rsid w:val="0025260D"/>
    <w:rsid w:val="00252FF0"/>
    <w:rsid w:val="0025335B"/>
    <w:rsid w:val="0025357E"/>
    <w:rsid w:val="00253604"/>
    <w:rsid w:val="002536B6"/>
    <w:rsid w:val="00253AA7"/>
    <w:rsid w:val="00254494"/>
    <w:rsid w:val="00254837"/>
    <w:rsid w:val="00254FF3"/>
    <w:rsid w:val="002550DD"/>
    <w:rsid w:val="00255276"/>
    <w:rsid w:val="002556FD"/>
    <w:rsid w:val="0025580B"/>
    <w:rsid w:val="002558CB"/>
    <w:rsid w:val="002559C3"/>
    <w:rsid w:val="00255A80"/>
    <w:rsid w:val="00256DD3"/>
    <w:rsid w:val="002570E9"/>
    <w:rsid w:val="002577A2"/>
    <w:rsid w:val="002577D9"/>
    <w:rsid w:val="002601AE"/>
    <w:rsid w:val="0026033C"/>
    <w:rsid w:val="0026066C"/>
    <w:rsid w:val="002607DE"/>
    <w:rsid w:val="0026086F"/>
    <w:rsid w:val="00260983"/>
    <w:rsid w:val="00260F46"/>
    <w:rsid w:val="00260FEF"/>
    <w:rsid w:val="00261BD4"/>
    <w:rsid w:val="00261FE9"/>
    <w:rsid w:val="00263035"/>
    <w:rsid w:val="002630AC"/>
    <w:rsid w:val="002635FD"/>
    <w:rsid w:val="00263889"/>
    <w:rsid w:val="00263C0B"/>
    <w:rsid w:val="00264272"/>
    <w:rsid w:val="002645D1"/>
    <w:rsid w:val="00264AD3"/>
    <w:rsid w:val="00264D84"/>
    <w:rsid w:val="00264E87"/>
    <w:rsid w:val="00264FF3"/>
    <w:rsid w:val="002653AF"/>
    <w:rsid w:val="002655B8"/>
    <w:rsid w:val="00265A74"/>
    <w:rsid w:val="00265F17"/>
    <w:rsid w:val="00266038"/>
    <w:rsid w:val="00270004"/>
    <w:rsid w:val="00270766"/>
    <w:rsid w:val="00270846"/>
    <w:rsid w:val="00270A64"/>
    <w:rsid w:val="00270AED"/>
    <w:rsid w:val="00270D1B"/>
    <w:rsid w:val="00270D2D"/>
    <w:rsid w:val="0027155A"/>
    <w:rsid w:val="002715C8"/>
    <w:rsid w:val="00271DB3"/>
    <w:rsid w:val="00271F66"/>
    <w:rsid w:val="00272956"/>
    <w:rsid w:val="00272E8B"/>
    <w:rsid w:val="00273390"/>
    <w:rsid w:val="0027349C"/>
    <w:rsid w:val="002734AB"/>
    <w:rsid w:val="00274805"/>
    <w:rsid w:val="00274BC5"/>
    <w:rsid w:val="00275243"/>
    <w:rsid w:val="002754C8"/>
    <w:rsid w:val="00275B24"/>
    <w:rsid w:val="00275D05"/>
    <w:rsid w:val="00275DCC"/>
    <w:rsid w:val="0027604F"/>
    <w:rsid w:val="00276589"/>
    <w:rsid w:val="00276E83"/>
    <w:rsid w:val="00277AA9"/>
    <w:rsid w:val="00277B42"/>
    <w:rsid w:val="002800D7"/>
    <w:rsid w:val="002801A2"/>
    <w:rsid w:val="00280483"/>
    <w:rsid w:val="00280D11"/>
    <w:rsid w:val="002811B0"/>
    <w:rsid w:val="00281AE3"/>
    <w:rsid w:val="00282452"/>
    <w:rsid w:val="00282BFB"/>
    <w:rsid w:val="00282F73"/>
    <w:rsid w:val="0028308E"/>
    <w:rsid w:val="002830DD"/>
    <w:rsid w:val="0028310D"/>
    <w:rsid w:val="00283E87"/>
    <w:rsid w:val="00283E91"/>
    <w:rsid w:val="002846C8"/>
    <w:rsid w:val="00284AE8"/>
    <w:rsid w:val="00284BDD"/>
    <w:rsid w:val="00284CAC"/>
    <w:rsid w:val="00285497"/>
    <w:rsid w:val="0028579C"/>
    <w:rsid w:val="00285F70"/>
    <w:rsid w:val="0028646F"/>
    <w:rsid w:val="00286D23"/>
    <w:rsid w:val="002873D1"/>
    <w:rsid w:val="00287453"/>
    <w:rsid w:val="002877E4"/>
    <w:rsid w:val="00287BF7"/>
    <w:rsid w:val="00290328"/>
    <w:rsid w:val="002908AD"/>
    <w:rsid w:val="00290901"/>
    <w:rsid w:val="00290F79"/>
    <w:rsid w:val="00291EC7"/>
    <w:rsid w:val="00292A11"/>
    <w:rsid w:val="00292A74"/>
    <w:rsid w:val="00292A92"/>
    <w:rsid w:val="00292CF9"/>
    <w:rsid w:val="00293004"/>
    <w:rsid w:val="0029310D"/>
    <w:rsid w:val="00293857"/>
    <w:rsid w:val="002938A7"/>
    <w:rsid w:val="00293E93"/>
    <w:rsid w:val="002946DD"/>
    <w:rsid w:val="00294B5E"/>
    <w:rsid w:val="00295047"/>
    <w:rsid w:val="00296D43"/>
    <w:rsid w:val="00296E16"/>
    <w:rsid w:val="00297FB8"/>
    <w:rsid w:val="002A0023"/>
    <w:rsid w:val="002A08D5"/>
    <w:rsid w:val="002A091B"/>
    <w:rsid w:val="002A0BB3"/>
    <w:rsid w:val="002A0BB4"/>
    <w:rsid w:val="002A0C8C"/>
    <w:rsid w:val="002A1192"/>
    <w:rsid w:val="002A11A4"/>
    <w:rsid w:val="002A1429"/>
    <w:rsid w:val="002A1446"/>
    <w:rsid w:val="002A151B"/>
    <w:rsid w:val="002A16A2"/>
    <w:rsid w:val="002A1DDA"/>
    <w:rsid w:val="002A284A"/>
    <w:rsid w:val="002A2E25"/>
    <w:rsid w:val="002A3083"/>
    <w:rsid w:val="002A3459"/>
    <w:rsid w:val="002A365F"/>
    <w:rsid w:val="002A3B9F"/>
    <w:rsid w:val="002A3BB4"/>
    <w:rsid w:val="002A3CB9"/>
    <w:rsid w:val="002A3F7C"/>
    <w:rsid w:val="002A4010"/>
    <w:rsid w:val="002A434B"/>
    <w:rsid w:val="002A4A2A"/>
    <w:rsid w:val="002A4AE4"/>
    <w:rsid w:val="002A52CC"/>
    <w:rsid w:val="002A52F5"/>
    <w:rsid w:val="002A58CE"/>
    <w:rsid w:val="002A5B5E"/>
    <w:rsid w:val="002A6720"/>
    <w:rsid w:val="002A6D99"/>
    <w:rsid w:val="002A6FC7"/>
    <w:rsid w:val="002A7257"/>
    <w:rsid w:val="002A754B"/>
    <w:rsid w:val="002A7C47"/>
    <w:rsid w:val="002A7C5F"/>
    <w:rsid w:val="002B0D26"/>
    <w:rsid w:val="002B100D"/>
    <w:rsid w:val="002B16AC"/>
    <w:rsid w:val="002B177C"/>
    <w:rsid w:val="002B1C5F"/>
    <w:rsid w:val="002B290E"/>
    <w:rsid w:val="002B2BBC"/>
    <w:rsid w:val="002B301E"/>
    <w:rsid w:val="002B309C"/>
    <w:rsid w:val="002B35A9"/>
    <w:rsid w:val="002B3FE4"/>
    <w:rsid w:val="002B40BE"/>
    <w:rsid w:val="002B427C"/>
    <w:rsid w:val="002B4492"/>
    <w:rsid w:val="002B44E6"/>
    <w:rsid w:val="002B4596"/>
    <w:rsid w:val="002B4D51"/>
    <w:rsid w:val="002B5252"/>
    <w:rsid w:val="002B59B6"/>
    <w:rsid w:val="002B5B1B"/>
    <w:rsid w:val="002B6320"/>
    <w:rsid w:val="002B6D94"/>
    <w:rsid w:val="002B7690"/>
    <w:rsid w:val="002C010A"/>
    <w:rsid w:val="002C0589"/>
    <w:rsid w:val="002C0606"/>
    <w:rsid w:val="002C117B"/>
    <w:rsid w:val="002C14EC"/>
    <w:rsid w:val="002C1634"/>
    <w:rsid w:val="002C21C3"/>
    <w:rsid w:val="002C2C12"/>
    <w:rsid w:val="002C2FFF"/>
    <w:rsid w:val="002C32D9"/>
    <w:rsid w:val="002C3D38"/>
    <w:rsid w:val="002C417E"/>
    <w:rsid w:val="002C4221"/>
    <w:rsid w:val="002C4C30"/>
    <w:rsid w:val="002C5E20"/>
    <w:rsid w:val="002C66B5"/>
    <w:rsid w:val="002C69A7"/>
    <w:rsid w:val="002C6E85"/>
    <w:rsid w:val="002C751D"/>
    <w:rsid w:val="002C7AE7"/>
    <w:rsid w:val="002D04A8"/>
    <w:rsid w:val="002D06B5"/>
    <w:rsid w:val="002D06DA"/>
    <w:rsid w:val="002D093C"/>
    <w:rsid w:val="002D0CB3"/>
    <w:rsid w:val="002D0CE5"/>
    <w:rsid w:val="002D18EF"/>
    <w:rsid w:val="002D2153"/>
    <w:rsid w:val="002D26F6"/>
    <w:rsid w:val="002D29E7"/>
    <w:rsid w:val="002D327A"/>
    <w:rsid w:val="002D3294"/>
    <w:rsid w:val="002D35D2"/>
    <w:rsid w:val="002D46AC"/>
    <w:rsid w:val="002D4974"/>
    <w:rsid w:val="002D4A00"/>
    <w:rsid w:val="002D4C01"/>
    <w:rsid w:val="002D4E70"/>
    <w:rsid w:val="002D5061"/>
    <w:rsid w:val="002D5DE4"/>
    <w:rsid w:val="002D5E4B"/>
    <w:rsid w:val="002D6627"/>
    <w:rsid w:val="002D6856"/>
    <w:rsid w:val="002D6973"/>
    <w:rsid w:val="002D6A1C"/>
    <w:rsid w:val="002D7155"/>
    <w:rsid w:val="002D774A"/>
    <w:rsid w:val="002D77E4"/>
    <w:rsid w:val="002D7CDE"/>
    <w:rsid w:val="002D7D5B"/>
    <w:rsid w:val="002E03B3"/>
    <w:rsid w:val="002E0979"/>
    <w:rsid w:val="002E1533"/>
    <w:rsid w:val="002E16B5"/>
    <w:rsid w:val="002E1C57"/>
    <w:rsid w:val="002E225C"/>
    <w:rsid w:val="002E25DE"/>
    <w:rsid w:val="002E26F5"/>
    <w:rsid w:val="002E2B5E"/>
    <w:rsid w:val="002E2BB8"/>
    <w:rsid w:val="002E2C68"/>
    <w:rsid w:val="002E2D46"/>
    <w:rsid w:val="002E33CB"/>
    <w:rsid w:val="002E37CA"/>
    <w:rsid w:val="002E3C1E"/>
    <w:rsid w:val="002E4E58"/>
    <w:rsid w:val="002E5ABD"/>
    <w:rsid w:val="002E62D2"/>
    <w:rsid w:val="002E6547"/>
    <w:rsid w:val="002E6636"/>
    <w:rsid w:val="002E747D"/>
    <w:rsid w:val="002E78CD"/>
    <w:rsid w:val="002E79C2"/>
    <w:rsid w:val="002E7A0D"/>
    <w:rsid w:val="002E7CAE"/>
    <w:rsid w:val="002F15B2"/>
    <w:rsid w:val="002F16A0"/>
    <w:rsid w:val="002F1951"/>
    <w:rsid w:val="002F1A70"/>
    <w:rsid w:val="002F1FB1"/>
    <w:rsid w:val="002F26F4"/>
    <w:rsid w:val="002F3262"/>
    <w:rsid w:val="002F345F"/>
    <w:rsid w:val="002F3C55"/>
    <w:rsid w:val="002F4356"/>
    <w:rsid w:val="002F4414"/>
    <w:rsid w:val="002F4513"/>
    <w:rsid w:val="002F4944"/>
    <w:rsid w:val="002F4C72"/>
    <w:rsid w:val="002F52BB"/>
    <w:rsid w:val="002F5570"/>
    <w:rsid w:val="002F57EB"/>
    <w:rsid w:val="002F5B2E"/>
    <w:rsid w:val="002F5B8F"/>
    <w:rsid w:val="002F5C76"/>
    <w:rsid w:val="002F5F85"/>
    <w:rsid w:val="002F61BA"/>
    <w:rsid w:val="002F6702"/>
    <w:rsid w:val="002F6881"/>
    <w:rsid w:val="002F6DB9"/>
    <w:rsid w:val="002F6E88"/>
    <w:rsid w:val="002F75E4"/>
    <w:rsid w:val="00300025"/>
    <w:rsid w:val="003004B4"/>
    <w:rsid w:val="003004B8"/>
    <w:rsid w:val="00300637"/>
    <w:rsid w:val="00300A25"/>
    <w:rsid w:val="00300B8F"/>
    <w:rsid w:val="00300CBC"/>
    <w:rsid w:val="00300CDD"/>
    <w:rsid w:val="00300D9E"/>
    <w:rsid w:val="00300F30"/>
    <w:rsid w:val="00301499"/>
    <w:rsid w:val="00301581"/>
    <w:rsid w:val="00301B63"/>
    <w:rsid w:val="003022B1"/>
    <w:rsid w:val="003038A1"/>
    <w:rsid w:val="0030396E"/>
    <w:rsid w:val="00304520"/>
    <w:rsid w:val="0030506A"/>
    <w:rsid w:val="0030508E"/>
    <w:rsid w:val="00306094"/>
    <w:rsid w:val="003061CF"/>
    <w:rsid w:val="00306980"/>
    <w:rsid w:val="00306DE6"/>
    <w:rsid w:val="00307609"/>
    <w:rsid w:val="00307826"/>
    <w:rsid w:val="00307FFE"/>
    <w:rsid w:val="00310039"/>
    <w:rsid w:val="003100EC"/>
    <w:rsid w:val="00310945"/>
    <w:rsid w:val="00310EDA"/>
    <w:rsid w:val="00311076"/>
    <w:rsid w:val="00311424"/>
    <w:rsid w:val="003114D1"/>
    <w:rsid w:val="00311731"/>
    <w:rsid w:val="00311B8A"/>
    <w:rsid w:val="0031208C"/>
    <w:rsid w:val="00312225"/>
    <w:rsid w:val="003122FF"/>
    <w:rsid w:val="00313F44"/>
    <w:rsid w:val="00314082"/>
    <w:rsid w:val="00314E30"/>
    <w:rsid w:val="003153D4"/>
    <w:rsid w:val="00315441"/>
    <w:rsid w:val="0031550E"/>
    <w:rsid w:val="00315932"/>
    <w:rsid w:val="00315A8A"/>
    <w:rsid w:val="00315AEF"/>
    <w:rsid w:val="0031640C"/>
    <w:rsid w:val="00316AB7"/>
    <w:rsid w:val="00316C3B"/>
    <w:rsid w:val="003171D1"/>
    <w:rsid w:val="00317403"/>
    <w:rsid w:val="003176D9"/>
    <w:rsid w:val="00317CC2"/>
    <w:rsid w:val="00320005"/>
    <w:rsid w:val="0032041D"/>
    <w:rsid w:val="003206AC"/>
    <w:rsid w:val="003209A2"/>
    <w:rsid w:val="00321117"/>
    <w:rsid w:val="00321218"/>
    <w:rsid w:val="00321B63"/>
    <w:rsid w:val="00321BDF"/>
    <w:rsid w:val="00321D07"/>
    <w:rsid w:val="00322336"/>
    <w:rsid w:val="00322481"/>
    <w:rsid w:val="00323042"/>
    <w:rsid w:val="00323050"/>
    <w:rsid w:val="00323270"/>
    <w:rsid w:val="0032341D"/>
    <w:rsid w:val="0032395C"/>
    <w:rsid w:val="00323A14"/>
    <w:rsid w:val="0032430F"/>
    <w:rsid w:val="003243A5"/>
    <w:rsid w:val="00324952"/>
    <w:rsid w:val="00324C77"/>
    <w:rsid w:val="00324E04"/>
    <w:rsid w:val="00325046"/>
    <w:rsid w:val="00325068"/>
    <w:rsid w:val="00325B67"/>
    <w:rsid w:val="00325F30"/>
    <w:rsid w:val="003262B9"/>
    <w:rsid w:val="00326B02"/>
    <w:rsid w:val="00326BFB"/>
    <w:rsid w:val="00327164"/>
    <w:rsid w:val="00327689"/>
    <w:rsid w:val="00327838"/>
    <w:rsid w:val="0032790F"/>
    <w:rsid w:val="0032798D"/>
    <w:rsid w:val="00327C51"/>
    <w:rsid w:val="00330016"/>
    <w:rsid w:val="003301CA"/>
    <w:rsid w:val="003303BD"/>
    <w:rsid w:val="0033142A"/>
    <w:rsid w:val="0033151D"/>
    <w:rsid w:val="0033153B"/>
    <w:rsid w:val="003315F7"/>
    <w:rsid w:val="0033244B"/>
    <w:rsid w:val="00332633"/>
    <w:rsid w:val="003327FA"/>
    <w:rsid w:val="00332B3A"/>
    <w:rsid w:val="00332DCF"/>
    <w:rsid w:val="00332E05"/>
    <w:rsid w:val="00332F11"/>
    <w:rsid w:val="0033342A"/>
    <w:rsid w:val="003337DC"/>
    <w:rsid w:val="00334C4B"/>
    <w:rsid w:val="003356A2"/>
    <w:rsid w:val="0033586C"/>
    <w:rsid w:val="00335E0C"/>
    <w:rsid w:val="003361D0"/>
    <w:rsid w:val="00336886"/>
    <w:rsid w:val="003368C9"/>
    <w:rsid w:val="00336923"/>
    <w:rsid w:val="00336D31"/>
    <w:rsid w:val="00336DB6"/>
    <w:rsid w:val="00336DC5"/>
    <w:rsid w:val="00336EEC"/>
    <w:rsid w:val="00337497"/>
    <w:rsid w:val="003374EE"/>
    <w:rsid w:val="0033765B"/>
    <w:rsid w:val="00337C27"/>
    <w:rsid w:val="00337EEB"/>
    <w:rsid w:val="0034052A"/>
    <w:rsid w:val="0034106D"/>
    <w:rsid w:val="00342549"/>
    <w:rsid w:val="00342923"/>
    <w:rsid w:val="00342ACB"/>
    <w:rsid w:val="00343134"/>
    <w:rsid w:val="003433DC"/>
    <w:rsid w:val="00343846"/>
    <w:rsid w:val="003441A8"/>
    <w:rsid w:val="003445DE"/>
    <w:rsid w:val="00344B0C"/>
    <w:rsid w:val="003450C1"/>
    <w:rsid w:val="00345979"/>
    <w:rsid w:val="00345AE9"/>
    <w:rsid w:val="003460CD"/>
    <w:rsid w:val="0034721D"/>
    <w:rsid w:val="0034791F"/>
    <w:rsid w:val="003479A5"/>
    <w:rsid w:val="00347F62"/>
    <w:rsid w:val="0035002C"/>
    <w:rsid w:val="003506D5"/>
    <w:rsid w:val="003507DB"/>
    <w:rsid w:val="00350D60"/>
    <w:rsid w:val="00350D94"/>
    <w:rsid w:val="003513EA"/>
    <w:rsid w:val="003517FA"/>
    <w:rsid w:val="0035192B"/>
    <w:rsid w:val="003522AC"/>
    <w:rsid w:val="00352520"/>
    <w:rsid w:val="003525CB"/>
    <w:rsid w:val="00352684"/>
    <w:rsid w:val="00352D05"/>
    <w:rsid w:val="00353472"/>
    <w:rsid w:val="00353510"/>
    <w:rsid w:val="0035351B"/>
    <w:rsid w:val="003535AF"/>
    <w:rsid w:val="003538BE"/>
    <w:rsid w:val="00353AD6"/>
    <w:rsid w:val="00353B56"/>
    <w:rsid w:val="00353B6F"/>
    <w:rsid w:val="00353C0C"/>
    <w:rsid w:val="00353D88"/>
    <w:rsid w:val="00354133"/>
    <w:rsid w:val="00354592"/>
    <w:rsid w:val="00354809"/>
    <w:rsid w:val="00354A9E"/>
    <w:rsid w:val="00354B61"/>
    <w:rsid w:val="00355592"/>
    <w:rsid w:val="00355A70"/>
    <w:rsid w:val="003572B9"/>
    <w:rsid w:val="00357B6B"/>
    <w:rsid w:val="00357F3F"/>
    <w:rsid w:val="00360002"/>
    <w:rsid w:val="0036023B"/>
    <w:rsid w:val="00360849"/>
    <w:rsid w:val="003612F4"/>
    <w:rsid w:val="00361366"/>
    <w:rsid w:val="00361966"/>
    <w:rsid w:val="003626AE"/>
    <w:rsid w:val="00362818"/>
    <w:rsid w:val="00362FE0"/>
    <w:rsid w:val="00363453"/>
    <w:rsid w:val="00363AB4"/>
    <w:rsid w:val="00363CFC"/>
    <w:rsid w:val="00364076"/>
    <w:rsid w:val="0036435E"/>
    <w:rsid w:val="00364689"/>
    <w:rsid w:val="00364A09"/>
    <w:rsid w:val="00364CDC"/>
    <w:rsid w:val="00364FB0"/>
    <w:rsid w:val="00365496"/>
    <w:rsid w:val="00365A0B"/>
    <w:rsid w:val="00366479"/>
    <w:rsid w:val="00366C2C"/>
    <w:rsid w:val="00366E19"/>
    <w:rsid w:val="00366F57"/>
    <w:rsid w:val="00367190"/>
    <w:rsid w:val="003709DC"/>
    <w:rsid w:val="00371516"/>
    <w:rsid w:val="0037158B"/>
    <w:rsid w:val="003715F9"/>
    <w:rsid w:val="00371701"/>
    <w:rsid w:val="00371E3D"/>
    <w:rsid w:val="0037268A"/>
    <w:rsid w:val="003726E5"/>
    <w:rsid w:val="00373214"/>
    <w:rsid w:val="003735C4"/>
    <w:rsid w:val="00373DEA"/>
    <w:rsid w:val="00373E2A"/>
    <w:rsid w:val="0037431F"/>
    <w:rsid w:val="0037488A"/>
    <w:rsid w:val="003748E7"/>
    <w:rsid w:val="00374B2C"/>
    <w:rsid w:val="00374D3F"/>
    <w:rsid w:val="00374E48"/>
    <w:rsid w:val="0037501F"/>
    <w:rsid w:val="0037527C"/>
    <w:rsid w:val="003755BB"/>
    <w:rsid w:val="00375A92"/>
    <w:rsid w:val="00375C4C"/>
    <w:rsid w:val="00375E8B"/>
    <w:rsid w:val="003764FA"/>
    <w:rsid w:val="003767B3"/>
    <w:rsid w:val="00376C12"/>
    <w:rsid w:val="003779F0"/>
    <w:rsid w:val="00377C2A"/>
    <w:rsid w:val="00377FFE"/>
    <w:rsid w:val="00380339"/>
    <w:rsid w:val="003804BD"/>
    <w:rsid w:val="003808BC"/>
    <w:rsid w:val="0038096D"/>
    <w:rsid w:val="0038131C"/>
    <w:rsid w:val="003814C8"/>
    <w:rsid w:val="00381688"/>
    <w:rsid w:val="0038191A"/>
    <w:rsid w:val="00381F95"/>
    <w:rsid w:val="0038206D"/>
    <w:rsid w:val="0038222D"/>
    <w:rsid w:val="003822DA"/>
    <w:rsid w:val="0038250F"/>
    <w:rsid w:val="0038283F"/>
    <w:rsid w:val="00382FC4"/>
    <w:rsid w:val="003831ED"/>
    <w:rsid w:val="00383FB1"/>
    <w:rsid w:val="003843A2"/>
    <w:rsid w:val="0038506B"/>
    <w:rsid w:val="00385B9D"/>
    <w:rsid w:val="00385E7D"/>
    <w:rsid w:val="003865F5"/>
    <w:rsid w:val="00386C59"/>
    <w:rsid w:val="00387F3F"/>
    <w:rsid w:val="00387F7D"/>
    <w:rsid w:val="00387FB2"/>
    <w:rsid w:val="003900F0"/>
    <w:rsid w:val="0039015C"/>
    <w:rsid w:val="003906D7"/>
    <w:rsid w:val="00390735"/>
    <w:rsid w:val="003908C7"/>
    <w:rsid w:val="0039144F"/>
    <w:rsid w:val="00391837"/>
    <w:rsid w:val="00391B86"/>
    <w:rsid w:val="00392186"/>
    <w:rsid w:val="00392218"/>
    <w:rsid w:val="003932E6"/>
    <w:rsid w:val="00393702"/>
    <w:rsid w:val="0039380C"/>
    <w:rsid w:val="0039395D"/>
    <w:rsid w:val="00393E8F"/>
    <w:rsid w:val="00394688"/>
    <w:rsid w:val="0039469E"/>
    <w:rsid w:val="003947E3"/>
    <w:rsid w:val="00394A87"/>
    <w:rsid w:val="00394B24"/>
    <w:rsid w:val="00394DE1"/>
    <w:rsid w:val="00395961"/>
    <w:rsid w:val="00395CA6"/>
    <w:rsid w:val="00395D8E"/>
    <w:rsid w:val="00395FFF"/>
    <w:rsid w:val="003966CE"/>
    <w:rsid w:val="003974D9"/>
    <w:rsid w:val="003975E7"/>
    <w:rsid w:val="0039766F"/>
    <w:rsid w:val="00397D97"/>
    <w:rsid w:val="00397EE8"/>
    <w:rsid w:val="003A0D03"/>
    <w:rsid w:val="003A1252"/>
    <w:rsid w:val="003A13C0"/>
    <w:rsid w:val="003A1536"/>
    <w:rsid w:val="003A1764"/>
    <w:rsid w:val="003A1854"/>
    <w:rsid w:val="003A1DD1"/>
    <w:rsid w:val="003A273D"/>
    <w:rsid w:val="003A28D6"/>
    <w:rsid w:val="003A2C9A"/>
    <w:rsid w:val="003A2CF5"/>
    <w:rsid w:val="003A34FB"/>
    <w:rsid w:val="003A4580"/>
    <w:rsid w:val="003A465F"/>
    <w:rsid w:val="003A493D"/>
    <w:rsid w:val="003A522E"/>
    <w:rsid w:val="003A5478"/>
    <w:rsid w:val="003A573E"/>
    <w:rsid w:val="003A588D"/>
    <w:rsid w:val="003A5969"/>
    <w:rsid w:val="003A60AD"/>
    <w:rsid w:val="003A633D"/>
    <w:rsid w:val="003A6472"/>
    <w:rsid w:val="003A6537"/>
    <w:rsid w:val="003A6A89"/>
    <w:rsid w:val="003A6DF6"/>
    <w:rsid w:val="003A72B2"/>
    <w:rsid w:val="003A7910"/>
    <w:rsid w:val="003B0615"/>
    <w:rsid w:val="003B0BCE"/>
    <w:rsid w:val="003B0D94"/>
    <w:rsid w:val="003B0EF4"/>
    <w:rsid w:val="003B0F35"/>
    <w:rsid w:val="003B1670"/>
    <w:rsid w:val="003B1DAB"/>
    <w:rsid w:val="003B1DC4"/>
    <w:rsid w:val="003B2092"/>
    <w:rsid w:val="003B23FF"/>
    <w:rsid w:val="003B2B35"/>
    <w:rsid w:val="003B3829"/>
    <w:rsid w:val="003B3D23"/>
    <w:rsid w:val="003B507E"/>
    <w:rsid w:val="003B5174"/>
    <w:rsid w:val="003B5245"/>
    <w:rsid w:val="003B53B8"/>
    <w:rsid w:val="003B53F6"/>
    <w:rsid w:val="003B5565"/>
    <w:rsid w:val="003B635F"/>
    <w:rsid w:val="003B681D"/>
    <w:rsid w:val="003B69DD"/>
    <w:rsid w:val="003B6FEB"/>
    <w:rsid w:val="003B7F38"/>
    <w:rsid w:val="003B7FD7"/>
    <w:rsid w:val="003C041B"/>
    <w:rsid w:val="003C0B9E"/>
    <w:rsid w:val="003C0BD9"/>
    <w:rsid w:val="003C119F"/>
    <w:rsid w:val="003C158C"/>
    <w:rsid w:val="003C18AD"/>
    <w:rsid w:val="003C1C1A"/>
    <w:rsid w:val="003C2118"/>
    <w:rsid w:val="003C22A4"/>
    <w:rsid w:val="003C233A"/>
    <w:rsid w:val="003C2580"/>
    <w:rsid w:val="003C289D"/>
    <w:rsid w:val="003C32F6"/>
    <w:rsid w:val="003C396C"/>
    <w:rsid w:val="003C3DCC"/>
    <w:rsid w:val="003C3E6F"/>
    <w:rsid w:val="003C428D"/>
    <w:rsid w:val="003C4E90"/>
    <w:rsid w:val="003C5255"/>
    <w:rsid w:val="003C56C6"/>
    <w:rsid w:val="003C59B3"/>
    <w:rsid w:val="003C5F20"/>
    <w:rsid w:val="003C5F21"/>
    <w:rsid w:val="003C65B1"/>
    <w:rsid w:val="003C66C5"/>
    <w:rsid w:val="003C6772"/>
    <w:rsid w:val="003C6D4C"/>
    <w:rsid w:val="003C7516"/>
    <w:rsid w:val="003D043F"/>
    <w:rsid w:val="003D065E"/>
    <w:rsid w:val="003D0CD5"/>
    <w:rsid w:val="003D0FA9"/>
    <w:rsid w:val="003D179B"/>
    <w:rsid w:val="003D1B0A"/>
    <w:rsid w:val="003D1E24"/>
    <w:rsid w:val="003D2897"/>
    <w:rsid w:val="003D29EB"/>
    <w:rsid w:val="003D2D79"/>
    <w:rsid w:val="003D3190"/>
    <w:rsid w:val="003D43AF"/>
    <w:rsid w:val="003D4721"/>
    <w:rsid w:val="003D4896"/>
    <w:rsid w:val="003D4944"/>
    <w:rsid w:val="003D51C3"/>
    <w:rsid w:val="003D52E7"/>
    <w:rsid w:val="003D5640"/>
    <w:rsid w:val="003D5AC9"/>
    <w:rsid w:val="003D5D5E"/>
    <w:rsid w:val="003D64AE"/>
    <w:rsid w:val="003D6923"/>
    <w:rsid w:val="003D7441"/>
    <w:rsid w:val="003D7708"/>
    <w:rsid w:val="003D7FB8"/>
    <w:rsid w:val="003E00F9"/>
    <w:rsid w:val="003E019C"/>
    <w:rsid w:val="003E0A23"/>
    <w:rsid w:val="003E1130"/>
    <w:rsid w:val="003E16A1"/>
    <w:rsid w:val="003E18D5"/>
    <w:rsid w:val="003E18DB"/>
    <w:rsid w:val="003E1BC2"/>
    <w:rsid w:val="003E1C97"/>
    <w:rsid w:val="003E1E1B"/>
    <w:rsid w:val="003E268E"/>
    <w:rsid w:val="003E3F4F"/>
    <w:rsid w:val="003E3F77"/>
    <w:rsid w:val="003E4572"/>
    <w:rsid w:val="003E46F7"/>
    <w:rsid w:val="003E4825"/>
    <w:rsid w:val="003E4960"/>
    <w:rsid w:val="003E5AF4"/>
    <w:rsid w:val="003E5C0D"/>
    <w:rsid w:val="003E618D"/>
    <w:rsid w:val="003E6836"/>
    <w:rsid w:val="003E69CE"/>
    <w:rsid w:val="003E6A2E"/>
    <w:rsid w:val="003E726B"/>
    <w:rsid w:val="003E7352"/>
    <w:rsid w:val="003E7824"/>
    <w:rsid w:val="003E7C3B"/>
    <w:rsid w:val="003F05BC"/>
    <w:rsid w:val="003F0C63"/>
    <w:rsid w:val="003F0D9A"/>
    <w:rsid w:val="003F0E31"/>
    <w:rsid w:val="003F12CA"/>
    <w:rsid w:val="003F1423"/>
    <w:rsid w:val="003F1D22"/>
    <w:rsid w:val="003F1FF4"/>
    <w:rsid w:val="003F23AE"/>
    <w:rsid w:val="003F245A"/>
    <w:rsid w:val="003F2E95"/>
    <w:rsid w:val="003F3023"/>
    <w:rsid w:val="003F3175"/>
    <w:rsid w:val="003F3A35"/>
    <w:rsid w:val="003F3C1B"/>
    <w:rsid w:val="003F3EEC"/>
    <w:rsid w:val="003F3F69"/>
    <w:rsid w:val="003F4319"/>
    <w:rsid w:val="003F4558"/>
    <w:rsid w:val="003F50AA"/>
    <w:rsid w:val="003F55B2"/>
    <w:rsid w:val="003F6300"/>
    <w:rsid w:val="003F64F7"/>
    <w:rsid w:val="003F78A5"/>
    <w:rsid w:val="00400557"/>
    <w:rsid w:val="00401E60"/>
    <w:rsid w:val="00402BC1"/>
    <w:rsid w:val="004036D0"/>
    <w:rsid w:val="004036D1"/>
    <w:rsid w:val="00404778"/>
    <w:rsid w:val="00405514"/>
    <w:rsid w:val="004055A8"/>
    <w:rsid w:val="00405DF3"/>
    <w:rsid w:val="00405EB5"/>
    <w:rsid w:val="0040704D"/>
    <w:rsid w:val="004101D4"/>
    <w:rsid w:val="004108DC"/>
    <w:rsid w:val="00410AAB"/>
    <w:rsid w:val="00411A8D"/>
    <w:rsid w:val="00411AF2"/>
    <w:rsid w:val="00411FCF"/>
    <w:rsid w:val="00412095"/>
    <w:rsid w:val="004121F1"/>
    <w:rsid w:val="00412448"/>
    <w:rsid w:val="00412527"/>
    <w:rsid w:val="00412FBC"/>
    <w:rsid w:val="0041321B"/>
    <w:rsid w:val="004139C9"/>
    <w:rsid w:val="004143A2"/>
    <w:rsid w:val="004143C8"/>
    <w:rsid w:val="00414512"/>
    <w:rsid w:val="0041505B"/>
    <w:rsid w:val="0041563B"/>
    <w:rsid w:val="00415DA6"/>
    <w:rsid w:val="00415E48"/>
    <w:rsid w:val="0041667D"/>
    <w:rsid w:val="00416DC6"/>
    <w:rsid w:val="00416E0E"/>
    <w:rsid w:val="00416E61"/>
    <w:rsid w:val="00417858"/>
    <w:rsid w:val="00417AD5"/>
    <w:rsid w:val="00417B0D"/>
    <w:rsid w:val="00417E08"/>
    <w:rsid w:val="00417EA3"/>
    <w:rsid w:val="00417F26"/>
    <w:rsid w:val="00420282"/>
    <w:rsid w:val="00420361"/>
    <w:rsid w:val="00420459"/>
    <w:rsid w:val="00420E41"/>
    <w:rsid w:val="004211D9"/>
    <w:rsid w:val="00421307"/>
    <w:rsid w:val="004214C5"/>
    <w:rsid w:val="00421813"/>
    <w:rsid w:val="00421F1B"/>
    <w:rsid w:val="00421FED"/>
    <w:rsid w:val="0042279B"/>
    <w:rsid w:val="0042297E"/>
    <w:rsid w:val="00422FE9"/>
    <w:rsid w:val="00423631"/>
    <w:rsid w:val="0042366D"/>
    <w:rsid w:val="00423EE0"/>
    <w:rsid w:val="004247D7"/>
    <w:rsid w:val="004254C3"/>
    <w:rsid w:val="0042579C"/>
    <w:rsid w:val="004259A9"/>
    <w:rsid w:val="00425CC8"/>
    <w:rsid w:val="0042624C"/>
    <w:rsid w:val="00426480"/>
    <w:rsid w:val="0042753B"/>
    <w:rsid w:val="00427684"/>
    <w:rsid w:val="004279D0"/>
    <w:rsid w:val="00427BA8"/>
    <w:rsid w:val="004302F0"/>
    <w:rsid w:val="00430752"/>
    <w:rsid w:val="00430B69"/>
    <w:rsid w:val="00430D96"/>
    <w:rsid w:val="00430D98"/>
    <w:rsid w:val="00430DE1"/>
    <w:rsid w:val="00430F70"/>
    <w:rsid w:val="00431A6E"/>
    <w:rsid w:val="00431D65"/>
    <w:rsid w:val="00432113"/>
    <w:rsid w:val="00432E57"/>
    <w:rsid w:val="004334DE"/>
    <w:rsid w:val="00433F89"/>
    <w:rsid w:val="00435B95"/>
    <w:rsid w:val="00435C28"/>
    <w:rsid w:val="0043698B"/>
    <w:rsid w:val="00436ACC"/>
    <w:rsid w:val="00436DB1"/>
    <w:rsid w:val="00436F37"/>
    <w:rsid w:val="004375D0"/>
    <w:rsid w:val="00437E9E"/>
    <w:rsid w:val="004412B5"/>
    <w:rsid w:val="0044178B"/>
    <w:rsid w:val="00441945"/>
    <w:rsid w:val="00441C48"/>
    <w:rsid w:val="0044274E"/>
    <w:rsid w:val="004436EB"/>
    <w:rsid w:val="00443718"/>
    <w:rsid w:val="00443745"/>
    <w:rsid w:val="00443FE9"/>
    <w:rsid w:val="0044473F"/>
    <w:rsid w:val="00444E29"/>
    <w:rsid w:val="00445032"/>
    <w:rsid w:val="00445677"/>
    <w:rsid w:val="00445868"/>
    <w:rsid w:val="004459F6"/>
    <w:rsid w:val="00445D2E"/>
    <w:rsid w:val="00445E82"/>
    <w:rsid w:val="00446041"/>
    <w:rsid w:val="00446824"/>
    <w:rsid w:val="00446974"/>
    <w:rsid w:val="00446D0F"/>
    <w:rsid w:val="00446F36"/>
    <w:rsid w:val="004471C4"/>
    <w:rsid w:val="00447479"/>
    <w:rsid w:val="0044766B"/>
    <w:rsid w:val="0045001E"/>
    <w:rsid w:val="00450064"/>
    <w:rsid w:val="0045013C"/>
    <w:rsid w:val="004501B8"/>
    <w:rsid w:val="004508D3"/>
    <w:rsid w:val="004508D4"/>
    <w:rsid w:val="00450C1C"/>
    <w:rsid w:val="004510C6"/>
    <w:rsid w:val="0045124E"/>
    <w:rsid w:val="004512B1"/>
    <w:rsid w:val="0045145F"/>
    <w:rsid w:val="0045158D"/>
    <w:rsid w:val="00451A66"/>
    <w:rsid w:val="00451CDA"/>
    <w:rsid w:val="00451F1A"/>
    <w:rsid w:val="00451F79"/>
    <w:rsid w:val="004522CC"/>
    <w:rsid w:val="00452941"/>
    <w:rsid w:val="0045294E"/>
    <w:rsid w:val="00452FA4"/>
    <w:rsid w:val="004534FC"/>
    <w:rsid w:val="0045350B"/>
    <w:rsid w:val="004536BD"/>
    <w:rsid w:val="004536F0"/>
    <w:rsid w:val="00453758"/>
    <w:rsid w:val="004537B0"/>
    <w:rsid w:val="00453955"/>
    <w:rsid w:val="00453A85"/>
    <w:rsid w:val="00453F64"/>
    <w:rsid w:val="00454373"/>
    <w:rsid w:val="0045463D"/>
    <w:rsid w:val="00454699"/>
    <w:rsid w:val="004547C4"/>
    <w:rsid w:val="004547EC"/>
    <w:rsid w:val="004555AA"/>
    <w:rsid w:val="00455713"/>
    <w:rsid w:val="00455A0F"/>
    <w:rsid w:val="00455C60"/>
    <w:rsid w:val="00455D6D"/>
    <w:rsid w:val="0045704E"/>
    <w:rsid w:val="004576D8"/>
    <w:rsid w:val="00457A0E"/>
    <w:rsid w:val="00457ABB"/>
    <w:rsid w:val="004603E1"/>
    <w:rsid w:val="0046069E"/>
    <w:rsid w:val="00460733"/>
    <w:rsid w:val="00460878"/>
    <w:rsid w:val="004608F4"/>
    <w:rsid w:val="004613D5"/>
    <w:rsid w:val="004618D3"/>
    <w:rsid w:val="00461CF4"/>
    <w:rsid w:val="00461D08"/>
    <w:rsid w:val="00462004"/>
    <w:rsid w:val="00462019"/>
    <w:rsid w:val="00462528"/>
    <w:rsid w:val="00462572"/>
    <w:rsid w:val="0046269D"/>
    <w:rsid w:val="00462705"/>
    <w:rsid w:val="00462B4E"/>
    <w:rsid w:val="00462E43"/>
    <w:rsid w:val="00462E49"/>
    <w:rsid w:val="00463872"/>
    <w:rsid w:val="004638E3"/>
    <w:rsid w:val="00463B35"/>
    <w:rsid w:val="00463F0B"/>
    <w:rsid w:val="00463F6D"/>
    <w:rsid w:val="004640A0"/>
    <w:rsid w:val="004646C4"/>
    <w:rsid w:val="00464975"/>
    <w:rsid w:val="00464BD6"/>
    <w:rsid w:val="00464F38"/>
    <w:rsid w:val="00464F6F"/>
    <w:rsid w:val="00465983"/>
    <w:rsid w:val="00465987"/>
    <w:rsid w:val="00465A67"/>
    <w:rsid w:val="00465CDA"/>
    <w:rsid w:val="00465EBC"/>
    <w:rsid w:val="004661A9"/>
    <w:rsid w:val="00466389"/>
    <w:rsid w:val="0046705A"/>
    <w:rsid w:val="00467734"/>
    <w:rsid w:val="00467E0A"/>
    <w:rsid w:val="00470094"/>
    <w:rsid w:val="004704FD"/>
    <w:rsid w:val="00470641"/>
    <w:rsid w:val="00470C56"/>
    <w:rsid w:val="00470CAD"/>
    <w:rsid w:val="00470CCA"/>
    <w:rsid w:val="00470D5C"/>
    <w:rsid w:val="00470E68"/>
    <w:rsid w:val="00471AC9"/>
    <w:rsid w:val="00471DB1"/>
    <w:rsid w:val="00472165"/>
    <w:rsid w:val="0047226D"/>
    <w:rsid w:val="004723E2"/>
    <w:rsid w:val="00472837"/>
    <w:rsid w:val="0047284F"/>
    <w:rsid w:val="004728D9"/>
    <w:rsid w:val="004728E1"/>
    <w:rsid w:val="0047366F"/>
    <w:rsid w:val="00473E5E"/>
    <w:rsid w:val="00474E7D"/>
    <w:rsid w:val="0047528E"/>
    <w:rsid w:val="00475637"/>
    <w:rsid w:val="00475B22"/>
    <w:rsid w:val="0047603D"/>
    <w:rsid w:val="004766D6"/>
    <w:rsid w:val="00476743"/>
    <w:rsid w:val="00476974"/>
    <w:rsid w:val="00477FF7"/>
    <w:rsid w:val="0048058A"/>
    <w:rsid w:val="004810E1"/>
    <w:rsid w:val="00481AEB"/>
    <w:rsid w:val="00481F52"/>
    <w:rsid w:val="00482DA9"/>
    <w:rsid w:val="00482E3E"/>
    <w:rsid w:val="00482FDF"/>
    <w:rsid w:val="00483041"/>
    <w:rsid w:val="00483078"/>
    <w:rsid w:val="0048317D"/>
    <w:rsid w:val="00484126"/>
    <w:rsid w:val="00484295"/>
    <w:rsid w:val="004843E1"/>
    <w:rsid w:val="00484E7D"/>
    <w:rsid w:val="00484F50"/>
    <w:rsid w:val="004850EF"/>
    <w:rsid w:val="00485593"/>
    <w:rsid w:val="00485764"/>
    <w:rsid w:val="00485C68"/>
    <w:rsid w:val="00486049"/>
    <w:rsid w:val="004863FC"/>
    <w:rsid w:val="00486804"/>
    <w:rsid w:val="004869B4"/>
    <w:rsid w:val="00486C30"/>
    <w:rsid w:val="00486FA0"/>
    <w:rsid w:val="00487246"/>
    <w:rsid w:val="00487346"/>
    <w:rsid w:val="00487CF7"/>
    <w:rsid w:val="00490463"/>
    <w:rsid w:val="00490EBA"/>
    <w:rsid w:val="00490F50"/>
    <w:rsid w:val="0049106E"/>
    <w:rsid w:val="004910E5"/>
    <w:rsid w:val="00491412"/>
    <w:rsid w:val="004916EB"/>
    <w:rsid w:val="00491723"/>
    <w:rsid w:val="00491AE6"/>
    <w:rsid w:val="00491CE8"/>
    <w:rsid w:val="004927C4"/>
    <w:rsid w:val="00492B6B"/>
    <w:rsid w:val="00492EFB"/>
    <w:rsid w:val="004936E6"/>
    <w:rsid w:val="004937D1"/>
    <w:rsid w:val="00493EDF"/>
    <w:rsid w:val="00495071"/>
    <w:rsid w:val="00495082"/>
    <w:rsid w:val="00495142"/>
    <w:rsid w:val="004951B8"/>
    <w:rsid w:val="004953C6"/>
    <w:rsid w:val="0049547E"/>
    <w:rsid w:val="004957EE"/>
    <w:rsid w:val="00495DBC"/>
    <w:rsid w:val="0049619C"/>
    <w:rsid w:val="00496478"/>
    <w:rsid w:val="004964ED"/>
    <w:rsid w:val="00497C4F"/>
    <w:rsid w:val="00497EFE"/>
    <w:rsid w:val="004A0895"/>
    <w:rsid w:val="004A09BD"/>
    <w:rsid w:val="004A0B1C"/>
    <w:rsid w:val="004A0D29"/>
    <w:rsid w:val="004A0EB1"/>
    <w:rsid w:val="004A163C"/>
    <w:rsid w:val="004A17F6"/>
    <w:rsid w:val="004A1D61"/>
    <w:rsid w:val="004A1FC0"/>
    <w:rsid w:val="004A22E6"/>
    <w:rsid w:val="004A2396"/>
    <w:rsid w:val="004A23D3"/>
    <w:rsid w:val="004A3392"/>
    <w:rsid w:val="004A3856"/>
    <w:rsid w:val="004A3A30"/>
    <w:rsid w:val="004A3AC3"/>
    <w:rsid w:val="004A3E6C"/>
    <w:rsid w:val="004A4071"/>
    <w:rsid w:val="004A43D6"/>
    <w:rsid w:val="004A4685"/>
    <w:rsid w:val="004A4E80"/>
    <w:rsid w:val="004A5519"/>
    <w:rsid w:val="004A66C4"/>
    <w:rsid w:val="004A726B"/>
    <w:rsid w:val="004A7392"/>
    <w:rsid w:val="004A74C8"/>
    <w:rsid w:val="004A7FE6"/>
    <w:rsid w:val="004B004B"/>
    <w:rsid w:val="004B067C"/>
    <w:rsid w:val="004B10F4"/>
    <w:rsid w:val="004B11B9"/>
    <w:rsid w:val="004B11DB"/>
    <w:rsid w:val="004B19FC"/>
    <w:rsid w:val="004B20EB"/>
    <w:rsid w:val="004B2955"/>
    <w:rsid w:val="004B2A59"/>
    <w:rsid w:val="004B30CE"/>
    <w:rsid w:val="004B393D"/>
    <w:rsid w:val="004B42C3"/>
    <w:rsid w:val="004B4720"/>
    <w:rsid w:val="004B4948"/>
    <w:rsid w:val="004B4B4B"/>
    <w:rsid w:val="004B5F10"/>
    <w:rsid w:val="004B5F56"/>
    <w:rsid w:val="004B5FD7"/>
    <w:rsid w:val="004B61B4"/>
    <w:rsid w:val="004B63A8"/>
    <w:rsid w:val="004B64FC"/>
    <w:rsid w:val="004B667C"/>
    <w:rsid w:val="004B688B"/>
    <w:rsid w:val="004B68C2"/>
    <w:rsid w:val="004B6C9A"/>
    <w:rsid w:val="004B6D37"/>
    <w:rsid w:val="004B6E19"/>
    <w:rsid w:val="004B6EAB"/>
    <w:rsid w:val="004B707F"/>
    <w:rsid w:val="004B7699"/>
    <w:rsid w:val="004B771D"/>
    <w:rsid w:val="004B7DC4"/>
    <w:rsid w:val="004B7F72"/>
    <w:rsid w:val="004C0A20"/>
    <w:rsid w:val="004C0B20"/>
    <w:rsid w:val="004C0BC3"/>
    <w:rsid w:val="004C0DDE"/>
    <w:rsid w:val="004C0FF0"/>
    <w:rsid w:val="004C164E"/>
    <w:rsid w:val="004C2477"/>
    <w:rsid w:val="004C29BA"/>
    <w:rsid w:val="004C2C97"/>
    <w:rsid w:val="004C32E0"/>
    <w:rsid w:val="004C3AB1"/>
    <w:rsid w:val="004C3C6D"/>
    <w:rsid w:val="004C4095"/>
    <w:rsid w:val="004C41DE"/>
    <w:rsid w:val="004C4F4F"/>
    <w:rsid w:val="004C51A0"/>
    <w:rsid w:val="004C56BE"/>
    <w:rsid w:val="004C58FD"/>
    <w:rsid w:val="004C6225"/>
    <w:rsid w:val="004C6A38"/>
    <w:rsid w:val="004C6A88"/>
    <w:rsid w:val="004C6FAE"/>
    <w:rsid w:val="004C74FF"/>
    <w:rsid w:val="004C75D3"/>
    <w:rsid w:val="004C76C9"/>
    <w:rsid w:val="004C7805"/>
    <w:rsid w:val="004C7C6C"/>
    <w:rsid w:val="004C7C82"/>
    <w:rsid w:val="004D0098"/>
    <w:rsid w:val="004D00EE"/>
    <w:rsid w:val="004D060C"/>
    <w:rsid w:val="004D0692"/>
    <w:rsid w:val="004D0CB5"/>
    <w:rsid w:val="004D1230"/>
    <w:rsid w:val="004D15F0"/>
    <w:rsid w:val="004D1901"/>
    <w:rsid w:val="004D1E13"/>
    <w:rsid w:val="004D248B"/>
    <w:rsid w:val="004D2B4F"/>
    <w:rsid w:val="004D2C4B"/>
    <w:rsid w:val="004D2FBD"/>
    <w:rsid w:val="004D34F1"/>
    <w:rsid w:val="004D35AA"/>
    <w:rsid w:val="004D35C8"/>
    <w:rsid w:val="004D38C0"/>
    <w:rsid w:val="004D3B38"/>
    <w:rsid w:val="004D456F"/>
    <w:rsid w:val="004D45EC"/>
    <w:rsid w:val="004D47F9"/>
    <w:rsid w:val="004D48FE"/>
    <w:rsid w:val="004D4935"/>
    <w:rsid w:val="004D49B9"/>
    <w:rsid w:val="004D4BB5"/>
    <w:rsid w:val="004D52AC"/>
    <w:rsid w:val="004D53E5"/>
    <w:rsid w:val="004D6017"/>
    <w:rsid w:val="004D627E"/>
    <w:rsid w:val="004D6499"/>
    <w:rsid w:val="004D6947"/>
    <w:rsid w:val="004D7C25"/>
    <w:rsid w:val="004D7EF4"/>
    <w:rsid w:val="004E02E7"/>
    <w:rsid w:val="004E0408"/>
    <w:rsid w:val="004E0615"/>
    <w:rsid w:val="004E0E6E"/>
    <w:rsid w:val="004E0FB9"/>
    <w:rsid w:val="004E1F54"/>
    <w:rsid w:val="004E2324"/>
    <w:rsid w:val="004E2444"/>
    <w:rsid w:val="004E24D2"/>
    <w:rsid w:val="004E26DF"/>
    <w:rsid w:val="004E32E8"/>
    <w:rsid w:val="004E33C7"/>
    <w:rsid w:val="004E3842"/>
    <w:rsid w:val="004E384D"/>
    <w:rsid w:val="004E4990"/>
    <w:rsid w:val="004E4CC5"/>
    <w:rsid w:val="004E4D68"/>
    <w:rsid w:val="004E4E7D"/>
    <w:rsid w:val="004E4F81"/>
    <w:rsid w:val="004E50BB"/>
    <w:rsid w:val="004E5563"/>
    <w:rsid w:val="004E5B3F"/>
    <w:rsid w:val="004E5B98"/>
    <w:rsid w:val="004E5FF2"/>
    <w:rsid w:val="004E5FF9"/>
    <w:rsid w:val="004E60B0"/>
    <w:rsid w:val="004E6885"/>
    <w:rsid w:val="004E69A5"/>
    <w:rsid w:val="004E6A63"/>
    <w:rsid w:val="004E6F38"/>
    <w:rsid w:val="004E72F1"/>
    <w:rsid w:val="004E7B15"/>
    <w:rsid w:val="004E7BC0"/>
    <w:rsid w:val="004E7C08"/>
    <w:rsid w:val="004E7D78"/>
    <w:rsid w:val="004F0168"/>
    <w:rsid w:val="004F0353"/>
    <w:rsid w:val="004F0735"/>
    <w:rsid w:val="004F095F"/>
    <w:rsid w:val="004F0BB1"/>
    <w:rsid w:val="004F0EDE"/>
    <w:rsid w:val="004F1585"/>
    <w:rsid w:val="004F1883"/>
    <w:rsid w:val="004F1A64"/>
    <w:rsid w:val="004F1E0F"/>
    <w:rsid w:val="004F31C9"/>
    <w:rsid w:val="004F333B"/>
    <w:rsid w:val="004F3B8A"/>
    <w:rsid w:val="004F46BB"/>
    <w:rsid w:val="004F53E3"/>
    <w:rsid w:val="004F6576"/>
    <w:rsid w:val="004F6C56"/>
    <w:rsid w:val="004F6F4B"/>
    <w:rsid w:val="004F77B0"/>
    <w:rsid w:val="004F7C65"/>
    <w:rsid w:val="004F7C82"/>
    <w:rsid w:val="004F7F9B"/>
    <w:rsid w:val="00500679"/>
    <w:rsid w:val="00500CBE"/>
    <w:rsid w:val="00501370"/>
    <w:rsid w:val="0050175C"/>
    <w:rsid w:val="00501DA2"/>
    <w:rsid w:val="00502126"/>
    <w:rsid w:val="00502B98"/>
    <w:rsid w:val="00503374"/>
    <w:rsid w:val="0050391D"/>
    <w:rsid w:val="00503C72"/>
    <w:rsid w:val="00503E7A"/>
    <w:rsid w:val="00504C0B"/>
    <w:rsid w:val="00505832"/>
    <w:rsid w:val="00505B0D"/>
    <w:rsid w:val="00505EF1"/>
    <w:rsid w:val="005060CF"/>
    <w:rsid w:val="0050620D"/>
    <w:rsid w:val="005066DB"/>
    <w:rsid w:val="0050757D"/>
    <w:rsid w:val="0050759A"/>
    <w:rsid w:val="00507FDB"/>
    <w:rsid w:val="0051010F"/>
    <w:rsid w:val="00510B74"/>
    <w:rsid w:val="0051140F"/>
    <w:rsid w:val="00511467"/>
    <w:rsid w:val="005118E6"/>
    <w:rsid w:val="00511B3B"/>
    <w:rsid w:val="00512040"/>
    <w:rsid w:val="005126A8"/>
    <w:rsid w:val="00512AA6"/>
    <w:rsid w:val="00512D5B"/>
    <w:rsid w:val="00512E80"/>
    <w:rsid w:val="005131C2"/>
    <w:rsid w:val="0051338A"/>
    <w:rsid w:val="005137C9"/>
    <w:rsid w:val="00513C96"/>
    <w:rsid w:val="00513EAB"/>
    <w:rsid w:val="00514284"/>
    <w:rsid w:val="0051450F"/>
    <w:rsid w:val="005145F5"/>
    <w:rsid w:val="00514644"/>
    <w:rsid w:val="0051478A"/>
    <w:rsid w:val="00514876"/>
    <w:rsid w:val="00514CCD"/>
    <w:rsid w:val="0051643C"/>
    <w:rsid w:val="00516E11"/>
    <w:rsid w:val="005177C3"/>
    <w:rsid w:val="00517835"/>
    <w:rsid w:val="00517FA7"/>
    <w:rsid w:val="00517FD9"/>
    <w:rsid w:val="005206B6"/>
    <w:rsid w:val="00520846"/>
    <w:rsid w:val="00520ACC"/>
    <w:rsid w:val="00520AEA"/>
    <w:rsid w:val="00520BCD"/>
    <w:rsid w:val="005215B7"/>
    <w:rsid w:val="00521837"/>
    <w:rsid w:val="005219BB"/>
    <w:rsid w:val="0052212B"/>
    <w:rsid w:val="005224C6"/>
    <w:rsid w:val="0052307B"/>
    <w:rsid w:val="005237E1"/>
    <w:rsid w:val="00523885"/>
    <w:rsid w:val="00523C8F"/>
    <w:rsid w:val="00523EC6"/>
    <w:rsid w:val="00524122"/>
    <w:rsid w:val="00524294"/>
    <w:rsid w:val="0052446A"/>
    <w:rsid w:val="00524615"/>
    <w:rsid w:val="00524710"/>
    <w:rsid w:val="00524BF4"/>
    <w:rsid w:val="00525068"/>
    <w:rsid w:val="005254B1"/>
    <w:rsid w:val="00525675"/>
    <w:rsid w:val="00525732"/>
    <w:rsid w:val="00525911"/>
    <w:rsid w:val="00525EEF"/>
    <w:rsid w:val="00525FC4"/>
    <w:rsid w:val="00526042"/>
    <w:rsid w:val="00526097"/>
    <w:rsid w:val="00526548"/>
    <w:rsid w:val="00527468"/>
    <w:rsid w:val="00527496"/>
    <w:rsid w:val="00527528"/>
    <w:rsid w:val="00527561"/>
    <w:rsid w:val="00527859"/>
    <w:rsid w:val="0053035F"/>
    <w:rsid w:val="00530A29"/>
    <w:rsid w:val="005315DC"/>
    <w:rsid w:val="00532877"/>
    <w:rsid w:val="00532B2E"/>
    <w:rsid w:val="005332D5"/>
    <w:rsid w:val="00533732"/>
    <w:rsid w:val="005339A7"/>
    <w:rsid w:val="00534323"/>
    <w:rsid w:val="005349A9"/>
    <w:rsid w:val="00534B5D"/>
    <w:rsid w:val="00535142"/>
    <w:rsid w:val="00535351"/>
    <w:rsid w:val="00536487"/>
    <w:rsid w:val="00536DAA"/>
    <w:rsid w:val="00536E46"/>
    <w:rsid w:val="00536EA1"/>
    <w:rsid w:val="00536F59"/>
    <w:rsid w:val="00537068"/>
    <w:rsid w:val="00537A42"/>
    <w:rsid w:val="00537A9F"/>
    <w:rsid w:val="00537CD9"/>
    <w:rsid w:val="00540440"/>
    <w:rsid w:val="00540AA6"/>
    <w:rsid w:val="00540DCA"/>
    <w:rsid w:val="005413C3"/>
    <w:rsid w:val="005419F7"/>
    <w:rsid w:val="00541C5B"/>
    <w:rsid w:val="005428C4"/>
    <w:rsid w:val="005444C1"/>
    <w:rsid w:val="0054487F"/>
    <w:rsid w:val="00544D88"/>
    <w:rsid w:val="00545055"/>
    <w:rsid w:val="005454CF"/>
    <w:rsid w:val="005455B7"/>
    <w:rsid w:val="00545EFC"/>
    <w:rsid w:val="005460C5"/>
    <w:rsid w:val="00546375"/>
    <w:rsid w:val="005464A8"/>
    <w:rsid w:val="0054679E"/>
    <w:rsid w:val="00546E36"/>
    <w:rsid w:val="0054794A"/>
    <w:rsid w:val="00547EF4"/>
    <w:rsid w:val="005500D3"/>
    <w:rsid w:val="00550292"/>
    <w:rsid w:val="00550729"/>
    <w:rsid w:val="00550DD4"/>
    <w:rsid w:val="005513B4"/>
    <w:rsid w:val="00551802"/>
    <w:rsid w:val="00551BF9"/>
    <w:rsid w:val="00551C24"/>
    <w:rsid w:val="00551CCA"/>
    <w:rsid w:val="0055258B"/>
    <w:rsid w:val="0055295D"/>
    <w:rsid w:val="00552B56"/>
    <w:rsid w:val="00552E7E"/>
    <w:rsid w:val="00553366"/>
    <w:rsid w:val="005536A6"/>
    <w:rsid w:val="005539FC"/>
    <w:rsid w:val="00553C69"/>
    <w:rsid w:val="0055466F"/>
    <w:rsid w:val="00554A2C"/>
    <w:rsid w:val="00554AAF"/>
    <w:rsid w:val="0055501B"/>
    <w:rsid w:val="0055593A"/>
    <w:rsid w:val="00555951"/>
    <w:rsid w:val="00555F3D"/>
    <w:rsid w:val="00556002"/>
    <w:rsid w:val="00556052"/>
    <w:rsid w:val="00556441"/>
    <w:rsid w:val="00556562"/>
    <w:rsid w:val="0055676D"/>
    <w:rsid w:val="00556877"/>
    <w:rsid w:val="0055789D"/>
    <w:rsid w:val="00557A00"/>
    <w:rsid w:val="00557E1A"/>
    <w:rsid w:val="0056063E"/>
    <w:rsid w:val="00560DAC"/>
    <w:rsid w:val="00561792"/>
    <w:rsid w:val="005619DA"/>
    <w:rsid w:val="00561A59"/>
    <w:rsid w:val="00561D07"/>
    <w:rsid w:val="00561DA3"/>
    <w:rsid w:val="005624CF"/>
    <w:rsid w:val="00562694"/>
    <w:rsid w:val="00562E5D"/>
    <w:rsid w:val="005632C2"/>
    <w:rsid w:val="005638C5"/>
    <w:rsid w:val="005641FC"/>
    <w:rsid w:val="00565AFB"/>
    <w:rsid w:val="00565C59"/>
    <w:rsid w:val="00566355"/>
    <w:rsid w:val="005669AE"/>
    <w:rsid w:val="0056761C"/>
    <w:rsid w:val="0056796A"/>
    <w:rsid w:val="00567AB2"/>
    <w:rsid w:val="00567FE4"/>
    <w:rsid w:val="00571401"/>
    <w:rsid w:val="00571413"/>
    <w:rsid w:val="00571437"/>
    <w:rsid w:val="005714C5"/>
    <w:rsid w:val="00571A87"/>
    <w:rsid w:val="00571C26"/>
    <w:rsid w:val="0057204D"/>
    <w:rsid w:val="00572404"/>
    <w:rsid w:val="005725A4"/>
    <w:rsid w:val="005727D7"/>
    <w:rsid w:val="005729C5"/>
    <w:rsid w:val="00572C54"/>
    <w:rsid w:val="00573276"/>
    <w:rsid w:val="00573B7F"/>
    <w:rsid w:val="00573C5E"/>
    <w:rsid w:val="00573D73"/>
    <w:rsid w:val="005741D9"/>
    <w:rsid w:val="005745CF"/>
    <w:rsid w:val="00574650"/>
    <w:rsid w:val="00574714"/>
    <w:rsid w:val="00574B00"/>
    <w:rsid w:val="00575208"/>
    <w:rsid w:val="00575780"/>
    <w:rsid w:val="00575D8A"/>
    <w:rsid w:val="00576878"/>
    <w:rsid w:val="00576AE3"/>
    <w:rsid w:val="00576D48"/>
    <w:rsid w:val="00577D52"/>
    <w:rsid w:val="005802AE"/>
    <w:rsid w:val="00580975"/>
    <w:rsid w:val="005809CD"/>
    <w:rsid w:val="00580FDF"/>
    <w:rsid w:val="00581376"/>
    <w:rsid w:val="00581D8B"/>
    <w:rsid w:val="00581FE6"/>
    <w:rsid w:val="005821E8"/>
    <w:rsid w:val="00582A0A"/>
    <w:rsid w:val="00582B93"/>
    <w:rsid w:val="005833FB"/>
    <w:rsid w:val="005834CE"/>
    <w:rsid w:val="0058351D"/>
    <w:rsid w:val="0058376E"/>
    <w:rsid w:val="00583FC1"/>
    <w:rsid w:val="005842FA"/>
    <w:rsid w:val="005846F9"/>
    <w:rsid w:val="005849DA"/>
    <w:rsid w:val="00584A01"/>
    <w:rsid w:val="00584EA3"/>
    <w:rsid w:val="005857D6"/>
    <w:rsid w:val="00585814"/>
    <w:rsid w:val="005858FB"/>
    <w:rsid w:val="0058653D"/>
    <w:rsid w:val="00586BB2"/>
    <w:rsid w:val="0058702D"/>
    <w:rsid w:val="005873D3"/>
    <w:rsid w:val="005879A5"/>
    <w:rsid w:val="0059032D"/>
    <w:rsid w:val="005905F5"/>
    <w:rsid w:val="00590937"/>
    <w:rsid w:val="005912BC"/>
    <w:rsid w:val="005916CB"/>
    <w:rsid w:val="00592093"/>
    <w:rsid w:val="00592D56"/>
    <w:rsid w:val="005931BC"/>
    <w:rsid w:val="00593368"/>
    <w:rsid w:val="00593503"/>
    <w:rsid w:val="005937C3"/>
    <w:rsid w:val="00593817"/>
    <w:rsid w:val="00593AE4"/>
    <w:rsid w:val="0059400C"/>
    <w:rsid w:val="005943E0"/>
    <w:rsid w:val="00594A75"/>
    <w:rsid w:val="00594F06"/>
    <w:rsid w:val="005952DB"/>
    <w:rsid w:val="0059557C"/>
    <w:rsid w:val="00595F4E"/>
    <w:rsid w:val="005961C6"/>
    <w:rsid w:val="0059659D"/>
    <w:rsid w:val="005965C5"/>
    <w:rsid w:val="005966C1"/>
    <w:rsid w:val="00596E5C"/>
    <w:rsid w:val="00597C29"/>
    <w:rsid w:val="005A0222"/>
    <w:rsid w:val="005A0727"/>
    <w:rsid w:val="005A0730"/>
    <w:rsid w:val="005A098B"/>
    <w:rsid w:val="005A09B5"/>
    <w:rsid w:val="005A0C8A"/>
    <w:rsid w:val="005A0D9A"/>
    <w:rsid w:val="005A1FAB"/>
    <w:rsid w:val="005A241A"/>
    <w:rsid w:val="005A25D3"/>
    <w:rsid w:val="005A25FA"/>
    <w:rsid w:val="005A2A69"/>
    <w:rsid w:val="005A2F26"/>
    <w:rsid w:val="005A2FED"/>
    <w:rsid w:val="005A32DC"/>
    <w:rsid w:val="005A3335"/>
    <w:rsid w:val="005A33E5"/>
    <w:rsid w:val="005A3579"/>
    <w:rsid w:val="005A3A9C"/>
    <w:rsid w:val="005A3CC7"/>
    <w:rsid w:val="005A4103"/>
    <w:rsid w:val="005A4A1F"/>
    <w:rsid w:val="005A5156"/>
    <w:rsid w:val="005A5610"/>
    <w:rsid w:val="005A5949"/>
    <w:rsid w:val="005A5A82"/>
    <w:rsid w:val="005A5B02"/>
    <w:rsid w:val="005A61A9"/>
    <w:rsid w:val="005A6815"/>
    <w:rsid w:val="005A72E5"/>
    <w:rsid w:val="005A760D"/>
    <w:rsid w:val="005A7E67"/>
    <w:rsid w:val="005B07D8"/>
    <w:rsid w:val="005B08AA"/>
    <w:rsid w:val="005B0BFF"/>
    <w:rsid w:val="005B1921"/>
    <w:rsid w:val="005B1AD8"/>
    <w:rsid w:val="005B1CD9"/>
    <w:rsid w:val="005B20AB"/>
    <w:rsid w:val="005B236B"/>
    <w:rsid w:val="005B24D2"/>
    <w:rsid w:val="005B26F0"/>
    <w:rsid w:val="005B29DF"/>
    <w:rsid w:val="005B2AFE"/>
    <w:rsid w:val="005B2CFD"/>
    <w:rsid w:val="005B2E4F"/>
    <w:rsid w:val="005B2ECE"/>
    <w:rsid w:val="005B3001"/>
    <w:rsid w:val="005B3076"/>
    <w:rsid w:val="005B3077"/>
    <w:rsid w:val="005B3658"/>
    <w:rsid w:val="005B3BDB"/>
    <w:rsid w:val="005B41A6"/>
    <w:rsid w:val="005B4383"/>
    <w:rsid w:val="005B441C"/>
    <w:rsid w:val="005B45F0"/>
    <w:rsid w:val="005B4712"/>
    <w:rsid w:val="005B4877"/>
    <w:rsid w:val="005B4911"/>
    <w:rsid w:val="005B5211"/>
    <w:rsid w:val="005B52CA"/>
    <w:rsid w:val="005B553F"/>
    <w:rsid w:val="005B5605"/>
    <w:rsid w:val="005B56E1"/>
    <w:rsid w:val="005B5F7F"/>
    <w:rsid w:val="005B6C29"/>
    <w:rsid w:val="005B6D25"/>
    <w:rsid w:val="005B6E3A"/>
    <w:rsid w:val="005B7290"/>
    <w:rsid w:val="005B740D"/>
    <w:rsid w:val="005B75BE"/>
    <w:rsid w:val="005B76D7"/>
    <w:rsid w:val="005B79AB"/>
    <w:rsid w:val="005B7E97"/>
    <w:rsid w:val="005C07F3"/>
    <w:rsid w:val="005C08A2"/>
    <w:rsid w:val="005C1B00"/>
    <w:rsid w:val="005C1EA6"/>
    <w:rsid w:val="005C2C6D"/>
    <w:rsid w:val="005C45C3"/>
    <w:rsid w:val="005C481B"/>
    <w:rsid w:val="005C4890"/>
    <w:rsid w:val="005C4949"/>
    <w:rsid w:val="005C5484"/>
    <w:rsid w:val="005C5C21"/>
    <w:rsid w:val="005C62AC"/>
    <w:rsid w:val="005C657A"/>
    <w:rsid w:val="005C6B59"/>
    <w:rsid w:val="005C72A2"/>
    <w:rsid w:val="005C7FCE"/>
    <w:rsid w:val="005D0113"/>
    <w:rsid w:val="005D060A"/>
    <w:rsid w:val="005D0B60"/>
    <w:rsid w:val="005D0BDB"/>
    <w:rsid w:val="005D0C1C"/>
    <w:rsid w:val="005D0E06"/>
    <w:rsid w:val="005D0F8B"/>
    <w:rsid w:val="005D1704"/>
    <w:rsid w:val="005D21A5"/>
    <w:rsid w:val="005D2370"/>
    <w:rsid w:val="005D262D"/>
    <w:rsid w:val="005D2ACD"/>
    <w:rsid w:val="005D33DC"/>
    <w:rsid w:val="005D446F"/>
    <w:rsid w:val="005D5D0F"/>
    <w:rsid w:val="005D5D6E"/>
    <w:rsid w:val="005D6624"/>
    <w:rsid w:val="005D6991"/>
    <w:rsid w:val="005D7151"/>
    <w:rsid w:val="005D72DE"/>
    <w:rsid w:val="005D73C0"/>
    <w:rsid w:val="005D748C"/>
    <w:rsid w:val="005D75BE"/>
    <w:rsid w:val="005D7799"/>
    <w:rsid w:val="005D7A13"/>
    <w:rsid w:val="005D7C08"/>
    <w:rsid w:val="005D7F9E"/>
    <w:rsid w:val="005D7FD2"/>
    <w:rsid w:val="005E052A"/>
    <w:rsid w:val="005E0AB4"/>
    <w:rsid w:val="005E0BC8"/>
    <w:rsid w:val="005E0CA1"/>
    <w:rsid w:val="005E1BB3"/>
    <w:rsid w:val="005E1CC6"/>
    <w:rsid w:val="005E1D8D"/>
    <w:rsid w:val="005E1E59"/>
    <w:rsid w:val="005E2193"/>
    <w:rsid w:val="005E249A"/>
    <w:rsid w:val="005E2683"/>
    <w:rsid w:val="005E2A27"/>
    <w:rsid w:val="005E2DFF"/>
    <w:rsid w:val="005E2E34"/>
    <w:rsid w:val="005E312D"/>
    <w:rsid w:val="005E3ED3"/>
    <w:rsid w:val="005E3F8C"/>
    <w:rsid w:val="005E4465"/>
    <w:rsid w:val="005E4A7F"/>
    <w:rsid w:val="005E576F"/>
    <w:rsid w:val="005E5853"/>
    <w:rsid w:val="005E5FF4"/>
    <w:rsid w:val="005E6894"/>
    <w:rsid w:val="005E6922"/>
    <w:rsid w:val="005E724C"/>
    <w:rsid w:val="005E725D"/>
    <w:rsid w:val="005E7EBB"/>
    <w:rsid w:val="005F057B"/>
    <w:rsid w:val="005F06AC"/>
    <w:rsid w:val="005F073A"/>
    <w:rsid w:val="005F0902"/>
    <w:rsid w:val="005F0C76"/>
    <w:rsid w:val="005F1534"/>
    <w:rsid w:val="005F1817"/>
    <w:rsid w:val="005F1A95"/>
    <w:rsid w:val="005F1BBA"/>
    <w:rsid w:val="005F1E4E"/>
    <w:rsid w:val="005F2F9A"/>
    <w:rsid w:val="005F2FB9"/>
    <w:rsid w:val="005F38DD"/>
    <w:rsid w:val="005F3A4B"/>
    <w:rsid w:val="005F3C36"/>
    <w:rsid w:val="005F4380"/>
    <w:rsid w:val="005F4645"/>
    <w:rsid w:val="005F4B3C"/>
    <w:rsid w:val="005F4C60"/>
    <w:rsid w:val="005F5066"/>
    <w:rsid w:val="005F547B"/>
    <w:rsid w:val="005F55E9"/>
    <w:rsid w:val="005F5644"/>
    <w:rsid w:val="005F5D66"/>
    <w:rsid w:val="005F6646"/>
    <w:rsid w:val="005F6D2B"/>
    <w:rsid w:val="005F706E"/>
    <w:rsid w:val="005F7467"/>
    <w:rsid w:val="005F7585"/>
    <w:rsid w:val="005F75DF"/>
    <w:rsid w:val="005F7634"/>
    <w:rsid w:val="005F78FA"/>
    <w:rsid w:val="005F7CB2"/>
    <w:rsid w:val="006004CA"/>
    <w:rsid w:val="00600525"/>
    <w:rsid w:val="006009B4"/>
    <w:rsid w:val="00600C4B"/>
    <w:rsid w:val="00600F1E"/>
    <w:rsid w:val="006012D4"/>
    <w:rsid w:val="00601AB5"/>
    <w:rsid w:val="0060271E"/>
    <w:rsid w:val="00602F46"/>
    <w:rsid w:val="0060322B"/>
    <w:rsid w:val="00603D7D"/>
    <w:rsid w:val="00604130"/>
    <w:rsid w:val="00604FA0"/>
    <w:rsid w:val="006057DF"/>
    <w:rsid w:val="00605A63"/>
    <w:rsid w:val="00605F3C"/>
    <w:rsid w:val="006063FA"/>
    <w:rsid w:val="00606723"/>
    <w:rsid w:val="00606C72"/>
    <w:rsid w:val="006072F0"/>
    <w:rsid w:val="006074D8"/>
    <w:rsid w:val="00607988"/>
    <w:rsid w:val="00607F29"/>
    <w:rsid w:val="006108C9"/>
    <w:rsid w:val="006108F9"/>
    <w:rsid w:val="00610DC7"/>
    <w:rsid w:val="00610EF3"/>
    <w:rsid w:val="00610F17"/>
    <w:rsid w:val="0061120B"/>
    <w:rsid w:val="0061131D"/>
    <w:rsid w:val="00611590"/>
    <w:rsid w:val="006115B4"/>
    <w:rsid w:val="00611696"/>
    <w:rsid w:val="00611B3C"/>
    <w:rsid w:val="006120D6"/>
    <w:rsid w:val="006125DA"/>
    <w:rsid w:val="00612787"/>
    <w:rsid w:val="00612946"/>
    <w:rsid w:val="00612B90"/>
    <w:rsid w:val="00614557"/>
    <w:rsid w:val="00614E3C"/>
    <w:rsid w:val="006150D0"/>
    <w:rsid w:val="00615277"/>
    <w:rsid w:val="0061587D"/>
    <w:rsid w:val="00615E6A"/>
    <w:rsid w:val="006164DE"/>
    <w:rsid w:val="00616631"/>
    <w:rsid w:val="0061667D"/>
    <w:rsid w:val="006166C1"/>
    <w:rsid w:val="006169B2"/>
    <w:rsid w:val="00616D05"/>
    <w:rsid w:val="00616E9F"/>
    <w:rsid w:val="00617BA3"/>
    <w:rsid w:val="00617F2B"/>
    <w:rsid w:val="00620432"/>
    <w:rsid w:val="00620982"/>
    <w:rsid w:val="00620F45"/>
    <w:rsid w:val="006218AD"/>
    <w:rsid w:val="006218E5"/>
    <w:rsid w:val="00621C01"/>
    <w:rsid w:val="00621EF4"/>
    <w:rsid w:val="00622023"/>
    <w:rsid w:val="006224A9"/>
    <w:rsid w:val="006228D6"/>
    <w:rsid w:val="00622C4C"/>
    <w:rsid w:val="00623144"/>
    <w:rsid w:val="0062372A"/>
    <w:rsid w:val="00623B7A"/>
    <w:rsid w:val="00623C59"/>
    <w:rsid w:val="00624AFA"/>
    <w:rsid w:val="00624EE2"/>
    <w:rsid w:val="0062554D"/>
    <w:rsid w:val="00625695"/>
    <w:rsid w:val="006258A4"/>
    <w:rsid w:val="00625900"/>
    <w:rsid w:val="00625A1D"/>
    <w:rsid w:val="00625CC9"/>
    <w:rsid w:val="006260F8"/>
    <w:rsid w:val="00626378"/>
    <w:rsid w:val="0062669C"/>
    <w:rsid w:val="0062694C"/>
    <w:rsid w:val="00626F4B"/>
    <w:rsid w:val="006273A9"/>
    <w:rsid w:val="00627753"/>
    <w:rsid w:val="00630ACC"/>
    <w:rsid w:val="00630EFD"/>
    <w:rsid w:val="00631E4B"/>
    <w:rsid w:val="00632703"/>
    <w:rsid w:val="0063274C"/>
    <w:rsid w:val="00632A84"/>
    <w:rsid w:val="00632FC4"/>
    <w:rsid w:val="00632FE8"/>
    <w:rsid w:val="006330CF"/>
    <w:rsid w:val="00633679"/>
    <w:rsid w:val="00633AEC"/>
    <w:rsid w:val="00634405"/>
    <w:rsid w:val="006348A3"/>
    <w:rsid w:val="00634BF5"/>
    <w:rsid w:val="00634FD5"/>
    <w:rsid w:val="0063520F"/>
    <w:rsid w:val="006361E3"/>
    <w:rsid w:val="00636215"/>
    <w:rsid w:val="0063681E"/>
    <w:rsid w:val="0063689B"/>
    <w:rsid w:val="006369A9"/>
    <w:rsid w:val="00636A26"/>
    <w:rsid w:val="00636FD1"/>
    <w:rsid w:val="006371F4"/>
    <w:rsid w:val="00637417"/>
    <w:rsid w:val="00637792"/>
    <w:rsid w:val="0063794F"/>
    <w:rsid w:val="00640624"/>
    <w:rsid w:val="0064096F"/>
    <w:rsid w:val="006412E0"/>
    <w:rsid w:val="0064156B"/>
    <w:rsid w:val="00641E7A"/>
    <w:rsid w:val="0064233D"/>
    <w:rsid w:val="006427BD"/>
    <w:rsid w:val="00642BE5"/>
    <w:rsid w:val="00642EEF"/>
    <w:rsid w:val="00642FA1"/>
    <w:rsid w:val="006436F4"/>
    <w:rsid w:val="00643921"/>
    <w:rsid w:val="00643BD2"/>
    <w:rsid w:val="006447A1"/>
    <w:rsid w:val="0064508C"/>
    <w:rsid w:val="00645541"/>
    <w:rsid w:val="00645583"/>
    <w:rsid w:val="006455DC"/>
    <w:rsid w:val="00645E31"/>
    <w:rsid w:val="006464DC"/>
    <w:rsid w:val="00646803"/>
    <w:rsid w:val="00646A4B"/>
    <w:rsid w:val="006473DE"/>
    <w:rsid w:val="00647A80"/>
    <w:rsid w:val="00647D8E"/>
    <w:rsid w:val="00650360"/>
    <w:rsid w:val="006507E5"/>
    <w:rsid w:val="00650BFC"/>
    <w:rsid w:val="00651195"/>
    <w:rsid w:val="00651731"/>
    <w:rsid w:val="00651E7E"/>
    <w:rsid w:val="00651F9A"/>
    <w:rsid w:val="00652AC5"/>
    <w:rsid w:val="00652EDE"/>
    <w:rsid w:val="006534E3"/>
    <w:rsid w:val="00653928"/>
    <w:rsid w:val="00653B54"/>
    <w:rsid w:val="006541BB"/>
    <w:rsid w:val="00654206"/>
    <w:rsid w:val="00654BF6"/>
    <w:rsid w:val="00654F3D"/>
    <w:rsid w:val="00655012"/>
    <w:rsid w:val="00655035"/>
    <w:rsid w:val="006554BA"/>
    <w:rsid w:val="006555BE"/>
    <w:rsid w:val="0065626F"/>
    <w:rsid w:val="00656984"/>
    <w:rsid w:val="00656AC5"/>
    <w:rsid w:val="00656F02"/>
    <w:rsid w:val="0065717B"/>
    <w:rsid w:val="00657BBD"/>
    <w:rsid w:val="00657D3E"/>
    <w:rsid w:val="00657ED3"/>
    <w:rsid w:val="0066009D"/>
    <w:rsid w:val="00660421"/>
    <w:rsid w:val="0066095C"/>
    <w:rsid w:val="00660A20"/>
    <w:rsid w:val="00660FED"/>
    <w:rsid w:val="00661C4B"/>
    <w:rsid w:val="00661E50"/>
    <w:rsid w:val="0066238F"/>
    <w:rsid w:val="0066327E"/>
    <w:rsid w:val="0066390F"/>
    <w:rsid w:val="00663A06"/>
    <w:rsid w:val="00663E8A"/>
    <w:rsid w:val="0066477C"/>
    <w:rsid w:val="00664B95"/>
    <w:rsid w:val="00664C1C"/>
    <w:rsid w:val="00665165"/>
    <w:rsid w:val="00665344"/>
    <w:rsid w:val="00665377"/>
    <w:rsid w:val="0066565C"/>
    <w:rsid w:val="006656D3"/>
    <w:rsid w:val="006656EF"/>
    <w:rsid w:val="00665FFD"/>
    <w:rsid w:val="006660D6"/>
    <w:rsid w:val="0066630F"/>
    <w:rsid w:val="006665ED"/>
    <w:rsid w:val="006671C0"/>
    <w:rsid w:val="00667EAA"/>
    <w:rsid w:val="00670354"/>
    <w:rsid w:val="00670651"/>
    <w:rsid w:val="006707C4"/>
    <w:rsid w:val="00671749"/>
    <w:rsid w:val="00671AAF"/>
    <w:rsid w:val="00671CA3"/>
    <w:rsid w:val="00671F4B"/>
    <w:rsid w:val="00671FB6"/>
    <w:rsid w:val="006720F9"/>
    <w:rsid w:val="006725EE"/>
    <w:rsid w:val="0067271A"/>
    <w:rsid w:val="00672965"/>
    <w:rsid w:val="00672A7C"/>
    <w:rsid w:val="00673FC2"/>
    <w:rsid w:val="006742F7"/>
    <w:rsid w:val="00674337"/>
    <w:rsid w:val="0067493A"/>
    <w:rsid w:val="00674DF7"/>
    <w:rsid w:val="00674F3C"/>
    <w:rsid w:val="0067531C"/>
    <w:rsid w:val="0067592A"/>
    <w:rsid w:val="00675FB7"/>
    <w:rsid w:val="006763D6"/>
    <w:rsid w:val="0067677D"/>
    <w:rsid w:val="006767C5"/>
    <w:rsid w:val="00676EBD"/>
    <w:rsid w:val="00676F2F"/>
    <w:rsid w:val="0067731A"/>
    <w:rsid w:val="00677627"/>
    <w:rsid w:val="00677C9E"/>
    <w:rsid w:val="00677E16"/>
    <w:rsid w:val="006807CB"/>
    <w:rsid w:val="0068127F"/>
    <w:rsid w:val="0068145B"/>
    <w:rsid w:val="00681927"/>
    <w:rsid w:val="00681C1E"/>
    <w:rsid w:val="00681DC4"/>
    <w:rsid w:val="00682943"/>
    <w:rsid w:val="00682B4A"/>
    <w:rsid w:val="0068330E"/>
    <w:rsid w:val="00683440"/>
    <w:rsid w:val="006834D6"/>
    <w:rsid w:val="0068358E"/>
    <w:rsid w:val="00683AC4"/>
    <w:rsid w:val="00683B4A"/>
    <w:rsid w:val="00683BAE"/>
    <w:rsid w:val="00683E1C"/>
    <w:rsid w:val="00684548"/>
    <w:rsid w:val="0068463B"/>
    <w:rsid w:val="00684987"/>
    <w:rsid w:val="00684F58"/>
    <w:rsid w:val="0068512A"/>
    <w:rsid w:val="00685154"/>
    <w:rsid w:val="0068520D"/>
    <w:rsid w:val="006852DD"/>
    <w:rsid w:val="0068550F"/>
    <w:rsid w:val="00686972"/>
    <w:rsid w:val="00686B0A"/>
    <w:rsid w:val="00686BC2"/>
    <w:rsid w:val="00686CBD"/>
    <w:rsid w:val="006875D6"/>
    <w:rsid w:val="00690D43"/>
    <w:rsid w:val="00691117"/>
    <w:rsid w:val="00692719"/>
    <w:rsid w:val="0069275F"/>
    <w:rsid w:val="00692EF7"/>
    <w:rsid w:val="00693147"/>
    <w:rsid w:val="00693246"/>
    <w:rsid w:val="00693466"/>
    <w:rsid w:val="0069365B"/>
    <w:rsid w:val="006936AD"/>
    <w:rsid w:val="0069379C"/>
    <w:rsid w:val="00693AEC"/>
    <w:rsid w:val="00695030"/>
    <w:rsid w:val="006950EC"/>
    <w:rsid w:val="006951DD"/>
    <w:rsid w:val="006953DF"/>
    <w:rsid w:val="006957DF"/>
    <w:rsid w:val="00696387"/>
    <w:rsid w:val="0069690F"/>
    <w:rsid w:val="00697934"/>
    <w:rsid w:val="00697BC8"/>
    <w:rsid w:val="006A01A9"/>
    <w:rsid w:val="006A0438"/>
    <w:rsid w:val="006A0694"/>
    <w:rsid w:val="006A0A59"/>
    <w:rsid w:val="006A0AD1"/>
    <w:rsid w:val="006A10A6"/>
    <w:rsid w:val="006A1338"/>
    <w:rsid w:val="006A1805"/>
    <w:rsid w:val="006A1A29"/>
    <w:rsid w:val="006A1B58"/>
    <w:rsid w:val="006A20D9"/>
    <w:rsid w:val="006A2E45"/>
    <w:rsid w:val="006A2EE2"/>
    <w:rsid w:val="006A3505"/>
    <w:rsid w:val="006A396E"/>
    <w:rsid w:val="006A54DE"/>
    <w:rsid w:val="006A5A42"/>
    <w:rsid w:val="006A5C53"/>
    <w:rsid w:val="006A6785"/>
    <w:rsid w:val="006A67DE"/>
    <w:rsid w:val="006A6CE1"/>
    <w:rsid w:val="006A74E2"/>
    <w:rsid w:val="006A7962"/>
    <w:rsid w:val="006A7BEE"/>
    <w:rsid w:val="006B0E71"/>
    <w:rsid w:val="006B100B"/>
    <w:rsid w:val="006B10FC"/>
    <w:rsid w:val="006B219C"/>
    <w:rsid w:val="006B250B"/>
    <w:rsid w:val="006B2A2F"/>
    <w:rsid w:val="006B30C0"/>
    <w:rsid w:val="006B39A2"/>
    <w:rsid w:val="006B3A7B"/>
    <w:rsid w:val="006B3BD7"/>
    <w:rsid w:val="006B3CC2"/>
    <w:rsid w:val="006B41A3"/>
    <w:rsid w:val="006B4653"/>
    <w:rsid w:val="006B48EC"/>
    <w:rsid w:val="006B4D15"/>
    <w:rsid w:val="006B4D85"/>
    <w:rsid w:val="006B5091"/>
    <w:rsid w:val="006B50F7"/>
    <w:rsid w:val="006B5A50"/>
    <w:rsid w:val="006B5A7C"/>
    <w:rsid w:val="006B742B"/>
    <w:rsid w:val="006B7988"/>
    <w:rsid w:val="006B7B9B"/>
    <w:rsid w:val="006B7FDD"/>
    <w:rsid w:val="006C081E"/>
    <w:rsid w:val="006C0A17"/>
    <w:rsid w:val="006C0A71"/>
    <w:rsid w:val="006C150A"/>
    <w:rsid w:val="006C1EAF"/>
    <w:rsid w:val="006C2176"/>
    <w:rsid w:val="006C27FF"/>
    <w:rsid w:val="006C2A16"/>
    <w:rsid w:val="006C37A8"/>
    <w:rsid w:val="006C43E2"/>
    <w:rsid w:val="006C4D7A"/>
    <w:rsid w:val="006C4DE9"/>
    <w:rsid w:val="006C5076"/>
    <w:rsid w:val="006C5777"/>
    <w:rsid w:val="006C5F13"/>
    <w:rsid w:val="006C6A2D"/>
    <w:rsid w:val="006C6AC4"/>
    <w:rsid w:val="006C6C12"/>
    <w:rsid w:val="006C6DC4"/>
    <w:rsid w:val="006C7E43"/>
    <w:rsid w:val="006D0888"/>
    <w:rsid w:val="006D0FB6"/>
    <w:rsid w:val="006D1002"/>
    <w:rsid w:val="006D1817"/>
    <w:rsid w:val="006D1BB8"/>
    <w:rsid w:val="006D27C9"/>
    <w:rsid w:val="006D307B"/>
    <w:rsid w:val="006D3686"/>
    <w:rsid w:val="006D368C"/>
    <w:rsid w:val="006D3835"/>
    <w:rsid w:val="006D4570"/>
    <w:rsid w:val="006D45B3"/>
    <w:rsid w:val="006D45C8"/>
    <w:rsid w:val="006D4C44"/>
    <w:rsid w:val="006D4E84"/>
    <w:rsid w:val="006D4F7A"/>
    <w:rsid w:val="006D5263"/>
    <w:rsid w:val="006D5495"/>
    <w:rsid w:val="006D5874"/>
    <w:rsid w:val="006D5A9F"/>
    <w:rsid w:val="006D64FA"/>
    <w:rsid w:val="006D66DE"/>
    <w:rsid w:val="006D717F"/>
    <w:rsid w:val="006D77D5"/>
    <w:rsid w:val="006D79EB"/>
    <w:rsid w:val="006D7C34"/>
    <w:rsid w:val="006E0397"/>
    <w:rsid w:val="006E0A6E"/>
    <w:rsid w:val="006E0D42"/>
    <w:rsid w:val="006E0F99"/>
    <w:rsid w:val="006E13D7"/>
    <w:rsid w:val="006E15C0"/>
    <w:rsid w:val="006E2125"/>
    <w:rsid w:val="006E21B5"/>
    <w:rsid w:val="006E2347"/>
    <w:rsid w:val="006E257A"/>
    <w:rsid w:val="006E2740"/>
    <w:rsid w:val="006E2AD5"/>
    <w:rsid w:val="006E2CED"/>
    <w:rsid w:val="006E32D9"/>
    <w:rsid w:val="006E32E4"/>
    <w:rsid w:val="006E3B14"/>
    <w:rsid w:val="006E3FA4"/>
    <w:rsid w:val="006E4211"/>
    <w:rsid w:val="006E4808"/>
    <w:rsid w:val="006E4EB1"/>
    <w:rsid w:val="006E518B"/>
    <w:rsid w:val="006E536F"/>
    <w:rsid w:val="006E5AD6"/>
    <w:rsid w:val="006E5C2B"/>
    <w:rsid w:val="006E6499"/>
    <w:rsid w:val="006E6561"/>
    <w:rsid w:val="006E65E3"/>
    <w:rsid w:val="006E661F"/>
    <w:rsid w:val="006E67B2"/>
    <w:rsid w:val="006E6998"/>
    <w:rsid w:val="006E6EDA"/>
    <w:rsid w:val="006E74E7"/>
    <w:rsid w:val="006E778C"/>
    <w:rsid w:val="006E7C0B"/>
    <w:rsid w:val="006E7CAC"/>
    <w:rsid w:val="006E7EBC"/>
    <w:rsid w:val="006F0CA7"/>
    <w:rsid w:val="006F1381"/>
    <w:rsid w:val="006F1908"/>
    <w:rsid w:val="006F1B35"/>
    <w:rsid w:val="006F2D10"/>
    <w:rsid w:val="006F2DBA"/>
    <w:rsid w:val="006F3018"/>
    <w:rsid w:val="006F3F1B"/>
    <w:rsid w:val="006F55A8"/>
    <w:rsid w:val="006F567D"/>
    <w:rsid w:val="006F5767"/>
    <w:rsid w:val="006F59A3"/>
    <w:rsid w:val="006F5E70"/>
    <w:rsid w:val="006F64B5"/>
    <w:rsid w:val="006F69BC"/>
    <w:rsid w:val="006F6E3F"/>
    <w:rsid w:val="006F7243"/>
    <w:rsid w:val="006F74B8"/>
    <w:rsid w:val="006F7541"/>
    <w:rsid w:val="006F779E"/>
    <w:rsid w:val="006F7AAA"/>
    <w:rsid w:val="006F7D8F"/>
    <w:rsid w:val="00700464"/>
    <w:rsid w:val="007008E3"/>
    <w:rsid w:val="00700EFA"/>
    <w:rsid w:val="00701665"/>
    <w:rsid w:val="00701B8D"/>
    <w:rsid w:val="00702321"/>
    <w:rsid w:val="0070260E"/>
    <w:rsid w:val="007028F7"/>
    <w:rsid w:val="00702A69"/>
    <w:rsid w:val="0070359A"/>
    <w:rsid w:val="00703FA2"/>
    <w:rsid w:val="007047E5"/>
    <w:rsid w:val="00704881"/>
    <w:rsid w:val="00705829"/>
    <w:rsid w:val="00705B93"/>
    <w:rsid w:val="007063C3"/>
    <w:rsid w:val="00706FDD"/>
    <w:rsid w:val="007078D8"/>
    <w:rsid w:val="00707A14"/>
    <w:rsid w:val="00710012"/>
    <w:rsid w:val="00710298"/>
    <w:rsid w:val="00710843"/>
    <w:rsid w:val="00711351"/>
    <w:rsid w:val="00711491"/>
    <w:rsid w:val="00711D2E"/>
    <w:rsid w:val="007123AB"/>
    <w:rsid w:val="00712660"/>
    <w:rsid w:val="00712CD8"/>
    <w:rsid w:val="00713243"/>
    <w:rsid w:val="0071343F"/>
    <w:rsid w:val="00713DD6"/>
    <w:rsid w:val="00714497"/>
    <w:rsid w:val="00714559"/>
    <w:rsid w:val="0071463A"/>
    <w:rsid w:val="00714E4C"/>
    <w:rsid w:val="007152B1"/>
    <w:rsid w:val="00715D99"/>
    <w:rsid w:val="00715D9C"/>
    <w:rsid w:val="0071659B"/>
    <w:rsid w:val="00716CC5"/>
    <w:rsid w:val="007171B8"/>
    <w:rsid w:val="00717F72"/>
    <w:rsid w:val="0072047E"/>
    <w:rsid w:val="00720798"/>
    <w:rsid w:val="0072137A"/>
    <w:rsid w:val="00721762"/>
    <w:rsid w:val="0072211D"/>
    <w:rsid w:val="0072232E"/>
    <w:rsid w:val="00722D74"/>
    <w:rsid w:val="00722D78"/>
    <w:rsid w:val="007239FD"/>
    <w:rsid w:val="00723C0A"/>
    <w:rsid w:val="00724347"/>
    <w:rsid w:val="0072449A"/>
    <w:rsid w:val="00724663"/>
    <w:rsid w:val="0072484A"/>
    <w:rsid w:val="0072495A"/>
    <w:rsid w:val="00724E1A"/>
    <w:rsid w:val="007254ED"/>
    <w:rsid w:val="0072559F"/>
    <w:rsid w:val="0072584B"/>
    <w:rsid w:val="00725ABD"/>
    <w:rsid w:val="00725B2A"/>
    <w:rsid w:val="0072642E"/>
    <w:rsid w:val="00726507"/>
    <w:rsid w:val="00726ACF"/>
    <w:rsid w:val="00726D8D"/>
    <w:rsid w:val="00726DEF"/>
    <w:rsid w:val="0072716B"/>
    <w:rsid w:val="00727245"/>
    <w:rsid w:val="007272EC"/>
    <w:rsid w:val="00727CC3"/>
    <w:rsid w:val="007300BA"/>
    <w:rsid w:val="0073035A"/>
    <w:rsid w:val="007306B7"/>
    <w:rsid w:val="00730EA2"/>
    <w:rsid w:val="0073113F"/>
    <w:rsid w:val="007318C0"/>
    <w:rsid w:val="00731B4E"/>
    <w:rsid w:val="0073271E"/>
    <w:rsid w:val="007327EE"/>
    <w:rsid w:val="00732AD6"/>
    <w:rsid w:val="00732C22"/>
    <w:rsid w:val="00732D84"/>
    <w:rsid w:val="00733B86"/>
    <w:rsid w:val="007341A0"/>
    <w:rsid w:val="00734338"/>
    <w:rsid w:val="0073570A"/>
    <w:rsid w:val="00735F27"/>
    <w:rsid w:val="00735F3B"/>
    <w:rsid w:val="007365C3"/>
    <w:rsid w:val="00736D18"/>
    <w:rsid w:val="00736D60"/>
    <w:rsid w:val="00736E6C"/>
    <w:rsid w:val="0073706A"/>
    <w:rsid w:val="00737FF6"/>
    <w:rsid w:val="0074053C"/>
    <w:rsid w:val="00740808"/>
    <w:rsid w:val="007409E7"/>
    <w:rsid w:val="00740FBD"/>
    <w:rsid w:val="0074130C"/>
    <w:rsid w:val="0074235F"/>
    <w:rsid w:val="007426A2"/>
    <w:rsid w:val="00743B38"/>
    <w:rsid w:val="00743E05"/>
    <w:rsid w:val="007446B9"/>
    <w:rsid w:val="00744B0D"/>
    <w:rsid w:val="00745025"/>
    <w:rsid w:val="0074511D"/>
    <w:rsid w:val="00745764"/>
    <w:rsid w:val="0074579E"/>
    <w:rsid w:val="007457A1"/>
    <w:rsid w:val="00745DE3"/>
    <w:rsid w:val="0074646E"/>
    <w:rsid w:val="007464FD"/>
    <w:rsid w:val="0074699D"/>
    <w:rsid w:val="00747036"/>
    <w:rsid w:val="00747ECB"/>
    <w:rsid w:val="00750230"/>
    <w:rsid w:val="00750661"/>
    <w:rsid w:val="00750FA7"/>
    <w:rsid w:val="0075103C"/>
    <w:rsid w:val="007513A1"/>
    <w:rsid w:val="007525E7"/>
    <w:rsid w:val="00752DE5"/>
    <w:rsid w:val="0075300A"/>
    <w:rsid w:val="00753D8A"/>
    <w:rsid w:val="00753DCB"/>
    <w:rsid w:val="00754307"/>
    <w:rsid w:val="007543F9"/>
    <w:rsid w:val="007544D1"/>
    <w:rsid w:val="00754587"/>
    <w:rsid w:val="00754B56"/>
    <w:rsid w:val="00754BF7"/>
    <w:rsid w:val="00754C56"/>
    <w:rsid w:val="00754D00"/>
    <w:rsid w:val="0075524C"/>
    <w:rsid w:val="0075571F"/>
    <w:rsid w:val="00756614"/>
    <w:rsid w:val="0075719C"/>
    <w:rsid w:val="0075750E"/>
    <w:rsid w:val="007575FF"/>
    <w:rsid w:val="00757759"/>
    <w:rsid w:val="0075794B"/>
    <w:rsid w:val="00757A6D"/>
    <w:rsid w:val="0076072A"/>
    <w:rsid w:val="00761058"/>
    <w:rsid w:val="007610A3"/>
    <w:rsid w:val="007610DA"/>
    <w:rsid w:val="00761920"/>
    <w:rsid w:val="00761B30"/>
    <w:rsid w:val="00761C2E"/>
    <w:rsid w:val="00761F91"/>
    <w:rsid w:val="00761FDC"/>
    <w:rsid w:val="00762E9D"/>
    <w:rsid w:val="00763068"/>
    <w:rsid w:val="00763A17"/>
    <w:rsid w:val="00763D3E"/>
    <w:rsid w:val="00764906"/>
    <w:rsid w:val="00764971"/>
    <w:rsid w:val="007659A1"/>
    <w:rsid w:val="00765DDD"/>
    <w:rsid w:val="00765F3D"/>
    <w:rsid w:val="00766C0A"/>
    <w:rsid w:val="00766CE4"/>
    <w:rsid w:val="007677FB"/>
    <w:rsid w:val="00770D04"/>
    <w:rsid w:val="00771671"/>
    <w:rsid w:val="0077169C"/>
    <w:rsid w:val="00771C6D"/>
    <w:rsid w:val="00771DE6"/>
    <w:rsid w:val="00772265"/>
    <w:rsid w:val="0077239E"/>
    <w:rsid w:val="00773522"/>
    <w:rsid w:val="00773574"/>
    <w:rsid w:val="007736E8"/>
    <w:rsid w:val="00773C17"/>
    <w:rsid w:val="00773E07"/>
    <w:rsid w:val="0077411C"/>
    <w:rsid w:val="007741B4"/>
    <w:rsid w:val="00774EEC"/>
    <w:rsid w:val="00774F43"/>
    <w:rsid w:val="00774F5A"/>
    <w:rsid w:val="00775C93"/>
    <w:rsid w:val="00775D52"/>
    <w:rsid w:val="00776157"/>
    <w:rsid w:val="007762FE"/>
    <w:rsid w:val="007763CD"/>
    <w:rsid w:val="00776540"/>
    <w:rsid w:val="00776A89"/>
    <w:rsid w:val="00776D4A"/>
    <w:rsid w:val="00776D7B"/>
    <w:rsid w:val="0077748C"/>
    <w:rsid w:val="007774E9"/>
    <w:rsid w:val="007777EF"/>
    <w:rsid w:val="0077797E"/>
    <w:rsid w:val="00777D0F"/>
    <w:rsid w:val="00777EBE"/>
    <w:rsid w:val="007801C6"/>
    <w:rsid w:val="00780417"/>
    <w:rsid w:val="007804AD"/>
    <w:rsid w:val="00780F8D"/>
    <w:rsid w:val="00781580"/>
    <w:rsid w:val="0078186D"/>
    <w:rsid w:val="007821BC"/>
    <w:rsid w:val="00782790"/>
    <w:rsid w:val="00782803"/>
    <w:rsid w:val="00782C1C"/>
    <w:rsid w:val="00783017"/>
    <w:rsid w:val="0078353C"/>
    <w:rsid w:val="0078385A"/>
    <w:rsid w:val="007838DA"/>
    <w:rsid w:val="00784B4C"/>
    <w:rsid w:val="00784CE0"/>
    <w:rsid w:val="00785297"/>
    <w:rsid w:val="00785A44"/>
    <w:rsid w:val="00785F77"/>
    <w:rsid w:val="00786013"/>
    <w:rsid w:val="0078616E"/>
    <w:rsid w:val="0078651D"/>
    <w:rsid w:val="0078658D"/>
    <w:rsid w:val="00786864"/>
    <w:rsid w:val="00786A9D"/>
    <w:rsid w:val="00787A4B"/>
    <w:rsid w:val="00787C54"/>
    <w:rsid w:val="00787F6A"/>
    <w:rsid w:val="00790DD1"/>
    <w:rsid w:val="007911AE"/>
    <w:rsid w:val="00791265"/>
    <w:rsid w:val="0079191A"/>
    <w:rsid w:val="00791DD0"/>
    <w:rsid w:val="007923E8"/>
    <w:rsid w:val="0079309F"/>
    <w:rsid w:val="007931B3"/>
    <w:rsid w:val="007936E2"/>
    <w:rsid w:val="00793888"/>
    <w:rsid w:val="00793AD6"/>
    <w:rsid w:val="00794815"/>
    <w:rsid w:val="007950AF"/>
    <w:rsid w:val="0079521E"/>
    <w:rsid w:val="00795364"/>
    <w:rsid w:val="00795E66"/>
    <w:rsid w:val="00796159"/>
    <w:rsid w:val="00796B69"/>
    <w:rsid w:val="00796E22"/>
    <w:rsid w:val="00797321"/>
    <w:rsid w:val="0079784C"/>
    <w:rsid w:val="00797A85"/>
    <w:rsid w:val="00797EE3"/>
    <w:rsid w:val="007A0605"/>
    <w:rsid w:val="007A0DB6"/>
    <w:rsid w:val="007A124C"/>
    <w:rsid w:val="007A192F"/>
    <w:rsid w:val="007A195F"/>
    <w:rsid w:val="007A1D13"/>
    <w:rsid w:val="007A216D"/>
    <w:rsid w:val="007A290D"/>
    <w:rsid w:val="007A2947"/>
    <w:rsid w:val="007A2A79"/>
    <w:rsid w:val="007A2CB2"/>
    <w:rsid w:val="007A2D4C"/>
    <w:rsid w:val="007A4266"/>
    <w:rsid w:val="007A443E"/>
    <w:rsid w:val="007A4471"/>
    <w:rsid w:val="007A4972"/>
    <w:rsid w:val="007A500A"/>
    <w:rsid w:val="007A5415"/>
    <w:rsid w:val="007A588E"/>
    <w:rsid w:val="007A5B5F"/>
    <w:rsid w:val="007A5DFE"/>
    <w:rsid w:val="007A5E77"/>
    <w:rsid w:val="007A6429"/>
    <w:rsid w:val="007A6B47"/>
    <w:rsid w:val="007A6CD5"/>
    <w:rsid w:val="007A709B"/>
    <w:rsid w:val="007A758D"/>
    <w:rsid w:val="007A775B"/>
    <w:rsid w:val="007A7890"/>
    <w:rsid w:val="007A78DE"/>
    <w:rsid w:val="007A7919"/>
    <w:rsid w:val="007A7A3E"/>
    <w:rsid w:val="007A7CA5"/>
    <w:rsid w:val="007A7D0D"/>
    <w:rsid w:val="007A7EF5"/>
    <w:rsid w:val="007B0C9B"/>
    <w:rsid w:val="007B11E2"/>
    <w:rsid w:val="007B14CD"/>
    <w:rsid w:val="007B1881"/>
    <w:rsid w:val="007B19FF"/>
    <w:rsid w:val="007B1A10"/>
    <w:rsid w:val="007B2030"/>
    <w:rsid w:val="007B2362"/>
    <w:rsid w:val="007B2ABF"/>
    <w:rsid w:val="007B370C"/>
    <w:rsid w:val="007B4555"/>
    <w:rsid w:val="007B4D9C"/>
    <w:rsid w:val="007B501C"/>
    <w:rsid w:val="007B561D"/>
    <w:rsid w:val="007B6424"/>
    <w:rsid w:val="007B64BB"/>
    <w:rsid w:val="007B64D6"/>
    <w:rsid w:val="007B652E"/>
    <w:rsid w:val="007B6949"/>
    <w:rsid w:val="007B6964"/>
    <w:rsid w:val="007B74DF"/>
    <w:rsid w:val="007B7680"/>
    <w:rsid w:val="007B780A"/>
    <w:rsid w:val="007B784A"/>
    <w:rsid w:val="007B7880"/>
    <w:rsid w:val="007B7924"/>
    <w:rsid w:val="007B7AE1"/>
    <w:rsid w:val="007B7FCD"/>
    <w:rsid w:val="007C1C79"/>
    <w:rsid w:val="007C1DAE"/>
    <w:rsid w:val="007C1E6D"/>
    <w:rsid w:val="007C1F46"/>
    <w:rsid w:val="007C2127"/>
    <w:rsid w:val="007C2338"/>
    <w:rsid w:val="007C2532"/>
    <w:rsid w:val="007C261E"/>
    <w:rsid w:val="007C27C2"/>
    <w:rsid w:val="007C2847"/>
    <w:rsid w:val="007C2C47"/>
    <w:rsid w:val="007C3173"/>
    <w:rsid w:val="007C31BD"/>
    <w:rsid w:val="007C36D5"/>
    <w:rsid w:val="007C4233"/>
    <w:rsid w:val="007C451A"/>
    <w:rsid w:val="007C453E"/>
    <w:rsid w:val="007C4645"/>
    <w:rsid w:val="007C4751"/>
    <w:rsid w:val="007C4A1E"/>
    <w:rsid w:val="007C5853"/>
    <w:rsid w:val="007C5C7E"/>
    <w:rsid w:val="007C5D70"/>
    <w:rsid w:val="007C5E53"/>
    <w:rsid w:val="007C6016"/>
    <w:rsid w:val="007C6233"/>
    <w:rsid w:val="007C630B"/>
    <w:rsid w:val="007C63F1"/>
    <w:rsid w:val="007C68C2"/>
    <w:rsid w:val="007C6DB5"/>
    <w:rsid w:val="007C721B"/>
    <w:rsid w:val="007C7424"/>
    <w:rsid w:val="007C744E"/>
    <w:rsid w:val="007C750E"/>
    <w:rsid w:val="007C7A8A"/>
    <w:rsid w:val="007D01E0"/>
    <w:rsid w:val="007D0267"/>
    <w:rsid w:val="007D0602"/>
    <w:rsid w:val="007D1094"/>
    <w:rsid w:val="007D1BD9"/>
    <w:rsid w:val="007D1E87"/>
    <w:rsid w:val="007D1FA6"/>
    <w:rsid w:val="007D23A4"/>
    <w:rsid w:val="007D2FE9"/>
    <w:rsid w:val="007D4115"/>
    <w:rsid w:val="007D52F4"/>
    <w:rsid w:val="007D530F"/>
    <w:rsid w:val="007D5554"/>
    <w:rsid w:val="007D56F5"/>
    <w:rsid w:val="007D5819"/>
    <w:rsid w:val="007D647D"/>
    <w:rsid w:val="007D6896"/>
    <w:rsid w:val="007D6A5B"/>
    <w:rsid w:val="007D6DC0"/>
    <w:rsid w:val="007D70D5"/>
    <w:rsid w:val="007D720D"/>
    <w:rsid w:val="007D7397"/>
    <w:rsid w:val="007D73DA"/>
    <w:rsid w:val="007D7510"/>
    <w:rsid w:val="007D7C3E"/>
    <w:rsid w:val="007D7D04"/>
    <w:rsid w:val="007D7E39"/>
    <w:rsid w:val="007E03E6"/>
    <w:rsid w:val="007E0A70"/>
    <w:rsid w:val="007E0BA3"/>
    <w:rsid w:val="007E0FAF"/>
    <w:rsid w:val="007E14E1"/>
    <w:rsid w:val="007E1A30"/>
    <w:rsid w:val="007E1F16"/>
    <w:rsid w:val="007E2EAA"/>
    <w:rsid w:val="007E2F6C"/>
    <w:rsid w:val="007E3348"/>
    <w:rsid w:val="007E338C"/>
    <w:rsid w:val="007E355D"/>
    <w:rsid w:val="007E3E2B"/>
    <w:rsid w:val="007E4380"/>
    <w:rsid w:val="007E456E"/>
    <w:rsid w:val="007E483A"/>
    <w:rsid w:val="007E4859"/>
    <w:rsid w:val="007E4FC5"/>
    <w:rsid w:val="007E5269"/>
    <w:rsid w:val="007E531C"/>
    <w:rsid w:val="007E54A2"/>
    <w:rsid w:val="007E557C"/>
    <w:rsid w:val="007E5976"/>
    <w:rsid w:val="007E5D9E"/>
    <w:rsid w:val="007E63E3"/>
    <w:rsid w:val="007E647C"/>
    <w:rsid w:val="007E6B94"/>
    <w:rsid w:val="007E6E9A"/>
    <w:rsid w:val="007E70A2"/>
    <w:rsid w:val="007F000B"/>
    <w:rsid w:val="007F0075"/>
    <w:rsid w:val="007F0D60"/>
    <w:rsid w:val="007F11AF"/>
    <w:rsid w:val="007F13C3"/>
    <w:rsid w:val="007F185F"/>
    <w:rsid w:val="007F19EB"/>
    <w:rsid w:val="007F19FA"/>
    <w:rsid w:val="007F1E07"/>
    <w:rsid w:val="007F1FD5"/>
    <w:rsid w:val="007F2101"/>
    <w:rsid w:val="007F2D1F"/>
    <w:rsid w:val="007F2D79"/>
    <w:rsid w:val="007F3453"/>
    <w:rsid w:val="007F39CC"/>
    <w:rsid w:val="007F3CE9"/>
    <w:rsid w:val="007F3D10"/>
    <w:rsid w:val="007F3F30"/>
    <w:rsid w:val="007F4557"/>
    <w:rsid w:val="007F492D"/>
    <w:rsid w:val="007F4FB0"/>
    <w:rsid w:val="007F59AB"/>
    <w:rsid w:val="007F5A2F"/>
    <w:rsid w:val="007F655F"/>
    <w:rsid w:val="007F66E7"/>
    <w:rsid w:val="007F6897"/>
    <w:rsid w:val="007F7088"/>
    <w:rsid w:val="007F7604"/>
    <w:rsid w:val="007F7AE9"/>
    <w:rsid w:val="007F7E86"/>
    <w:rsid w:val="00801022"/>
    <w:rsid w:val="0080190C"/>
    <w:rsid w:val="00801B6C"/>
    <w:rsid w:val="00801CDC"/>
    <w:rsid w:val="00802137"/>
    <w:rsid w:val="00802529"/>
    <w:rsid w:val="00802924"/>
    <w:rsid w:val="00802E9C"/>
    <w:rsid w:val="00803041"/>
    <w:rsid w:val="008036F3"/>
    <w:rsid w:val="00803A75"/>
    <w:rsid w:val="0080434A"/>
    <w:rsid w:val="00804866"/>
    <w:rsid w:val="00804F5C"/>
    <w:rsid w:val="00805135"/>
    <w:rsid w:val="008052B9"/>
    <w:rsid w:val="00805577"/>
    <w:rsid w:val="00805639"/>
    <w:rsid w:val="00805CCB"/>
    <w:rsid w:val="008061B5"/>
    <w:rsid w:val="00806C20"/>
    <w:rsid w:val="00807129"/>
    <w:rsid w:val="0080725A"/>
    <w:rsid w:val="00807318"/>
    <w:rsid w:val="00807397"/>
    <w:rsid w:val="00807675"/>
    <w:rsid w:val="008106FE"/>
    <w:rsid w:val="00810BAC"/>
    <w:rsid w:val="00810F5F"/>
    <w:rsid w:val="008120EA"/>
    <w:rsid w:val="00812C0A"/>
    <w:rsid w:val="008130DE"/>
    <w:rsid w:val="0081382D"/>
    <w:rsid w:val="00814419"/>
    <w:rsid w:val="0081455C"/>
    <w:rsid w:val="00814AB1"/>
    <w:rsid w:val="00814DAD"/>
    <w:rsid w:val="008150F6"/>
    <w:rsid w:val="00815699"/>
    <w:rsid w:val="00815C39"/>
    <w:rsid w:val="0081644C"/>
    <w:rsid w:val="00816ED9"/>
    <w:rsid w:val="0081706B"/>
    <w:rsid w:val="00817223"/>
    <w:rsid w:val="008178D0"/>
    <w:rsid w:val="00817B11"/>
    <w:rsid w:val="00817C87"/>
    <w:rsid w:val="008204AA"/>
    <w:rsid w:val="00820A91"/>
    <w:rsid w:val="00820A97"/>
    <w:rsid w:val="00820DAA"/>
    <w:rsid w:val="008210E7"/>
    <w:rsid w:val="008211E7"/>
    <w:rsid w:val="0082231D"/>
    <w:rsid w:val="00822356"/>
    <w:rsid w:val="00822C4B"/>
    <w:rsid w:val="008231B7"/>
    <w:rsid w:val="00823892"/>
    <w:rsid w:val="00823B42"/>
    <w:rsid w:val="0082429C"/>
    <w:rsid w:val="008251E8"/>
    <w:rsid w:val="008252EB"/>
    <w:rsid w:val="00825DE5"/>
    <w:rsid w:val="00826D73"/>
    <w:rsid w:val="0082722F"/>
    <w:rsid w:val="00827399"/>
    <w:rsid w:val="00827528"/>
    <w:rsid w:val="00827B06"/>
    <w:rsid w:val="00827CD7"/>
    <w:rsid w:val="00827D8C"/>
    <w:rsid w:val="008307E7"/>
    <w:rsid w:val="00830840"/>
    <w:rsid w:val="0083120D"/>
    <w:rsid w:val="00831230"/>
    <w:rsid w:val="00831441"/>
    <w:rsid w:val="008324B3"/>
    <w:rsid w:val="00832CAB"/>
    <w:rsid w:val="00833181"/>
    <w:rsid w:val="008335CB"/>
    <w:rsid w:val="008337C6"/>
    <w:rsid w:val="00833E04"/>
    <w:rsid w:val="0083487B"/>
    <w:rsid w:val="00834A2B"/>
    <w:rsid w:val="00834D6D"/>
    <w:rsid w:val="00834F56"/>
    <w:rsid w:val="008350A8"/>
    <w:rsid w:val="008352D1"/>
    <w:rsid w:val="0083544C"/>
    <w:rsid w:val="00835AED"/>
    <w:rsid w:val="00835CCE"/>
    <w:rsid w:val="00835F7A"/>
    <w:rsid w:val="00836351"/>
    <w:rsid w:val="00836568"/>
    <w:rsid w:val="00836AF1"/>
    <w:rsid w:val="00837069"/>
    <w:rsid w:val="00837176"/>
    <w:rsid w:val="00837192"/>
    <w:rsid w:val="00837A24"/>
    <w:rsid w:val="00837B8C"/>
    <w:rsid w:val="00837D07"/>
    <w:rsid w:val="00837D14"/>
    <w:rsid w:val="00837F52"/>
    <w:rsid w:val="00840425"/>
    <w:rsid w:val="008404BA"/>
    <w:rsid w:val="0084057E"/>
    <w:rsid w:val="00840DDF"/>
    <w:rsid w:val="008412F4"/>
    <w:rsid w:val="00841569"/>
    <w:rsid w:val="0084158D"/>
    <w:rsid w:val="00841855"/>
    <w:rsid w:val="008425D8"/>
    <w:rsid w:val="008428AB"/>
    <w:rsid w:val="00843425"/>
    <w:rsid w:val="0084386D"/>
    <w:rsid w:val="00843DA8"/>
    <w:rsid w:val="00843FD0"/>
    <w:rsid w:val="00844E4C"/>
    <w:rsid w:val="008456F0"/>
    <w:rsid w:val="0084596C"/>
    <w:rsid w:val="00845A75"/>
    <w:rsid w:val="00845B48"/>
    <w:rsid w:val="00845BE8"/>
    <w:rsid w:val="0084612D"/>
    <w:rsid w:val="008466E0"/>
    <w:rsid w:val="0084687D"/>
    <w:rsid w:val="0084704C"/>
    <w:rsid w:val="00847508"/>
    <w:rsid w:val="008475AB"/>
    <w:rsid w:val="008475ED"/>
    <w:rsid w:val="00847766"/>
    <w:rsid w:val="00847AF5"/>
    <w:rsid w:val="00851C82"/>
    <w:rsid w:val="00851D92"/>
    <w:rsid w:val="0085211C"/>
    <w:rsid w:val="00852312"/>
    <w:rsid w:val="00852499"/>
    <w:rsid w:val="00852555"/>
    <w:rsid w:val="00852DCB"/>
    <w:rsid w:val="0085381F"/>
    <w:rsid w:val="00853E73"/>
    <w:rsid w:val="00854223"/>
    <w:rsid w:val="008547DC"/>
    <w:rsid w:val="008549F7"/>
    <w:rsid w:val="00854A42"/>
    <w:rsid w:val="00854C86"/>
    <w:rsid w:val="00855951"/>
    <w:rsid w:val="00855AB3"/>
    <w:rsid w:val="00855C73"/>
    <w:rsid w:val="008561C6"/>
    <w:rsid w:val="00857318"/>
    <w:rsid w:val="008577D7"/>
    <w:rsid w:val="008603D0"/>
    <w:rsid w:val="0086058A"/>
    <w:rsid w:val="00860D1A"/>
    <w:rsid w:val="00861005"/>
    <w:rsid w:val="00861B01"/>
    <w:rsid w:val="00861DF4"/>
    <w:rsid w:val="008629CB"/>
    <w:rsid w:val="008630E7"/>
    <w:rsid w:val="008631CA"/>
    <w:rsid w:val="0086335E"/>
    <w:rsid w:val="008634CA"/>
    <w:rsid w:val="0086393C"/>
    <w:rsid w:val="00863F83"/>
    <w:rsid w:val="00864039"/>
    <w:rsid w:val="0086407A"/>
    <w:rsid w:val="008644C3"/>
    <w:rsid w:val="0086451A"/>
    <w:rsid w:val="008648CA"/>
    <w:rsid w:val="008649BF"/>
    <w:rsid w:val="00864A9E"/>
    <w:rsid w:val="00864D91"/>
    <w:rsid w:val="008653A9"/>
    <w:rsid w:val="008658C0"/>
    <w:rsid w:val="00865B32"/>
    <w:rsid w:val="00865DD7"/>
    <w:rsid w:val="0086604A"/>
    <w:rsid w:val="00866082"/>
    <w:rsid w:val="00866527"/>
    <w:rsid w:val="0086686C"/>
    <w:rsid w:val="00866983"/>
    <w:rsid w:val="008673F7"/>
    <w:rsid w:val="0086747E"/>
    <w:rsid w:val="00867EAE"/>
    <w:rsid w:val="0087007D"/>
    <w:rsid w:val="008700B6"/>
    <w:rsid w:val="00870181"/>
    <w:rsid w:val="008704A1"/>
    <w:rsid w:val="008707AB"/>
    <w:rsid w:val="00870BAC"/>
    <w:rsid w:val="0087104D"/>
    <w:rsid w:val="008710A2"/>
    <w:rsid w:val="0087118A"/>
    <w:rsid w:val="008712E0"/>
    <w:rsid w:val="00871368"/>
    <w:rsid w:val="008713DF"/>
    <w:rsid w:val="0087195C"/>
    <w:rsid w:val="008719FA"/>
    <w:rsid w:val="00872020"/>
    <w:rsid w:val="00872098"/>
    <w:rsid w:val="00872156"/>
    <w:rsid w:val="00872DF8"/>
    <w:rsid w:val="00873244"/>
    <w:rsid w:val="00873DD4"/>
    <w:rsid w:val="008745AD"/>
    <w:rsid w:val="00874909"/>
    <w:rsid w:val="00874C4C"/>
    <w:rsid w:val="00874FBE"/>
    <w:rsid w:val="008751CE"/>
    <w:rsid w:val="00875762"/>
    <w:rsid w:val="008758CC"/>
    <w:rsid w:val="00875FCE"/>
    <w:rsid w:val="0087603A"/>
    <w:rsid w:val="00876313"/>
    <w:rsid w:val="00876415"/>
    <w:rsid w:val="0087641E"/>
    <w:rsid w:val="0087650F"/>
    <w:rsid w:val="008766C7"/>
    <w:rsid w:val="00876E9A"/>
    <w:rsid w:val="00877A6D"/>
    <w:rsid w:val="00877D80"/>
    <w:rsid w:val="008800A1"/>
    <w:rsid w:val="0088087A"/>
    <w:rsid w:val="00880D24"/>
    <w:rsid w:val="00880FCF"/>
    <w:rsid w:val="008812DB"/>
    <w:rsid w:val="0088160F"/>
    <w:rsid w:val="008820A7"/>
    <w:rsid w:val="0088299B"/>
    <w:rsid w:val="00882AEC"/>
    <w:rsid w:val="00883200"/>
    <w:rsid w:val="008835C9"/>
    <w:rsid w:val="00883F67"/>
    <w:rsid w:val="00884529"/>
    <w:rsid w:val="0088503A"/>
    <w:rsid w:val="00885225"/>
    <w:rsid w:val="00885E1E"/>
    <w:rsid w:val="008861D0"/>
    <w:rsid w:val="00886331"/>
    <w:rsid w:val="0088654F"/>
    <w:rsid w:val="0088672C"/>
    <w:rsid w:val="00887E59"/>
    <w:rsid w:val="00890269"/>
    <w:rsid w:val="00890A3C"/>
    <w:rsid w:val="00890AC1"/>
    <w:rsid w:val="008910B7"/>
    <w:rsid w:val="008912E4"/>
    <w:rsid w:val="008927AF"/>
    <w:rsid w:val="0089338A"/>
    <w:rsid w:val="00893A16"/>
    <w:rsid w:val="00893C80"/>
    <w:rsid w:val="00893F6C"/>
    <w:rsid w:val="0089420C"/>
    <w:rsid w:val="00894EF9"/>
    <w:rsid w:val="00895022"/>
    <w:rsid w:val="008952E1"/>
    <w:rsid w:val="0089651D"/>
    <w:rsid w:val="00896EB6"/>
    <w:rsid w:val="00896F05"/>
    <w:rsid w:val="008A0B28"/>
    <w:rsid w:val="008A0FEE"/>
    <w:rsid w:val="008A104C"/>
    <w:rsid w:val="008A1978"/>
    <w:rsid w:val="008A1A35"/>
    <w:rsid w:val="008A1A9D"/>
    <w:rsid w:val="008A1E15"/>
    <w:rsid w:val="008A213F"/>
    <w:rsid w:val="008A2466"/>
    <w:rsid w:val="008A2624"/>
    <w:rsid w:val="008A2F06"/>
    <w:rsid w:val="008A37AB"/>
    <w:rsid w:val="008A3BD3"/>
    <w:rsid w:val="008A43AA"/>
    <w:rsid w:val="008A4973"/>
    <w:rsid w:val="008A4D6E"/>
    <w:rsid w:val="008A5CBD"/>
    <w:rsid w:val="008A615E"/>
    <w:rsid w:val="008A6212"/>
    <w:rsid w:val="008A6B4B"/>
    <w:rsid w:val="008A6CBB"/>
    <w:rsid w:val="008A7BB2"/>
    <w:rsid w:val="008A7CAA"/>
    <w:rsid w:val="008A7D14"/>
    <w:rsid w:val="008B044F"/>
    <w:rsid w:val="008B0913"/>
    <w:rsid w:val="008B096B"/>
    <w:rsid w:val="008B0C29"/>
    <w:rsid w:val="008B0FA5"/>
    <w:rsid w:val="008B10CC"/>
    <w:rsid w:val="008B1721"/>
    <w:rsid w:val="008B193C"/>
    <w:rsid w:val="008B1EA9"/>
    <w:rsid w:val="008B24F9"/>
    <w:rsid w:val="008B259F"/>
    <w:rsid w:val="008B26D0"/>
    <w:rsid w:val="008B3450"/>
    <w:rsid w:val="008B348F"/>
    <w:rsid w:val="008B3C9B"/>
    <w:rsid w:val="008B3EE3"/>
    <w:rsid w:val="008B4542"/>
    <w:rsid w:val="008B478C"/>
    <w:rsid w:val="008B481B"/>
    <w:rsid w:val="008B53F2"/>
    <w:rsid w:val="008B54A6"/>
    <w:rsid w:val="008B54EE"/>
    <w:rsid w:val="008B5509"/>
    <w:rsid w:val="008B579A"/>
    <w:rsid w:val="008B5824"/>
    <w:rsid w:val="008B593C"/>
    <w:rsid w:val="008B5C03"/>
    <w:rsid w:val="008B5DEF"/>
    <w:rsid w:val="008B621F"/>
    <w:rsid w:val="008B64F5"/>
    <w:rsid w:val="008B6521"/>
    <w:rsid w:val="008B7622"/>
    <w:rsid w:val="008B7777"/>
    <w:rsid w:val="008B7905"/>
    <w:rsid w:val="008B7A59"/>
    <w:rsid w:val="008C04A6"/>
    <w:rsid w:val="008C05D7"/>
    <w:rsid w:val="008C0871"/>
    <w:rsid w:val="008C0C4B"/>
    <w:rsid w:val="008C0CAE"/>
    <w:rsid w:val="008C1025"/>
    <w:rsid w:val="008C1403"/>
    <w:rsid w:val="008C1B10"/>
    <w:rsid w:val="008C257E"/>
    <w:rsid w:val="008C3023"/>
    <w:rsid w:val="008C32D6"/>
    <w:rsid w:val="008C37B3"/>
    <w:rsid w:val="008C3B6B"/>
    <w:rsid w:val="008C3BB9"/>
    <w:rsid w:val="008C4094"/>
    <w:rsid w:val="008C4B29"/>
    <w:rsid w:val="008C4BBF"/>
    <w:rsid w:val="008C5465"/>
    <w:rsid w:val="008C59AC"/>
    <w:rsid w:val="008C5D18"/>
    <w:rsid w:val="008C6025"/>
    <w:rsid w:val="008C6480"/>
    <w:rsid w:val="008C6B12"/>
    <w:rsid w:val="008C6B15"/>
    <w:rsid w:val="008C6BCF"/>
    <w:rsid w:val="008C6E27"/>
    <w:rsid w:val="008C7F6F"/>
    <w:rsid w:val="008D04F2"/>
    <w:rsid w:val="008D0B4D"/>
    <w:rsid w:val="008D0F12"/>
    <w:rsid w:val="008D1348"/>
    <w:rsid w:val="008D1B1C"/>
    <w:rsid w:val="008D1D75"/>
    <w:rsid w:val="008D1E89"/>
    <w:rsid w:val="008D2798"/>
    <w:rsid w:val="008D315A"/>
    <w:rsid w:val="008D36C4"/>
    <w:rsid w:val="008D3A2A"/>
    <w:rsid w:val="008D3D75"/>
    <w:rsid w:val="008D3F4B"/>
    <w:rsid w:val="008D3FCE"/>
    <w:rsid w:val="008D412A"/>
    <w:rsid w:val="008D415E"/>
    <w:rsid w:val="008D4571"/>
    <w:rsid w:val="008D4772"/>
    <w:rsid w:val="008D4904"/>
    <w:rsid w:val="008D4E48"/>
    <w:rsid w:val="008D51FA"/>
    <w:rsid w:val="008D5286"/>
    <w:rsid w:val="008D52B5"/>
    <w:rsid w:val="008D52C3"/>
    <w:rsid w:val="008D5415"/>
    <w:rsid w:val="008D618B"/>
    <w:rsid w:val="008D644F"/>
    <w:rsid w:val="008D6E84"/>
    <w:rsid w:val="008D72C3"/>
    <w:rsid w:val="008D73E3"/>
    <w:rsid w:val="008D754F"/>
    <w:rsid w:val="008D763B"/>
    <w:rsid w:val="008D767F"/>
    <w:rsid w:val="008D77A7"/>
    <w:rsid w:val="008D7A23"/>
    <w:rsid w:val="008D7EDC"/>
    <w:rsid w:val="008E0169"/>
    <w:rsid w:val="008E037D"/>
    <w:rsid w:val="008E0548"/>
    <w:rsid w:val="008E054C"/>
    <w:rsid w:val="008E0A09"/>
    <w:rsid w:val="008E0B68"/>
    <w:rsid w:val="008E0CFE"/>
    <w:rsid w:val="008E0F27"/>
    <w:rsid w:val="008E216A"/>
    <w:rsid w:val="008E21B3"/>
    <w:rsid w:val="008E2D65"/>
    <w:rsid w:val="008E2E3D"/>
    <w:rsid w:val="008E2E58"/>
    <w:rsid w:val="008E2E84"/>
    <w:rsid w:val="008E398B"/>
    <w:rsid w:val="008E4B76"/>
    <w:rsid w:val="008E4C15"/>
    <w:rsid w:val="008E50EF"/>
    <w:rsid w:val="008E5385"/>
    <w:rsid w:val="008E5713"/>
    <w:rsid w:val="008E59E0"/>
    <w:rsid w:val="008E5DA5"/>
    <w:rsid w:val="008E6E77"/>
    <w:rsid w:val="008E6EC0"/>
    <w:rsid w:val="008E7463"/>
    <w:rsid w:val="008E77F5"/>
    <w:rsid w:val="008E7DFE"/>
    <w:rsid w:val="008E7EF0"/>
    <w:rsid w:val="008F08D9"/>
    <w:rsid w:val="008F0AA2"/>
    <w:rsid w:val="008F0BC9"/>
    <w:rsid w:val="008F0F32"/>
    <w:rsid w:val="008F1426"/>
    <w:rsid w:val="008F1577"/>
    <w:rsid w:val="008F1B19"/>
    <w:rsid w:val="008F268C"/>
    <w:rsid w:val="008F36B6"/>
    <w:rsid w:val="008F3894"/>
    <w:rsid w:val="008F39FD"/>
    <w:rsid w:val="008F3CEB"/>
    <w:rsid w:val="008F4530"/>
    <w:rsid w:val="008F4AE5"/>
    <w:rsid w:val="008F5668"/>
    <w:rsid w:val="008F58C1"/>
    <w:rsid w:val="008F64EA"/>
    <w:rsid w:val="008F6ABC"/>
    <w:rsid w:val="008F705F"/>
    <w:rsid w:val="008F7862"/>
    <w:rsid w:val="008F7A0A"/>
    <w:rsid w:val="008F7DF5"/>
    <w:rsid w:val="008F7F1B"/>
    <w:rsid w:val="0090013E"/>
    <w:rsid w:val="0090053A"/>
    <w:rsid w:val="00900939"/>
    <w:rsid w:val="00900B08"/>
    <w:rsid w:val="00900C24"/>
    <w:rsid w:val="009024AD"/>
    <w:rsid w:val="00902500"/>
    <w:rsid w:val="009028A7"/>
    <w:rsid w:val="00902C4B"/>
    <w:rsid w:val="00902CD9"/>
    <w:rsid w:val="00902DD5"/>
    <w:rsid w:val="00903400"/>
    <w:rsid w:val="009036DA"/>
    <w:rsid w:val="00903A15"/>
    <w:rsid w:val="009043F9"/>
    <w:rsid w:val="00904AEB"/>
    <w:rsid w:val="00904B2A"/>
    <w:rsid w:val="00904DE8"/>
    <w:rsid w:val="00905319"/>
    <w:rsid w:val="0090543E"/>
    <w:rsid w:val="00905512"/>
    <w:rsid w:val="00905AB0"/>
    <w:rsid w:val="00905E5A"/>
    <w:rsid w:val="00906149"/>
    <w:rsid w:val="00906316"/>
    <w:rsid w:val="009064C6"/>
    <w:rsid w:val="00906BBC"/>
    <w:rsid w:val="00907202"/>
    <w:rsid w:val="009076FE"/>
    <w:rsid w:val="00907E1B"/>
    <w:rsid w:val="0091169B"/>
    <w:rsid w:val="00911A4A"/>
    <w:rsid w:val="00911A9C"/>
    <w:rsid w:val="00911BCD"/>
    <w:rsid w:val="009120CA"/>
    <w:rsid w:val="00912556"/>
    <w:rsid w:val="00912691"/>
    <w:rsid w:val="00913168"/>
    <w:rsid w:val="0091383A"/>
    <w:rsid w:val="009138CD"/>
    <w:rsid w:val="00913B8E"/>
    <w:rsid w:val="009141B1"/>
    <w:rsid w:val="00915DFD"/>
    <w:rsid w:val="009165C7"/>
    <w:rsid w:val="00916E1E"/>
    <w:rsid w:val="00917771"/>
    <w:rsid w:val="0091787B"/>
    <w:rsid w:val="00917A4E"/>
    <w:rsid w:val="00917B5A"/>
    <w:rsid w:val="00917D9B"/>
    <w:rsid w:val="00920289"/>
    <w:rsid w:val="0092151C"/>
    <w:rsid w:val="00921C1B"/>
    <w:rsid w:val="00921CB7"/>
    <w:rsid w:val="00922055"/>
    <w:rsid w:val="00922549"/>
    <w:rsid w:val="00922C8F"/>
    <w:rsid w:val="00923886"/>
    <w:rsid w:val="00923FAF"/>
    <w:rsid w:val="009241BA"/>
    <w:rsid w:val="00924DD7"/>
    <w:rsid w:val="00925378"/>
    <w:rsid w:val="0092543A"/>
    <w:rsid w:val="00925BB1"/>
    <w:rsid w:val="00925D12"/>
    <w:rsid w:val="00925E81"/>
    <w:rsid w:val="009261F5"/>
    <w:rsid w:val="009267EF"/>
    <w:rsid w:val="009268D5"/>
    <w:rsid w:val="00926AF0"/>
    <w:rsid w:val="00926C0D"/>
    <w:rsid w:val="00926D53"/>
    <w:rsid w:val="0092786F"/>
    <w:rsid w:val="00927A2F"/>
    <w:rsid w:val="009300D1"/>
    <w:rsid w:val="00930241"/>
    <w:rsid w:val="0093072F"/>
    <w:rsid w:val="009307BB"/>
    <w:rsid w:val="00930D80"/>
    <w:rsid w:val="00930E9F"/>
    <w:rsid w:val="0093123A"/>
    <w:rsid w:val="0093132B"/>
    <w:rsid w:val="00931729"/>
    <w:rsid w:val="00931857"/>
    <w:rsid w:val="00931A99"/>
    <w:rsid w:val="00931AD3"/>
    <w:rsid w:val="00931B17"/>
    <w:rsid w:val="0093239B"/>
    <w:rsid w:val="009325D4"/>
    <w:rsid w:val="00932D7F"/>
    <w:rsid w:val="009331B5"/>
    <w:rsid w:val="009332B2"/>
    <w:rsid w:val="009333AE"/>
    <w:rsid w:val="00933A01"/>
    <w:rsid w:val="00934C25"/>
    <w:rsid w:val="00934CA7"/>
    <w:rsid w:val="00934FA0"/>
    <w:rsid w:val="009350C8"/>
    <w:rsid w:val="009353E1"/>
    <w:rsid w:val="009356D7"/>
    <w:rsid w:val="00935BB8"/>
    <w:rsid w:val="00935E9B"/>
    <w:rsid w:val="00935E9C"/>
    <w:rsid w:val="0093618B"/>
    <w:rsid w:val="009364C8"/>
    <w:rsid w:val="00936E91"/>
    <w:rsid w:val="00936F40"/>
    <w:rsid w:val="009371D3"/>
    <w:rsid w:val="009377FD"/>
    <w:rsid w:val="00937B23"/>
    <w:rsid w:val="00937BC6"/>
    <w:rsid w:val="00940F45"/>
    <w:rsid w:val="00941051"/>
    <w:rsid w:val="009411DE"/>
    <w:rsid w:val="009411F4"/>
    <w:rsid w:val="009417DA"/>
    <w:rsid w:val="009418F4"/>
    <w:rsid w:val="00941AA9"/>
    <w:rsid w:val="00941C03"/>
    <w:rsid w:val="00942231"/>
    <w:rsid w:val="00942265"/>
    <w:rsid w:val="00942866"/>
    <w:rsid w:val="00942BFF"/>
    <w:rsid w:val="009432F2"/>
    <w:rsid w:val="009433FC"/>
    <w:rsid w:val="0094393A"/>
    <w:rsid w:val="00943B2A"/>
    <w:rsid w:val="00943E5E"/>
    <w:rsid w:val="00943FE0"/>
    <w:rsid w:val="00944990"/>
    <w:rsid w:val="009449DC"/>
    <w:rsid w:val="00944D4E"/>
    <w:rsid w:val="00945250"/>
    <w:rsid w:val="009456B2"/>
    <w:rsid w:val="0094583A"/>
    <w:rsid w:val="00946071"/>
    <w:rsid w:val="0094622E"/>
    <w:rsid w:val="00946513"/>
    <w:rsid w:val="0094698A"/>
    <w:rsid w:val="00946A45"/>
    <w:rsid w:val="00947259"/>
    <w:rsid w:val="00947538"/>
    <w:rsid w:val="00947665"/>
    <w:rsid w:val="009478B5"/>
    <w:rsid w:val="00950146"/>
    <w:rsid w:val="00950340"/>
    <w:rsid w:val="00950447"/>
    <w:rsid w:val="00950641"/>
    <w:rsid w:val="009506B1"/>
    <w:rsid w:val="00950B56"/>
    <w:rsid w:val="00950D52"/>
    <w:rsid w:val="009510A8"/>
    <w:rsid w:val="009515CF"/>
    <w:rsid w:val="009517E3"/>
    <w:rsid w:val="00951B77"/>
    <w:rsid w:val="00952139"/>
    <w:rsid w:val="009532DF"/>
    <w:rsid w:val="009536BD"/>
    <w:rsid w:val="009539E7"/>
    <w:rsid w:val="00953B32"/>
    <w:rsid w:val="00953B89"/>
    <w:rsid w:val="009542E5"/>
    <w:rsid w:val="00954CB7"/>
    <w:rsid w:val="00954EB6"/>
    <w:rsid w:val="00954FED"/>
    <w:rsid w:val="00955E9A"/>
    <w:rsid w:val="009562FC"/>
    <w:rsid w:val="009567BE"/>
    <w:rsid w:val="00956802"/>
    <w:rsid w:val="009568A5"/>
    <w:rsid w:val="00956D40"/>
    <w:rsid w:val="009578B9"/>
    <w:rsid w:val="00957D86"/>
    <w:rsid w:val="00957E82"/>
    <w:rsid w:val="00960042"/>
    <w:rsid w:val="00960F73"/>
    <w:rsid w:val="009610E9"/>
    <w:rsid w:val="009616A4"/>
    <w:rsid w:val="0096175B"/>
    <w:rsid w:val="00961BCE"/>
    <w:rsid w:val="00961EBC"/>
    <w:rsid w:val="009628EC"/>
    <w:rsid w:val="00963711"/>
    <w:rsid w:val="009640FC"/>
    <w:rsid w:val="00964EBF"/>
    <w:rsid w:val="00965174"/>
    <w:rsid w:val="00965596"/>
    <w:rsid w:val="0096568D"/>
    <w:rsid w:val="00965F36"/>
    <w:rsid w:val="009660B2"/>
    <w:rsid w:val="0096616C"/>
    <w:rsid w:val="00966212"/>
    <w:rsid w:val="00966389"/>
    <w:rsid w:val="009667E0"/>
    <w:rsid w:val="009668E5"/>
    <w:rsid w:val="00966B19"/>
    <w:rsid w:val="00966DFA"/>
    <w:rsid w:val="009674A9"/>
    <w:rsid w:val="00967D34"/>
    <w:rsid w:val="00967E2C"/>
    <w:rsid w:val="00967FCA"/>
    <w:rsid w:val="0097046B"/>
    <w:rsid w:val="009707B7"/>
    <w:rsid w:val="0097099B"/>
    <w:rsid w:val="00970EF5"/>
    <w:rsid w:val="00971955"/>
    <w:rsid w:val="0097198B"/>
    <w:rsid w:val="009719CD"/>
    <w:rsid w:val="00971EB7"/>
    <w:rsid w:val="00971FC1"/>
    <w:rsid w:val="00972231"/>
    <w:rsid w:val="00972755"/>
    <w:rsid w:val="00972B18"/>
    <w:rsid w:val="0097361E"/>
    <w:rsid w:val="00973ABF"/>
    <w:rsid w:val="00973B55"/>
    <w:rsid w:val="00973C82"/>
    <w:rsid w:val="00973D98"/>
    <w:rsid w:val="009742EF"/>
    <w:rsid w:val="009748AD"/>
    <w:rsid w:val="00974FF2"/>
    <w:rsid w:val="009757C1"/>
    <w:rsid w:val="009761E3"/>
    <w:rsid w:val="00976302"/>
    <w:rsid w:val="00976487"/>
    <w:rsid w:val="00976AF9"/>
    <w:rsid w:val="00976BAA"/>
    <w:rsid w:val="00977101"/>
    <w:rsid w:val="00977326"/>
    <w:rsid w:val="009776CF"/>
    <w:rsid w:val="0097778B"/>
    <w:rsid w:val="0097784E"/>
    <w:rsid w:val="00977C0B"/>
    <w:rsid w:val="00977CD1"/>
    <w:rsid w:val="00977E58"/>
    <w:rsid w:val="00980A6F"/>
    <w:rsid w:val="00980C53"/>
    <w:rsid w:val="00980C6C"/>
    <w:rsid w:val="009813C1"/>
    <w:rsid w:val="00981417"/>
    <w:rsid w:val="00981454"/>
    <w:rsid w:val="00981AC5"/>
    <w:rsid w:val="00981CE2"/>
    <w:rsid w:val="0098275E"/>
    <w:rsid w:val="00982C93"/>
    <w:rsid w:val="00982D2B"/>
    <w:rsid w:val="00983873"/>
    <w:rsid w:val="009838AA"/>
    <w:rsid w:val="0098402B"/>
    <w:rsid w:val="0098403D"/>
    <w:rsid w:val="00985671"/>
    <w:rsid w:val="00985D43"/>
    <w:rsid w:val="0098600B"/>
    <w:rsid w:val="00986335"/>
    <w:rsid w:val="009863CC"/>
    <w:rsid w:val="009864BE"/>
    <w:rsid w:val="009866E4"/>
    <w:rsid w:val="009866F8"/>
    <w:rsid w:val="00986B5B"/>
    <w:rsid w:val="00986DAE"/>
    <w:rsid w:val="00987001"/>
    <w:rsid w:val="00987177"/>
    <w:rsid w:val="00987511"/>
    <w:rsid w:val="0098789E"/>
    <w:rsid w:val="00987DC4"/>
    <w:rsid w:val="009902FC"/>
    <w:rsid w:val="0099113A"/>
    <w:rsid w:val="00991863"/>
    <w:rsid w:val="00991C14"/>
    <w:rsid w:val="00992445"/>
    <w:rsid w:val="009924B5"/>
    <w:rsid w:val="00992EB7"/>
    <w:rsid w:val="009933CC"/>
    <w:rsid w:val="00994588"/>
    <w:rsid w:val="00994656"/>
    <w:rsid w:val="009949E3"/>
    <w:rsid w:val="00994A9A"/>
    <w:rsid w:val="009956EE"/>
    <w:rsid w:val="009959EE"/>
    <w:rsid w:val="009961C1"/>
    <w:rsid w:val="0099688F"/>
    <w:rsid w:val="00996C53"/>
    <w:rsid w:val="0099785F"/>
    <w:rsid w:val="009978BF"/>
    <w:rsid w:val="00997951"/>
    <w:rsid w:val="00997FA3"/>
    <w:rsid w:val="009A008A"/>
    <w:rsid w:val="009A02C7"/>
    <w:rsid w:val="009A0410"/>
    <w:rsid w:val="009A0669"/>
    <w:rsid w:val="009A21BE"/>
    <w:rsid w:val="009A2516"/>
    <w:rsid w:val="009A28D0"/>
    <w:rsid w:val="009A29B1"/>
    <w:rsid w:val="009A2C84"/>
    <w:rsid w:val="009A2F5C"/>
    <w:rsid w:val="009A31CC"/>
    <w:rsid w:val="009A35A5"/>
    <w:rsid w:val="009A3A79"/>
    <w:rsid w:val="009A427D"/>
    <w:rsid w:val="009A530B"/>
    <w:rsid w:val="009A583A"/>
    <w:rsid w:val="009A59B9"/>
    <w:rsid w:val="009A5C84"/>
    <w:rsid w:val="009A6038"/>
    <w:rsid w:val="009A6793"/>
    <w:rsid w:val="009A6A36"/>
    <w:rsid w:val="009A6BE6"/>
    <w:rsid w:val="009A78E8"/>
    <w:rsid w:val="009A79DD"/>
    <w:rsid w:val="009A7F4D"/>
    <w:rsid w:val="009B041D"/>
    <w:rsid w:val="009B065E"/>
    <w:rsid w:val="009B088E"/>
    <w:rsid w:val="009B0A0D"/>
    <w:rsid w:val="009B0B0B"/>
    <w:rsid w:val="009B1584"/>
    <w:rsid w:val="009B17BC"/>
    <w:rsid w:val="009B19D8"/>
    <w:rsid w:val="009B1B62"/>
    <w:rsid w:val="009B1C4A"/>
    <w:rsid w:val="009B1E9D"/>
    <w:rsid w:val="009B291C"/>
    <w:rsid w:val="009B2C64"/>
    <w:rsid w:val="009B2D70"/>
    <w:rsid w:val="009B3BB8"/>
    <w:rsid w:val="009B3D58"/>
    <w:rsid w:val="009B3EB6"/>
    <w:rsid w:val="009B49A9"/>
    <w:rsid w:val="009B4B9C"/>
    <w:rsid w:val="009B4C3C"/>
    <w:rsid w:val="009B4F19"/>
    <w:rsid w:val="009B5251"/>
    <w:rsid w:val="009B5391"/>
    <w:rsid w:val="009B5796"/>
    <w:rsid w:val="009B5B33"/>
    <w:rsid w:val="009B5FA7"/>
    <w:rsid w:val="009B6568"/>
    <w:rsid w:val="009B6E10"/>
    <w:rsid w:val="009B7854"/>
    <w:rsid w:val="009B7D1A"/>
    <w:rsid w:val="009C0241"/>
    <w:rsid w:val="009C0326"/>
    <w:rsid w:val="009C056C"/>
    <w:rsid w:val="009C0A7A"/>
    <w:rsid w:val="009C0BF3"/>
    <w:rsid w:val="009C0C79"/>
    <w:rsid w:val="009C11F9"/>
    <w:rsid w:val="009C1245"/>
    <w:rsid w:val="009C1598"/>
    <w:rsid w:val="009C16BD"/>
    <w:rsid w:val="009C1A31"/>
    <w:rsid w:val="009C1ACA"/>
    <w:rsid w:val="009C2B08"/>
    <w:rsid w:val="009C2B8B"/>
    <w:rsid w:val="009C2EAC"/>
    <w:rsid w:val="009C37A6"/>
    <w:rsid w:val="009C3FCA"/>
    <w:rsid w:val="009C40DC"/>
    <w:rsid w:val="009C4148"/>
    <w:rsid w:val="009C42E7"/>
    <w:rsid w:val="009C491B"/>
    <w:rsid w:val="009C4B0A"/>
    <w:rsid w:val="009C4C15"/>
    <w:rsid w:val="009C4D72"/>
    <w:rsid w:val="009C50D7"/>
    <w:rsid w:val="009C525F"/>
    <w:rsid w:val="009C5829"/>
    <w:rsid w:val="009C6209"/>
    <w:rsid w:val="009C650E"/>
    <w:rsid w:val="009C66A0"/>
    <w:rsid w:val="009C6E48"/>
    <w:rsid w:val="009C73BA"/>
    <w:rsid w:val="009C740C"/>
    <w:rsid w:val="009C75F7"/>
    <w:rsid w:val="009C785D"/>
    <w:rsid w:val="009C7939"/>
    <w:rsid w:val="009D0336"/>
    <w:rsid w:val="009D062D"/>
    <w:rsid w:val="009D0685"/>
    <w:rsid w:val="009D06E7"/>
    <w:rsid w:val="009D06F1"/>
    <w:rsid w:val="009D073D"/>
    <w:rsid w:val="009D0D3F"/>
    <w:rsid w:val="009D10C1"/>
    <w:rsid w:val="009D121A"/>
    <w:rsid w:val="009D1761"/>
    <w:rsid w:val="009D18FD"/>
    <w:rsid w:val="009D1A46"/>
    <w:rsid w:val="009D2400"/>
    <w:rsid w:val="009D26B7"/>
    <w:rsid w:val="009D2912"/>
    <w:rsid w:val="009D2BCD"/>
    <w:rsid w:val="009D323B"/>
    <w:rsid w:val="009D37CE"/>
    <w:rsid w:val="009D3ABC"/>
    <w:rsid w:val="009D3EB5"/>
    <w:rsid w:val="009D4D7C"/>
    <w:rsid w:val="009D4E4C"/>
    <w:rsid w:val="009D5299"/>
    <w:rsid w:val="009D52AC"/>
    <w:rsid w:val="009D5471"/>
    <w:rsid w:val="009D6E50"/>
    <w:rsid w:val="009D71D7"/>
    <w:rsid w:val="009D7814"/>
    <w:rsid w:val="009E01EB"/>
    <w:rsid w:val="009E0215"/>
    <w:rsid w:val="009E0365"/>
    <w:rsid w:val="009E0445"/>
    <w:rsid w:val="009E0861"/>
    <w:rsid w:val="009E0A09"/>
    <w:rsid w:val="009E1006"/>
    <w:rsid w:val="009E130F"/>
    <w:rsid w:val="009E1457"/>
    <w:rsid w:val="009E205B"/>
    <w:rsid w:val="009E2350"/>
    <w:rsid w:val="009E2BF2"/>
    <w:rsid w:val="009E34BD"/>
    <w:rsid w:val="009E4110"/>
    <w:rsid w:val="009E4A08"/>
    <w:rsid w:val="009E4A78"/>
    <w:rsid w:val="009E5422"/>
    <w:rsid w:val="009E5D1C"/>
    <w:rsid w:val="009E5DA9"/>
    <w:rsid w:val="009E663E"/>
    <w:rsid w:val="009E6891"/>
    <w:rsid w:val="009E6D01"/>
    <w:rsid w:val="009E7250"/>
    <w:rsid w:val="009E77AE"/>
    <w:rsid w:val="009E7817"/>
    <w:rsid w:val="009E7CE7"/>
    <w:rsid w:val="009F046B"/>
    <w:rsid w:val="009F05D6"/>
    <w:rsid w:val="009F08CB"/>
    <w:rsid w:val="009F0E2C"/>
    <w:rsid w:val="009F0E75"/>
    <w:rsid w:val="009F0EE8"/>
    <w:rsid w:val="009F10DA"/>
    <w:rsid w:val="009F20C1"/>
    <w:rsid w:val="009F27A1"/>
    <w:rsid w:val="009F2D29"/>
    <w:rsid w:val="009F2DA5"/>
    <w:rsid w:val="009F3639"/>
    <w:rsid w:val="009F36E8"/>
    <w:rsid w:val="009F4070"/>
    <w:rsid w:val="009F45A3"/>
    <w:rsid w:val="009F49DD"/>
    <w:rsid w:val="009F4FC1"/>
    <w:rsid w:val="009F5309"/>
    <w:rsid w:val="009F5318"/>
    <w:rsid w:val="009F5B8F"/>
    <w:rsid w:val="009F5FFD"/>
    <w:rsid w:val="009F713F"/>
    <w:rsid w:val="009F71D9"/>
    <w:rsid w:val="009F7B8B"/>
    <w:rsid w:val="009F7EDE"/>
    <w:rsid w:val="00A0026A"/>
    <w:rsid w:val="00A003AC"/>
    <w:rsid w:val="00A003EE"/>
    <w:rsid w:val="00A01020"/>
    <w:rsid w:val="00A01103"/>
    <w:rsid w:val="00A01186"/>
    <w:rsid w:val="00A01A3F"/>
    <w:rsid w:val="00A01ADE"/>
    <w:rsid w:val="00A01CF9"/>
    <w:rsid w:val="00A01D1C"/>
    <w:rsid w:val="00A02525"/>
    <w:rsid w:val="00A025F6"/>
    <w:rsid w:val="00A02EA0"/>
    <w:rsid w:val="00A02FCF"/>
    <w:rsid w:val="00A031EC"/>
    <w:rsid w:val="00A03338"/>
    <w:rsid w:val="00A03522"/>
    <w:rsid w:val="00A03C80"/>
    <w:rsid w:val="00A03F8C"/>
    <w:rsid w:val="00A042D7"/>
    <w:rsid w:val="00A04599"/>
    <w:rsid w:val="00A04618"/>
    <w:rsid w:val="00A047DA"/>
    <w:rsid w:val="00A049A4"/>
    <w:rsid w:val="00A04DC7"/>
    <w:rsid w:val="00A04EA4"/>
    <w:rsid w:val="00A04F23"/>
    <w:rsid w:val="00A0519A"/>
    <w:rsid w:val="00A05564"/>
    <w:rsid w:val="00A0663D"/>
    <w:rsid w:val="00A07BDA"/>
    <w:rsid w:val="00A07C82"/>
    <w:rsid w:val="00A100C8"/>
    <w:rsid w:val="00A10437"/>
    <w:rsid w:val="00A10507"/>
    <w:rsid w:val="00A10861"/>
    <w:rsid w:val="00A10AC4"/>
    <w:rsid w:val="00A10E0B"/>
    <w:rsid w:val="00A116B6"/>
    <w:rsid w:val="00A11E95"/>
    <w:rsid w:val="00A12100"/>
    <w:rsid w:val="00A12308"/>
    <w:rsid w:val="00A124D2"/>
    <w:rsid w:val="00A128BA"/>
    <w:rsid w:val="00A13247"/>
    <w:rsid w:val="00A138E4"/>
    <w:rsid w:val="00A13CCE"/>
    <w:rsid w:val="00A13CD6"/>
    <w:rsid w:val="00A13E8A"/>
    <w:rsid w:val="00A14495"/>
    <w:rsid w:val="00A14531"/>
    <w:rsid w:val="00A1469C"/>
    <w:rsid w:val="00A1514D"/>
    <w:rsid w:val="00A15847"/>
    <w:rsid w:val="00A15A94"/>
    <w:rsid w:val="00A15FAD"/>
    <w:rsid w:val="00A164BC"/>
    <w:rsid w:val="00A1680A"/>
    <w:rsid w:val="00A1693A"/>
    <w:rsid w:val="00A16B9F"/>
    <w:rsid w:val="00A1773F"/>
    <w:rsid w:val="00A17E6C"/>
    <w:rsid w:val="00A206C3"/>
    <w:rsid w:val="00A20957"/>
    <w:rsid w:val="00A20986"/>
    <w:rsid w:val="00A20C1C"/>
    <w:rsid w:val="00A20D2C"/>
    <w:rsid w:val="00A20D5E"/>
    <w:rsid w:val="00A20FBB"/>
    <w:rsid w:val="00A21024"/>
    <w:rsid w:val="00A211D6"/>
    <w:rsid w:val="00A21393"/>
    <w:rsid w:val="00A217DA"/>
    <w:rsid w:val="00A21BF3"/>
    <w:rsid w:val="00A22629"/>
    <w:rsid w:val="00A22A6C"/>
    <w:rsid w:val="00A22D56"/>
    <w:rsid w:val="00A22F13"/>
    <w:rsid w:val="00A23381"/>
    <w:rsid w:val="00A235F7"/>
    <w:rsid w:val="00A237B0"/>
    <w:rsid w:val="00A243D7"/>
    <w:rsid w:val="00A24ACE"/>
    <w:rsid w:val="00A24B59"/>
    <w:rsid w:val="00A24BDE"/>
    <w:rsid w:val="00A2513B"/>
    <w:rsid w:val="00A256D3"/>
    <w:rsid w:val="00A256D6"/>
    <w:rsid w:val="00A26208"/>
    <w:rsid w:val="00A26687"/>
    <w:rsid w:val="00A267F2"/>
    <w:rsid w:val="00A26B30"/>
    <w:rsid w:val="00A26EF8"/>
    <w:rsid w:val="00A2709B"/>
    <w:rsid w:val="00A27287"/>
    <w:rsid w:val="00A27696"/>
    <w:rsid w:val="00A27825"/>
    <w:rsid w:val="00A303A8"/>
    <w:rsid w:val="00A303C9"/>
    <w:rsid w:val="00A30420"/>
    <w:rsid w:val="00A30562"/>
    <w:rsid w:val="00A30AFE"/>
    <w:rsid w:val="00A314E8"/>
    <w:rsid w:val="00A318BE"/>
    <w:rsid w:val="00A3197D"/>
    <w:rsid w:val="00A32454"/>
    <w:rsid w:val="00A32482"/>
    <w:rsid w:val="00A33024"/>
    <w:rsid w:val="00A33C89"/>
    <w:rsid w:val="00A33F92"/>
    <w:rsid w:val="00A34888"/>
    <w:rsid w:val="00A351EE"/>
    <w:rsid w:val="00A355FD"/>
    <w:rsid w:val="00A356E5"/>
    <w:rsid w:val="00A35CD9"/>
    <w:rsid w:val="00A3613D"/>
    <w:rsid w:val="00A36275"/>
    <w:rsid w:val="00A3634B"/>
    <w:rsid w:val="00A36BD0"/>
    <w:rsid w:val="00A370FC"/>
    <w:rsid w:val="00A3739D"/>
    <w:rsid w:val="00A37527"/>
    <w:rsid w:val="00A3768E"/>
    <w:rsid w:val="00A37A15"/>
    <w:rsid w:val="00A37FCA"/>
    <w:rsid w:val="00A406C7"/>
    <w:rsid w:val="00A40805"/>
    <w:rsid w:val="00A415F6"/>
    <w:rsid w:val="00A42319"/>
    <w:rsid w:val="00A42737"/>
    <w:rsid w:val="00A435EC"/>
    <w:rsid w:val="00A4388F"/>
    <w:rsid w:val="00A43D68"/>
    <w:rsid w:val="00A43F11"/>
    <w:rsid w:val="00A4416A"/>
    <w:rsid w:val="00A4456A"/>
    <w:rsid w:val="00A44E12"/>
    <w:rsid w:val="00A44F58"/>
    <w:rsid w:val="00A462BD"/>
    <w:rsid w:val="00A46AD1"/>
    <w:rsid w:val="00A46C9B"/>
    <w:rsid w:val="00A47151"/>
    <w:rsid w:val="00A47600"/>
    <w:rsid w:val="00A476F7"/>
    <w:rsid w:val="00A47C04"/>
    <w:rsid w:val="00A47FCE"/>
    <w:rsid w:val="00A5106B"/>
    <w:rsid w:val="00A5121C"/>
    <w:rsid w:val="00A514F7"/>
    <w:rsid w:val="00A51F4F"/>
    <w:rsid w:val="00A5265B"/>
    <w:rsid w:val="00A5285F"/>
    <w:rsid w:val="00A52F56"/>
    <w:rsid w:val="00A53083"/>
    <w:rsid w:val="00A5321B"/>
    <w:rsid w:val="00A537E9"/>
    <w:rsid w:val="00A53C52"/>
    <w:rsid w:val="00A53EA1"/>
    <w:rsid w:val="00A54487"/>
    <w:rsid w:val="00A54B78"/>
    <w:rsid w:val="00A54C94"/>
    <w:rsid w:val="00A55113"/>
    <w:rsid w:val="00A552C1"/>
    <w:rsid w:val="00A5596E"/>
    <w:rsid w:val="00A55EAA"/>
    <w:rsid w:val="00A56008"/>
    <w:rsid w:val="00A564B3"/>
    <w:rsid w:val="00A567A2"/>
    <w:rsid w:val="00A56913"/>
    <w:rsid w:val="00A56BC2"/>
    <w:rsid w:val="00A56CAA"/>
    <w:rsid w:val="00A56D23"/>
    <w:rsid w:val="00A5723E"/>
    <w:rsid w:val="00A575F1"/>
    <w:rsid w:val="00A57647"/>
    <w:rsid w:val="00A57890"/>
    <w:rsid w:val="00A57915"/>
    <w:rsid w:val="00A57B43"/>
    <w:rsid w:val="00A57BA7"/>
    <w:rsid w:val="00A57CCD"/>
    <w:rsid w:val="00A601BE"/>
    <w:rsid w:val="00A601DE"/>
    <w:rsid w:val="00A6031A"/>
    <w:rsid w:val="00A60432"/>
    <w:rsid w:val="00A605BD"/>
    <w:rsid w:val="00A605E8"/>
    <w:rsid w:val="00A61306"/>
    <w:rsid w:val="00A619B2"/>
    <w:rsid w:val="00A61FCE"/>
    <w:rsid w:val="00A62084"/>
    <w:rsid w:val="00A62197"/>
    <w:rsid w:val="00A62760"/>
    <w:rsid w:val="00A62D5B"/>
    <w:rsid w:val="00A62F21"/>
    <w:rsid w:val="00A63205"/>
    <w:rsid w:val="00A63309"/>
    <w:rsid w:val="00A638C4"/>
    <w:rsid w:val="00A638CE"/>
    <w:rsid w:val="00A6420A"/>
    <w:rsid w:val="00A64798"/>
    <w:rsid w:val="00A648A1"/>
    <w:rsid w:val="00A649BE"/>
    <w:rsid w:val="00A64D60"/>
    <w:rsid w:val="00A64F0E"/>
    <w:rsid w:val="00A64F41"/>
    <w:rsid w:val="00A65BD1"/>
    <w:rsid w:val="00A65BE8"/>
    <w:rsid w:val="00A66152"/>
    <w:rsid w:val="00A66302"/>
    <w:rsid w:val="00A664E9"/>
    <w:rsid w:val="00A6711F"/>
    <w:rsid w:val="00A67437"/>
    <w:rsid w:val="00A67458"/>
    <w:rsid w:val="00A67C9A"/>
    <w:rsid w:val="00A67DF7"/>
    <w:rsid w:val="00A7010A"/>
    <w:rsid w:val="00A706A4"/>
    <w:rsid w:val="00A71148"/>
    <w:rsid w:val="00A71235"/>
    <w:rsid w:val="00A7243F"/>
    <w:rsid w:val="00A72A36"/>
    <w:rsid w:val="00A733FD"/>
    <w:rsid w:val="00A73A83"/>
    <w:rsid w:val="00A73D16"/>
    <w:rsid w:val="00A74989"/>
    <w:rsid w:val="00A74A25"/>
    <w:rsid w:val="00A7537B"/>
    <w:rsid w:val="00A75595"/>
    <w:rsid w:val="00A75931"/>
    <w:rsid w:val="00A75D74"/>
    <w:rsid w:val="00A76399"/>
    <w:rsid w:val="00A764BD"/>
    <w:rsid w:val="00A76C16"/>
    <w:rsid w:val="00A776A2"/>
    <w:rsid w:val="00A77726"/>
    <w:rsid w:val="00A8022D"/>
    <w:rsid w:val="00A802E3"/>
    <w:rsid w:val="00A803CE"/>
    <w:rsid w:val="00A80654"/>
    <w:rsid w:val="00A80F2F"/>
    <w:rsid w:val="00A81005"/>
    <w:rsid w:val="00A81166"/>
    <w:rsid w:val="00A81642"/>
    <w:rsid w:val="00A817E6"/>
    <w:rsid w:val="00A8194D"/>
    <w:rsid w:val="00A81A39"/>
    <w:rsid w:val="00A81FEB"/>
    <w:rsid w:val="00A8216E"/>
    <w:rsid w:val="00A82326"/>
    <w:rsid w:val="00A8299C"/>
    <w:rsid w:val="00A83600"/>
    <w:rsid w:val="00A83989"/>
    <w:rsid w:val="00A84747"/>
    <w:rsid w:val="00A848C9"/>
    <w:rsid w:val="00A84948"/>
    <w:rsid w:val="00A84B8E"/>
    <w:rsid w:val="00A84C49"/>
    <w:rsid w:val="00A84D81"/>
    <w:rsid w:val="00A84E4C"/>
    <w:rsid w:val="00A851E2"/>
    <w:rsid w:val="00A8560F"/>
    <w:rsid w:val="00A85BD8"/>
    <w:rsid w:val="00A8609C"/>
    <w:rsid w:val="00A86179"/>
    <w:rsid w:val="00A86637"/>
    <w:rsid w:val="00A8676A"/>
    <w:rsid w:val="00A86837"/>
    <w:rsid w:val="00A8715C"/>
    <w:rsid w:val="00A87859"/>
    <w:rsid w:val="00A879E7"/>
    <w:rsid w:val="00A87A8E"/>
    <w:rsid w:val="00A903FD"/>
    <w:rsid w:val="00A90412"/>
    <w:rsid w:val="00A91448"/>
    <w:rsid w:val="00A91661"/>
    <w:rsid w:val="00A91708"/>
    <w:rsid w:val="00A92343"/>
    <w:rsid w:val="00A938EB"/>
    <w:rsid w:val="00A93FCE"/>
    <w:rsid w:val="00A949CD"/>
    <w:rsid w:val="00A94D79"/>
    <w:rsid w:val="00A94ED8"/>
    <w:rsid w:val="00A952E8"/>
    <w:rsid w:val="00A952E9"/>
    <w:rsid w:val="00A952F1"/>
    <w:rsid w:val="00A95346"/>
    <w:rsid w:val="00A95703"/>
    <w:rsid w:val="00A9576C"/>
    <w:rsid w:val="00A9582A"/>
    <w:rsid w:val="00A95854"/>
    <w:rsid w:val="00A95992"/>
    <w:rsid w:val="00A9659E"/>
    <w:rsid w:val="00A96782"/>
    <w:rsid w:val="00A972A2"/>
    <w:rsid w:val="00A978A4"/>
    <w:rsid w:val="00A97AAB"/>
    <w:rsid w:val="00A97D9B"/>
    <w:rsid w:val="00AA001B"/>
    <w:rsid w:val="00AA00E3"/>
    <w:rsid w:val="00AA0822"/>
    <w:rsid w:val="00AA0CF5"/>
    <w:rsid w:val="00AA0D97"/>
    <w:rsid w:val="00AA1764"/>
    <w:rsid w:val="00AA1880"/>
    <w:rsid w:val="00AA1980"/>
    <w:rsid w:val="00AA1CE7"/>
    <w:rsid w:val="00AA21A2"/>
    <w:rsid w:val="00AA29BF"/>
    <w:rsid w:val="00AA2A53"/>
    <w:rsid w:val="00AA2B05"/>
    <w:rsid w:val="00AA30CB"/>
    <w:rsid w:val="00AA3946"/>
    <w:rsid w:val="00AA3B66"/>
    <w:rsid w:val="00AA3BED"/>
    <w:rsid w:val="00AA3C74"/>
    <w:rsid w:val="00AA4644"/>
    <w:rsid w:val="00AA4811"/>
    <w:rsid w:val="00AA4FC9"/>
    <w:rsid w:val="00AA51F5"/>
    <w:rsid w:val="00AA5472"/>
    <w:rsid w:val="00AA5A6A"/>
    <w:rsid w:val="00AA5AF2"/>
    <w:rsid w:val="00AA5F8B"/>
    <w:rsid w:val="00AA61FB"/>
    <w:rsid w:val="00AA6978"/>
    <w:rsid w:val="00AA6A10"/>
    <w:rsid w:val="00AA7326"/>
    <w:rsid w:val="00AB0669"/>
    <w:rsid w:val="00AB0850"/>
    <w:rsid w:val="00AB0DCF"/>
    <w:rsid w:val="00AB2093"/>
    <w:rsid w:val="00AB20C0"/>
    <w:rsid w:val="00AB2EF7"/>
    <w:rsid w:val="00AB3618"/>
    <w:rsid w:val="00AB4C2C"/>
    <w:rsid w:val="00AB4F44"/>
    <w:rsid w:val="00AB54DA"/>
    <w:rsid w:val="00AB5671"/>
    <w:rsid w:val="00AB6258"/>
    <w:rsid w:val="00AB699F"/>
    <w:rsid w:val="00AB6ADA"/>
    <w:rsid w:val="00AB6F74"/>
    <w:rsid w:val="00AB7D89"/>
    <w:rsid w:val="00AC002B"/>
    <w:rsid w:val="00AC02B8"/>
    <w:rsid w:val="00AC075D"/>
    <w:rsid w:val="00AC07D8"/>
    <w:rsid w:val="00AC14A6"/>
    <w:rsid w:val="00AC14F5"/>
    <w:rsid w:val="00AC1953"/>
    <w:rsid w:val="00AC2292"/>
    <w:rsid w:val="00AC2322"/>
    <w:rsid w:val="00AC29D8"/>
    <w:rsid w:val="00AC2A5E"/>
    <w:rsid w:val="00AC379C"/>
    <w:rsid w:val="00AC4086"/>
    <w:rsid w:val="00AC4DE9"/>
    <w:rsid w:val="00AC4F9E"/>
    <w:rsid w:val="00AC590F"/>
    <w:rsid w:val="00AC7314"/>
    <w:rsid w:val="00AC7C6E"/>
    <w:rsid w:val="00AD003F"/>
    <w:rsid w:val="00AD078A"/>
    <w:rsid w:val="00AD09B2"/>
    <w:rsid w:val="00AD1135"/>
    <w:rsid w:val="00AD1140"/>
    <w:rsid w:val="00AD1BD7"/>
    <w:rsid w:val="00AD1C2F"/>
    <w:rsid w:val="00AD2127"/>
    <w:rsid w:val="00AD2192"/>
    <w:rsid w:val="00AD21C9"/>
    <w:rsid w:val="00AD24D4"/>
    <w:rsid w:val="00AD2C13"/>
    <w:rsid w:val="00AD30A7"/>
    <w:rsid w:val="00AD3181"/>
    <w:rsid w:val="00AD350E"/>
    <w:rsid w:val="00AD3A51"/>
    <w:rsid w:val="00AD3EA3"/>
    <w:rsid w:val="00AD3FC8"/>
    <w:rsid w:val="00AD4381"/>
    <w:rsid w:val="00AD46D0"/>
    <w:rsid w:val="00AD5647"/>
    <w:rsid w:val="00AD5937"/>
    <w:rsid w:val="00AD5C80"/>
    <w:rsid w:val="00AD5CEC"/>
    <w:rsid w:val="00AD5D2B"/>
    <w:rsid w:val="00AD5EB0"/>
    <w:rsid w:val="00AD6221"/>
    <w:rsid w:val="00AD678C"/>
    <w:rsid w:val="00AD7639"/>
    <w:rsid w:val="00AD7D2B"/>
    <w:rsid w:val="00AD7F1C"/>
    <w:rsid w:val="00AE06FC"/>
    <w:rsid w:val="00AE0BC1"/>
    <w:rsid w:val="00AE0D36"/>
    <w:rsid w:val="00AE1045"/>
    <w:rsid w:val="00AE1711"/>
    <w:rsid w:val="00AE18EE"/>
    <w:rsid w:val="00AE1998"/>
    <w:rsid w:val="00AE237F"/>
    <w:rsid w:val="00AE25E9"/>
    <w:rsid w:val="00AE2A0B"/>
    <w:rsid w:val="00AE3961"/>
    <w:rsid w:val="00AE3CAD"/>
    <w:rsid w:val="00AE432C"/>
    <w:rsid w:val="00AE4580"/>
    <w:rsid w:val="00AE5EF8"/>
    <w:rsid w:val="00AE60F7"/>
    <w:rsid w:val="00AE620E"/>
    <w:rsid w:val="00AE67AD"/>
    <w:rsid w:val="00AE6F09"/>
    <w:rsid w:val="00AE7644"/>
    <w:rsid w:val="00AE7B59"/>
    <w:rsid w:val="00AE7D12"/>
    <w:rsid w:val="00AF0478"/>
    <w:rsid w:val="00AF0AAC"/>
    <w:rsid w:val="00AF0D3D"/>
    <w:rsid w:val="00AF0E51"/>
    <w:rsid w:val="00AF121A"/>
    <w:rsid w:val="00AF12AA"/>
    <w:rsid w:val="00AF197A"/>
    <w:rsid w:val="00AF1B03"/>
    <w:rsid w:val="00AF219D"/>
    <w:rsid w:val="00AF27B2"/>
    <w:rsid w:val="00AF2B11"/>
    <w:rsid w:val="00AF367F"/>
    <w:rsid w:val="00AF38C3"/>
    <w:rsid w:val="00AF3E65"/>
    <w:rsid w:val="00AF451E"/>
    <w:rsid w:val="00AF4625"/>
    <w:rsid w:val="00AF484B"/>
    <w:rsid w:val="00AF4B54"/>
    <w:rsid w:val="00AF4E34"/>
    <w:rsid w:val="00AF5314"/>
    <w:rsid w:val="00AF59D7"/>
    <w:rsid w:val="00AF5D62"/>
    <w:rsid w:val="00AF5F3B"/>
    <w:rsid w:val="00AF6052"/>
    <w:rsid w:val="00AF6506"/>
    <w:rsid w:val="00AF66E4"/>
    <w:rsid w:val="00AF672B"/>
    <w:rsid w:val="00AF67DD"/>
    <w:rsid w:val="00AF74EF"/>
    <w:rsid w:val="00AF7695"/>
    <w:rsid w:val="00AF7761"/>
    <w:rsid w:val="00AF7C97"/>
    <w:rsid w:val="00B00528"/>
    <w:rsid w:val="00B00539"/>
    <w:rsid w:val="00B00AFE"/>
    <w:rsid w:val="00B01103"/>
    <w:rsid w:val="00B01233"/>
    <w:rsid w:val="00B012BD"/>
    <w:rsid w:val="00B014DF"/>
    <w:rsid w:val="00B01E7A"/>
    <w:rsid w:val="00B02232"/>
    <w:rsid w:val="00B023DE"/>
    <w:rsid w:val="00B03482"/>
    <w:rsid w:val="00B034E9"/>
    <w:rsid w:val="00B03836"/>
    <w:rsid w:val="00B03EC6"/>
    <w:rsid w:val="00B0478A"/>
    <w:rsid w:val="00B04D40"/>
    <w:rsid w:val="00B05649"/>
    <w:rsid w:val="00B06A89"/>
    <w:rsid w:val="00B06B2A"/>
    <w:rsid w:val="00B0738C"/>
    <w:rsid w:val="00B075FC"/>
    <w:rsid w:val="00B10507"/>
    <w:rsid w:val="00B1056C"/>
    <w:rsid w:val="00B10ED6"/>
    <w:rsid w:val="00B11242"/>
    <w:rsid w:val="00B114FA"/>
    <w:rsid w:val="00B118B5"/>
    <w:rsid w:val="00B11974"/>
    <w:rsid w:val="00B11A74"/>
    <w:rsid w:val="00B11B1A"/>
    <w:rsid w:val="00B11FE4"/>
    <w:rsid w:val="00B1245D"/>
    <w:rsid w:val="00B124DD"/>
    <w:rsid w:val="00B12CE9"/>
    <w:rsid w:val="00B1309C"/>
    <w:rsid w:val="00B1350C"/>
    <w:rsid w:val="00B13BA1"/>
    <w:rsid w:val="00B14546"/>
    <w:rsid w:val="00B1472E"/>
    <w:rsid w:val="00B148EE"/>
    <w:rsid w:val="00B14991"/>
    <w:rsid w:val="00B14AE5"/>
    <w:rsid w:val="00B14B82"/>
    <w:rsid w:val="00B14CFD"/>
    <w:rsid w:val="00B14FF3"/>
    <w:rsid w:val="00B1537D"/>
    <w:rsid w:val="00B15755"/>
    <w:rsid w:val="00B15AEA"/>
    <w:rsid w:val="00B15F2D"/>
    <w:rsid w:val="00B16415"/>
    <w:rsid w:val="00B169E8"/>
    <w:rsid w:val="00B16D77"/>
    <w:rsid w:val="00B17368"/>
    <w:rsid w:val="00B17B44"/>
    <w:rsid w:val="00B17CD2"/>
    <w:rsid w:val="00B20435"/>
    <w:rsid w:val="00B219BA"/>
    <w:rsid w:val="00B219C9"/>
    <w:rsid w:val="00B21B2C"/>
    <w:rsid w:val="00B21E8E"/>
    <w:rsid w:val="00B220E0"/>
    <w:rsid w:val="00B22711"/>
    <w:rsid w:val="00B2299F"/>
    <w:rsid w:val="00B22E37"/>
    <w:rsid w:val="00B231B4"/>
    <w:rsid w:val="00B23A99"/>
    <w:rsid w:val="00B23F39"/>
    <w:rsid w:val="00B24724"/>
    <w:rsid w:val="00B24A58"/>
    <w:rsid w:val="00B24B45"/>
    <w:rsid w:val="00B253DB"/>
    <w:rsid w:val="00B25695"/>
    <w:rsid w:val="00B25CD9"/>
    <w:rsid w:val="00B25DEF"/>
    <w:rsid w:val="00B25EDB"/>
    <w:rsid w:val="00B26425"/>
    <w:rsid w:val="00B2661F"/>
    <w:rsid w:val="00B26A8D"/>
    <w:rsid w:val="00B26C90"/>
    <w:rsid w:val="00B26D8B"/>
    <w:rsid w:val="00B26E8E"/>
    <w:rsid w:val="00B270E4"/>
    <w:rsid w:val="00B2731D"/>
    <w:rsid w:val="00B274D9"/>
    <w:rsid w:val="00B2788D"/>
    <w:rsid w:val="00B27BC9"/>
    <w:rsid w:val="00B27C6D"/>
    <w:rsid w:val="00B27CD9"/>
    <w:rsid w:val="00B301D6"/>
    <w:rsid w:val="00B3054D"/>
    <w:rsid w:val="00B30609"/>
    <w:rsid w:val="00B30A06"/>
    <w:rsid w:val="00B30C63"/>
    <w:rsid w:val="00B30CEC"/>
    <w:rsid w:val="00B312FA"/>
    <w:rsid w:val="00B3136B"/>
    <w:rsid w:val="00B32554"/>
    <w:rsid w:val="00B3263F"/>
    <w:rsid w:val="00B32B14"/>
    <w:rsid w:val="00B32B58"/>
    <w:rsid w:val="00B32C5E"/>
    <w:rsid w:val="00B32E31"/>
    <w:rsid w:val="00B32F05"/>
    <w:rsid w:val="00B33070"/>
    <w:rsid w:val="00B33210"/>
    <w:rsid w:val="00B3324F"/>
    <w:rsid w:val="00B33921"/>
    <w:rsid w:val="00B33A31"/>
    <w:rsid w:val="00B33DB2"/>
    <w:rsid w:val="00B33DE2"/>
    <w:rsid w:val="00B341E2"/>
    <w:rsid w:val="00B34694"/>
    <w:rsid w:val="00B34842"/>
    <w:rsid w:val="00B348BC"/>
    <w:rsid w:val="00B34D60"/>
    <w:rsid w:val="00B35026"/>
    <w:rsid w:val="00B35031"/>
    <w:rsid w:val="00B35BA3"/>
    <w:rsid w:val="00B35D24"/>
    <w:rsid w:val="00B35E0C"/>
    <w:rsid w:val="00B35FD2"/>
    <w:rsid w:val="00B36115"/>
    <w:rsid w:val="00B363F8"/>
    <w:rsid w:val="00B36438"/>
    <w:rsid w:val="00B367A9"/>
    <w:rsid w:val="00B36DE7"/>
    <w:rsid w:val="00B37746"/>
    <w:rsid w:val="00B37849"/>
    <w:rsid w:val="00B37FEA"/>
    <w:rsid w:val="00B40466"/>
    <w:rsid w:val="00B409DE"/>
    <w:rsid w:val="00B40CBB"/>
    <w:rsid w:val="00B41226"/>
    <w:rsid w:val="00B41413"/>
    <w:rsid w:val="00B41523"/>
    <w:rsid w:val="00B416AE"/>
    <w:rsid w:val="00B4218B"/>
    <w:rsid w:val="00B42F14"/>
    <w:rsid w:val="00B4312A"/>
    <w:rsid w:val="00B432DD"/>
    <w:rsid w:val="00B433A8"/>
    <w:rsid w:val="00B433F6"/>
    <w:rsid w:val="00B43F0D"/>
    <w:rsid w:val="00B447F3"/>
    <w:rsid w:val="00B44AFC"/>
    <w:rsid w:val="00B44DCA"/>
    <w:rsid w:val="00B4539B"/>
    <w:rsid w:val="00B459AB"/>
    <w:rsid w:val="00B45EDF"/>
    <w:rsid w:val="00B45FCE"/>
    <w:rsid w:val="00B4635A"/>
    <w:rsid w:val="00B4677E"/>
    <w:rsid w:val="00B47161"/>
    <w:rsid w:val="00B472D3"/>
    <w:rsid w:val="00B473FD"/>
    <w:rsid w:val="00B47882"/>
    <w:rsid w:val="00B47B04"/>
    <w:rsid w:val="00B47E21"/>
    <w:rsid w:val="00B47F73"/>
    <w:rsid w:val="00B504C8"/>
    <w:rsid w:val="00B50E73"/>
    <w:rsid w:val="00B514B2"/>
    <w:rsid w:val="00B51CD0"/>
    <w:rsid w:val="00B52610"/>
    <w:rsid w:val="00B52777"/>
    <w:rsid w:val="00B5283D"/>
    <w:rsid w:val="00B52ABE"/>
    <w:rsid w:val="00B52D2E"/>
    <w:rsid w:val="00B53EF0"/>
    <w:rsid w:val="00B53FCD"/>
    <w:rsid w:val="00B54687"/>
    <w:rsid w:val="00B54906"/>
    <w:rsid w:val="00B5529C"/>
    <w:rsid w:val="00B55379"/>
    <w:rsid w:val="00B558C1"/>
    <w:rsid w:val="00B56008"/>
    <w:rsid w:val="00B56A95"/>
    <w:rsid w:val="00B56EE4"/>
    <w:rsid w:val="00B5733B"/>
    <w:rsid w:val="00B57B24"/>
    <w:rsid w:val="00B57C44"/>
    <w:rsid w:val="00B604EC"/>
    <w:rsid w:val="00B6066C"/>
    <w:rsid w:val="00B6080C"/>
    <w:rsid w:val="00B609C5"/>
    <w:rsid w:val="00B60CFE"/>
    <w:rsid w:val="00B61090"/>
    <w:rsid w:val="00B61569"/>
    <w:rsid w:val="00B6181C"/>
    <w:rsid w:val="00B61C54"/>
    <w:rsid w:val="00B62165"/>
    <w:rsid w:val="00B62465"/>
    <w:rsid w:val="00B625E4"/>
    <w:rsid w:val="00B62924"/>
    <w:rsid w:val="00B62CF9"/>
    <w:rsid w:val="00B63229"/>
    <w:rsid w:val="00B637F9"/>
    <w:rsid w:val="00B639AB"/>
    <w:rsid w:val="00B639F8"/>
    <w:rsid w:val="00B63D26"/>
    <w:rsid w:val="00B63ED5"/>
    <w:rsid w:val="00B646BC"/>
    <w:rsid w:val="00B64CDE"/>
    <w:rsid w:val="00B6548C"/>
    <w:rsid w:val="00B66107"/>
    <w:rsid w:val="00B6636C"/>
    <w:rsid w:val="00B6686C"/>
    <w:rsid w:val="00B66D14"/>
    <w:rsid w:val="00B66E3C"/>
    <w:rsid w:val="00B66E71"/>
    <w:rsid w:val="00B671DC"/>
    <w:rsid w:val="00B67367"/>
    <w:rsid w:val="00B67C18"/>
    <w:rsid w:val="00B67D1D"/>
    <w:rsid w:val="00B70579"/>
    <w:rsid w:val="00B70A96"/>
    <w:rsid w:val="00B7130C"/>
    <w:rsid w:val="00B714B8"/>
    <w:rsid w:val="00B7180D"/>
    <w:rsid w:val="00B728AB"/>
    <w:rsid w:val="00B74362"/>
    <w:rsid w:val="00B74AED"/>
    <w:rsid w:val="00B74EA4"/>
    <w:rsid w:val="00B75427"/>
    <w:rsid w:val="00B7571C"/>
    <w:rsid w:val="00B75B75"/>
    <w:rsid w:val="00B75D99"/>
    <w:rsid w:val="00B76D12"/>
    <w:rsid w:val="00B76D35"/>
    <w:rsid w:val="00B770E3"/>
    <w:rsid w:val="00B77713"/>
    <w:rsid w:val="00B779B5"/>
    <w:rsid w:val="00B77DF1"/>
    <w:rsid w:val="00B800B4"/>
    <w:rsid w:val="00B80317"/>
    <w:rsid w:val="00B805CB"/>
    <w:rsid w:val="00B80794"/>
    <w:rsid w:val="00B80C49"/>
    <w:rsid w:val="00B80C71"/>
    <w:rsid w:val="00B80D38"/>
    <w:rsid w:val="00B81071"/>
    <w:rsid w:val="00B81171"/>
    <w:rsid w:val="00B81358"/>
    <w:rsid w:val="00B8154A"/>
    <w:rsid w:val="00B818F2"/>
    <w:rsid w:val="00B81A91"/>
    <w:rsid w:val="00B81FF6"/>
    <w:rsid w:val="00B82322"/>
    <w:rsid w:val="00B82445"/>
    <w:rsid w:val="00B8271B"/>
    <w:rsid w:val="00B82A48"/>
    <w:rsid w:val="00B82C88"/>
    <w:rsid w:val="00B8351A"/>
    <w:rsid w:val="00B835FE"/>
    <w:rsid w:val="00B837C7"/>
    <w:rsid w:val="00B83B75"/>
    <w:rsid w:val="00B83D9F"/>
    <w:rsid w:val="00B83E53"/>
    <w:rsid w:val="00B83F05"/>
    <w:rsid w:val="00B846EF"/>
    <w:rsid w:val="00B8547E"/>
    <w:rsid w:val="00B85CFE"/>
    <w:rsid w:val="00B86137"/>
    <w:rsid w:val="00B86EB1"/>
    <w:rsid w:val="00B87513"/>
    <w:rsid w:val="00B877AF"/>
    <w:rsid w:val="00B87B47"/>
    <w:rsid w:val="00B87FBF"/>
    <w:rsid w:val="00B902C7"/>
    <w:rsid w:val="00B914E9"/>
    <w:rsid w:val="00B928BC"/>
    <w:rsid w:val="00B92EC1"/>
    <w:rsid w:val="00B930C8"/>
    <w:rsid w:val="00B93428"/>
    <w:rsid w:val="00B93625"/>
    <w:rsid w:val="00B93679"/>
    <w:rsid w:val="00B936B8"/>
    <w:rsid w:val="00B93731"/>
    <w:rsid w:val="00B93CDE"/>
    <w:rsid w:val="00B941DB"/>
    <w:rsid w:val="00B94468"/>
    <w:rsid w:val="00B94A1F"/>
    <w:rsid w:val="00B94AAC"/>
    <w:rsid w:val="00B94F38"/>
    <w:rsid w:val="00B94FAB"/>
    <w:rsid w:val="00B954D6"/>
    <w:rsid w:val="00B95B1A"/>
    <w:rsid w:val="00B961E4"/>
    <w:rsid w:val="00B9678E"/>
    <w:rsid w:val="00B96D60"/>
    <w:rsid w:val="00B974B4"/>
    <w:rsid w:val="00B97ABE"/>
    <w:rsid w:val="00BA0310"/>
    <w:rsid w:val="00BA0426"/>
    <w:rsid w:val="00BA05CB"/>
    <w:rsid w:val="00BA0689"/>
    <w:rsid w:val="00BA0727"/>
    <w:rsid w:val="00BA0800"/>
    <w:rsid w:val="00BA0BE8"/>
    <w:rsid w:val="00BA1283"/>
    <w:rsid w:val="00BA1326"/>
    <w:rsid w:val="00BA13DE"/>
    <w:rsid w:val="00BA24A4"/>
    <w:rsid w:val="00BA2767"/>
    <w:rsid w:val="00BA27B1"/>
    <w:rsid w:val="00BA2DD8"/>
    <w:rsid w:val="00BA311B"/>
    <w:rsid w:val="00BA37B2"/>
    <w:rsid w:val="00BA396E"/>
    <w:rsid w:val="00BA3C16"/>
    <w:rsid w:val="00BA4224"/>
    <w:rsid w:val="00BA4681"/>
    <w:rsid w:val="00BA4FF6"/>
    <w:rsid w:val="00BA6440"/>
    <w:rsid w:val="00BA68CF"/>
    <w:rsid w:val="00BA6B2B"/>
    <w:rsid w:val="00BA6BC9"/>
    <w:rsid w:val="00BA6DA8"/>
    <w:rsid w:val="00BA6E00"/>
    <w:rsid w:val="00BA7A2C"/>
    <w:rsid w:val="00BA7A99"/>
    <w:rsid w:val="00BA7CFA"/>
    <w:rsid w:val="00BB0221"/>
    <w:rsid w:val="00BB02DB"/>
    <w:rsid w:val="00BB0878"/>
    <w:rsid w:val="00BB0A47"/>
    <w:rsid w:val="00BB1257"/>
    <w:rsid w:val="00BB134F"/>
    <w:rsid w:val="00BB19C6"/>
    <w:rsid w:val="00BB1E69"/>
    <w:rsid w:val="00BB223D"/>
    <w:rsid w:val="00BB2723"/>
    <w:rsid w:val="00BB27DD"/>
    <w:rsid w:val="00BB306B"/>
    <w:rsid w:val="00BB30B5"/>
    <w:rsid w:val="00BB325F"/>
    <w:rsid w:val="00BB35BF"/>
    <w:rsid w:val="00BB3DEF"/>
    <w:rsid w:val="00BB3F15"/>
    <w:rsid w:val="00BB47C4"/>
    <w:rsid w:val="00BB488E"/>
    <w:rsid w:val="00BB4B3C"/>
    <w:rsid w:val="00BB4F1E"/>
    <w:rsid w:val="00BB5285"/>
    <w:rsid w:val="00BB54E2"/>
    <w:rsid w:val="00BB5D57"/>
    <w:rsid w:val="00BB6609"/>
    <w:rsid w:val="00BB666A"/>
    <w:rsid w:val="00BC0227"/>
    <w:rsid w:val="00BC02BC"/>
    <w:rsid w:val="00BC0651"/>
    <w:rsid w:val="00BC0CE9"/>
    <w:rsid w:val="00BC0E58"/>
    <w:rsid w:val="00BC1432"/>
    <w:rsid w:val="00BC22E8"/>
    <w:rsid w:val="00BC2694"/>
    <w:rsid w:val="00BC29F5"/>
    <w:rsid w:val="00BC2EA1"/>
    <w:rsid w:val="00BC42DC"/>
    <w:rsid w:val="00BC4640"/>
    <w:rsid w:val="00BC4A23"/>
    <w:rsid w:val="00BC4D4E"/>
    <w:rsid w:val="00BC5C06"/>
    <w:rsid w:val="00BC5EC2"/>
    <w:rsid w:val="00BC6183"/>
    <w:rsid w:val="00BC6422"/>
    <w:rsid w:val="00BC6945"/>
    <w:rsid w:val="00BC6B79"/>
    <w:rsid w:val="00BC7480"/>
    <w:rsid w:val="00BC752D"/>
    <w:rsid w:val="00BC76C6"/>
    <w:rsid w:val="00BC7BE9"/>
    <w:rsid w:val="00BD073F"/>
    <w:rsid w:val="00BD078C"/>
    <w:rsid w:val="00BD0D94"/>
    <w:rsid w:val="00BD0ECB"/>
    <w:rsid w:val="00BD0F8B"/>
    <w:rsid w:val="00BD1A37"/>
    <w:rsid w:val="00BD1D3E"/>
    <w:rsid w:val="00BD2EFC"/>
    <w:rsid w:val="00BD34EF"/>
    <w:rsid w:val="00BD371A"/>
    <w:rsid w:val="00BD4703"/>
    <w:rsid w:val="00BD4A64"/>
    <w:rsid w:val="00BD53D3"/>
    <w:rsid w:val="00BD54A3"/>
    <w:rsid w:val="00BD56A5"/>
    <w:rsid w:val="00BD5777"/>
    <w:rsid w:val="00BD581D"/>
    <w:rsid w:val="00BD61C2"/>
    <w:rsid w:val="00BD68AC"/>
    <w:rsid w:val="00BD7991"/>
    <w:rsid w:val="00BD7A5C"/>
    <w:rsid w:val="00BD7B28"/>
    <w:rsid w:val="00BD7E9E"/>
    <w:rsid w:val="00BE013A"/>
    <w:rsid w:val="00BE031E"/>
    <w:rsid w:val="00BE07CE"/>
    <w:rsid w:val="00BE0898"/>
    <w:rsid w:val="00BE0E98"/>
    <w:rsid w:val="00BE1084"/>
    <w:rsid w:val="00BE10A0"/>
    <w:rsid w:val="00BE1526"/>
    <w:rsid w:val="00BE2255"/>
    <w:rsid w:val="00BE279C"/>
    <w:rsid w:val="00BE296C"/>
    <w:rsid w:val="00BE2AA3"/>
    <w:rsid w:val="00BE2E7A"/>
    <w:rsid w:val="00BE30C1"/>
    <w:rsid w:val="00BE3BE4"/>
    <w:rsid w:val="00BE3CA9"/>
    <w:rsid w:val="00BE3CCE"/>
    <w:rsid w:val="00BE3E90"/>
    <w:rsid w:val="00BE4076"/>
    <w:rsid w:val="00BE425A"/>
    <w:rsid w:val="00BE4409"/>
    <w:rsid w:val="00BE4E32"/>
    <w:rsid w:val="00BE58C9"/>
    <w:rsid w:val="00BE5EC2"/>
    <w:rsid w:val="00BE6347"/>
    <w:rsid w:val="00BE64B4"/>
    <w:rsid w:val="00BE6533"/>
    <w:rsid w:val="00BE6F19"/>
    <w:rsid w:val="00BE6F85"/>
    <w:rsid w:val="00BE7284"/>
    <w:rsid w:val="00BE7711"/>
    <w:rsid w:val="00BE7A40"/>
    <w:rsid w:val="00BF0C94"/>
    <w:rsid w:val="00BF0D06"/>
    <w:rsid w:val="00BF0EA1"/>
    <w:rsid w:val="00BF12F2"/>
    <w:rsid w:val="00BF1345"/>
    <w:rsid w:val="00BF1F4B"/>
    <w:rsid w:val="00BF27DB"/>
    <w:rsid w:val="00BF2AFB"/>
    <w:rsid w:val="00BF2BF5"/>
    <w:rsid w:val="00BF30C4"/>
    <w:rsid w:val="00BF4303"/>
    <w:rsid w:val="00BF4935"/>
    <w:rsid w:val="00BF49E2"/>
    <w:rsid w:val="00BF4C2F"/>
    <w:rsid w:val="00BF58C4"/>
    <w:rsid w:val="00BF5D77"/>
    <w:rsid w:val="00BF659B"/>
    <w:rsid w:val="00BF6877"/>
    <w:rsid w:val="00BF6AE6"/>
    <w:rsid w:val="00BF6B6D"/>
    <w:rsid w:val="00BF6FFC"/>
    <w:rsid w:val="00BF7041"/>
    <w:rsid w:val="00C001A4"/>
    <w:rsid w:val="00C0028D"/>
    <w:rsid w:val="00C0057D"/>
    <w:rsid w:val="00C00BDC"/>
    <w:rsid w:val="00C00E06"/>
    <w:rsid w:val="00C0115B"/>
    <w:rsid w:val="00C01571"/>
    <w:rsid w:val="00C01D02"/>
    <w:rsid w:val="00C01D86"/>
    <w:rsid w:val="00C02E8A"/>
    <w:rsid w:val="00C03855"/>
    <w:rsid w:val="00C039BA"/>
    <w:rsid w:val="00C03B7C"/>
    <w:rsid w:val="00C044E3"/>
    <w:rsid w:val="00C04696"/>
    <w:rsid w:val="00C04D8A"/>
    <w:rsid w:val="00C053C2"/>
    <w:rsid w:val="00C0550C"/>
    <w:rsid w:val="00C06408"/>
    <w:rsid w:val="00C065F1"/>
    <w:rsid w:val="00C07274"/>
    <w:rsid w:val="00C075EC"/>
    <w:rsid w:val="00C07BA0"/>
    <w:rsid w:val="00C07DA2"/>
    <w:rsid w:val="00C07EA8"/>
    <w:rsid w:val="00C07FE8"/>
    <w:rsid w:val="00C10224"/>
    <w:rsid w:val="00C102A8"/>
    <w:rsid w:val="00C10940"/>
    <w:rsid w:val="00C10A99"/>
    <w:rsid w:val="00C10F6F"/>
    <w:rsid w:val="00C115C2"/>
    <w:rsid w:val="00C11729"/>
    <w:rsid w:val="00C117F2"/>
    <w:rsid w:val="00C11DED"/>
    <w:rsid w:val="00C11EB2"/>
    <w:rsid w:val="00C13046"/>
    <w:rsid w:val="00C13241"/>
    <w:rsid w:val="00C1346B"/>
    <w:rsid w:val="00C13EF2"/>
    <w:rsid w:val="00C141F0"/>
    <w:rsid w:val="00C14360"/>
    <w:rsid w:val="00C14AC4"/>
    <w:rsid w:val="00C14CF1"/>
    <w:rsid w:val="00C1517C"/>
    <w:rsid w:val="00C15D35"/>
    <w:rsid w:val="00C15D5F"/>
    <w:rsid w:val="00C16195"/>
    <w:rsid w:val="00C16527"/>
    <w:rsid w:val="00C16D2A"/>
    <w:rsid w:val="00C16FF1"/>
    <w:rsid w:val="00C17164"/>
    <w:rsid w:val="00C177C0"/>
    <w:rsid w:val="00C17DF3"/>
    <w:rsid w:val="00C20AAD"/>
    <w:rsid w:val="00C20E1F"/>
    <w:rsid w:val="00C217B1"/>
    <w:rsid w:val="00C21A24"/>
    <w:rsid w:val="00C21BFB"/>
    <w:rsid w:val="00C220DF"/>
    <w:rsid w:val="00C221DF"/>
    <w:rsid w:val="00C225D7"/>
    <w:rsid w:val="00C229BE"/>
    <w:rsid w:val="00C22F9B"/>
    <w:rsid w:val="00C237C8"/>
    <w:rsid w:val="00C247A9"/>
    <w:rsid w:val="00C247C0"/>
    <w:rsid w:val="00C24800"/>
    <w:rsid w:val="00C24DEC"/>
    <w:rsid w:val="00C2506E"/>
    <w:rsid w:val="00C2550A"/>
    <w:rsid w:val="00C25695"/>
    <w:rsid w:val="00C259B5"/>
    <w:rsid w:val="00C25DD0"/>
    <w:rsid w:val="00C260A0"/>
    <w:rsid w:val="00C262A6"/>
    <w:rsid w:val="00C2644A"/>
    <w:rsid w:val="00C271BF"/>
    <w:rsid w:val="00C2750B"/>
    <w:rsid w:val="00C277D7"/>
    <w:rsid w:val="00C279FB"/>
    <w:rsid w:val="00C27A82"/>
    <w:rsid w:val="00C27AB8"/>
    <w:rsid w:val="00C301A5"/>
    <w:rsid w:val="00C3025B"/>
    <w:rsid w:val="00C3030F"/>
    <w:rsid w:val="00C306CB"/>
    <w:rsid w:val="00C30DDB"/>
    <w:rsid w:val="00C30F8F"/>
    <w:rsid w:val="00C30FBC"/>
    <w:rsid w:val="00C313CE"/>
    <w:rsid w:val="00C31773"/>
    <w:rsid w:val="00C31DF7"/>
    <w:rsid w:val="00C31FCF"/>
    <w:rsid w:val="00C32A5C"/>
    <w:rsid w:val="00C32D3E"/>
    <w:rsid w:val="00C32DDF"/>
    <w:rsid w:val="00C32E78"/>
    <w:rsid w:val="00C3328B"/>
    <w:rsid w:val="00C333CC"/>
    <w:rsid w:val="00C33AEB"/>
    <w:rsid w:val="00C33FE7"/>
    <w:rsid w:val="00C3455C"/>
    <w:rsid w:val="00C351DC"/>
    <w:rsid w:val="00C354DA"/>
    <w:rsid w:val="00C354E5"/>
    <w:rsid w:val="00C36237"/>
    <w:rsid w:val="00C36AD2"/>
    <w:rsid w:val="00C36B9A"/>
    <w:rsid w:val="00C36BC0"/>
    <w:rsid w:val="00C37C9C"/>
    <w:rsid w:val="00C40537"/>
    <w:rsid w:val="00C407F3"/>
    <w:rsid w:val="00C40821"/>
    <w:rsid w:val="00C4171F"/>
    <w:rsid w:val="00C41CDB"/>
    <w:rsid w:val="00C42880"/>
    <w:rsid w:val="00C42990"/>
    <w:rsid w:val="00C43291"/>
    <w:rsid w:val="00C43758"/>
    <w:rsid w:val="00C43D7F"/>
    <w:rsid w:val="00C43EC0"/>
    <w:rsid w:val="00C44316"/>
    <w:rsid w:val="00C4454A"/>
    <w:rsid w:val="00C44D1D"/>
    <w:rsid w:val="00C44F54"/>
    <w:rsid w:val="00C4507A"/>
    <w:rsid w:val="00C454FF"/>
    <w:rsid w:val="00C457D9"/>
    <w:rsid w:val="00C45943"/>
    <w:rsid w:val="00C45C6D"/>
    <w:rsid w:val="00C45F14"/>
    <w:rsid w:val="00C45F75"/>
    <w:rsid w:val="00C460B1"/>
    <w:rsid w:val="00C46318"/>
    <w:rsid w:val="00C4632D"/>
    <w:rsid w:val="00C46BB5"/>
    <w:rsid w:val="00C46D48"/>
    <w:rsid w:val="00C46E7B"/>
    <w:rsid w:val="00C47308"/>
    <w:rsid w:val="00C474CE"/>
    <w:rsid w:val="00C47D97"/>
    <w:rsid w:val="00C47DF8"/>
    <w:rsid w:val="00C47F72"/>
    <w:rsid w:val="00C50243"/>
    <w:rsid w:val="00C5035F"/>
    <w:rsid w:val="00C503C8"/>
    <w:rsid w:val="00C50CD2"/>
    <w:rsid w:val="00C516EF"/>
    <w:rsid w:val="00C51890"/>
    <w:rsid w:val="00C5243F"/>
    <w:rsid w:val="00C52996"/>
    <w:rsid w:val="00C52E8C"/>
    <w:rsid w:val="00C531E6"/>
    <w:rsid w:val="00C5396E"/>
    <w:rsid w:val="00C53B19"/>
    <w:rsid w:val="00C53B2F"/>
    <w:rsid w:val="00C543F6"/>
    <w:rsid w:val="00C548A8"/>
    <w:rsid w:val="00C548DA"/>
    <w:rsid w:val="00C54FAA"/>
    <w:rsid w:val="00C557FD"/>
    <w:rsid w:val="00C55989"/>
    <w:rsid w:val="00C55D09"/>
    <w:rsid w:val="00C56001"/>
    <w:rsid w:val="00C56020"/>
    <w:rsid w:val="00C565B8"/>
    <w:rsid w:val="00C567BB"/>
    <w:rsid w:val="00C56F18"/>
    <w:rsid w:val="00C5748B"/>
    <w:rsid w:val="00C57784"/>
    <w:rsid w:val="00C57D48"/>
    <w:rsid w:val="00C6049D"/>
    <w:rsid w:val="00C60604"/>
    <w:rsid w:val="00C60748"/>
    <w:rsid w:val="00C60846"/>
    <w:rsid w:val="00C6093A"/>
    <w:rsid w:val="00C60AE0"/>
    <w:rsid w:val="00C6109F"/>
    <w:rsid w:val="00C616DF"/>
    <w:rsid w:val="00C61831"/>
    <w:rsid w:val="00C61843"/>
    <w:rsid w:val="00C61D0F"/>
    <w:rsid w:val="00C61DEE"/>
    <w:rsid w:val="00C62412"/>
    <w:rsid w:val="00C624D6"/>
    <w:rsid w:val="00C62F65"/>
    <w:rsid w:val="00C6304B"/>
    <w:rsid w:val="00C631D9"/>
    <w:rsid w:val="00C63443"/>
    <w:rsid w:val="00C63535"/>
    <w:rsid w:val="00C635EB"/>
    <w:rsid w:val="00C63713"/>
    <w:rsid w:val="00C637BD"/>
    <w:rsid w:val="00C6384D"/>
    <w:rsid w:val="00C6450E"/>
    <w:rsid w:val="00C6482B"/>
    <w:rsid w:val="00C64D23"/>
    <w:rsid w:val="00C650AD"/>
    <w:rsid w:val="00C655D6"/>
    <w:rsid w:val="00C66411"/>
    <w:rsid w:val="00C668F1"/>
    <w:rsid w:val="00C66BD3"/>
    <w:rsid w:val="00C66C99"/>
    <w:rsid w:val="00C670C4"/>
    <w:rsid w:val="00C67616"/>
    <w:rsid w:val="00C70DB1"/>
    <w:rsid w:val="00C70E62"/>
    <w:rsid w:val="00C71609"/>
    <w:rsid w:val="00C71747"/>
    <w:rsid w:val="00C71AA1"/>
    <w:rsid w:val="00C71B82"/>
    <w:rsid w:val="00C71FC6"/>
    <w:rsid w:val="00C72055"/>
    <w:rsid w:val="00C721B7"/>
    <w:rsid w:val="00C72A99"/>
    <w:rsid w:val="00C7358E"/>
    <w:rsid w:val="00C739FA"/>
    <w:rsid w:val="00C73D91"/>
    <w:rsid w:val="00C73E81"/>
    <w:rsid w:val="00C7418F"/>
    <w:rsid w:val="00C746CC"/>
    <w:rsid w:val="00C746EE"/>
    <w:rsid w:val="00C75DD4"/>
    <w:rsid w:val="00C76635"/>
    <w:rsid w:val="00C76942"/>
    <w:rsid w:val="00C7708A"/>
    <w:rsid w:val="00C774F6"/>
    <w:rsid w:val="00C80D6D"/>
    <w:rsid w:val="00C80ECF"/>
    <w:rsid w:val="00C811C1"/>
    <w:rsid w:val="00C8141E"/>
    <w:rsid w:val="00C81DEA"/>
    <w:rsid w:val="00C82141"/>
    <w:rsid w:val="00C82409"/>
    <w:rsid w:val="00C82656"/>
    <w:rsid w:val="00C8268C"/>
    <w:rsid w:val="00C828C6"/>
    <w:rsid w:val="00C82C8D"/>
    <w:rsid w:val="00C8359D"/>
    <w:rsid w:val="00C83741"/>
    <w:rsid w:val="00C837DB"/>
    <w:rsid w:val="00C839A8"/>
    <w:rsid w:val="00C83F7F"/>
    <w:rsid w:val="00C842C5"/>
    <w:rsid w:val="00C848D5"/>
    <w:rsid w:val="00C84989"/>
    <w:rsid w:val="00C8569F"/>
    <w:rsid w:val="00C856A7"/>
    <w:rsid w:val="00C85DBA"/>
    <w:rsid w:val="00C85E38"/>
    <w:rsid w:val="00C861F4"/>
    <w:rsid w:val="00C86B29"/>
    <w:rsid w:val="00C86C3C"/>
    <w:rsid w:val="00C87034"/>
    <w:rsid w:val="00C8713E"/>
    <w:rsid w:val="00C8714A"/>
    <w:rsid w:val="00C87384"/>
    <w:rsid w:val="00C90596"/>
    <w:rsid w:val="00C90655"/>
    <w:rsid w:val="00C9069C"/>
    <w:rsid w:val="00C911FD"/>
    <w:rsid w:val="00C91A87"/>
    <w:rsid w:val="00C9238A"/>
    <w:rsid w:val="00C92DA2"/>
    <w:rsid w:val="00C93D2E"/>
    <w:rsid w:val="00C94312"/>
    <w:rsid w:val="00C9496F"/>
    <w:rsid w:val="00C94A83"/>
    <w:rsid w:val="00C94E6F"/>
    <w:rsid w:val="00C95770"/>
    <w:rsid w:val="00C96F01"/>
    <w:rsid w:val="00C9740A"/>
    <w:rsid w:val="00C97CA0"/>
    <w:rsid w:val="00CA0660"/>
    <w:rsid w:val="00CA10A8"/>
    <w:rsid w:val="00CA1180"/>
    <w:rsid w:val="00CA12B6"/>
    <w:rsid w:val="00CA16AB"/>
    <w:rsid w:val="00CA1D8A"/>
    <w:rsid w:val="00CA1E21"/>
    <w:rsid w:val="00CA1F9D"/>
    <w:rsid w:val="00CA34B0"/>
    <w:rsid w:val="00CA3F8E"/>
    <w:rsid w:val="00CA4742"/>
    <w:rsid w:val="00CA47DC"/>
    <w:rsid w:val="00CA4D1B"/>
    <w:rsid w:val="00CA4F57"/>
    <w:rsid w:val="00CA621C"/>
    <w:rsid w:val="00CA6CEA"/>
    <w:rsid w:val="00CA70B4"/>
    <w:rsid w:val="00CA7BB8"/>
    <w:rsid w:val="00CA7BC6"/>
    <w:rsid w:val="00CB02D8"/>
    <w:rsid w:val="00CB0411"/>
    <w:rsid w:val="00CB0720"/>
    <w:rsid w:val="00CB11D7"/>
    <w:rsid w:val="00CB1834"/>
    <w:rsid w:val="00CB1E19"/>
    <w:rsid w:val="00CB1F33"/>
    <w:rsid w:val="00CB2547"/>
    <w:rsid w:val="00CB28F3"/>
    <w:rsid w:val="00CB3063"/>
    <w:rsid w:val="00CB35A0"/>
    <w:rsid w:val="00CB373A"/>
    <w:rsid w:val="00CB443E"/>
    <w:rsid w:val="00CB475A"/>
    <w:rsid w:val="00CB4C4C"/>
    <w:rsid w:val="00CB61AF"/>
    <w:rsid w:val="00CB663F"/>
    <w:rsid w:val="00CB6969"/>
    <w:rsid w:val="00CB6B4B"/>
    <w:rsid w:val="00CB6C16"/>
    <w:rsid w:val="00CB6CB7"/>
    <w:rsid w:val="00CB6F4A"/>
    <w:rsid w:val="00CB6F79"/>
    <w:rsid w:val="00CB7B0E"/>
    <w:rsid w:val="00CB7D6D"/>
    <w:rsid w:val="00CC02C1"/>
    <w:rsid w:val="00CC03EA"/>
    <w:rsid w:val="00CC0893"/>
    <w:rsid w:val="00CC0AE0"/>
    <w:rsid w:val="00CC1C72"/>
    <w:rsid w:val="00CC1D84"/>
    <w:rsid w:val="00CC229F"/>
    <w:rsid w:val="00CC2DA3"/>
    <w:rsid w:val="00CC2E45"/>
    <w:rsid w:val="00CC2EA8"/>
    <w:rsid w:val="00CC347A"/>
    <w:rsid w:val="00CC36DB"/>
    <w:rsid w:val="00CC36ED"/>
    <w:rsid w:val="00CC3871"/>
    <w:rsid w:val="00CC3B95"/>
    <w:rsid w:val="00CC3E46"/>
    <w:rsid w:val="00CC403C"/>
    <w:rsid w:val="00CC49D8"/>
    <w:rsid w:val="00CC56E6"/>
    <w:rsid w:val="00CC5BEA"/>
    <w:rsid w:val="00CC60DB"/>
    <w:rsid w:val="00CC6297"/>
    <w:rsid w:val="00CC641F"/>
    <w:rsid w:val="00CC6A87"/>
    <w:rsid w:val="00CC6F49"/>
    <w:rsid w:val="00CC7405"/>
    <w:rsid w:val="00CC7731"/>
    <w:rsid w:val="00CC7C73"/>
    <w:rsid w:val="00CD0EE8"/>
    <w:rsid w:val="00CD13AD"/>
    <w:rsid w:val="00CD17E7"/>
    <w:rsid w:val="00CD1926"/>
    <w:rsid w:val="00CD1F58"/>
    <w:rsid w:val="00CD1FFD"/>
    <w:rsid w:val="00CD2ACD"/>
    <w:rsid w:val="00CD2C70"/>
    <w:rsid w:val="00CD417A"/>
    <w:rsid w:val="00CD4515"/>
    <w:rsid w:val="00CD4DD4"/>
    <w:rsid w:val="00CD55B6"/>
    <w:rsid w:val="00CD5702"/>
    <w:rsid w:val="00CD6C1C"/>
    <w:rsid w:val="00CD6D1D"/>
    <w:rsid w:val="00CD7149"/>
    <w:rsid w:val="00CD79F2"/>
    <w:rsid w:val="00CD7A83"/>
    <w:rsid w:val="00CD7FF8"/>
    <w:rsid w:val="00CE03A7"/>
    <w:rsid w:val="00CE03B6"/>
    <w:rsid w:val="00CE0ACD"/>
    <w:rsid w:val="00CE0BC1"/>
    <w:rsid w:val="00CE0DF4"/>
    <w:rsid w:val="00CE0F1A"/>
    <w:rsid w:val="00CE136A"/>
    <w:rsid w:val="00CE1852"/>
    <w:rsid w:val="00CE188C"/>
    <w:rsid w:val="00CE1AD2"/>
    <w:rsid w:val="00CE2376"/>
    <w:rsid w:val="00CE27DF"/>
    <w:rsid w:val="00CE30CD"/>
    <w:rsid w:val="00CE3286"/>
    <w:rsid w:val="00CE34F1"/>
    <w:rsid w:val="00CE3795"/>
    <w:rsid w:val="00CE3AF3"/>
    <w:rsid w:val="00CE3B05"/>
    <w:rsid w:val="00CE3B0A"/>
    <w:rsid w:val="00CE3E0A"/>
    <w:rsid w:val="00CE432B"/>
    <w:rsid w:val="00CE472D"/>
    <w:rsid w:val="00CE4C9E"/>
    <w:rsid w:val="00CE4F1F"/>
    <w:rsid w:val="00CE50B0"/>
    <w:rsid w:val="00CE5192"/>
    <w:rsid w:val="00CE5716"/>
    <w:rsid w:val="00CE5CAC"/>
    <w:rsid w:val="00CE5E13"/>
    <w:rsid w:val="00CE5F1D"/>
    <w:rsid w:val="00CE639E"/>
    <w:rsid w:val="00CE687E"/>
    <w:rsid w:val="00CE6E81"/>
    <w:rsid w:val="00CE71F8"/>
    <w:rsid w:val="00CE7402"/>
    <w:rsid w:val="00CE76E1"/>
    <w:rsid w:val="00CE7DE7"/>
    <w:rsid w:val="00CF030B"/>
    <w:rsid w:val="00CF04C5"/>
    <w:rsid w:val="00CF09E3"/>
    <w:rsid w:val="00CF0CD9"/>
    <w:rsid w:val="00CF10B5"/>
    <w:rsid w:val="00CF128A"/>
    <w:rsid w:val="00CF1438"/>
    <w:rsid w:val="00CF1507"/>
    <w:rsid w:val="00CF1753"/>
    <w:rsid w:val="00CF1888"/>
    <w:rsid w:val="00CF18D4"/>
    <w:rsid w:val="00CF1C06"/>
    <w:rsid w:val="00CF1CD9"/>
    <w:rsid w:val="00CF2093"/>
    <w:rsid w:val="00CF24A8"/>
    <w:rsid w:val="00CF287D"/>
    <w:rsid w:val="00CF2C13"/>
    <w:rsid w:val="00CF2E7F"/>
    <w:rsid w:val="00CF31CA"/>
    <w:rsid w:val="00CF33F1"/>
    <w:rsid w:val="00CF3471"/>
    <w:rsid w:val="00CF3796"/>
    <w:rsid w:val="00CF38C8"/>
    <w:rsid w:val="00CF3967"/>
    <w:rsid w:val="00CF3C08"/>
    <w:rsid w:val="00CF3E52"/>
    <w:rsid w:val="00CF49C6"/>
    <w:rsid w:val="00CF4D65"/>
    <w:rsid w:val="00CF521E"/>
    <w:rsid w:val="00CF600F"/>
    <w:rsid w:val="00CF6045"/>
    <w:rsid w:val="00CF61B5"/>
    <w:rsid w:val="00CF6CD0"/>
    <w:rsid w:val="00CF6FE5"/>
    <w:rsid w:val="00CF7BDA"/>
    <w:rsid w:val="00D001E4"/>
    <w:rsid w:val="00D0038E"/>
    <w:rsid w:val="00D00C0F"/>
    <w:rsid w:val="00D00D32"/>
    <w:rsid w:val="00D010E6"/>
    <w:rsid w:val="00D01228"/>
    <w:rsid w:val="00D02C4C"/>
    <w:rsid w:val="00D02E9D"/>
    <w:rsid w:val="00D035E6"/>
    <w:rsid w:val="00D03943"/>
    <w:rsid w:val="00D03BF0"/>
    <w:rsid w:val="00D03C39"/>
    <w:rsid w:val="00D03DC9"/>
    <w:rsid w:val="00D03FAA"/>
    <w:rsid w:val="00D045B3"/>
    <w:rsid w:val="00D04C0A"/>
    <w:rsid w:val="00D05170"/>
    <w:rsid w:val="00D0539A"/>
    <w:rsid w:val="00D05E88"/>
    <w:rsid w:val="00D0645B"/>
    <w:rsid w:val="00D06C9E"/>
    <w:rsid w:val="00D07442"/>
    <w:rsid w:val="00D07754"/>
    <w:rsid w:val="00D10108"/>
    <w:rsid w:val="00D107E9"/>
    <w:rsid w:val="00D10A40"/>
    <w:rsid w:val="00D1167C"/>
    <w:rsid w:val="00D117D0"/>
    <w:rsid w:val="00D11A2E"/>
    <w:rsid w:val="00D11DDF"/>
    <w:rsid w:val="00D131B2"/>
    <w:rsid w:val="00D1388D"/>
    <w:rsid w:val="00D13F25"/>
    <w:rsid w:val="00D14704"/>
    <w:rsid w:val="00D1471E"/>
    <w:rsid w:val="00D14D16"/>
    <w:rsid w:val="00D152F4"/>
    <w:rsid w:val="00D158B9"/>
    <w:rsid w:val="00D1622D"/>
    <w:rsid w:val="00D1666E"/>
    <w:rsid w:val="00D1673D"/>
    <w:rsid w:val="00D167A3"/>
    <w:rsid w:val="00D16967"/>
    <w:rsid w:val="00D169CB"/>
    <w:rsid w:val="00D16A0C"/>
    <w:rsid w:val="00D16C58"/>
    <w:rsid w:val="00D1708A"/>
    <w:rsid w:val="00D170A2"/>
    <w:rsid w:val="00D170DF"/>
    <w:rsid w:val="00D209A0"/>
    <w:rsid w:val="00D21174"/>
    <w:rsid w:val="00D21251"/>
    <w:rsid w:val="00D2168F"/>
    <w:rsid w:val="00D218A2"/>
    <w:rsid w:val="00D219E6"/>
    <w:rsid w:val="00D222A3"/>
    <w:rsid w:val="00D22374"/>
    <w:rsid w:val="00D22AEB"/>
    <w:rsid w:val="00D23100"/>
    <w:rsid w:val="00D23314"/>
    <w:rsid w:val="00D237BF"/>
    <w:rsid w:val="00D23C58"/>
    <w:rsid w:val="00D23C95"/>
    <w:rsid w:val="00D24097"/>
    <w:rsid w:val="00D24B02"/>
    <w:rsid w:val="00D24BE8"/>
    <w:rsid w:val="00D25003"/>
    <w:rsid w:val="00D25135"/>
    <w:rsid w:val="00D2535B"/>
    <w:rsid w:val="00D25B0B"/>
    <w:rsid w:val="00D25FD2"/>
    <w:rsid w:val="00D260E6"/>
    <w:rsid w:val="00D2688F"/>
    <w:rsid w:val="00D26D6D"/>
    <w:rsid w:val="00D2739C"/>
    <w:rsid w:val="00D27FAF"/>
    <w:rsid w:val="00D30926"/>
    <w:rsid w:val="00D31193"/>
    <w:rsid w:val="00D3135D"/>
    <w:rsid w:val="00D314D2"/>
    <w:rsid w:val="00D3161F"/>
    <w:rsid w:val="00D3178A"/>
    <w:rsid w:val="00D32216"/>
    <w:rsid w:val="00D324C0"/>
    <w:rsid w:val="00D329B3"/>
    <w:rsid w:val="00D33055"/>
    <w:rsid w:val="00D33305"/>
    <w:rsid w:val="00D334B2"/>
    <w:rsid w:val="00D3392B"/>
    <w:rsid w:val="00D33DE6"/>
    <w:rsid w:val="00D343B7"/>
    <w:rsid w:val="00D343BE"/>
    <w:rsid w:val="00D34AFC"/>
    <w:rsid w:val="00D34DC4"/>
    <w:rsid w:val="00D35A46"/>
    <w:rsid w:val="00D35DDA"/>
    <w:rsid w:val="00D35F6A"/>
    <w:rsid w:val="00D3617E"/>
    <w:rsid w:val="00D366AE"/>
    <w:rsid w:val="00D369B5"/>
    <w:rsid w:val="00D372F7"/>
    <w:rsid w:val="00D373CB"/>
    <w:rsid w:val="00D375DD"/>
    <w:rsid w:val="00D3771E"/>
    <w:rsid w:val="00D406FE"/>
    <w:rsid w:val="00D40A92"/>
    <w:rsid w:val="00D41387"/>
    <w:rsid w:val="00D417E9"/>
    <w:rsid w:val="00D41AD2"/>
    <w:rsid w:val="00D422CA"/>
    <w:rsid w:val="00D4244B"/>
    <w:rsid w:val="00D43471"/>
    <w:rsid w:val="00D438A8"/>
    <w:rsid w:val="00D43A2A"/>
    <w:rsid w:val="00D43E44"/>
    <w:rsid w:val="00D43F72"/>
    <w:rsid w:val="00D43FC9"/>
    <w:rsid w:val="00D44325"/>
    <w:rsid w:val="00D443F1"/>
    <w:rsid w:val="00D449C8"/>
    <w:rsid w:val="00D44F38"/>
    <w:rsid w:val="00D45156"/>
    <w:rsid w:val="00D45202"/>
    <w:rsid w:val="00D45548"/>
    <w:rsid w:val="00D45B01"/>
    <w:rsid w:val="00D45D57"/>
    <w:rsid w:val="00D45F57"/>
    <w:rsid w:val="00D46576"/>
    <w:rsid w:val="00D465A8"/>
    <w:rsid w:val="00D470F1"/>
    <w:rsid w:val="00D47711"/>
    <w:rsid w:val="00D47A24"/>
    <w:rsid w:val="00D47E2C"/>
    <w:rsid w:val="00D502BD"/>
    <w:rsid w:val="00D50675"/>
    <w:rsid w:val="00D50701"/>
    <w:rsid w:val="00D50C28"/>
    <w:rsid w:val="00D50CD8"/>
    <w:rsid w:val="00D51397"/>
    <w:rsid w:val="00D52341"/>
    <w:rsid w:val="00D523E7"/>
    <w:rsid w:val="00D524CF"/>
    <w:rsid w:val="00D525AA"/>
    <w:rsid w:val="00D52F55"/>
    <w:rsid w:val="00D5341F"/>
    <w:rsid w:val="00D544C9"/>
    <w:rsid w:val="00D54C8A"/>
    <w:rsid w:val="00D55489"/>
    <w:rsid w:val="00D56275"/>
    <w:rsid w:val="00D56685"/>
    <w:rsid w:val="00D569E1"/>
    <w:rsid w:val="00D56CAA"/>
    <w:rsid w:val="00D571DA"/>
    <w:rsid w:val="00D57221"/>
    <w:rsid w:val="00D57364"/>
    <w:rsid w:val="00D57970"/>
    <w:rsid w:val="00D57F9D"/>
    <w:rsid w:val="00D602AF"/>
    <w:rsid w:val="00D604A9"/>
    <w:rsid w:val="00D60736"/>
    <w:rsid w:val="00D60CAE"/>
    <w:rsid w:val="00D60CB4"/>
    <w:rsid w:val="00D613AB"/>
    <w:rsid w:val="00D61F5D"/>
    <w:rsid w:val="00D62763"/>
    <w:rsid w:val="00D6347F"/>
    <w:rsid w:val="00D6384A"/>
    <w:rsid w:val="00D63A8E"/>
    <w:rsid w:val="00D63CCB"/>
    <w:rsid w:val="00D64097"/>
    <w:rsid w:val="00D64BA6"/>
    <w:rsid w:val="00D64BE8"/>
    <w:rsid w:val="00D6531F"/>
    <w:rsid w:val="00D65674"/>
    <w:rsid w:val="00D657BB"/>
    <w:rsid w:val="00D66191"/>
    <w:rsid w:val="00D66518"/>
    <w:rsid w:val="00D66A09"/>
    <w:rsid w:val="00D66EB9"/>
    <w:rsid w:val="00D66EC3"/>
    <w:rsid w:val="00D66EDD"/>
    <w:rsid w:val="00D67442"/>
    <w:rsid w:val="00D674C3"/>
    <w:rsid w:val="00D67873"/>
    <w:rsid w:val="00D67C06"/>
    <w:rsid w:val="00D7020F"/>
    <w:rsid w:val="00D704E5"/>
    <w:rsid w:val="00D707A2"/>
    <w:rsid w:val="00D70CD5"/>
    <w:rsid w:val="00D717C8"/>
    <w:rsid w:val="00D7244A"/>
    <w:rsid w:val="00D72837"/>
    <w:rsid w:val="00D728F3"/>
    <w:rsid w:val="00D72A3F"/>
    <w:rsid w:val="00D72DEB"/>
    <w:rsid w:val="00D73EC8"/>
    <w:rsid w:val="00D7490F"/>
    <w:rsid w:val="00D74B8A"/>
    <w:rsid w:val="00D74E63"/>
    <w:rsid w:val="00D74E85"/>
    <w:rsid w:val="00D74F01"/>
    <w:rsid w:val="00D750F8"/>
    <w:rsid w:val="00D752BE"/>
    <w:rsid w:val="00D75B97"/>
    <w:rsid w:val="00D761EE"/>
    <w:rsid w:val="00D76234"/>
    <w:rsid w:val="00D765F6"/>
    <w:rsid w:val="00D76891"/>
    <w:rsid w:val="00D772D4"/>
    <w:rsid w:val="00D77581"/>
    <w:rsid w:val="00D77859"/>
    <w:rsid w:val="00D778D2"/>
    <w:rsid w:val="00D77BEE"/>
    <w:rsid w:val="00D803E3"/>
    <w:rsid w:val="00D80415"/>
    <w:rsid w:val="00D8112B"/>
    <w:rsid w:val="00D81683"/>
    <w:rsid w:val="00D81ABA"/>
    <w:rsid w:val="00D81C0B"/>
    <w:rsid w:val="00D81EF1"/>
    <w:rsid w:val="00D820B6"/>
    <w:rsid w:val="00D8273A"/>
    <w:rsid w:val="00D82E8C"/>
    <w:rsid w:val="00D83292"/>
    <w:rsid w:val="00D83601"/>
    <w:rsid w:val="00D836E6"/>
    <w:rsid w:val="00D84875"/>
    <w:rsid w:val="00D84BAF"/>
    <w:rsid w:val="00D85196"/>
    <w:rsid w:val="00D85779"/>
    <w:rsid w:val="00D858F6"/>
    <w:rsid w:val="00D85E6A"/>
    <w:rsid w:val="00D86036"/>
    <w:rsid w:val="00D8612E"/>
    <w:rsid w:val="00D8629F"/>
    <w:rsid w:val="00D86662"/>
    <w:rsid w:val="00D86AD9"/>
    <w:rsid w:val="00D86D7B"/>
    <w:rsid w:val="00D87016"/>
    <w:rsid w:val="00D90129"/>
    <w:rsid w:val="00D908E2"/>
    <w:rsid w:val="00D909DC"/>
    <w:rsid w:val="00D90B5C"/>
    <w:rsid w:val="00D90E29"/>
    <w:rsid w:val="00D90EAA"/>
    <w:rsid w:val="00D91397"/>
    <w:rsid w:val="00D914E1"/>
    <w:rsid w:val="00D916CE"/>
    <w:rsid w:val="00D91B96"/>
    <w:rsid w:val="00D91D15"/>
    <w:rsid w:val="00D91E61"/>
    <w:rsid w:val="00D922F5"/>
    <w:rsid w:val="00D9256E"/>
    <w:rsid w:val="00D93386"/>
    <w:rsid w:val="00D93764"/>
    <w:rsid w:val="00D93785"/>
    <w:rsid w:val="00D93A89"/>
    <w:rsid w:val="00D93AE2"/>
    <w:rsid w:val="00D93AE4"/>
    <w:rsid w:val="00D93F7A"/>
    <w:rsid w:val="00D93F8C"/>
    <w:rsid w:val="00D94728"/>
    <w:rsid w:val="00D949FA"/>
    <w:rsid w:val="00D94E67"/>
    <w:rsid w:val="00D95336"/>
    <w:rsid w:val="00D958E8"/>
    <w:rsid w:val="00D96D2C"/>
    <w:rsid w:val="00D970E2"/>
    <w:rsid w:val="00D974B9"/>
    <w:rsid w:val="00D975A1"/>
    <w:rsid w:val="00D977A7"/>
    <w:rsid w:val="00D97916"/>
    <w:rsid w:val="00DA07B8"/>
    <w:rsid w:val="00DA0A92"/>
    <w:rsid w:val="00DA0E00"/>
    <w:rsid w:val="00DA18B8"/>
    <w:rsid w:val="00DA1A01"/>
    <w:rsid w:val="00DA1A7C"/>
    <w:rsid w:val="00DA1DB6"/>
    <w:rsid w:val="00DA1DC6"/>
    <w:rsid w:val="00DA1FE5"/>
    <w:rsid w:val="00DA220B"/>
    <w:rsid w:val="00DA315C"/>
    <w:rsid w:val="00DA3631"/>
    <w:rsid w:val="00DA40B7"/>
    <w:rsid w:val="00DA4439"/>
    <w:rsid w:val="00DA476A"/>
    <w:rsid w:val="00DA4984"/>
    <w:rsid w:val="00DA501E"/>
    <w:rsid w:val="00DA5138"/>
    <w:rsid w:val="00DA519E"/>
    <w:rsid w:val="00DA597D"/>
    <w:rsid w:val="00DA5F2F"/>
    <w:rsid w:val="00DA6493"/>
    <w:rsid w:val="00DA64AB"/>
    <w:rsid w:val="00DA6B08"/>
    <w:rsid w:val="00DA6EE6"/>
    <w:rsid w:val="00DA7143"/>
    <w:rsid w:val="00DA76E8"/>
    <w:rsid w:val="00DA7ABC"/>
    <w:rsid w:val="00DA7AE5"/>
    <w:rsid w:val="00DA7B3D"/>
    <w:rsid w:val="00DA7C4B"/>
    <w:rsid w:val="00DB0460"/>
    <w:rsid w:val="00DB0738"/>
    <w:rsid w:val="00DB0D85"/>
    <w:rsid w:val="00DB1828"/>
    <w:rsid w:val="00DB1851"/>
    <w:rsid w:val="00DB1CB0"/>
    <w:rsid w:val="00DB1E1A"/>
    <w:rsid w:val="00DB2713"/>
    <w:rsid w:val="00DB2FE6"/>
    <w:rsid w:val="00DB303C"/>
    <w:rsid w:val="00DB37DC"/>
    <w:rsid w:val="00DB4C66"/>
    <w:rsid w:val="00DB4CEB"/>
    <w:rsid w:val="00DB531F"/>
    <w:rsid w:val="00DB53EE"/>
    <w:rsid w:val="00DB5513"/>
    <w:rsid w:val="00DB5755"/>
    <w:rsid w:val="00DB5B12"/>
    <w:rsid w:val="00DB6162"/>
    <w:rsid w:val="00DB65C3"/>
    <w:rsid w:val="00DB6881"/>
    <w:rsid w:val="00DB730D"/>
    <w:rsid w:val="00DB7649"/>
    <w:rsid w:val="00DB7A07"/>
    <w:rsid w:val="00DC1196"/>
    <w:rsid w:val="00DC1537"/>
    <w:rsid w:val="00DC1B8E"/>
    <w:rsid w:val="00DC1DBF"/>
    <w:rsid w:val="00DC202D"/>
    <w:rsid w:val="00DC20B7"/>
    <w:rsid w:val="00DC2929"/>
    <w:rsid w:val="00DC2D01"/>
    <w:rsid w:val="00DC32CC"/>
    <w:rsid w:val="00DC3A9D"/>
    <w:rsid w:val="00DC3CBC"/>
    <w:rsid w:val="00DC3F14"/>
    <w:rsid w:val="00DC427C"/>
    <w:rsid w:val="00DC4A8E"/>
    <w:rsid w:val="00DC5554"/>
    <w:rsid w:val="00DC55B6"/>
    <w:rsid w:val="00DC5673"/>
    <w:rsid w:val="00DC6C7E"/>
    <w:rsid w:val="00DC6D23"/>
    <w:rsid w:val="00DC6D38"/>
    <w:rsid w:val="00DC7647"/>
    <w:rsid w:val="00DC7ABA"/>
    <w:rsid w:val="00DD0C69"/>
    <w:rsid w:val="00DD1000"/>
    <w:rsid w:val="00DD1A27"/>
    <w:rsid w:val="00DD1C13"/>
    <w:rsid w:val="00DD1E80"/>
    <w:rsid w:val="00DD1EEF"/>
    <w:rsid w:val="00DD1F67"/>
    <w:rsid w:val="00DD2158"/>
    <w:rsid w:val="00DD27F1"/>
    <w:rsid w:val="00DD29FD"/>
    <w:rsid w:val="00DD2A06"/>
    <w:rsid w:val="00DD2C0B"/>
    <w:rsid w:val="00DD2F42"/>
    <w:rsid w:val="00DD2FB8"/>
    <w:rsid w:val="00DD31BC"/>
    <w:rsid w:val="00DD3B9E"/>
    <w:rsid w:val="00DD4492"/>
    <w:rsid w:val="00DD4822"/>
    <w:rsid w:val="00DD4EE1"/>
    <w:rsid w:val="00DD5100"/>
    <w:rsid w:val="00DD54D6"/>
    <w:rsid w:val="00DD5D05"/>
    <w:rsid w:val="00DD5DDC"/>
    <w:rsid w:val="00DD6552"/>
    <w:rsid w:val="00DD6FD0"/>
    <w:rsid w:val="00DD7399"/>
    <w:rsid w:val="00DD79BC"/>
    <w:rsid w:val="00DD7BA7"/>
    <w:rsid w:val="00DE0FB1"/>
    <w:rsid w:val="00DE1E00"/>
    <w:rsid w:val="00DE1FAC"/>
    <w:rsid w:val="00DE2079"/>
    <w:rsid w:val="00DE22D6"/>
    <w:rsid w:val="00DE24CC"/>
    <w:rsid w:val="00DE2D50"/>
    <w:rsid w:val="00DE318F"/>
    <w:rsid w:val="00DE3255"/>
    <w:rsid w:val="00DE325E"/>
    <w:rsid w:val="00DE3502"/>
    <w:rsid w:val="00DE37F2"/>
    <w:rsid w:val="00DE3B24"/>
    <w:rsid w:val="00DE40E4"/>
    <w:rsid w:val="00DE5696"/>
    <w:rsid w:val="00DE5B40"/>
    <w:rsid w:val="00DE5C19"/>
    <w:rsid w:val="00DE63D4"/>
    <w:rsid w:val="00DE6EC3"/>
    <w:rsid w:val="00DE6F34"/>
    <w:rsid w:val="00DE6FEC"/>
    <w:rsid w:val="00DE73DB"/>
    <w:rsid w:val="00DE7B4C"/>
    <w:rsid w:val="00DF0A27"/>
    <w:rsid w:val="00DF1382"/>
    <w:rsid w:val="00DF160F"/>
    <w:rsid w:val="00DF2095"/>
    <w:rsid w:val="00DF238F"/>
    <w:rsid w:val="00DF244D"/>
    <w:rsid w:val="00DF3A05"/>
    <w:rsid w:val="00DF3D9F"/>
    <w:rsid w:val="00DF4096"/>
    <w:rsid w:val="00DF444C"/>
    <w:rsid w:val="00DF45DF"/>
    <w:rsid w:val="00DF4C6E"/>
    <w:rsid w:val="00DF4E71"/>
    <w:rsid w:val="00DF4E79"/>
    <w:rsid w:val="00DF50DE"/>
    <w:rsid w:val="00DF5560"/>
    <w:rsid w:val="00DF5A8D"/>
    <w:rsid w:val="00DF5FBA"/>
    <w:rsid w:val="00DF632F"/>
    <w:rsid w:val="00DF655F"/>
    <w:rsid w:val="00DF6562"/>
    <w:rsid w:val="00DF66ED"/>
    <w:rsid w:val="00DF69F8"/>
    <w:rsid w:val="00DF6FC2"/>
    <w:rsid w:val="00DF7D9A"/>
    <w:rsid w:val="00E00126"/>
    <w:rsid w:val="00E003CD"/>
    <w:rsid w:val="00E00686"/>
    <w:rsid w:val="00E014FF"/>
    <w:rsid w:val="00E01517"/>
    <w:rsid w:val="00E015B4"/>
    <w:rsid w:val="00E01EBA"/>
    <w:rsid w:val="00E020DA"/>
    <w:rsid w:val="00E021C6"/>
    <w:rsid w:val="00E021EE"/>
    <w:rsid w:val="00E02212"/>
    <w:rsid w:val="00E02265"/>
    <w:rsid w:val="00E028E3"/>
    <w:rsid w:val="00E029AB"/>
    <w:rsid w:val="00E02FDD"/>
    <w:rsid w:val="00E034C9"/>
    <w:rsid w:val="00E0359D"/>
    <w:rsid w:val="00E036AF"/>
    <w:rsid w:val="00E037BC"/>
    <w:rsid w:val="00E03DD7"/>
    <w:rsid w:val="00E04023"/>
    <w:rsid w:val="00E0405C"/>
    <w:rsid w:val="00E042A5"/>
    <w:rsid w:val="00E04AF6"/>
    <w:rsid w:val="00E04B56"/>
    <w:rsid w:val="00E0651A"/>
    <w:rsid w:val="00E06CCE"/>
    <w:rsid w:val="00E071C9"/>
    <w:rsid w:val="00E0752A"/>
    <w:rsid w:val="00E07F14"/>
    <w:rsid w:val="00E10491"/>
    <w:rsid w:val="00E1074B"/>
    <w:rsid w:val="00E108EF"/>
    <w:rsid w:val="00E10A3E"/>
    <w:rsid w:val="00E11D3B"/>
    <w:rsid w:val="00E122D2"/>
    <w:rsid w:val="00E127DF"/>
    <w:rsid w:val="00E128B0"/>
    <w:rsid w:val="00E1426B"/>
    <w:rsid w:val="00E14874"/>
    <w:rsid w:val="00E14C3E"/>
    <w:rsid w:val="00E15A39"/>
    <w:rsid w:val="00E15F51"/>
    <w:rsid w:val="00E15F5C"/>
    <w:rsid w:val="00E163DA"/>
    <w:rsid w:val="00E16B50"/>
    <w:rsid w:val="00E16D9D"/>
    <w:rsid w:val="00E172D4"/>
    <w:rsid w:val="00E1788D"/>
    <w:rsid w:val="00E17F4C"/>
    <w:rsid w:val="00E17F55"/>
    <w:rsid w:val="00E2010B"/>
    <w:rsid w:val="00E2057F"/>
    <w:rsid w:val="00E20584"/>
    <w:rsid w:val="00E2059F"/>
    <w:rsid w:val="00E20741"/>
    <w:rsid w:val="00E21058"/>
    <w:rsid w:val="00E2165B"/>
    <w:rsid w:val="00E21995"/>
    <w:rsid w:val="00E21FFB"/>
    <w:rsid w:val="00E227F6"/>
    <w:rsid w:val="00E23BD8"/>
    <w:rsid w:val="00E23E37"/>
    <w:rsid w:val="00E23EC1"/>
    <w:rsid w:val="00E23F1F"/>
    <w:rsid w:val="00E245A3"/>
    <w:rsid w:val="00E246D8"/>
    <w:rsid w:val="00E249CC"/>
    <w:rsid w:val="00E25325"/>
    <w:rsid w:val="00E257BD"/>
    <w:rsid w:val="00E258F4"/>
    <w:rsid w:val="00E25D53"/>
    <w:rsid w:val="00E2695B"/>
    <w:rsid w:val="00E26BB5"/>
    <w:rsid w:val="00E26FAC"/>
    <w:rsid w:val="00E27201"/>
    <w:rsid w:val="00E27A0E"/>
    <w:rsid w:val="00E27D31"/>
    <w:rsid w:val="00E27D73"/>
    <w:rsid w:val="00E27DEC"/>
    <w:rsid w:val="00E300AA"/>
    <w:rsid w:val="00E30150"/>
    <w:rsid w:val="00E301A4"/>
    <w:rsid w:val="00E30200"/>
    <w:rsid w:val="00E3071D"/>
    <w:rsid w:val="00E30794"/>
    <w:rsid w:val="00E30DEF"/>
    <w:rsid w:val="00E30EFE"/>
    <w:rsid w:val="00E310D6"/>
    <w:rsid w:val="00E3135D"/>
    <w:rsid w:val="00E316ED"/>
    <w:rsid w:val="00E3182C"/>
    <w:rsid w:val="00E31CFB"/>
    <w:rsid w:val="00E3213F"/>
    <w:rsid w:val="00E32227"/>
    <w:rsid w:val="00E325BD"/>
    <w:rsid w:val="00E325EA"/>
    <w:rsid w:val="00E32631"/>
    <w:rsid w:val="00E329A9"/>
    <w:rsid w:val="00E32B85"/>
    <w:rsid w:val="00E32F66"/>
    <w:rsid w:val="00E33CB0"/>
    <w:rsid w:val="00E33F21"/>
    <w:rsid w:val="00E343CC"/>
    <w:rsid w:val="00E349B1"/>
    <w:rsid w:val="00E34B29"/>
    <w:rsid w:val="00E34B64"/>
    <w:rsid w:val="00E34FD5"/>
    <w:rsid w:val="00E359C3"/>
    <w:rsid w:val="00E35BB4"/>
    <w:rsid w:val="00E361CE"/>
    <w:rsid w:val="00E3671E"/>
    <w:rsid w:val="00E37539"/>
    <w:rsid w:val="00E37A5F"/>
    <w:rsid w:val="00E403B6"/>
    <w:rsid w:val="00E4159B"/>
    <w:rsid w:val="00E4184F"/>
    <w:rsid w:val="00E41AD2"/>
    <w:rsid w:val="00E421B3"/>
    <w:rsid w:val="00E42901"/>
    <w:rsid w:val="00E42CE8"/>
    <w:rsid w:val="00E43588"/>
    <w:rsid w:val="00E4362D"/>
    <w:rsid w:val="00E436E2"/>
    <w:rsid w:val="00E437D1"/>
    <w:rsid w:val="00E43827"/>
    <w:rsid w:val="00E43941"/>
    <w:rsid w:val="00E43F72"/>
    <w:rsid w:val="00E4416E"/>
    <w:rsid w:val="00E4436B"/>
    <w:rsid w:val="00E444E2"/>
    <w:rsid w:val="00E44A9A"/>
    <w:rsid w:val="00E44AE5"/>
    <w:rsid w:val="00E44B44"/>
    <w:rsid w:val="00E44B5E"/>
    <w:rsid w:val="00E44CBE"/>
    <w:rsid w:val="00E44E03"/>
    <w:rsid w:val="00E44FC7"/>
    <w:rsid w:val="00E45112"/>
    <w:rsid w:val="00E451FC"/>
    <w:rsid w:val="00E456BC"/>
    <w:rsid w:val="00E45ED0"/>
    <w:rsid w:val="00E462E9"/>
    <w:rsid w:val="00E463C0"/>
    <w:rsid w:val="00E46748"/>
    <w:rsid w:val="00E4680F"/>
    <w:rsid w:val="00E46E0B"/>
    <w:rsid w:val="00E47064"/>
    <w:rsid w:val="00E47243"/>
    <w:rsid w:val="00E473A6"/>
    <w:rsid w:val="00E475AA"/>
    <w:rsid w:val="00E47801"/>
    <w:rsid w:val="00E47E88"/>
    <w:rsid w:val="00E50911"/>
    <w:rsid w:val="00E50EE4"/>
    <w:rsid w:val="00E512DC"/>
    <w:rsid w:val="00E51373"/>
    <w:rsid w:val="00E51B8E"/>
    <w:rsid w:val="00E5216E"/>
    <w:rsid w:val="00E525A2"/>
    <w:rsid w:val="00E526CC"/>
    <w:rsid w:val="00E52B49"/>
    <w:rsid w:val="00E53884"/>
    <w:rsid w:val="00E53931"/>
    <w:rsid w:val="00E53E1D"/>
    <w:rsid w:val="00E54550"/>
    <w:rsid w:val="00E54936"/>
    <w:rsid w:val="00E54A43"/>
    <w:rsid w:val="00E54BA9"/>
    <w:rsid w:val="00E56237"/>
    <w:rsid w:val="00E56384"/>
    <w:rsid w:val="00E56709"/>
    <w:rsid w:val="00E569EA"/>
    <w:rsid w:val="00E56A13"/>
    <w:rsid w:val="00E56F10"/>
    <w:rsid w:val="00E5774C"/>
    <w:rsid w:val="00E57D51"/>
    <w:rsid w:val="00E6036C"/>
    <w:rsid w:val="00E60382"/>
    <w:rsid w:val="00E60F10"/>
    <w:rsid w:val="00E611D9"/>
    <w:rsid w:val="00E612C1"/>
    <w:rsid w:val="00E61365"/>
    <w:rsid w:val="00E61686"/>
    <w:rsid w:val="00E61AB5"/>
    <w:rsid w:val="00E61E83"/>
    <w:rsid w:val="00E62530"/>
    <w:rsid w:val="00E625D2"/>
    <w:rsid w:val="00E627A2"/>
    <w:rsid w:val="00E62983"/>
    <w:rsid w:val="00E629C9"/>
    <w:rsid w:val="00E62EBA"/>
    <w:rsid w:val="00E6324A"/>
    <w:rsid w:val="00E6340A"/>
    <w:rsid w:val="00E63A6D"/>
    <w:rsid w:val="00E63B0B"/>
    <w:rsid w:val="00E63F35"/>
    <w:rsid w:val="00E64380"/>
    <w:rsid w:val="00E65511"/>
    <w:rsid w:val="00E65838"/>
    <w:rsid w:val="00E6599E"/>
    <w:rsid w:val="00E6652D"/>
    <w:rsid w:val="00E66783"/>
    <w:rsid w:val="00E66878"/>
    <w:rsid w:val="00E6708D"/>
    <w:rsid w:val="00E67195"/>
    <w:rsid w:val="00E67FD5"/>
    <w:rsid w:val="00E705FB"/>
    <w:rsid w:val="00E70B6D"/>
    <w:rsid w:val="00E70DDE"/>
    <w:rsid w:val="00E70F06"/>
    <w:rsid w:val="00E71496"/>
    <w:rsid w:val="00E71765"/>
    <w:rsid w:val="00E717EB"/>
    <w:rsid w:val="00E7218A"/>
    <w:rsid w:val="00E7354C"/>
    <w:rsid w:val="00E73AA5"/>
    <w:rsid w:val="00E73EFE"/>
    <w:rsid w:val="00E73F24"/>
    <w:rsid w:val="00E7431A"/>
    <w:rsid w:val="00E752FD"/>
    <w:rsid w:val="00E754BB"/>
    <w:rsid w:val="00E75699"/>
    <w:rsid w:val="00E75988"/>
    <w:rsid w:val="00E75ADC"/>
    <w:rsid w:val="00E75F23"/>
    <w:rsid w:val="00E762AE"/>
    <w:rsid w:val="00E7630E"/>
    <w:rsid w:val="00E764D6"/>
    <w:rsid w:val="00E765D8"/>
    <w:rsid w:val="00E767A7"/>
    <w:rsid w:val="00E76C91"/>
    <w:rsid w:val="00E76C94"/>
    <w:rsid w:val="00E76CE4"/>
    <w:rsid w:val="00E7746D"/>
    <w:rsid w:val="00E80169"/>
    <w:rsid w:val="00E80B79"/>
    <w:rsid w:val="00E810DB"/>
    <w:rsid w:val="00E81292"/>
    <w:rsid w:val="00E816A3"/>
    <w:rsid w:val="00E8253C"/>
    <w:rsid w:val="00E826D6"/>
    <w:rsid w:val="00E83080"/>
    <w:rsid w:val="00E8315E"/>
    <w:rsid w:val="00E831D1"/>
    <w:rsid w:val="00E837AE"/>
    <w:rsid w:val="00E839D8"/>
    <w:rsid w:val="00E83E59"/>
    <w:rsid w:val="00E83EA9"/>
    <w:rsid w:val="00E83F9F"/>
    <w:rsid w:val="00E845CE"/>
    <w:rsid w:val="00E84636"/>
    <w:rsid w:val="00E846D9"/>
    <w:rsid w:val="00E8471F"/>
    <w:rsid w:val="00E84BC2"/>
    <w:rsid w:val="00E84F83"/>
    <w:rsid w:val="00E8526E"/>
    <w:rsid w:val="00E85444"/>
    <w:rsid w:val="00E85713"/>
    <w:rsid w:val="00E85721"/>
    <w:rsid w:val="00E859BA"/>
    <w:rsid w:val="00E8615C"/>
    <w:rsid w:val="00E861ED"/>
    <w:rsid w:val="00E86393"/>
    <w:rsid w:val="00E8655A"/>
    <w:rsid w:val="00E86EF0"/>
    <w:rsid w:val="00E875C8"/>
    <w:rsid w:val="00E879F9"/>
    <w:rsid w:val="00E90249"/>
    <w:rsid w:val="00E90397"/>
    <w:rsid w:val="00E904BB"/>
    <w:rsid w:val="00E90836"/>
    <w:rsid w:val="00E909EA"/>
    <w:rsid w:val="00E90B7E"/>
    <w:rsid w:val="00E90F49"/>
    <w:rsid w:val="00E911A5"/>
    <w:rsid w:val="00E91238"/>
    <w:rsid w:val="00E91E69"/>
    <w:rsid w:val="00E9205C"/>
    <w:rsid w:val="00E9231C"/>
    <w:rsid w:val="00E9238A"/>
    <w:rsid w:val="00E92826"/>
    <w:rsid w:val="00E9290F"/>
    <w:rsid w:val="00E92A08"/>
    <w:rsid w:val="00E92CD7"/>
    <w:rsid w:val="00E92F7A"/>
    <w:rsid w:val="00E93318"/>
    <w:rsid w:val="00E93AF1"/>
    <w:rsid w:val="00E93C02"/>
    <w:rsid w:val="00E93EB4"/>
    <w:rsid w:val="00E94258"/>
    <w:rsid w:val="00E942E9"/>
    <w:rsid w:val="00E944D3"/>
    <w:rsid w:val="00E94589"/>
    <w:rsid w:val="00E9467F"/>
    <w:rsid w:val="00E94B8E"/>
    <w:rsid w:val="00E94BC7"/>
    <w:rsid w:val="00E959B8"/>
    <w:rsid w:val="00E96488"/>
    <w:rsid w:val="00E9697D"/>
    <w:rsid w:val="00E96F48"/>
    <w:rsid w:val="00E974FC"/>
    <w:rsid w:val="00E9760E"/>
    <w:rsid w:val="00E97D55"/>
    <w:rsid w:val="00EA0138"/>
    <w:rsid w:val="00EA0397"/>
    <w:rsid w:val="00EA1143"/>
    <w:rsid w:val="00EA168E"/>
    <w:rsid w:val="00EA1AB3"/>
    <w:rsid w:val="00EA1E6E"/>
    <w:rsid w:val="00EA1EA2"/>
    <w:rsid w:val="00EA26CB"/>
    <w:rsid w:val="00EA27FE"/>
    <w:rsid w:val="00EA281E"/>
    <w:rsid w:val="00EA2BA9"/>
    <w:rsid w:val="00EA2C81"/>
    <w:rsid w:val="00EA2DCC"/>
    <w:rsid w:val="00EA2E4C"/>
    <w:rsid w:val="00EA380B"/>
    <w:rsid w:val="00EA3FA0"/>
    <w:rsid w:val="00EA402A"/>
    <w:rsid w:val="00EA43FB"/>
    <w:rsid w:val="00EA4C96"/>
    <w:rsid w:val="00EA4FFD"/>
    <w:rsid w:val="00EA57F1"/>
    <w:rsid w:val="00EA646D"/>
    <w:rsid w:val="00EA7088"/>
    <w:rsid w:val="00EA72A6"/>
    <w:rsid w:val="00EA747B"/>
    <w:rsid w:val="00EA74C2"/>
    <w:rsid w:val="00EB0067"/>
    <w:rsid w:val="00EB03F9"/>
    <w:rsid w:val="00EB041A"/>
    <w:rsid w:val="00EB0893"/>
    <w:rsid w:val="00EB0A0D"/>
    <w:rsid w:val="00EB0A26"/>
    <w:rsid w:val="00EB0D3D"/>
    <w:rsid w:val="00EB0DDE"/>
    <w:rsid w:val="00EB0EC0"/>
    <w:rsid w:val="00EB18BA"/>
    <w:rsid w:val="00EB1D44"/>
    <w:rsid w:val="00EB2713"/>
    <w:rsid w:val="00EB2AB1"/>
    <w:rsid w:val="00EB2AC4"/>
    <w:rsid w:val="00EB2EEE"/>
    <w:rsid w:val="00EB2F42"/>
    <w:rsid w:val="00EB3B65"/>
    <w:rsid w:val="00EB4165"/>
    <w:rsid w:val="00EB44C7"/>
    <w:rsid w:val="00EB44EE"/>
    <w:rsid w:val="00EB4509"/>
    <w:rsid w:val="00EB5038"/>
    <w:rsid w:val="00EB57C1"/>
    <w:rsid w:val="00EB5B58"/>
    <w:rsid w:val="00EB5BA5"/>
    <w:rsid w:val="00EB64C6"/>
    <w:rsid w:val="00EB68EF"/>
    <w:rsid w:val="00EB6B21"/>
    <w:rsid w:val="00EB6C41"/>
    <w:rsid w:val="00EB6F96"/>
    <w:rsid w:val="00EB7D3C"/>
    <w:rsid w:val="00EC0825"/>
    <w:rsid w:val="00EC1536"/>
    <w:rsid w:val="00EC1C48"/>
    <w:rsid w:val="00EC26C2"/>
    <w:rsid w:val="00EC2737"/>
    <w:rsid w:val="00EC288F"/>
    <w:rsid w:val="00EC2B18"/>
    <w:rsid w:val="00EC2E00"/>
    <w:rsid w:val="00EC32DF"/>
    <w:rsid w:val="00EC33F0"/>
    <w:rsid w:val="00EC3C33"/>
    <w:rsid w:val="00EC433E"/>
    <w:rsid w:val="00EC4680"/>
    <w:rsid w:val="00EC489E"/>
    <w:rsid w:val="00EC570E"/>
    <w:rsid w:val="00EC5715"/>
    <w:rsid w:val="00EC5A64"/>
    <w:rsid w:val="00EC5B71"/>
    <w:rsid w:val="00EC6BE6"/>
    <w:rsid w:val="00EC6ED4"/>
    <w:rsid w:val="00EC7539"/>
    <w:rsid w:val="00EC7784"/>
    <w:rsid w:val="00EC78B3"/>
    <w:rsid w:val="00EC78CF"/>
    <w:rsid w:val="00EC7F29"/>
    <w:rsid w:val="00EC7FBC"/>
    <w:rsid w:val="00ED05CF"/>
    <w:rsid w:val="00ED0974"/>
    <w:rsid w:val="00ED0FF0"/>
    <w:rsid w:val="00ED129D"/>
    <w:rsid w:val="00ED141C"/>
    <w:rsid w:val="00ED148E"/>
    <w:rsid w:val="00ED151D"/>
    <w:rsid w:val="00ED1820"/>
    <w:rsid w:val="00ED18A9"/>
    <w:rsid w:val="00ED1AF9"/>
    <w:rsid w:val="00ED1E8C"/>
    <w:rsid w:val="00ED24AF"/>
    <w:rsid w:val="00ED2AA4"/>
    <w:rsid w:val="00ED2B24"/>
    <w:rsid w:val="00ED2B91"/>
    <w:rsid w:val="00ED2C8C"/>
    <w:rsid w:val="00ED2E59"/>
    <w:rsid w:val="00ED32B6"/>
    <w:rsid w:val="00ED33B1"/>
    <w:rsid w:val="00ED380A"/>
    <w:rsid w:val="00ED380D"/>
    <w:rsid w:val="00ED46FB"/>
    <w:rsid w:val="00ED48C5"/>
    <w:rsid w:val="00ED4B56"/>
    <w:rsid w:val="00ED4B59"/>
    <w:rsid w:val="00ED4C2B"/>
    <w:rsid w:val="00ED4CCE"/>
    <w:rsid w:val="00ED5955"/>
    <w:rsid w:val="00ED5B01"/>
    <w:rsid w:val="00ED60E2"/>
    <w:rsid w:val="00ED6465"/>
    <w:rsid w:val="00ED6626"/>
    <w:rsid w:val="00ED725C"/>
    <w:rsid w:val="00ED7273"/>
    <w:rsid w:val="00ED73C7"/>
    <w:rsid w:val="00ED758A"/>
    <w:rsid w:val="00ED7C82"/>
    <w:rsid w:val="00ED7D44"/>
    <w:rsid w:val="00ED7F59"/>
    <w:rsid w:val="00EE037E"/>
    <w:rsid w:val="00EE05D8"/>
    <w:rsid w:val="00EE1485"/>
    <w:rsid w:val="00EE19C9"/>
    <w:rsid w:val="00EE1AEA"/>
    <w:rsid w:val="00EE212C"/>
    <w:rsid w:val="00EE2170"/>
    <w:rsid w:val="00EE24CA"/>
    <w:rsid w:val="00EE2AB4"/>
    <w:rsid w:val="00EE2D5E"/>
    <w:rsid w:val="00EE3C3C"/>
    <w:rsid w:val="00EE4265"/>
    <w:rsid w:val="00EE4A14"/>
    <w:rsid w:val="00EE5380"/>
    <w:rsid w:val="00EE53E1"/>
    <w:rsid w:val="00EE549E"/>
    <w:rsid w:val="00EE591F"/>
    <w:rsid w:val="00EE5989"/>
    <w:rsid w:val="00EE5D5E"/>
    <w:rsid w:val="00EE63F2"/>
    <w:rsid w:val="00EE6AEE"/>
    <w:rsid w:val="00EE74A6"/>
    <w:rsid w:val="00EE758E"/>
    <w:rsid w:val="00EE7A18"/>
    <w:rsid w:val="00EE7AE1"/>
    <w:rsid w:val="00EE7DB9"/>
    <w:rsid w:val="00EE7F27"/>
    <w:rsid w:val="00EF04B3"/>
    <w:rsid w:val="00EF0B51"/>
    <w:rsid w:val="00EF0D02"/>
    <w:rsid w:val="00EF0FF4"/>
    <w:rsid w:val="00EF1073"/>
    <w:rsid w:val="00EF1AD6"/>
    <w:rsid w:val="00EF1BF9"/>
    <w:rsid w:val="00EF22D1"/>
    <w:rsid w:val="00EF246B"/>
    <w:rsid w:val="00EF24DB"/>
    <w:rsid w:val="00EF337B"/>
    <w:rsid w:val="00EF36F8"/>
    <w:rsid w:val="00EF3A04"/>
    <w:rsid w:val="00EF3B48"/>
    <w:rsid w:val="00EF3DDC"/>
    <w:rsid w:val="00EF45F5"/>
    <w:rsid w:val="00EF5051"/>
    <w:rsid w:val="00EF5331"/>
    <w:rsid w:val="00EF5ED1"/>
    <w:rsid w:val="00EF5FF5"/>
    <w:rsid w:val="00EF67C3"/>
    <w:rsid w:val="00EF710A"/>
    <w:rsid w:val="00EF71E0"/>
    <w:rsid w:val="00EF738A"/>
    <w:rsid w:val="00EF758D"/>
    <w:rsid w:val="00EF7742"/>
    <w:rsid w:val="00EF7B55"/>
    <w:rsid w:val="00EF7CCC"/>
    <w:rsid w:val="00F007B9"/>
    <w:rsid w:val="00F008C8"/>
    <w:rsid w:val="00F00D90"/>
    <w:rsid w:val="00F00E27"/>
    <w:rsid w:val="00F01512"/>
    <w:rsid w:val="00F015C5"/>
    <w:rsid w:val="00F0192D"/>
    <w:rsid w:val="00F019B3"/>
    <w:rsid w:val="00F01DA3"/>
    <w:rsid w:val="00F02B29"/>
    <w:rsid w:val="00F0381C"/>
    <w:rsid w:val="00F03B6D"/>
    <w:rsid w:val="00F03B7D"/>
    <w:rsid w:val="00F03FE0"/>
    <w:rsid w:val="00F0463C"/>
    <w:rsid w:val="00F05014"/>
    <w:rsid w:val="00F051DC"/>
    <w:rsid w:val="00F0541E"/>
    <w:rsid w:val="00F05FFD"/>
    <w:rsid w:val="00F0658A"/>
    <w:rsid w:val="00F065C9"/>
    <w:rsid w:val="00F0739D"/>
    <w:rsid w:val="00F0792F"/>
    <w:rsid w:val="00F10626"/>
    <w:rsid w:val="00F10D64"/>
    <w:rsid w:val="00F113B8"/>
    <w:rsid w:val="00F11582"/>
    <w:rsid w:val="00F11612"/>
    <w:rsid w:val="00F116F0"/>
    <w:rsid w:val="00F11DB1"/>
    <w:rsid w:val="00F12319"/>
    <w:rsid w:val="00F123C8"/>
    <w:rsid w:val="00F124B7"/>
    <w:rsid w:val="00F12614"/>
    <w:rsid w:val="00F1279B"/>
    <w:rsid w:val="00F12ACD"/>
    <w:rsid w:val="00F132AE"/>
    <w:rsid w:val="00F1358B"/>
    <w:rsid w:val="00F13677"/>
    <w:rsid w:val="00F13727"/>
    <w:rsid w:val="00F1389A"/>
    <w:rsid w:val="00F138A7"/>
    <w:rsid w:val="00F13B94"/>
    <w:rsid w:val="00F13C68"/>
    <w:rsid w:val="00F149C6"/>
    <w:rsid w:val="00F1509F"/>
    <w:rsid w:val="00F152EA"/>
    <w:rsid w:val="00F15571"/>
    <w:rsid w:val="00F1587A"/>
    <w:rsid w:val="00F15D39"/>
    <w:rsid w:val="00F15E0B"/>
    <w:rsid w:val="00F16056"/>
    <w:rsid w:val="00F1637B"/>
    <w:rsid w:val="00F16A5B"/>
    <w:rsid w:val="00F173E4"/>
    <w:rsid w:val="00F17506"/>
    <w:rsid w:val="00F204DB"/>
    <w:rsid w:val="00F20917"/>
    <w:rsid w:val="00F20A0C"/>
    <w:rsid w:val="00F20BB0"/>
    <w:rsid w:val="00F211CF"/>
    <w:rsid w:val="00F216FE"/>
    <w:rsid w:val="00F21DFA"/>
    <w:rsid w:val="00F21FFA"/>
    <w:rsid w:val="00F222E3"/>
    <w:rsid w:val="00F22392"/>
    <w:rsid w:val="00F231AE"/>
    <w:rsid w:val="00F23270"/>
    <w:rsid w:val="00F2368F"/>
    <w:rsid w:val="00F238E9"/>
    <w:rsid w:val="00F2429E"/>
    <w:rsid w:val="00F244F7"/>
    <w:rsid w:val="00F2493D"/>
    <w:rsid w:val="00F258C4"/>
    <w:rsid w:val="00F264AD"/>
    <w:rsid w:val="00F265F1"/>
    <w:rsid w:val="00F2671C"/>
    <w:rsid w:val="00F277B4"/>
    <w:rsid w:val="00F27CF5"/>
    <w:rsid w:val="00F27D8C"/>
    <w:rsid w:val="00F27F80"/>
    <w:rsid w:val="00F30BDD"/>
    <w:rsid w:val="00F30D89"/>
    <w:rsid w:val="00F313C6"/>
    <w:rsid w:val="00F314B9"/>
    <w:rsid w:val="00F3199B"/>
    <w:rsid w:val="00F31D6C"/>
    <w:rsid w:val="00F3256E"/>
    <w:rsid w:val="00F32E41"/>
    <w:rsid w:val="00F33561"/>
    <w:rsid w:val="00F338EA"/>
    <w:rsid w:val="00F33AF6"/>
    <w:rsid w:val="00F33D7B"/>
    <w:rsid w:val="00F33EF7"/>
    <w:rsid w:val="00F33F30"/>
    <w:rsid w:val="00F33F89"/>
    <w:rsid w:val="00F3403E"/>
    <w:rsid w:val="00F349F7"/>
    <w:rsid w:val="00F34F22"/>
    <w:rsid w:val="00F35071"/>
    <w:rsid w:val="00F35129"/>
    <w:rsid w:val="00F35357"/>
    <w:rsid w:val="00F35739"/>
    <w:rsid w:val="00F35D02"/>
    <w:rsid w:val="00F35F43"/>
    <w:rsid w:val="00F36006"/>
    <w:rsid w:val="00F361EA"/>
    <w:rsid w:val="00F36795"/>
    <w:rsid w:val="00F3784C"/>
    <w:rsid w:val="00F379D0"/>
    <w:rsid w:val="00F37BB9"/>
    <w:rsid w:val="00F37C83"/>
    <w:rsid w:val="00F37D2F"/>
    <w:rsid w:val="00F402AF"/>
    <w:rsid w:val="00F40524"/>
    <w:rsid w:val="00F405AD"/>
    <w:rsid w:val="00F4088B"/>
    <w:rsid w:val="00F40A39"/>
    <w:rsid w:val="00F40D3E"/>
    <w:rsid w:val="00F40E0C"/>
    <w:rsid w:val="00F41086"/>
    <w:rsid w:val="00F416F1"/>
    <w:rsid w:val="00F4262E"/>
    <w:rsid w:val="00F426E0"/>
    <w:rsid w:val="00F42D79"/>
    <w:rsid w:val="00F43045"/>
    <w:rsid w:val="00F43408"/>
    <w:rsid w:val="00F437DE"/>
    <w:rsid w:val="00F43929"/>
    <w:rsid w:val="00F43F54"/>
    <w:rsid w:val="00F44AD3"/>
    <w:rsid w:val="00F44C0B"/>
    <w:rsid w:val="00F44D87"/>
    <w:rsid w:val="00F44ED1"/>
    <w:rsid w:val="00F4501C"/>
    <w:rsid w:val="00F4533D"/>
    <w:rsid w:val="00F4555D"/>
    <w:rsid w:val="00F45F9B"/>
    <w:rsid w:val="00F45FF8"/>
    <w:rsid w:val="00F4694D"/>
    <w:rsid w:val="00F46ABC"/>
    <w:rsid w:val="00F46DF9"/>
    <w:rsid w:val="00F4729E"/>
    <w:rsid w:val="00F47348"/>
    <w:rsid w:val="00F47367"/>
    <w:rsid w:val="00F47A90"/>
    <w:rsid w:val="00F47E62"/>
    <w:rsid w:val="00F47F9C"/>
    <w:rsid w:val="00F509C1"/>
    <w:rsid w:val="00F50AEE"/>
    <w:rsid w:val="00F50B18"/>
    <w:rsid w:val="00F50C17"/>
    <w:rsid w:val="00F50D8A"/>
    <w:rsid w:val="00F51CA0"/>
    <w:rsid w:val="00F51EA7"/>
    <w:rsid w:val="00F51F78"/>
    <w:rsid w:val="00F524B1"/>
    <w:rsid w:val="00F5297F"/>
    <w:rsid w:val="00F52B40"/>
    <w:rsid w:val="00F52E3A"/>
    <w:rsid w:val="00F52EBF"/>
    <w:rsid w:val="00F52EC9"/>
    <w:rsid w:val="00F52FF8"/>
    <w:rsid w:val="00F530E4"/>
    <w:rsid w:val="00F5326E"/>
    <w:rsid w:val="00F536EC"/>
    <w:rsid w:val="00F53733"/>
    <w:rsid w:val="00F539EA"/>
    <w:rsid w:val="00F53CBC"/>
    <w:rsid w:val="00F542D7"/>
    <w:rsid w:val="00F54372"/>
    <w:rsid w:val="00F54524"/>
    <w:rsid w:val="00F54699"/>
    <w:rsid w:val="00F54DB8"/>
    <w:rsid w:val="00F54E23"/>
    <w:rsid w:val="00F55DB2"/>
    <w:rsid w:val="00F5641F"/>
    <w:rsid w:val="00F565E3"/>
    <w:rsid w:val="00F56698"/>
    <w:rsid w:val="00F57A0B"/>
    <w:rsid w:val="00F57CE5"/>
    <w:rsid w:val="00F604E2"/>
    <w:rsid w:val="00F60BD8"/>
    <w:rsid w:val="00F60D66"/>
    <w:rsid w:val="00F61682"/>
    <w:rsid w:val="00F61931"/>
    <w:rsid w:val="00F62534"/>
    <w:rsid w:val="00F635A1"/>
    <w:rsid w:val="00F63893"/>
    <w:rsid w:val="00F639B1"/>
    <w:rsid w:val="00F63A72"/>
    <w:rsid w:val="00F63E6F"/>
    <w:rsid w:val="00F64088"/>
    <w:rsid w:val="00F64CD1"/>
    <w:rsid w:val="00F64D5F"/>
    <w:rsid w:val="00F65203"/>
    <w:rsid w:val="00F655DF"/>
    <w:rsid w:val="00F65768"/>
    <w:rsid w:val="00F661EB"/>
    <w:rsid w:val="00F663C1"/>
    <w:rsid w:val="00F673F7"/>
    <w:rsid w:val="00F67407"/>
    <w:rsid w:val="00F6766D"/>
    <w:rsid w:val="00F709B5"/>
    <w:rsid w:val="00F70B81"/>
    <w:rsid w:val="00F71B92"/>
    <w:rsid w:val="00F71D1B"/>
    <w:rsid w:val="00F71E6C"/>
    <w:rsid w:val="00F7236A"/>
    <w:rsid w:val="00F723B4"/>
    <w:rsid w:val="00F727E1"/>
    <w:rsid w:val="00F72D6D"/>
    <w:rsid w:val="00F7344B"/>
    <w:rsid w:val="00F73961"/>
    <w:rsid w:val="00F7421D"/>
    <w:rsid w:val="00F744CE"/>
    <w:rsid w:val="00F746DC"/>
    <w:rsid w:val="00F748BE"/>
    <w:rsid w:val="00F74AA6"/>
    <w:rsid w:val="00F74C1D"/>
    <w:rsid w:val="00F74F6D"/>
    <w:rsid w:val="00F7507D"/>
    <w:rsid w:val="00F7510B"/>
    <w:rsid w:val="00F751A1"/>
    <w:rsid w:val="00F7588A"/>
    <w:rsid w:val="00F75CFC"/>
    <w:rsid w:val="00F768FE"/>
    <w:rsid w:val="00F76D9F"/>
    <w:rsid w:val="00F76DE9"/>
    <w:rsid w:val="00F770EB"/>
    <w:rsid w:val="00F7753F"/>
    <w:rsid w:val="00F77C92"/>
    <w:rsid w:val="00F8043C"/>
    <w:rsid w:val="00F807E4"/>
    <w:rsid w:val="00F818F7"/>
    <w:rsid w:val="00F81966"/>
    <w:rsid w:val="00F819D0"/>
    <w:rsid w:val="00F82171"/>
    <w:rsid w:val="00F82755"/>
    <w:rsid w:val="00F82DC2"/>
    <w:rsid w:val="00F83607"/>
    <w:rsid w:val="00F83E8E"/>
    <w:rsid w:val="00F83F7A"/>
    <w:rsid w:val="00F84223"/>
    <w:rsid w:val="00F84445"/>
    <w:rsid w:val="00F844B4"/>
    <w:rsid w:val="00F84991"/>
    <w:rsid w:val="00F853BE"/>
    <w:rsid w:val="00F85D9B"/>
    <w:rsid w:val="00F86070"/>
    <w:rsid w:val="00F86A4C"/>
    <w:rsid w:val="00F87090"/>
    <w:rsid w:val="00F8742A"/>
    <w:rsid w:val="00F87670"/>
    <w:rsid w:val="00F8784C"/>
    <w:rsid w:val="00F8789F"/>
    <w:rsid w:val="00F87A39"/>
    <w:rsid w:val="00F87B44"/>
    <w:rsid w:val="00F87BD7"/>
    <w:rsid w:val="00F905F7"/>
    <w:rsid w:val="00F908AD"/>
    <w:rsid w:val="00F90C55"/>
    <w:rsid w:val="00F91286"/>
    <w:rsid w:val="00F91F3A"/>
    <w:rsid w:val="00F9230D"/>
    <w:rsid w:val="00F924D9"/>
    <w:rsid w:val="00F92CDE"/>
    <w:rsid w:val="00F93EA0"/>
    <w:rsid w:val="00F93EB9"/>
    <w:rsid w:val="00F941EF"/>
    <w:rsid w:val="00F9469C"/>
    <w:rsid w:val="00F94971"/>
    <w:rsid w:val="00F94B56"/>
    <w:rsid w:val="00F94BF0"/>
    <w:rsid w:val="00F94DE5"/>
    <w:rsid w:val="00F95824"/>
    <w:rsid w:val="00F95C33"/>
    <w:rsid w:val="00F95DAE"/>
    <w:rsid w:val="00F95EE3"/>
    <w:rsid w:val="00F962DF"/>
    <w:rsid w:val="00F96502"/>
    <w:rsid w:val="00F968FA"/>
    <w:rsid w:val="00F97160"/>
    <w:rsid w:val="00F97C2C"/>
    <w:rsid w:val="00F97F95"/>
    <w:rsid w:val="00FA078B"/>
    <w:rsid w:val="00FA0EEE"/>
    <w:rsid w:val="00FA12BD"/>
    <w:rsid w:val="00FA145C"/>
    <w:rsid w:val="00FA1481"/>
    <w:rsid w:val="00FA1776"/>
    <w:rsid w:val="00FA179C"/>
    <w:rsid w:val="00FA1FA9"/>
    <w:rsid w:val="00FA21CC"/>
    <w:rsid w:val="00FA35B4"/>
    <w:rsid w:val="00FA3BB6"/>
    <w:rsid w:val="00FA3E93"/>
    <w:rsid w:val="00FA3F5B"/>
    <w:rsid w:val="00FA5528"/>
    <w:rsid w:val="00FA5AB9"/>
    <w:rsid w:val="00FA6037"/>
    <w:rsid w:val="00FA6351"/>
    <w:rsid w:val="00FA6D57"/>
    <w:rsid w:val="00FA6FC2"/>
    <w:rsid w:val="00FA702E"/>
    <w:rsid w:val="00FA72F4"/>
    <w:rsid w:val="00FA73E9"/>
    <w:rsid w:val="00FA791D"/>
    <w:rsid w:val="00FA7E7A"/>
    <w:rsid w:val="00FB0433"/>
    <w:rsid w:val="00FB0649"/>
    <w:rsid w:val="00FB0758"/>
    <w:rsid w:val="00FB07D0"/>
    <w:rsid w:val="00FB0938"/>
    <w:rsid w:val="00FB0BBD"/>
    <w:rsid w:val="00FB0E14"/>
    <w:rsid w:val="00FB15B9"/>
    <w:rsid w:val="00FB1BAD"/>
    <w:rsid w:val="00FB232B"/>
    <w:rsid w:val="00FB2665"/>
    <w:rsid w:val="00FB2B0D"/>
    <w:rsid w:val="00FB32DC"/>
    <w:rsid w:val="00FB3440"/>
    <w:rsid w:val="00FB35E0"/>
    <w:rsid w:val="00FB3DF0"/>
    <w:rsid w:val="00FB4321"/>
    <w:rsid w:val="00FB455E"/>
    <w:rsid w:val="00FB4F3B"/>
    <w:rsid w:val="00FB52D7"/>
    <w:rsid w:val="00FB52EB"/>
    <w:rsid w:val="00FB5305"/>
    <w:rsid w:val="00FB5823"/>
    <w:rsid w:val="00FB624D"/>
    <w:rsid w:val="00FB669A"/>
    <w:rsid w:val="00FB6829"/>
    <w:rsid w:val="00FB685E"/>
    <w:rsid w:val="00FB77C3"/>
    <w:rsid w:val="00FB7A3F"/>
    <w:rsid w:val="00FB7A73"/>
    <w:rsid w:val="00FC07E4"/>
    <w:rsid w:val="00FC09CB"/>
    <w:rsid w:val="00FC0EAD"/>
    <w:rsid w:val="00FC0ED5"/>
    <w:rsid w:val="00FC0EDE"/>
    <w:rsid w:val="00FC27C8"/>
    <w:rsid w:val="00FC2B66"/>
    <w:rsid w:val="00FC32BF"/>
    <w:rsid w:val="00FC341D"/>
    <w:rsid w:val="00FC38C3"/>
    <w:rsid w:val="00FC407C"/>
    <w:rsid w:val="00FC4282"/>
    <w:rsid w:val="00FC47FE"/>
    <w:rsid w:val="00FC5395"/>
    <w:rsid w:val="00FC5BBD"/>
    <w:rsid w:val="00FC5DC6"/>
    <w:rsid w:val="00FC63A1"/>
    <w:rsid w:val="00FC668B"/>
    <w:rsid w:val="00FC669E"/>
    <w:rsid w:val="00FC67DD"/>
    <w:rsid w:val="00FC697F"/>
    <w:rsid w:val="00FC6A6A"/>
    <w:rsid w:val="00FC7410"/>
    <w:rsid w:val="00FC78EF"/>
    <w:rsid w:val="00FC79E0"/>
    <w:rsid w:val="00FD03BC"/>
    <w:rsid w:val="00FD05EF"/>
    <w:rsid w:val="00FD0C66"/>
    <w:rsid w:val="00FD0ED9"/>
    <w:rsid w:val="00FD16D7"/>
    <w:rsid w:val="00FD268F"/>
    <w:rsid w:val="00FD2897"/>
    <w:rsid w:val="00FD2BAC"/>
    <w:rsid w:val="00FD2D7D"/>
    <w:rsid w:val="00FD4861"/>
    <w:rsid w:val="00FD4B91"/>
    <w:rsid w:val="00FD4C3F"/>
    <w:rsid w:val="00FD4CA3"/>
    <w:rsid w:val="00FD5043"/>
    <w:rsid w:val="00FD596B"/>
    <w:rsid w:val="00FD5B46"/>
    <w:rsid w:val="00FD6113"/>
    <w:rsid w:val="00FD637A"/>
    <w:rsid w:val="00FD64F2"/>
    <w:rsid w:val="00FD6E93"/>
    <w:rsid w:val="00FD719E"/>
    <w:rsid w:val="00FD71F4"/>
    <w:rsid w:val="00FD767A"/>
    <w:rsid w:val="00FD7888"/>
    <w:rsid w:val="00FD7979"/>
    <w:rsid w:val="00FE0111"/>
    <w:rsid w:val="00FE03B6"/>
    <w:rsid w:val="00FE0A05"/>
    <w:rsid w:val="00FE0C61"/>
    <w:rsid w:val="00FE1245"/>
    <w:rsid w:val="00FE157E"/>
    <w:rsid w:val="00FE1EAC"/>
    <w:rsid w:val="00FE237C"/>
    <w:rsid w:val="00FE23D5"/>
    <w:rsid w:val="00FE2E1F"/>
    <w:rsid w:val="00FE357D"/>
    <w:rsid w:val="00FE38A1"/>
    <w:rsid w:val="00FE4061"/>
    <w:rsid w:val="00FE42C2"/>
    <w:rsid w:val="00FE43EF"/>
    <w:rsid w:val="00FE4961"/>
    <w:rsid w:val="00FE4B39"/>
    <w:rsid w:val="00FE4CBF"/>
    <w:rsid w:val="00FE501D"/>
    <w:rsid w:val="00FE5CC9"/>
    <w:rsid w:val="00FE65A8"/>
    <w:rsid w:val="00FE6826"/>
    <w:rsid w:val="00FE6B74"/>
    <w:rsid w:val="00FE764B"/>
    <w:rsid w:val="00FE7A36"/>
    <w:rsid w:val="00FE7FF0"/>
    <w:rsid w:val="00FF00B3"/>
    <w:rsid w:val="00FF0907"/>
    <w:rsid w:val="00FF099D"/>
    <w:rsid w:val="00FF0C00"/>
    <w:rsid w:val="00FF0FFB"/>
    <w:rsid w:val="00FF14C5"/>
    <w:rsid w:val="00FF1879"/>
    <w:rsid w:val="00FF1A91"/>
    <w:rsid w:val="00FF1F4D"/>
    <w:rsid w:val="00FF1F95"/>
    <w:rsid w:val="00FF2BCD"/>
    <w:rsid w:val="00FF2C8A"/>
    <w:rsid w:val="00FF2E3A"/>
    <w:rsid w:val="00FF3102"/>
    <w:rsid w:val="00FF3444"/>
    <w:rsid w:val="00FF34EF"/>
    <w:rsid w:val="00FF3E11"/>
    <w:rsid w:val="00FF3E70"/>
    <w:rsid w:val="00FF4545"/>
    <w:rsid w:val="00FF45F0"/>
    <w:rsid w:val="00FF4C4C"/>
    <w:rsid w:val="00FF5226"/>
    <w:rsid w:val="00FF5DB2"/>
    <w:rsid w:val="00FF646C"/>
    <w:rsid w:val="00FF64A9"/>
    <w:rsid w:val="00FF6DFE"/>
    <w:rsid w:val="00FF6E12"/>
    <w:rsid w:val="00FF736C"/>
    <w:rsid w:val="00FF73C9"/>
    <w:rsid w:val="00FF75D2"/>
    <w:rsid w:val="00FF777A"/>
  </w:rsids>
  <m:mathPr>
    <m:mathFont m:val="Cambria Math"/>
    <m:brkBin m:val="before"/>
    <m:brkBinSub m:val="--"/>
    <m:smallFrac/>
    <m:dispDef/>
    <m:lMargin m:val="0"/>
    <m:rMargin m:val="0"/>
    <m:defJc m:val="centerGroup"/>
    <m:wrapIndent m:val="1440"/>
    <m:intLim m:val="subSup"/>
    <m:naryLim m:val="undOvr"/>
  </m:mathPr>
  <w:attachedSchema w:val="http://schemas.microsoft.com/office/word/2003/wordm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FDB1D9EA-75C4-4EA9-837B-302025F03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1">
    <w:lsdException w:name="heading 1" w:uiPriority="9" w:qFormat="1"/>
    <w:lsdException w:name="heading 2" w:uiPriority="9" w:qFormat="1"/>
    <w:lsdException w:name="heading 3" w:uiPriority="9" w:qFormat="1"/>
    <w:lsdException w:name="heading 4" w:qFormat="1"/>
    <w:lsdException w:name="heading 5" w:uiPriority="9"/>
    <w:lsdException w:name="heading 6"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uiPriority="61"/>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heme="minorEastAsia" w:hAnsiTheme="minorEastAsia"/>
      <w:snapToGrid w:val="0"/>
    </w:rPr>
  </w:style>
  <w:style w:type="paragraph" w:styleId="Heading1">
    <w:name w:val="heading 1"/>
    <w:basedOn w:val="Normal"/>
    <w:next w:val="Normal"/>
    <w:uiPriority w:val="9"/>
    <w:qFormat/>
    <w:pPr>
      <w:keepNext/>
      <w:numPr>
        <w:numId w:val="10"/>
      </w:numPr>
      <w:spacing w:before="1440" w:after="240"/>
      <w:jc w:val="center"/>
      <w:outlineLvl w:val="0"/>
    </w:pPr>
    <w:rPr>
      <w:rFonts w:cs="Arial"/>
      <w:b/>
      <w:bCs/>
      <w:caps/>
      <w:kern w:val="32"/>
      <w:sz w:val="32"/>
      <w:szCs w:val="32"/>
    </w:rPr>
  </w:style>
  <w:style w:type="paragraph" w:styleId="Heading2">
    <w:name w:val="heading 2"/>
    <w:basedOn w:val="Normal"/>
    <w:next w:val="Normal"/>
    <w:uiPriority w:val="9"/>
    <w:qFormat/>
    <w:pPr>
      <w:keepNext/>
      <w:keepLines/>
      <w:numPr>
        <w:numId w:val="11"/>
      </w:numPr>
      <w:spacing w:before="360" w:after="240"/>
      <w:ind w:left="0" w:firstLine="0"/>
      <w:jc w:val="center"/>
      <w:outlineLvl w:val="1"/>
    </w:pPr>
    <w:rPr>
      <w:rFonts w:cs="Arial"/>
      <w:b/>
      <w:bCs/>
      <w:iCs/>
      <w:smallCaps/>
      <w:szCs w:val="28"/>
    </w:rPr>
  </w:style>
  <w:style w:type="paragraph" w:styleId="Heading3">
    <w:name w:val="heading 3"/>
    <w:basedOn w:val="Normal"/>
    <w:next w:val="Normal"/>
    <w:uiPriority w:val="9"/>
    <w:qFormat/>
    <w:pPr>
      <w:keepNext/>
      <w:keepLines/>
      <w:spacing w:after="240"/>
      <w:outlineLvl w:val="2"/>
    </w:pPr>
    <w:rPr>
      <w:rFonts w:cs="Arial"/>
      <w:b/>
      <w:bCs/>
    </w:rPr>
  </w:style>
  <w:style w:type="paragraph" w:styleId="Heading4">
    <w:name w:val="heading 4"/>
    <w:basedOn w:val="Normal"/>
    <w:next w:val="Normal"/>
    <w:uiPriority w:val="9"/>
    <w:qFormat/>
    <w:pPr>
      <w:keepNext/>
      <w:keepLines/>
      <w:spacing w:before="240" w:after="240"/>
      <w:ind w:left="900" w:hanging="180"/>
      <w:outlineLvl w:val="3"/>
    </w:pPr>
    <w:rPr>
      <w:b/>
      <w:bCs/>
      <w:i/>
      <w:sz w:val="22"/>
      <w:szCs w:val="28"/>
    </w:rPr>
  </w:style>
  <w:style w:type="paragraph" w:styleId="Heading5">
    <w:name w:val="heading 5"/>
    <w:basedOn w:val="Heading4"/>
    <w:next w:val="Normal"/>
    <w:uiPriority w:val="9"/>
    <w:pPr>
      <w:ind w:left="1440"/>
      <w:outlineLvl w:val="4"/>
    </w:pPr>
  </w:style>
  <w:style w:type="paragraph" w:styleId="Heading6">
    <w:name w:val="heading 6"/>
    <w:aliases w:val="Heading 6-Annex 1"/>
    <w:basedOn w:val="Normal"/>
    <w:next w:val="Normal"/>
    <w:link w:val="Heading6Char"/>
    <w:uiPriority w:val="9"/>
    <w:qFormat/>
    <w:pPr>
      <w:tabs>
        <w:tab w:val="num" w:pos="1080"/>
      </w:tabs>
      <w:ind w:left="360" w:hanging="360"/>
      <w:outlineLvl w:val="5"/>
    </w:pPr>
    <w:rPr>
      <w:rFonts w:asciiTheme="minorHAnsi" w:hAnsiTheme="minorHAnsi"/>
      <w:b/>
      <w:szCs w:val="28"/>
    </w:rPr>
  </w:style>
  <w:style w:type="paragraph" w:styleId="Heading7">
    <w:name w:val="heading 7"/>
    <w:basedOn w:val="Normal"/>
    <w:next w:val="Normal"/>
    <w:link w:val="Heading7Char1"/>
    <w:uiPriority w:val="9"/>
    <w:pPr>
      <w:ind w:left="720"/>
      <w:outlineLvl w:val="6"/>
    </w:pPr>
    <w:rPr>
      <w:rFonts w:asciiTheme="minorHAnsi" w:hAnsiTheme="minorHAnsi"/>
      <w:b/>
      <w:i/>
      <w:sz w:val="20"/>
      <w:szCs w:val="22"/>
    </w:rPr>
  </w:style>
  <w:style w:type="paragraph" w:styleId="Heading8">
    <w:name w:val="heading 8"/>
    <w:basedOn w:val="Normal"/>
    <w:next w:val="Normal"/>
    <w:link w:val="Heading8Char1"/>
    <w:uiPriority w:val="9"/>
    <w:pPr>
      <w:spacing w:before="60"/>
      <w:outlineLvl w:val="7"/>
    </w:pPr>
    <w:rPr>
      <w:rFonts w:asciiTheme="minorHAnsi" w:hAnsiTheme="minorHAnsi"/>
      <w:b/>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Annexes">
    <w:name w:val="Heading 2 Annexes"/>
    <w:basedOn w:val="Heading2"/>
    <w:link w:val="DocumentMapChar1"/>
    <w:pPr>
      <w:numPr>
        <w:numId w:val="0"/>
      </w:numPr>
      <w:spacing w:before="0"/>
      <w:ind w:left="360"/>
    </w:pPr>
  </w:style>
  <w:style w:type="character" w:customStyle="1" w:styleId="Heading2Char">
    <w:name w:val="Heading 2 Char"/>
    <w:basedOn w:val="DefaultParagraphFont"/>
    <w:uiPriority w:val="9"/>
    <w:locked/>
    <w:rPr>
      <w:rFonts w:cs="Arial"/>
      <w:b/>
      <w:bCs/>
      <w:iCs/>
      <w:smallCaps/>
      <w:sz w:val="28"/>
      <w:szCs w:val="28"/>
    </w:rPr>
  </w:style>
  <w:style w:type="character" w:customStyle="1" w:styleId="Heading3Char">
    <w:name w:val="Heading 3 Char"/>
    <w:basedOn w:val="DefaultParagraphFont"/>
    <w:uiPriority w:val="9"/>
    <w:locked/>
    <w:rPr>
      <w:rFonts w:eastAsiaTheme="minorEastAsia" w:cs="Arial"/>
      <w:b/>
      <w:bCs/>
    </w:rPr>
  </w:style>
  <w:style w:type="character" w:customStyle="1" w:styleId="Heading4Char">
    <w:name w:val="Heading 4 Char"/>
    <w:basedOn w:val="DefaultParagraphFont"/>
    <w:uiPriority w:val="9"/>
    <w:locked/>
    <w:rPr>
      <w:rFonts w:eastAsiaTheme="minorEastAsia" w:cs="Times New Roman"/>
      <w:b/>
      <w:bCs/>
      <w:i/>
      <w:sz w:val="28"/>
      <w:szCs w:val="28"/>
    </w:rPr>
  </w:style>
  <w:style w:type="character" w:customStyle="1" w:styleId="Heading5Char">
    <w:name w:val="Heading 5 Char"/>
    <w:basedOn w:val="DefaultParagraphFont"/>
    <w:uiPriority w:val="9"/>
    <w:locked/>
    <w:rPr>
      <w:rFonts w:eastAsiaTheme="minorEastAsia" w:cs="Times New Roman"/>
      <w:b/>
      <w:bCs/>
      <w:i/>
      <w:sz w:val="28"/>
      <w:szCs w:val="28"/>
    </w:rPr>
  </w:style>
  <w:style w:type="character" w:customStyle="1" w:styleId="FootnoteTextChar1">
    <w:name w:val="Footnote Text Char1"/>
    <w:aliases w:val="fn Char1,footnote Char1,text Char1,single space Char1,FOOTNOTES Char1,ADB Char1,WB-Fußnotentext Char1,Footnote Char1,Fußnote Char1,Footnote Text Char1 Char Char1,Footnote Text Char Char Char1 Char1,f Cha"/>
    <w:basedOn w:val="DefaultParagraphFont"/>
    <w:uiPriority w:val="99"/>
    <w:locked/>
    <w:rPr>
      <w:rFonts w:asciiTheme="minorEastAsia" w:eastAsiaTheme="minorEastAsia" w:cs="Times New Roman"/>
      <w:sz w:val="20"/>
      <w:szCs w:val="20"/>
    </w:rPr>
  </w:style>
  <w:style w:type="character" w:customStyle="1" w:styleId="Heading7Char">
    <w:name w:val="Heading 7 Char"/>
    <w:basedOn w:val="DefaultParagraphFont"/>
    <w:uiPriority w:val="9"/>
    <w:locked/>
    <w:rPr>
      <w:rFonts w:asciiTheme="minorHAnsi" w:hAnsiTheme="minorHAnsi" w:cs="Times New Roman"/>
      <w:b/>
      <w:i/>
      <w:sz w:val="22"/>
      <w:szCs w:val="22"/>
    </w:rPr>
  </w:style>
  <w:style w:type="character" w:customStyle="1" w:styleId="Heading8Char">
    <w:name w:val="Heading 8 Char"/>
    <w:basedOn w:val="DefaultParagraphFont"/>
    <w:uiPriority w:val="9"/>
    <w:locked/>
    <w:rPr>
      <w:rFonts w:asciiTheme="minorHAnsi" w:hAnsiTheme="minorHAnsi" w:cs="Times New Roman"/>
      <w:b/>
      <w:sz w:val="22"/>
      <w:szCs w:val="22"/>
      <w:lang w:val="en-GB"/>
    </w:rPr>
  </w:style>
  <w:style w:type="paragraph" w:styleId="BalloonText">
    <w:name w:val="Balloon Text"/>
    <w:basedOn w:val="Normal"/>
    <w:link w:val="BalloonTextChar2"/>
    <w:uiPriority w:val="99"/>
    <w:semiHidden/>
    <w:rPr>
      <w:rFonts w:eastAsiaTheme="minorEastAsia"/>
      <w:sz w:val="16"/>
      <w:szCs w:val="16"/>
    </w:rPr>
  </w:style>
  <w:style w:type="character" w:customStyle="1" w:styleId="BalloonTextChar">
    <w:name w:val="Balloon Text Char"/>
    <w:basedOn w:val="DefaultParagraphFont"/>
    <w:uiPriority w:val="99"/>
    <w:semiHidden/>
    <w:locked/>
    <w:rPr>
      <w:rFonts w:asciiTheme="minorEastAsia" w:eastAsiaTheme="minorEastAsia" w:cs="Times New Roman"/>
      <w:sz w:val="16"/>
      <w:szCs w:val="16"/>
    </w:rPr>
  </w:style>
  <w:style w:type="paragraph" w:styleId="BodyText">
    <w:name w:val="Body Text"/>
    <w:basedOn w:val="Normal"/>
    <w:uiPriority w:val="99"/>
  </w:style>
  <w:style w:type="character" w:customStyle="1" w:styleId="BodyTextChar">
    <w:name w:val="Body Text Char"/>
    <w:basedOn w:val="DefaultParagraphFont"/>
    <w:uiPriority w:val="99"/>
    <w:locked/>
    <w:rPr>
      <w:rFonts w:asciiTheme="minorEastAsia" w:eastAsiaTheme="minorEastAsia" w:cs="Times New Roman"/>
      <w:sz w:val="20"/>
      <w:szCs w:val="20"/>
    </w:rPr>
  </w:style>
  <w:style w:type="character" w:customStyle="1" w:styleId="Heading6Char">
    <w:name w:val="Heading 6 Char"/>
    <w:aliases w:val="Heading 6-Annex 1 Char"/>
    <w:basedOn w:val="DefaultParagraphFont"/>
    <w:link w:val="Heading6"/>
    <w:uiPriority w:val="99"/>
    <w:semiHidden/>
    <w:rPr>
      <w:rFonts w:asciiTheme="minorEastAsia" w:eastAsiaTheme="minorEastAsia" w:cs="Times New Roman"/>
      <w:sz w:val="18"/>
      <w:szCs w:val="18"/>
    </w:rPr>
  </w:style>
  <w:style w:type="character" w:customStyle="1" w:styleId="Heading7Char1">
    <w:name w:val="Heading 7 Char1"/>
    <w:basedOn w:val="DefaultParagraphFont"/>
    <w:link w:val="Heading7"/>
    <w:uiPriority w:val="99"/>
    <w:semiHidden/>
    <w:rPr>
      <w:rFonts w:asciiTheme="minorEastAsia" w:eastAsiaTheme="minorEastAsia" w:cs="Times New Roman"/>
      <w:sz w:val="18"/>
      <w:szCs w:val="18"/>
    </w:rPr>
  </w:style>
  <w:style w:type="character" w:customStyle="1" w:styleId="Heading8Char1">
    <w:name w:val="Heading 8 Char1"/>
    <w:basedOn w:val="DefaultParagraphFont"/>
    <w:link w:val="Heading8"/>
    <w:uiPriority w:val="99"/>
    <w:semiHidden/>
    <w:rPr>
      <w:rFonts w:asciiTheme="minorEastAsia" w:eastAsiaTheme="minorEastAsia" w:cs="Times New Roman"/>
      <w:sz w:val="18"/>
      <w:szCs w:val="18"/>
    </w:rPr>
  </w:style>
  <w:style w:type="character" w:customStyle="1" w:styleId="BalloonTextChar3">
    <w:name w:val="Balloon Text Char3"/>
    <w:basedOn w:val="DefaultParagraphFont"/>
    <w:uiPriority w:val="99"/>
    <w:semiHidden/>
    <w:rPr>
      <w:rFonts w:asciiTheme="minorEastAsia" w:eastAsiaTheme="minorEastAsia" w:cs="Times New Roman"/>
      <w:sz w:val="18"/>
      <w:szCs w:val="18"/>
    </w:rPr>
  </w:style>
  <w:style w:type="character" w:customStyle="1" w:styleId="BalloonTextChar2">
    <w:name w:val="Balloon Text Char2"/>
    <w:basedOn w:val="DefaultParagraphFont"/>
    <w:link w:val="BalloonText"/>
    <w:uiPriority w:val="99"/>
    <w:semiHidden/>
    <w:rPr>
      <w:rFonts w:asciiTheme="minorEastAsia" w:eastAsiaTheme="minorEastAsia" w:cs="Times New Roman"/>
      <w:sz w:val="18"/>
      <w:szCs w:val="18"/>
    </w:rPr>
  </w:style>
  <w:style w:type="paragraph" w:customStyle="1" w:styleId="Abbreviations">
    <w:name w:val="Abbreviations"/>
    <w:basedOn w:val="Normal"/>
    <w:pPr>
      <w:spacing w:before="4" w:after="4"/>
    </w:pPr>
    <w:rPr>
      <w:sz w:val="20"/>
    </w:rPr>
  </w:style>
  <w:style w:type="paragraph" w:styleId="BodyTextIndent3">
    <w:name w:val="Body Text Indent 3"/>
    <w:basedOn w:val="Normal"/>
    <w:link w:val="Strong"/>
    <w:uiPriority w:val="99"/>
    <w:pPr>
      <w:spacing w:after="120"/>
      <w:ind w:left="360"/>
    </w:pPr>
    <w:rPr>
      <w:sz w:val="16"/>
      <w:szCs w:val="16"/>
    </w:rPr>
  </w:style>
  <w:style w:type="character" w:customStyle="1" w:styleId="BodyTextIndent3Char">
    <w:name w:val="Body Text Indent 3 Char"/>
    <w:basedOn w:val="DefaultParagraphFont"/>
    <w:uiPriority w:val="99"/>
    <w:locked/>
    <w:rPr>
      <w:rFonts w:asciiTheme="minorEastAsia" w:eastAsiaTheme="minorEastAsia" w:cs="Times New Roman"/>
      <w:sz w:val="16"/>
      <w:szCs w:val="16"/>
    </w:rPr>
  </w:style>
  <w:style w:type="paragraph" w:customStyle="1" w:styleId="Bullet">
    <w:name w:val="Bullet"/>
    <w:basedOn w:val="ListParagraph"/>
    <w:pPr>
      <w:numPr>
        <w:numId w:val="16"/>
      </w:numPr>
      <w:ind w:hanging="720"/>
    </w:pPr>
  </w:style>
  <w:style w:type="paragraph" w:customStyle="1" w:styleId="Bullet2">
    <w:name w:val="Bullet 2"/>
    <w:basedOn w:val="Bullet"/>
    <w:pPr>
      <w:numPr>
        <w:ilvl w:val="1"/>
        <w:numId w:val="5"/>
      </w:numPr>
    </w:pPr>
  </w:style>
  <w:style w:type="paragraph" w:styleId="Caption">
    <w:name w:val="caption"/>
    <w:aliases w:val="Caption Char Char Char,Caption1 Char,Caption1"/>
    <w:basedOn w:val="Normal"/>
    <w:next w:val="Normal"/>
    <w:uiPriority w:val="35"/>
    <w:qFormat/>
    <w:rPr>
      <w:b/>
      <w:bCs/>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basedOn w:val="DefaultParagraphFont"/>
    <w:uiPriority w:val="99"/>
    <w:locked/>
    <w:rPr>
      <w:rFonts w:asciiTheme="minorEastAsia" w:eastAsiaTheme="minorEastAsia" w:cs="Times New Roman"/>
      <w:sz w:val="24"/>
      <w:szCs w:val="24"/>
    </w:rPr>
  </w:style>
  <w:style w:type="character" w:styleId="FootnoteReference">
    <w:name w:val="footnote reference"/>
    <w:aliases w:val="Ref,de nota al pie,16 Point,Superscript 6 Point,ftref,Footnote Reference Number,Footnote Reference1,Footnotes refss,BVI fnr,Char Char Char Char Car Char,Footnote Reference 2,Error-Fußnotenzeichen5,Error-Fußnotenzeichen6,fr,F"/>
    <w:basedOn w:val="DefaultParagraphFont"/>
    <w:uiPriority w:val="99"/>
    <w:rPr>
      <w:rFonts w:cs="Times New Roman"/>
      <w:sz w:val="20"/>
      <w:vertAlign w:val="superscript"/>
    </w:rPr>
  </w:style>
  <w:style w:type="paragraph" w:styleId="FootnoteText">
    <w:name w:val="footnote text"/>
    <w:aliases w:val="fn,footnote,text,single space,FOOTNOTES,ADB,WB-Fußnotentext,Footnote,Fußnote,Footnote Text Char1 Char,Footnote Text Char Char Char1,Footnote Text Char1 Char Char Char1,Footnote Text Char1 Char1 Char,fn1,ft,ALTS FOOTNOTE,f,FN,WB-Fu?notente"/>
    <w:basedOn w:val="Normal"/>
    <w:uiPriority w:val="99"/>
    <w:qFormat/>
  </w:style>
  <w:style w:type="character" w:customStyle="1" w:styleId="FootnoteTextChar">
    <w:name w:val="Footnote Text Char"/>
    <w:aliases w:val="fn Char,footnote Char,text Char,single space Char,FOOTNOTES Char,ADB Char,WB-Fußnotentext Char,Footnote Char,Fußnote Char,Footnote Text Char1 Char Char,Footnote Text Char Char Char1 Char,Footnote Text Char1 Char Char Char1 Char,f Char"/>
    <w:basedOn w:val="DefaultParagraphFont"/>
    <w:uiPriority w:val="99"/>
    <w:semiHidden/>
    <w:rPr>
      <w:rFonts w:asciiTheme="minorEastAsia" w:hAnsiTheme="minorEastAsia"/>
      <w:snapToGrid w:val="0"/>
      <w:sz w:val="20"/>
      <w:szCs w:val="20"/>
    </w:rPr>
  </w:style>
  <w:style w:type="paragraph" w:customStyle="1" w:styleId="MainParanoChapter-ExecSum">
    <w:name w:val="Main Para no Chapter-Exec Sum"/>
    <w:basedOn w:val="ListParagraph"/>
  </w:style>
  <w:style w:type="paragraph" w:styleId="ListBullet5">
    <w:name w:val="List Bullet 5"/>
    <w:basedOn w:val="Normal"/>
    <w:uiPriority w:val="99"/>
    <w:pPr>
      <w:spacing w:after="220" w:line="270" w:lineRule="exact"/>
      <w:contextualSpacing/>
    </w:pPr>
    <w:rPr>
      <w:rFonts w:ascii="Book Antiqua" w:hAnsi="Book Antiqua"/>
    </w:rPr>
  </w:style>
  <w:style w:type="paragraph" w:styleId="ListBullet4">
    <w:name w:val="List Bullet 4"/>
    <w:basedOn w:val="Normal"/>
    <w:uiPriority w:val="99"/>
    <w:pPr>
      <w:tabs>
        <w:tab w:val="num" w:pos="1800"/>
      </w:tabs>
      <w:spacing w:after="220" w:line="270" w:lineRule="exact"/>
      <w:ind w:left="1800" w:hanging="360"/>
      <w:contextualSpacing/>
    </w:pPr>
    <w:rPr>
      <w:rFonts w:ascii="Book Antiqua" w:hAnsi="Book Antiqua"/>
    </w:rPr>
  </w:style>
  <w:style w:type="paragraph" w:styleId="ListBullet3">
    <w:name w:val="List Bullet 3"/>
    <w:basedOn w:val="Normal"/>
    <w:uiPriority w:val="99"/>
    <w:pPr>
      <w:tabs>
        <w:tab w:val="num" w:pos="1440"/>
      </w:tabs>
      <w:spacing w:after="220" w:line="270" w:lineRule="exact"/>
      <w:ind w:left="1440" w:hanging="360"/>
      <w:contextualSpacing/>
    </w:pPr>
    <w:rPr>
      <w:rFonts w:ascii="Book Antiqua" w:hAnsi="Book Antiqua"/>
    </w:rPr>
  </w:style>
  <w:style w:type="paragraph" w:styleId="ListBullet2">
    <w:name w:val="List Bullet 2"/>
    <w:basedOn w:val="Normal"/>
    <w:uiPriority w:val="99"/>
    <w:pPr>
      <w:tabs>
        <w:tab w:val="num" w:pos="1080"/>
      </w:tabs>
      <w:spacing w:after="220" w:line="270" w:lineRule="exact"/>
      <w:ind w:left="1080" w:hanging="360"/>
      <w:contextualSpacing/>
    </w:pPr>
    <w:rPr>
      <w:rFonts w:ascii="Book Antiqua" w:hAnsi="Book Antiqua"/>
    </w:rPr>
  </w:style>
  <w:style w:type="paragraph" w:styleId="ListBullet">
    <w:name w:val="List Bullet"/>
    <w:basedOn w:val="Normal"/>
    <w:uiPriority w:val="99"/>
    <w:pPr>
      <w:numPr>
        <w:ilvl w:val="1"/>
        <w:numId w:val="6"/>
      </w:numPr>
      <w:spacing w:after="220" w:line="270" w:lineRule="exact"/>
      <w:contextualSpacing/>
    </w:pPr>
    <w:rPr>
      <w:rFonts w:ascii="Book Antiqua" w:hAnsi="Book Antiqua"/>
    </w:rPr>
  </w:style>
  <w:style w:type="character" w:styleId="Hyperlink">
    <w:name w:val="Hyperlink"/>
    <w:basedOn w:val="DefaultParagraphFont"/>
    <w:uiPriority w:val="99"/>
    <w:rPr>
      <w:rFonts w:cs="Times New Roman"/>
      <w:color w:val="0000FF"/>
      <w:u w:val="single"/>
    </w:rPr>
  </w:style>
  <w:style w:type="paragraph" w:customStyle="1" w:styleId="Heading3notoc">
    <w:name w:val="Heading 3 no toc"/>
    <w:basedOn w:val="Heading3"/>
  </w:style>
  <w:style w:type="paragraph" w:customStyle="1" w:styleId="Heading2b">
    <w:name w:val="Heading 2b"/>
    <w:basedOn w:val="Heading2"/>
    <w:pPr>
      <w:spacing w:after="0"/>
    </w:pPr>
    <w:rPr>
      <w:sz w:val="28"/>
    </w:rPr>
  </w:style>
  <w:style w:type="paragraph" w:customStyle="1" w:styleId="Heading2anotoc">
    <w:name w:val="Heading 2a no toc"/>
    <w:basedOn w:val="Heading1Anotoc"/>
    <w:pPr>
      <w:spacing w:after="120"/>
    </w:pPr>
    <w:rPr>
      <w:iCs/>
      <w:smallCaps w:val="0"/>
      <w:szCs w:val="24"/>
    </w:rPr>
  </w:style>
  <w:style w:type="paragraph" w:customStyle="1" w:styleId="Heading2-14pt">
    <w:name w:val="Heading 2-14pt"/>
    <w:basedOn w:val="Heading2"/>
    <w:link w:val="TitleChar1"/>
    <w:rPr>
      <w:sz w:val="28"/>
    </w:rPr>
  </w:style>
  <w:style w:type="paragraph" w:customStyle="1" w:styleId="Heading2notoc">
    <w:name w:val="Heading 2 no toc"/>
    <w:basedOn w:val="Heading2"/>
    <w:pPr>
      <w:numPr>
        <w:numId w:val="0"/>
      </w:numPr>
    </w:pPr>
    <w:rPr>
      <w:rFonts w:eastAsiaTheme="minorEastAsia"/>
    </w:rPr>
  </w:style>
  <w:style w:type="character" w:customStyle="1" w:styleId="Heading2AnnexesChar">
    <w:name w:val="Heading 2 Annexes Char"/>
    <w:basedOn w:val="Heading2Char"/>
    <w:locked/>
    <w:rPr>
      <w:rFonts w:cs="Arial"/>
      <w:b/>
      <w:bCs/>
      <w:iCs/>
      <w:smallCaps/>
      <w:sz w:val="28"/>
      <w:szCs w:val="28"/>
    </w:rPr>
  </w:style>
  <w:style w:type="paragraph" w:customStyle="1" w:styleId="Heading1a-coversheet">
    <w:name w:val="Heading 1a-cover sheet"/>
    <w:basedOn w:val="Normal"/>
    <w:next w:val="Normal"/>
    <w:pPr>
      <w:keepNext/>
      <w:keepLines/>
      <w:jc w:val="center"/>
      <w:outlineLvl w:val="0"/>
    </w:pPr>
    <w:rPr>
      <w:rFonts w:eastAsiaTheme="minorEastAsia"/>
      <w:b/>
      <w:smallCaps/>
      <w:sz w:val="40"/>
      <w:szCs w:val="40"/>
    </w:rPr>
  </w:style>
  <w:style w:type="paragraph" w:customStyle="1" w:styleId="Heading1Anotoc">
    <w:name w:val="Heading 1A no toc"/>
    <w:basedOn w:val="Heading2"/>
    <w:rPr>
      <w:rFonts w:eastAsiaTheme="minorEastAsia"/>
      <w:i/>
      <w:iCs w:val="0"/>
    </w:rPr>
  </w:style>
  <w:style w:type="paragraph" w:customStyle="1" w:styleId="Heading1a">
    <w:name w:val="Heading 1a"/>
    <w:basedOn w:val="Normal"/>
    <w:next w:val="Normal"/>
    <w:pPr>
      <w:keepNext/>
      <w:keepLines/>
      <w:spacing w:after="240"/>
      <w:jc w:val="center"/>
      <w:outlineLvl w:val="0"/>
    </w:pPr>
    <w:rPr>
      <w:rFonts w:eastAsiaTheme="minorEastAsia"/>
      <w:b/>
      <w:smallCaps/>
      <w:sz w:val="40"/>
      <w:szCs w:val="40"/>
    </w:rPr>
  </w:style>
  <w:style w:type="paragraph" w:customStyle="1" w:styleId="Heading1notoc20pt">
    <w:name w:val="Heading 1 no toc + 20 pt"/>
    <w:basedOn w:val="Normal"/>
    <w:pPr>
      <w:keepNext/>
      <w:keepLines/>
      <w:spacing w:before="120" w:after="120"/>
      <w:jc w:val="center"/>
      <w:outlineLvl w:val="1"/>
    </w:pPr>
    <w:rPr>
      <w:rFonts w:eastAsiaTheme="minorEastAsia" w:cs="Arial"/>
      <w:b/>
      <w:bCs/>
      <w:sz w:val="40"/>
    </w:rPr>
  </w:style>
  <w:style w:type="paragraph" w:styleId="Header">
    <w:name w:val="header"/>
    <w:basedOn w:val="Normal"/>
    <w:uiPriority w:val="99"/>
    <w:pPr>
      <w:tabs>
        <w:tab w:val="center" w:pos="4320"/>
        <w:tab w:val="right" w:pos="8640"/>
      </w:tabs>
    </w:pPr>
  </w:style>
  <w:style w:type="character" w:customStyle="1" w:styleId="HeaderChar">
    <w:name w:val="Header Char"/>
    <w:basedOn w:val="DefaultParagraphFont"/>
    <w:uiPriority w:val="99"/>
    <w:semiHidden/>
    <w:rPr>
      <w:rFonts w:asciiTheme="minorEastAsia" w:hAnsiTheme="minorEastAsia"/>
      <w:snapToGrid w:val="0"/>
    </w:rPr>
  </w:style>
  <w:style w:type="character" w:customStyle="1" w:styleId="HeaderChar1">
    <w:name w:val="Header Char1"/>
    <w:basedOn w:val="DefaultParagraphFont"/>
    <w:locked/>
    <w:rPr>
      <w:rFonts w:asciiTheme="minorEastAsia" w:eastAsiaTheme="minorEastAsia" w:cs="Times New Roman"/>
      <w:sz w:val="24"/>
      <w:szCs w:val="24"/>
    </w:rPr>
  </w:style>
  <w:style w:type="paragraph" w:customStyle="1" w:styleId="MainParanoChapter">
    <w:name w:val="Main Para no Chapter #"/>
    <w:basedOn w:val="Normal"/>
    <w:pPr>
      <w:numPr>
        <w:numId w:val="4"/>
      </w:numPr>
      <w:tabs>
        <w:tab w:val="clear" w:pos="1080"/>
        <w:tab w:val="num" w:pos="720"/>
        <w:tab w:val="num" w:pos="1440"/>
      </w:tabs>
      <w:spacing w:after="240"/>
      <w:jc w:val="both"/>
      <w:outlineLvl w:val="1"/>
    </w:pPr>
    <w:rPr>
      <w:spacing w:val="2"/>
    </w:rPr>
  </w:style>
  <w:style w:type="paragraph" w:customStyle="1" w:styleId="MainparanochapterAnnex2">
    <w:name w:val="Main para no chapter # Annex 2"/>
    <w:basedOn w:val="Normal"/>
    <w:link w:val="ListParagraphChar"/>
    <w:pPr>
      <w:numPr>
        <w:numId w:val="7"/>
      </w:numPr>
      <w:spacing w:after="240"/>
      <w:jc w:val="both"/>
    </w:pPr>
  </w:style>
  <w:style w:type="paragraph" w:customStyle="1" w:styleId="MainparanochapterAnnexcop">
    <w:name w:val="Main para no chapter # Annex c op"/>
    <w:basedOn w:val="MainParanoChapter"/>
    <w:pPr>
      <w:numPr>
        <w:numId w:val="0"/>
      </w:numPr>
      <w:tabs>
        <w:tab w:val="clear" w:pos="1440"/>
      </w:tabs>
    </w:pPr>
  </w:style>
  <w:style w:type="paragraph" w:customStyle="1" w:styleId="MainparanochapterAnnexD">
    <w:name w:val="Main para no chapter # Annex D"/>
    <w:basedOn w:val="Normal"/>
    <w:pPr>
      <w:spacing w:after="240"/>
      <w:jc w:val="both"/>
    </w:pPr>
    <w:rPr>
      <w:rFonts w:eastAsiaTheme="minorEastAsia"/>
      <w:bCs/>
      <w:iCs/>
    </w:rPr>
  </w:style>
  <w:style w:type="paragraph" w:customStyle="1" w:styleId="MainparanochapterAnnexE">
    <w:name w:val="Main para no chapter # Annex E"/>
    <w:basedOn w:val="Normal"/>
    <w:link w:val="NoSpacingChar"/>
    <w:pPr>
      <w:numPr>
        <w:numId w:val="8"/>
      </w:numPr>
      <w:spacing w:after="240"/>
      <w:jc w:val="both"/>
    </w:pPr>
  </w:style>
  <w:style w:type="paragraph" w:customStyle="1" w:styleId="Mainparanochaptermaindoc">
    <w:name w:val="Main para no chapter main doc"/>
    <w:basedOn w:val="Normal"/>
    <w:pPr>
      <w:spacing w:after="240"/>
      <w:jc w:val="both"/>
      <w:outlineLvl w:val="1"/>
    </w:pPr>
  </w:style>
  <w:style w:type="paragraph" w:customStyle="1" w:styleId="MainParawithChapter">
    <w:name w:val="Main Para with Chapter#"/>
    <w:basedOn w:val="Normal"/>
    <w:pPr>
      <w:spacing w:after="240"/>
      <w:outlineLvl w:val="1"/>
    </w:pPr>
  </w:style>
  <w:style w:type="character" w:styleId="PageNumber">
    <w:name w:val="page number"/>
    <w:basedOn w:val="DefaultParagraphFont"/>
    <w:uiPriority w:val="99"/>
    <w:rPr>
      <w:rFonts w:cs="Times New Roman"/>
    </w:rPr>
  </w:style>
  <w:style w:type="paragraph" w:customStyle="1" w:styleId="StyleMainParanoChapterAnnexC">
    <w:name w:val="Style Main Para no Chapter # Annex C"/>
    <w:basedOn w:val="MainParanoChapter"/>
    <w:pPr>
      <w:numPr>
        <w:numId w:val="0"/>
      </w:numPr>
      <w:tabs>
        <w:tab w:val="clear" w:pos="1440"/>
      </w:tabs>
      <w:spacing w:before="100" w:after="0"/>
    </w:pPr>
    <w:rPr>
      <w:szCs w:val="20"/>
    </w:rPr>
  </w:style>
  <w:style w:type="paragraph" w:customStyle="1" w:styleId="Sub-Para1underX">
    <w:name w:val="Sub-Para 1 under X."/>
    <w:basedOn w:val="Normal"/>
    <w:pPr>
      <w:numPr>
        <w:ilvl w:val="1"/>
        <w:numId w:val="10"/>
      </w:numPr>
      <w:spacing w:after="240"/>
      <w:outlineLvl w:val="2"/>
    </w:pPr>
  </w:style>
  <w:style w:type="paragraph" w:customStyle="1" w:styleId="Sub-Para1underXY">
    <w:name w:val="Sub-Para 1 under X.Y"/>
    <w:basedOn w:val="Normal"/>
    <w:pPr>
      <w:numPr>
        <w:ilvl w:val="2"/>
        <w:numId w:val="1"/>
      </w:numPr>
      <w:tabs>
        <w:tab w:val="num" w:pos="-720"/>
        <w:tab w:val="num" w:pos="1080"/>
      </w:tabs>
      <w:spacing w:after="240"/>
      <w:ind w:left="720"/>
      <w:outlineLvl w:val="2"/>
    </w:pPr>
  </w:style>
  <w:style w:type="paragraph" w:customStyle="1" w:styleId="Sub-Para2underX">
    <w:name w:val="Sub-Para 2 under X."/>
    <w:basedOn w:val="Normal"/>
    <w:link w:val="CommentSubjectChar1"/>
    <w:pPr>
      <w:numPr>
        <w:ilvl w:val="2"/>
        <w:numId w:val="10"/>
      </w:numPr>
      <w:spacing w:after="240"/>
      <w:outlineLvl w:val="3"/>
    </w:pPr>
  </w:style>
  <w:style w:type="paragraph" w:customStyle="1" w:styleId="Sub-Para2underXY">
    <w:name w:val="Sub-Para 2 under X.Y"/>
    <w:basedOn w:val="Normal"/>
    <w:pPr>
      <w:numPr>
        <w:ilvl w:val="3"/>
        <w:numId w:val="1"/>
      </w:numPr>
      <w:tabs>
        <w:tab w:val="clear" w:pos="1440"/>
        <w:tab w:val="num" w:pos="0"/>
        <w:tab w:val="num" w:pos="1800"/>
        <w:tab w:val="num" w:pos="2160"/>
      </w:tabs>
      <w:spacing w:after="240"/>
      <w:ind w:left="1080"/>
      <w:outlineLvl w:val="3"/>
    </w:pPr>
  </w:style>
  <w:style w:type="paragraph" w:customStyle="1" w:styleId="Sub-Para3underX">
    <w:name w:val="Sub-Para 3 under X."/>
    <w:basedOn w:val="Normal"/>
    <w:pPr>
      <w:numPr>
        <w:ilvl w:val="3"/>
        <w:numId w:val="10"/>
      </w:numPr>
      <w:spacing w:after="240"/>
      <w:outlineLvl w:val="4"/>
    </w:pPr>
  </w:style>
  <w:style w:type="paragraph" w:customStyle="1" w:styleId="Sub-Para3underXY">
    <w:name w:val="Sub-Para 3 under X.Y"/>
    <w:basedOn w:val="Normal"/>
    <w:link w:val="ColorfulList-Accent1Char"/>
    <w:pPr>
      <w:numPr>
        <w:ilvl w:val="4"/>
        <w:numId w:val="3"/>
      </w:numPr>
      <w:tabs>
        <w:tab w:val="num" w:pos="720"/>
        <w:tab w:val="num" w:pos="1800"/>
      </w:tabs>
      <w:spacing w:after="240"/>
      <w:outlineLvl w:val="4"/>
    </w:pPr>
  </w:style>
  <w:style w:type="paragraph" w:customStyle="1" w:styleId="Sub-Para4underX">
    <w:name w:val="Sub-Para 4 under X."/>
    <w:basedOn w:val="Normal"/>
    <w:pPr>
      <w:numPr>
        <w:ilvl w:val="4"/>
        <w:numId w:val="10"/>
      </w:numPr>
      <w:spacing w:after="240"/>
      <w:outlineLvl w:val="5"/>
    </w:pPr>
  </w:style>
  <w:style w:type="paragraph" w:customStyle="1" w:styleId="Sub-Para4underXY">
    <w:name w:val="Sub-Para 4 under X.Y"/>
    <w:basedOn w:val="Normal"/>
    <w:pPr>
      <w:spacing w:after="240"/>
      <w:outlineLvl w:val="5"/>
    </w:pPr>
  </w:style>
  <w:style w:type="table" w:styleId="TableGrid">
    <w:name w:val="Table Grid"/>
    <w:basedOn w:val="TableNormal"/>
    <w:uiPriority w:val="39"/>
    <w:rPr>
      <w:rFonts w:asciiTheme="minorEastAsia" w:hAnsiTheme="minorEastAsia"/>
      <w:snapToGrid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firstsentenceChar"/>
    <w:pPr>
      <w:spacing w:before="20" w:after="20"/>
      <w:ind w:right="-72"/>
    </w:pPr>
    <w:rPr>
      <w:sz w:val="18"/>
      <w:szCs w:val="18"/>
    </w:rPr>
  </w:style>
  <w:style w:type="paragraph" w:styleId="Title">
    <w:name w:val="Title"/>
    <w:aliases w:val="Table"/>
    <w:basedOn w:val="Normal"/>
    <w:uiPriority w:val="10"/>
    <w:qFormat/>
    <w:pPr>
      <w:jc w:val="center"/>
    </w:pPr>
    <w:rPr>
      <w:b/>
      <w:bCs/>
    </w:rPr>
  </w:style>
  <w:style w:type="character" w:customStyle="1" w:styleId="TitleChar">
    <w:name w:val="Title Char"/>
    <w:aliases w:val="Table Char"/>
    <w:basedOn w:val="DefaultParagraphFont"/>
    <w:uiPriority w:val="10"/>
    <w:rPr>
      <w:rFonts w:asciiTheme="majorHAnsi" w:eastAsiaTheme="majorEastAsia" w:hAnsiTheme="majorHAnsi" w:cstheme="majorBidi"/>
      <w:b/>
      <w:bCs/>
      <w:snapToGrid w:val="0"/>
      <w:kern w:val="28"/>
      <w:sz w:val="32"/>
      <w:szCs w:val="32"/>
    </w:rPr>
  </w:style>
  <w:style w:type="character" w:customStyle="1" w:styleId="TitleChar1">
    <w:name w:val="Title Char1"/>
    <w:aliases w:val="Table Char1"/>
    <w:basedOn w:val="DefaultParagraphFont"/>
    <w:link w:val="Heading2-14pt"/>
    <w:locked/>
    <w:rPr>
      <w:rFonts w:asciiTheme="minorEastAsia" w:hAnsiTheme="minorEastAsia" w:cs="Arial"/>
      <w:b/>
      <w:bCs/>
      <w:iCs/>
      <w:smallCaps/>
      <w:snapToGrid w:val="0"/>
      <w:sz w:val="28"/>
      <w:szCs w:val="28"/>
    </w:rPr>
  </w:style>
  <w:style w:type="paragraph" w:styleId="TOC1">
    <w:name w:val="toc 1"/>
    <w:basedOn w:val="Normal"/>
    <w:next w:val="Normal"/>
    <w:autoRedefine/>
    <w:uiPriority w:val="39"/>
    <w:qFormat/>
    <w:pPr>
      <w:tabs>
        <w:tab w:val="right" w:leader="dot" w:pos="8630"/>
      </w:tabs>
      <w:spacing w:before="240"/>
    </w:pPr>
    <w:rPr>
      <w:rFonts w:eastAsiaTheme="minorEastAsia"/>
      <w:b/>
    </w:rPr>
  </w:style>
  <w:style w:type="paragraph" w:styleId="TOC2">
    <w:name w:val="toc 2"/>
    <w:basedOn w:val="Normal"/>
    <w:next w:val="Normal"/>
    <w:autoRedefine/>
    <w:uiPriority w:val="39"/>
    <w:qFormat/>
    <w:pPr>
      <w:tabs>
        <w:tab w:val="left" w:pos="540"/>
        <w:tab w:val="right" w:leader="dot" w:pos="9360"/>
      </w:tabs>
      <w:spacing w:before="240"/>
    </w:pPr>
    <w:rPr>
      <w:b/>
      <w:noProof/>
      <w:sz w:val="22"/>
      <w:szCs w:val="20"/>
    </w:rPr>
  </w:style>
  <w:style w:type="paragraph" w:styleId="TOC3">
    <w:name w:val="toc 3"/>
    <w:basedOn w:val="Normal"/>
    <w:next w:val="Normal"/>
    <w:autoRedefine/>
    <w:uiPriority w:val="39"/>
    <w:qFormat/>
    <w:pPr>
      <w:tabs>
        <w:tab w:val="right" w:leader="dot" w:pos="9360"/>
      </w:tabs>
      <w:spacing w:before="120"/>
      <w:ind w:left="907" w:hanging="360"/>
    </w:pPr>
    <w:rPr>
      <w:noProof/>
      <w:sz w:val="22"/>
      <w:szCs w:val="20"/>
    </w:rPr>
  </w:style>
  <w:style w:type="paragraph" w:styleId="TOC4">
    <w:name w:val="toc 4"/>
    <w:basedOn w:val="Normal"/>
    <w:next w:val="Normal"/>
    <w:autoRedefine/>
    <w:uiPriority w:val="39"/>
    <w:pPr>
      <w:tabs>
        <w:tab w:val="right" w:leader="dot" w:pos="9360"/>
      </w:tabs>
      <w:spacing w:after="120"/>
    </w:pPr>
    <w:rPr>
      <w:noProof/>
      <w:sz w:val="22"/>
    </w:rPr>
  </w:style>
  <w:style w:type="table" w:customStyle="1" w:styleId="TableGrid2">
    <w:name w:val="Table Grid2"/>
    <w:basedOn w:val="TableNormal"/>
    <w:next w:val="TableGrid"/>
    <w:link w:val="EndnoteTextChar1"/>
    <w:uiPriority w:val="59"/>
    <w:rPr>
      <w:rFonts w:asciiTheme="minorHAnsi" w:eastAsia="SimSun" w:hAnsiTheme="minorHAns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rPr>
      <w:rFonts w:cs="Times New Roman"/>
      <w:color w:val="800080"/>
      <w:u w:val="single"/>
    </w:rPr>
  </w:style>
  <w:style w:type="character" w:styleId="Strong">
    <w:name w:val="Strong"/>
    <w:aliases w:val="Body Text Indent 3 Char1"/>
    <w:basedOn w:val="DefaultParagraphFont"/>
    <w:link w:val="BodyTextIndent3"/>
    <w:uiPriority w:val="22"/>
    <w:qFormat/>
    <w:rPr>
      <w:rFonts w:cs="Times New Roman"/>
      <w:b/>
      <w:bCs/>
    </w:rPr>
  </w:style>
  <w:style w:type="paragraph" w:styleId="ListParagraph">
    <w:name w:val="List Paragraph"/>
    <w:aliases w:val="Main Para Ch no.,Bullet paras,Heading 1.1,List Paragraph (numbered (a)),Use Case List Paragraph,Bullets,ANNEX,List Paragraph1,List Paragraph2,List Paragraph Char Char Char,Main numbered paragraph,Medium Grid 1 - Accent 21,References"/>
    <w:basedOn w:val="Normal"/>
    <w:uiPriority w:val="34"/>
    <w:qFormat/>
    <w:pPr>
      <w:numPr>
        <w:numId w:val="12"/>
      </w:numPr>
      <w:spacing w:after="220"/>
      <w:jc w:val="both"/>
    </w:pPr>
    <w:rPr>
      <w:rFonts w:cs="Arial"/>
      <w:sz w:val="22"/>
      <w:szCs w:val="22"/>
    </w:rPr>
  </w:style>
  <w:style w:type="character" w:customStyle="1" w:styleId="ListParagraphChar">
    <w:name w:val="List Paragraph Char"/>
    <w:aliases w:val="Main Para Ch no. Char,Bullet paras Char,Heading 1.1 Char,List Paragraph (numbered (a)) Char,Use Case List Paragraph Char,Bullets Char,ANNEX Char,List Paragraph1 Char,List Paragraph2 Char,List Paragraph Char Char Char Char"/>
    <w:basedOn w:val="DefaultParagraphFont"/>
    <w:link w:val="MainparanochapterAnnex2"/>
    <w:qFormat/>
    <w:locked/>
    <w:rPr>
      <w:rFonts w:asciiTheme="minorEastAsia" w:hAnsiTheme="minorEastAsia"/>
      <w:snapToGrid w:val="0"/>
    </w:rPr>
  </w:style>
  <w:style w:type="paragraph" w:customStyle="1" w:styleId="Default">
    <w:name w:val="Default"/>
    <w:pPr>
      <w:autoSpaceDE w:val="0"/>
      <w:autoSpaceDN w:val="0"/>
      <w:adjustRightInd w:val="0"/>
    </w:pPr>
    <w:rPr>
      <w:rFonts w:asciiTheme="minorEastAsia" w:hAnsiTheme="minorEastAsia"/>
      <w:snapToGrid w:val="0"/>
      <w:color w:val="000000"/>
    </w:rPr>
  </w:style>
  <w:style w:type="paragraph" w:styleId="NoSpacing">
    <w:name w:val="No Spacing"/>
    <w:link w:val="NoSpacingChar1"/>
    <w:uiPriority w:val="1"/>
    <w:qFormat/>
    <w:rPr>
      <w:rFonts w:asciiTheme="minorEastAsia" w:hAnsiTheme="minorEastAsia" w:cs="Arial"/>
      <w:snapToGrid w:val="0"/>
      <w:szCs w:val="22"/>
    </w:rPr>
  </w:style>
  <w:style w:type="character" w:customStyle="1" w:styleId="NoSpacingChar">
    <w:name w:val="No Spacing Char"/>
    <w:basedOn w:val="DefaultParagraphFont"/>
    <w:link w:val="MainparanochapterAnnexE"/>
    <w:locked/>
    <w:rPr>
      <w:rFonts w:asciiTheme="minorEastAsia" w:hAnsiTheme="minorEastAsia"/>
      <w:snapToGrid w:val="0"/>
    </w:rPr>
  </w:style>
  <w:style w:type="character" w:customStyle="1" w:styleId="CharAttribute16">
    <w:name w:val="CharAttribute16"/>
    <w:rPr>
      <w:rFonts w:asciiTheme="minorEastAsia" w:eastAsiaTheme="minorEastAsia"/>
      <w:b/>
      <w:sz w:val="22"/>
    </w:rPr>
  </w:style>
  <w:style w:type="character" w:styleId="CommentReference">
    <w:name w:val="annotation reference"/>
    <w:basedOn w:val="DefaultParagraphFont"/>
    <w:uiPriority w:val="99"/>
    <w:semiHidden/>
    <w:rPr>
      <w:rFonts w:cs="Times New Roman"/>
      <w:sz w:val="16"/>
      <w:szCs w:val="16"/>
    </w:rPr>
  </w:style>
  <w:style w:type="paragraph" w:styleId="CommentText">
    <w:name w:val="annotation text"/>
    <w:basedOn w:val="Normal"/>
    <w:link w:val="CommentTextChar1"/>
    <w:uiPriority w:val="99"/>
  </w:style>
  <w:style w:type="character" w:customStyle="1" w:styleId="CommentTextChar">
    <w:name w:val="Comment Text Char"/>
    <w:basedOn w:val="DefaultParagraphFont"/>
    <w:uiPriority w:val="99"/>
    <w:semiHidden/>
    <w:rPr>
      <w:rFonts w:asciiTheme="minorEastAsia" w:hAnsiTheme="minorEastAsia"/>
      <w:snapToGrid w:val="0"/>
      <w:sz w:val="20"/>
      <w:szCs w:val="20"/>
    </w:rPr>
  </w:style>
  <w:style w:type="character" w:customStyle="1" w:styleId="FooterChar1">
    <w:name w:val="Footer Char1"/>
    <w:basedOn w:val="DefaultParagraphFont"/>
    <w:link w:val="Footer"/>
    <w:uiPriority w:val="99"/>
    <w:locked/>
    <w:rPr>
      <w:rFonts w:cs="Times New Roman"/>
    </w:rPr>
  </w:style>
  <w:style w:type="paragraph" w:styleId="CommentSubject">
    <w:name w:val="annotation subject"/>
    <w:basedOn w:val="CommentText"/>
    <w:next w:val="CommentText"/>
    <w:uiPriority w:val="99"/>
    <w:semiHidden/>
    <w:rPr>
      <w:b/>
      <w:bCs/>
    </w:rPr>
  </w:style>
  <w:style w:type="character" w:customStyle="1" w:styleId="CommentTextChar1">
    <w:name w:val="Comment Text Char1"/>
    <w:basedOn w:val="DefaultParagraphFont"/>
    <w:link w:val="CommentText"/>
    <w:uiPriority w:val="99"/>
    <w:rPr>
      <w:rFonts w:asciiTheme="minorEastAsia" w:hAnsiTheme="minorEastAsia"/>
      <w:snapToGrid w:val="0"/>
    </w:rPr>
  </w:style>
  <w:style w:type="character" w:customStyle="1" w:styleId="CommentSubjectChar">
    <w:name w:val="Comment Subject Char"/>
    <w:basedOn w:val="CommentTextChar1"/>
    <w:uiPriority w:val="99"/>
    <w:semiHidden/>
    <w:rPr>
      <w:rFonts w:asciiTheme="minorEastAsia" w:hAnsiTheme="minorEastAsia"/>
      <w:b/>
      <w:bCs/>
      <w:snapToGrid w:val="0"/>
      <w:sz w:val="20"/>
      <w:szCs w:val="20"/>
    </w:rPr>
  </w:style>
  <w:style w:type="character" w:customStyle="1" w:styleId="CommentSubjectChar1">
    <w:name w:val="Comment Subject Char1"/>
    <w:basedOn w:val="FooterChar1"/>
    <w:link w:val="Sub-Para2underX"/>
    <w:locked/>
    <w:rPr>
      <w:rFonts w:asciiTheme="minorEastAsia" w:hAnsiTheme="minorEastAsia" w:cs="Times New Roman"/>
      <w:snapToGrid w:val="0"/>
    </w:rPr>
  </w:style>
  <w:style w:type="table" w:styleId="LightList-Accent3">
    <w:name w:val="Light List Accent 3"/>
    <w:basedOn w:val="TableNormal"/>
    <w:uiPriority w:val="61"/>
    <w:rPr>
      <w:rFonts w:asciiTheme="minorHAnsi" w:hAnsiTheme="minorHAnsi" w:cs="Arial"/>
      <w:snapToGrid w:val="0"/>
      <w:sz w:val="22"/>
      <w:szCs w:val="22"/>
    </w:rPr>
    <w:tblPr>
      <w:tblBorders>
        <w:top w:val="single" w:sz="8" w:space="0" w:color="9BBB59"/>
        <w:left w:val="single" w:sz="8" w:space="0" w:color="9BBB59"/>
        <w:bottom w:val="single" w:sz="8" w:space="0" w:color="9BBB59"/>
        <w:right w:val="single" w:sz="8" w:space="0" w:color="9BBB59"/>
      </w:tblBorders>
    </w:tblPr>
  </w:style>
  <w:style w:type="paragraph" w:customStyle="1" w:styleId="ColorfulList-Accent11">
    <w:name w:val="Colorful List - Accent 11"/>
    <w:aliases w:val="Title Style 1,Numbered List Paragraph,lp1"/>
    <w:basedOn w:val="Normal"/>
    <w:uiPriority w:val="34"/>
    <w:qFormat/>
    <w:pPr>
      <w:ind w:left="720"/>
      <w:contextualSpacing/>
    </w:pPr>
  </w:style>
  <w:style w:type="character" w:customStyle="1" w:styleId="ColorfulList-Accent1Char">
    <w:name w:val="Colorful List - Accent 1 Char"/>
    <w:aliases w:val="Medium Grid 1 - Accent 21 Char,References Char,Title Style 1 Char,Numbered List Paragraph Char,lp1 Char"/>
    <w:basedOn w:val="DefaultParagraphFont"/>
    <w:link w:val="Sub-Para3underXY"/>
    <w:locked/>
    <w:rPr>
      <w:rFonts w:asciiTheme="minorEastAsia" w:hAnsiTheme="minorEastAsia"/>
      <w:snapToGrid w:val="0"/>
    </w:rPr>
  </w:style>
  <w:style w:type="paragraph" w:styleId="NormalWeb">
    <w:name w:val="Normal (Web)"/>
    <w:basedOn w:val="Normal"/>
    <w:uiPriority w:val="99"/>
    <w:pPr>
      <w:spacing w:before="100" w:beforeAutospacing="1" w:after="100" w:afterAutospacing="1"/>
    </w:pPr>
    <w:rPr>
      <w:rFonts w:eastAsiaTheme="minorEastAsia"/>
    </w:rPr>
  </w:style>
  <w:style w:type="paragraph" w:styleId="Revision">
    <w:name w:val="Revision"/>
    <w:hidden/>
    <w:uiPriority w:val="99"/>
    <w:rPr>
      <w:rFonts w:asciiTheme="minorEastAsia" w:hAnsiTheme="minorEastAsia"/>
      <w:snapToGrid w:val="0"/>
    </w:rPr>
  </w:style>
  <w:style w:type="paragraph" w:customStyle="1" w:styleId="firstsentence">
    <w:name w:val="first sentence"/>
    <w:basedOn w:val="ListParagraph"/>
    <w:qFormat/>
    <w:pPr>
      <w:numPr>
        <w:numId w:val="13"/>
      </w:numPr>
      <w:tabs>
        <w:tab w:val="num" w:pos="720"/>
      </w:tabs>
      <w:spacing w:before="240" w:after="240"/>
      <w:ind w:left="720"/>
    </w:pPr>
    <w:rPr>
      <w:rFonts w:eastAsiaTheme="minorEastAsia" w:cs="Times New Roman"/>
      <w:b/>
      <w:bCs/>
      <w:i/>
      <w:iCs/>
    </w:rPr>
  </w:style>
  <w:style w:type="character" w:customStyle="1" w:styleId="firstsentenceChar">
    <w:name w:val="first sentence Char"/>
    <w:basedOn w:val="DefaultParagraphFont"/>
    <w:link w:val="Tabletext"/>
    <w:locked/>
    <w:rPr>
      <w:rFonts w:asciiTheme="minorEastAsia" w:eastAsiaTheme="minorEastAsia" w:cs="Times New Roman"/>
      <w:b/>
      <w:bCs/>
      <w:i/>
      <w:iCs/>
      <w:sz w:val="22"/>
      <w:szCs w:val="22"/>
    </w:rPr>
  </w:style>
  <w:style w:type="paragraph" w:styleId="TOCHeading">
    <w:name w:val="TOC Heading"/>
    <w:basedOn w:val="Heading1"/>
    <w:next w:val="Normal"/>
    <w:uiPriority w:val="39"/>
    <w:qFormat/>
    <w:pPr>
      <w:keepLines/>
      <w:numPr>
        <w:numId w:val="0"/>
      </w:numPr>
      <w:spacing w:before="480" w:after="0" w:line="276" w:lineRule="auto"/>
      <w:jc w:val="left"/>
      <w:outlineLvl w:val="9"/>
    </w:pPr>
    <w:rPr>
      <w:rFonts w:eastAsiaTheme="minorEastAsia" w:cs="Times New Roman"/>
      <w:caps w:val="0"/>
      <w:color w:val="365F91"/>
      <w:kern w:val="0"/>
      <w:sz w:val="28"/>
      <w:szCs w:val="28"/>
    </w:rPr>
  </w:style>
  <w:style w:type="character" w:customStyle="1" w:styleId="bumpedfont15">
    <w:name w:val="bumpedfont15"/>
    <w:basedOn w:val="DefaultParagraphFont"/>
    <w:rPr>
      <w:rFonts w:cs="Times New Roman"/>
    </w:rPr>
  </w:style>
  <w:style w:type="table" w:customStyle="1" w:styleId="TableGrid1">
    <w:name w:val="Table Grid1"/>
    <w:basedOn w:val="TableNormal"/>
    <w:next w:val="TableGrid"/>
    <w:uiPriority w:val="59"/>
    <w:rPr>
      <w:rFonts w:asciiTheme="minorEastAsia" w:hAnsiTheme="minorEastAsia"/>
      <w:snapToGrid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1">
    <w:name w:val="Light List - Accent 11"/>
    <w:basedOn w:val="TableNormal"/>
    <w:uiPriority w:val="61"/>
    <w:rPr>
      <w:rFonts w:asciiTheme="minorHAnsi" w:hAnsiTheme="minorHAnsi"/>
      <w:snapToGrid w:val="0"/>
      <w:sz w:val="20"/>
      <w:szCs w:val="20"/>
    </w:rPr>
    <w:tblPr>
      <w:tblBorders>
        <w:top w:val="single" w:sz="8" w:space="0" w:color="4F81BD"/>
        <w:left w:val="single" w:sz="8" w:space="0" w:color="4F81BD"/>
        <w:bottom w:val="single" w:sz="8" w:space="0" w:color="4F81BD"/>
        <w:right w:val="single" w:sz="8" w:space="0" w:color="4F81BD"/>
      </w:tblBorders>
    </w:tblPr>
  </w:style>
  <w:style w:type="paragraph" w:styleId="EndnoteText">
    <w:name w:val="endnote text"/>
    <w:basedOn w:val="Normal"/>
    <w:link w:val="EndnoteTextChar2"/>
    <w:uiPriority w:val="99"/>
    <w:rPr>
      <w:rFonts w:asciiTheme="minorHAnsi" w:hAnsiTheme="minorHAnsi" w:cs="Arial"/>
      <w:sz w:val="20"/>
      <w:szCs w:val="20"/>
    </w:rPr>
  </w:style>
  <w:style w:type="character" w:customStyle="1" w:styleId="EndnoteTextChar">
    <w:name w:val="Endnote Text Char"/>
    <w:basedOn w:val="DefaultParagraphFont"/>
    <w:uiPriority w:val="99"/>
    <w:semiHidden/>
    <w:rPr>
      <w:rFonts w:asciiTheme="minorEastAsia" w:hAnsiTheme="minorEastAsia"/>
      <w:snapToGrid w:val="0"/>
      <w:sz w:val="20"/>
      <w:szCs w:val="20"/>
    </w:rPr>
  </w:style>
  <w:style w:type="character" w:customStyle="1" w:styleId="EndnoteTextChar1">
    <w:name w:val="Endnote Text Char1"/>
    <w:basedOn w:val="DefaultParagraphFont"/>
    <w:link w:val="TableGrid2"/>
    <w:uiPriority w:val="99"/>
    <w:locked/>
    <w:rPr>
      <w:rFonts w:asciiTheme="minorHAnsi" w:hAnsiTheme="minorHAnsi" w:cs="Arial"/>
      <w:sz w:val="20"/>
      <w:szCs w:val="20"/>
    </w:rPr>
  </w:style>
  <w:style w:type="character" w:styleId="EndnoteReference">
    <w:name w:val="endnote reference"/>
    <w:basedOn w:val="DefaultParagraphFont"/>
    <w:uiPriority w:val="99"/>
    <w:rPr>
      <w:rFonts w:cs="Times New Roman"/>
      <w:vertAlign w:val="superscript"/>
    </w:rPr>
  </w:style>
  <w:style w:type="table" w:customStyle="1" w:styleId="TableGrid11">
    <w:name w:val="Table Grid11"/>
    <w:basedOn w:val="TableNormal"/>
    <w:next w:val="TableGrid"/>
    <w:link w:val="MediumGrid2-Accent11"/>
    <w:uiPriority w:val="59"/>
    <w:rPr>
      <w:rFonts w:asciiTheme="minorHAnsi" w:hAnsiTheme="minorHAnsi" w:cs="Arial"/>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uiPriority w:val="99"/>
    <w:pPr>
      <w:spacing w:after="120" w:line="480" w:lineRule="auto"/>
    </w:pPr>
    <w:rPr>
      <w:rFonts w:asciiTheme="minorHAnsi" w:hAnsiTheme="minorHAnsi" w:cs="Arial"/>
      <w:sz w:val="22"/>
      <w:szCs w:val="22"/>
    </w:rPr>
  </w:style>
  <w:style w:type="character" w:customStyle="1" w:styleId="BodyText2Char">
    <w:name w:val="Body Text 2 Char"/>
    <w:basedOn w:val="DefaultParagraphFont"/>
    <w:uiPriority w:val="99"/>
    <w:semiHidden/>
    <w:rPr>
      <w:rFonts w:asciiTheme="minorEastAsia" w:hAnsiTheme="minorEastAsia"/>
      <w:snapToGrid w:val="0"/>
    </w:rPr>
  </w:style>
  <w:style w:type="character" w:customStyle="1" w:styleId="NoSpacingChar1">
    <w:name w:val="No Spacing Char1"/>
    <w:basedOn w:val="DefaultParagraphFont"/>
    <w:link w:val="NoSpacing"/>
    <w:uiPriority w:val="99"/>
    <w:locked/>
    <w:rPr>
      <w:rFonts w:asciiTheme="minorHAnsi" w:hAnsiTheme="minorHAnsi" w:cs="Arial"/>
      <w:sz w:val="22"/>
      <w:szCs w:val="22"/>
    </w:rPr>
  </w:style>
  <w:style w:type="table" w:customStyle="1" w:styleId="TableGrid41">
    <w:name w:val="Table Grid41"/>
    <w:basedOn w:val="TableNormal"/>
    <w:next w:val="TableGrid"/>
    <w:uiPriority w:val="59"/>
    <w:rPr>
      <w:rFonts w:asciiTheme="minorHAnsi" w:hAnsiTheme="minorHAnsi"/>
      <w:snapToGrid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ext">
    <w:name w:val="Figure text"/>
    <w:basedOn w:val="Normal"/>
    <w:qFormat/>
    <w:pPr>
      <w:framePr w:hSpace="187" w:wrap="around" w:vAnchor="text" w:hAnchor="text" w:xAlign="right" w:y="2449"/>
      <w:spacing w:after="60"/>
      <w:suppressOverlap/>
      <w:jc w:val="both"/>
    </w:pPr>
    <w:rPr>
      <w:sz w:val="20"/>
      <w:szCs w:val="20"/>
    </w:rPr>
  </w:style>
  <w:style w:type="paragraph" w:customStyle="1" w:styleId="Figuretitle">
    <w:name w:val="Figure title"/>
    <w:basedOn w:val="Figuretext"/>
    <w:qFormat/>
    <w:pPr>
      <w:framePr w:wrap="around"/>
      <w:spacing w:before="60"/>
      <w:jc w:val="center"/>
    </w:pPr>
    <w:rPr>
      <w:b/>
      <w:bCs/>
    </w:rPr>
  </w:style>
  <w:style w:type="paragraph" w:customStyle="1" w:styleId="Sourceornote">
    <w:name w:val="Source or note"/>
    <w:basedOn w:val="Figuretext"/>
    <w:qFormat/>
    <w:pPr>
      <w:framePr w:hSpace="0" w:wrap="auto" w:vAnchor="margin" w:xAlign="left" w:yAlign="inline"/>
      <w:spacing w:before="20" w:after="20"/>
      <w:suppressOverlap w:val="0"/>
      <w:jc w:val="left"/>
    </w:pPr>
    <w:rPr>
      <w:sz w:val="18"/>
    </w:rPr>
  </w:style>
  <w:style w:type="paragraph" w:customStyle="1" w:styleId="Tabletitle">
    <w:name w:val="Table title"/>
    <w:basedOn w:val="Normal"/>
    <w:link w:val="footnotedescriptionChar"/>
    <w:qFormat/>
    <w:pPr>
      <w:spacing w:before="60" w:after="60"/>
      <w:jc w:val="center"/>
    </w:pPr>
    <w:rPr>
      <w:b/>
      <w:sz w:val="20"/>
    </w:rPr>
  </w:style>
  <w:style w:type="paragraph" w:customStyle="1" w:styleId="Boxtitle">
    <w:name w:val="Box title"/>
    <w:basedOn w:val="Normal"/>
    <w:qFormat/>
    <w:pPr>
      <w:autoSpaceDE w:val="0"/>
      <w:autoSpaceDN w:val="0"/>
      <w:adjustRightInd w:val="0"/>
      <w:spacing w:before="60" w:after="60"/>
      <w:jc w:val="both"/>
    </w:pPr>
    <w:rPr>
      <w:b/>
      <w:color w:val="000000"/>
      <w:sz w:val="20"/>
      <w:szCs w:val="20"/>
    </w:rPr>
  </w:style>
  <w:style w:type="paragraph" w:customStyle="1" w:styleId="Boxtext">
    <w:name w:val="Box text"/>
    <w:basedOn w:val="Normal"/>
    <w:qFormat/>
    <w:pPr>
      <w:autoSpaceDE w:val="0"/>
      <w:autoSpaceDN w:val="0"/>
      <w:adjustRightInd w:val="0"/>
      <w:spacing w:after="60"/>
      <w:jc w:val="both"/>
    </w:pPr>
    <w:rPr>
      <w:sz w:val="20"/>
      <w:szCs w:val="20"/>
    </w:rPr>
  </w:style>
  <w:style w:type="paragraph" w:customStyle="1" w:styleId="Tableheading">
    <w:name w:val="Table heading"/>
    <w:basedOn w:val="Normal"/>
    <w:qFormat/>
    <w:pPr>
      <w:spacing w:before="40" w:after="40"/>
      <w:jc w:val="center"/>
    </w:pPr>
    <w:rPr>
      <w:b/>
      <w:bCs/>
      <w:i/>
      <w:iCs/>
      <w:color w:val="000000"/>
      <w:sz w:val="18"/>
    </w:rPr>
  </w:style>
  <w:style w:type="paragraph" w:customStyle="1" w:styleId="Boxtextbullet">
    <w:name w:val="Box text bullet"/>
    <w:basedOn w:val="Boxtext"/>
    <w:qFormat/>
    <w:pPr>
      <w:numPr>
        <w:numId w:val="15"/>
      </w:numPr>
      <w:ind w:left="720"/>
    </w:pPr>
  </w:style>
  <w:style w:type="paragraph" w:customStyle="1" w:styleId="Tabletextbullet">
    <w:name w:val="Table text bullet"/>
    <w:basedOn w:val="Boxtextbullet"/>
    <w:qFormat/>
    <w:pPr>
      <w:numPr>
        <w:numId w:val="0"/>
      </w:numPr>
      <w:jc w:val="left"/>
    </w:pPr>
  </w:style>
  <w:style w:type="paragraph" w:customStyle="1" w:styleId="Heading3notoc6bef0aft">
    <w:name w:val="Heading 3 no toc 6bef 0aft"/>
    <w:basedOn w:val="Heading3notoc"/>
    <w:qFormat/>
    <w:pPr>
      <w:spacing w:before="120" w:after="0"/>
    </w:pPr>
    <w:rPr>
      <w:rFonts w:eastAsia="SimSun"/>
    </w:rPr>
  </w:style>
  <w:style w:type="paragraph" w:styleId="TOC5">
    <w:name w:val="toc 5"/>
    <w:basedOn w:val="Normal"/>
    <w:next w:val="Normal"/>
    <w:autoRedefine/>
    <w:uiPriority w:val="39"/>
    <w:pPr>
      <w:tabs>
        <w:tab w:val="right" w:leader="dot" w:pos="9350"/>
      </w:tabs>
      <w:spacing w:before="60"/>
      <w:ind w:left="1440" w:hanging="360"/>
    </w:pPr>
    <w:rPr>
      <w:sz w:val="22"/>
    </w:rPr>
  </w:style>
  <w:style w:type="paragraph" w:styleId="TOC6">
    <w:name w:val="toc 6"/>
    <w:basedOn w:val="Normal"/>
    <w:next w:val="Normal"/>
    <w:autoRedefine/>
    <w:uiPriority w:val="39"/>
    <w:pPr>
      <w:spacing w:after="100" w:line="276" w:lineRule="auto"/>
      <w:ind w:left="1100"/>
    </w:pPr>
    <w:rPr>
      <w:rFonts w:asciiTheme="minorHAnsi" w:eastAsiaTheme="minorEastAsia" w:hAnsiTheme="minorHAnsi" w:cs="Arial"/>
      <w:sz w:val="22"/>
      <w:szCs w:val="22"/>
    </w:rPr>
  </w:style>
  <w:style w:type="paragraph" w:styleId="TOC7">
    <w:name w:val="toc 7"/>
    <w:basedOn w:val="Normal"/>
    <w:next w:val="Normal"/>
    <w:autoRedefine/>
    <w:uiPriority w:val="39"/>
    <w:pPr>
      <w:spacing w:after="100" w:line="276" w:lineRule="auto"/>
      <w:ind w:left="1320"/>
    </w:pPr>
    <w:rPr>
      <w:rFonts w:asciiTheme="minorHAnsi" w:eastAsiaTheme="minorEastAsia" w:hAnsiTheme="minorHAnsi" w:cs="Arial"/>
      <w:sz w:val="22"/>
      <w:szCs w:val="22"/>
    </w:rPr>
  </w:style>
  <w:style w:type="paragraph" w:styleId="TOC8">
    <w:name w:val="toc 8"/>
    <w:basedOn w:val="Normal"/>
    <w:next w:val="Normal"/>
    <w:autoRedefine/>
    <w:uiPriority w:val="39"/>
    <w:pPr>
      <w:spacing w:after="100" w:line="276" w:lineRule="auto"/>
      <w:ind w:left="1540"/>
    </w:pPr>
    <w:rPr>
      <w:rFonts w:asciiTheme="minorHAnsi" w:eastAsiaTheme="minorEastAsia" w:hAnsiTheme="minorHAnsi" w:cs="Arial"/>
      <w:sz w:val="22"/>
      <w:szCs w:val="22"/>
    </w:rPr>
  </w:style>
  <w:style w:type="paragraph" w:styleId="TOC9">
    <w:name w:val="toc 9"/>
    <w:basedOn w:val="Normal"/>
    <w:next w:val="Normal"/>
    <w:autoRedefine/>
    <w:uiPriority w:val="39"/>
    <w:pPr>
      <w:spacing w:after="100" w:line="276" w:lineRule="auto"/>
      <w:ind w:left="1760"/>
    </w:pPr>
    <w:rPr>
      <w:rFonts w:asciiTheme="minorHAnsi" w:eastAsiaTheme="minorEastAsia" w:hAnsiTheme="minorHAnsi" w:cs="Arial"/>
      <w:sz w:val="22"/>
      <w:szCs w:val="22"/>
    </w:rPr>
  </w:style>
  <w:style w:type="paragraph" w:customStyle="1" w:styleId="Tabletitlenotoc">
    <w:name w:val="Table title no toc"/>
    <w:basedOn w:val="Tabletitle"/>
    <w:qFormat/>
  </w:style>
  <w:style w:type="paragraph" w:customStyle="1" w:styleId="Mainparanochapter-annex2bullet">
    <w:name w:val="Main para no chapter-annex 2 bullet"/>
    <w:basedOn w:val="Normal"/>
    <w:qFormat/>
    <w:pPr>
      <w:numPr>
        <w:ilvl w:val="1"/>
        <w:numId w:val="14"/>
      </w:numPr>
      <w:autoSpaceDE w:val="0"/>
      <w:autoSpaceDN w:val="0"/>
      <w:adjustRightInd w:val="0"/>
      <w:spacing w:after="120"/>
      <w:jc w:val="both"/>
    </w:pPr>
  </w:style>
  <w:style w:type="paragraph" w:customStyle="1" w:styleId="Mainparanochaperannex2bullet">
    <w:name w:val="Main para no chaper # annex 2 bullet"/>
    <w:basedOn w:val="MainparanochapterAnnex2"/>
    <w:qFormat/>
    <w:pPr>
      <w:numPr>
        <w:numId w:val="17"/>
      </w:numPr>
      <w:ind w:left="360"/>
    </w:pPr>
  </w:style>
  <w:style w:type="paragraph" w:customStyle="1" w:styleId="Mainparanochapterannex2bullet2">
    <w:name w:val="Main para no chapter # annex 2 bullet 2"/>
    <w:basedOn w:val="Mainparanochaperannex2bullet"/>
    <w:qFormat/>
    <w:pPr>
      <w:numPr>
        <w:ilvl w:val="1"/>
      </w:numPr>
    </w:pPr>
  </w:style>
  <w:style w:type="paragraph" w:customStyle="1" w:styleId="Figuretitlenotoc">
    <w:name w:val="Figure title no toc"/>
    <w:basedOn w:val="Figuretitle"/>
    <w:qFormat/>
    <w:pPr>
      <w:framePr w:wrap="around"/>
    </w:pPr>
  </w:style>
  <w:style w:type="paragraph" w:customStyle="1" w:styleId="MediumGrid2-Accent11">
    <w:name w:val="Medium Grid 2 - Accent 11"/>
    <w:basedOn w:val="Normal"/>
    <w:link w:val="TableGrid11"/>
    <w:uiPriority w:val="1"/>
    <w:qFormat/>
    <w:rPr>
      <w:rFonts w:asciiTheme="minorHAnsi" w:hAnsiTheme="minorHAnsi"/>
      <w:sz w:val="20"/>
      <w:szCs w:val="20"/>
    </w:rPr>
  </w:style>
  <w:style w:type="character" w:customStyle="1" w:styleId="EndnoteTextChar2">
    <w:name w:val="Endnote Text Char2"/>
    <w:link w:val="EndnoteText"/>
    <w:uiPriority w:val="1"/>
    <w:locked/>
    <w:rPr>
      <w:rFonts w:asciiTheme="minorHAnsi" w:hAnsiTheme="minorHAnsi"/>
      <w:sz w:val="20"/>
    </w:rPr>
  </w:style>
  <w:style w:type="paragraph" w:customStyle="1" w:styleId="Style1">
    <w:name w:val="Style1"/>
    <w:basedOn w:val="Heading3notoc"/>
    <w:qFormat/>
  </w:style>
  <w:style w:type="paragraph" w:customStyle="1" w:styleId="Style2">
    <w:name w:val="Style2"/>
    <w:basedOn w:val="Heading3notoc"/>
    <w:qFormat/>
  </w:style>
  <w:style w:type="table" w:customStyle="1" w:styleId="TableGrid3">
    <w:name w:val="Table Grid3"/>
    <w:basedOn w:val="TableNormal"/>
    <w:next w:val="TableGrid"/>
    <w:uiPriority w:val="59"/>
    <w:rPr>
      <w:rFonts w:asciiTheme="minorEastAsia" w:hAnsiTheme="minorEastAsia"/>
      <w:snapToGrid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pPr>
      <w:pBdr>
        <w:top w:val="none" w:sz="96" w:space="31" w:color="FFFFFF" w:frame="1"/>
        <w:left w:val="none" w:sz="96" w:space="31" w:color="FFFFFF" w:frame="1"/>
        <w:bottom w:val="none" w:sz="96" w:space="31" w:color="FFFFFF" w:frame="1"/>
        <w:right w:val="none" w:sz="96" w:space="31" w:color="FFFFFF" w:frame="1"/>
      </w:pBdr>
      <w:spacing w:after="160" w:line="259" w:lineRule="auto"/>
    </w:pPr>
    <w:rPr>
      <w:rFonts w:asciiTheme="minorHAnsi" w:hAnsiTheme="minorHAnsi" w:cs="Calibri"/>
      <w:snapToGrid w:val="0"/>
      <w:color w:val="000000"/>
      <w:sz w:val="22"/>
      <w:szCs w:val="22"/>
      <w:u w:color="000000"/>
    </w:rPr>
  </w:style>
  <w:style w:type="paragraph" w:customStyle="1" w:styleId="footnotedescription">
    <w:name w:val="footnote description"/>
    <w:next w:val="Normal"/>
    <w:hidden/>
    <w:pPr>
      <w:spacing w:line="253" w:lineRule="auto"/>
    </w:pPr>
    <w:rPr>
      <w:rFonts w:asciiTheme="minorEastAsia" w:hAnsiTheme="minorEastAsia"/>
      <w:snapToGrid w:val="0"/>
      <w:color w:val="000000"/>
      <w:sz w:val="20"/>
      <w:szCs w:val="22"/>
    </w:rPr>
  </w:style>
  <w:style w:type="character" w:customStyle="1" w:styleId="footnotedescriptionChar">
    <w:name w:val="footnote description Char"/>
    <w:link w:val="Tabletitle"/>
    <w:locked/>
    <w:rPr>
      <w:rFonts w:eastAsiaTheme="minorEastAsia"/>
      <w:color w:val="000000"/>
      <w:sz w:val="22"/>
    </w:rPr>
  </w:style>
  <w:style w:type="character" w:customStyle="1" w:styleId="footnotemark">
    <w:name w:val="footnote mark"/>
    <w:hidden/>
    <w:rPr>
      <w:rFonts w:asciiTheme="minorEastAsia" w:eastAsiaTheme="minorEastAsia"/>
      <w:color w:val="000000"/>
      <w:sz w:val="20"/>
      <w:vertAlign w:val="superscript"/>
    </w:rPr>
  </w:style>
  <w:style w:type="table" w:customStyle="1" w:styleId="TableGrid0">
    <w:name w:val="TableGrid"/>
    <w:rPr>
      <w:rFonts w:asciiTheme="minorHAnsi" w:eastAsiaTheme="minorEastAsia" w:hAnsiTheme="minorHAnsi" w:cs="Arial"/>
      <w:snapToGrid w:val="0"/>
      <w:sz w:val="22"/>
      <w:szCs w:val="22"/>
    </w:rPr>
    <w:tblPr>
      <w:tblCellMar>
        <w:top w:w="0" w:type="dxa"/>
        <w:left w:w="0" w:type="dxa"/>
        <w:bottom w:w="0" w:type="dxa"/>
        <w:right w:w="0" w:type="dxa"/>
      </w:tblCellMar>
    </w:tblPr>
  </w:style>
  <w:style w:type="paragraph" w:customStyle="1" w:styleId="Bullet3">
    <w:name w:val="Bullet 3"/>
    <w:basedOn w:val="MainParanoChapter"/>
    <w:qFormat/>
    <w:pPr>
      <w:numPr>
        <w:numId w:val="19"/>
      </w:numPr>
      <w:tabs>
        <w:tab w:val="clear" w:pos="1440"/>
      </w:tabs>
      <w:ind w:left="450"/>
    </w:pPr>
    <w:rPr>
      <w:spacing w:val="0"/>
    </w:rPr>
  </w:style>
  <w:style w:type="paragraph" w:customStyle="1" w:styleId="Numberedparagraph">
    <w:name w:val="Numbered paragraph"/>
    <w:basedOn w:val="Default"/>
    <w:next w:val="Default"/>
    <w:qFormat/>
    <w:pPr>
      <w:numPr>
        <w:numId w:val="20"/>
      </w:numPr>
      <w:spacing w:after="240"/>
      <w:jc w:val="both"/>
    </w:pPr>
    <w:rPr>
      <w:b/>
      <w:bCs/>
      <w:iCs/>
    </w:rPr>
  </w:style>
  <w:style w:type="paragraph" w:customStyle="1" w:styleId="Tablebullets">
    <w:name w:val="Table bullets"/>
    <w:basedOn w:val="ListParagraph"/>
    <w:qFormat/>
    <w:pPr>
      <w:widowControl w:val="0"/>
      <w:numPr>
        <w:numId w:val="21"/>
      </w:numPr>
      <w:autoSpaceDE w:val="0"/>
      <w:autoSpaceDN w:val="0"/>
      <w:adjustRightInd w:val="0"/>
      <w:spacing w:after="0" w:line="225" w:lineRule="exact"/>
      <w:ind w:left="360" w:right="-20" w:hanging="270"/>
      <w:contextualSpacing/>
      <w:jc w:val="left"/>
    </w:pPr>
    <w:rPr>
      <w:rFonts w:eastAsiaTheme="minorEastAsia" w:cs="Times New Roman"/>
      <w:spacing w:val="2"/>
      <w:sz w:val="20"/>
      <w:szCs w:val="20"/>
    </w:rPr>
  </w:style>
  <w:style w:type="paragraph" w:customStyle="1" w:styleId="TablebulletsMatrix">
    <w:name w:val="Table bullets (Matrix)"/>
    <w:basedOn w:val="Tablebullets"/>
    <w:qFormat/>
    <w:pPr>
      <w:spacing w:before="120" w:after="120"/>
      <w:ind w:right="-14" w:hanging="274"/>
      <w:contextualSpacing w:val="0"/>
    </w:pPr>
    <w:rPr>
      <w:rFonts w:eastAsia="Times New Roman" w:cs="Arial"/>
      <w:sz w:val="22"/>
    </w:rPr>
  </w:style>
  <w:style w:type="paragraph" w:customStyle="1" w:styleId="MainParanoChap-ExecSum">
    <w:name w:val="Main Para no Chap#-Exec Sum"/>
    <w:basedOn w:val="MainParanoChapter"/>
    <w:qFormat/>
    <w:pPr>
      <w:numPr>
        <w:ilvl w:val="1"/>
        <w:numId w:val="2"/>
      </w:numPr>
      <w:tabs>
        <w:tab w:val="clear" w:pos="1440"/>
        <w:tab w:val="clear" w:pos="1800"/>
        <w:tab w:val="num" w:pos="720"/>
      </w:tabs>
      <w:ind w:left="0" w:firstLine="0"/>
    </w:pPr>
    <w:rPr>
      <w:spacing w:val="0"/>
    </w:rPr>
  </w:style>
  <w:style w:type="character" w:customStyle="1" w:styleId="italic1">
    <w:name w:val="italic1"/>
    <w:basedOn w:val="DefaultParagraphFont"/>
    <w:rPr>
      <w:rFonts w:cs="Times New Roman"/>
      <w:i/>
      <w:iCs/>
    </w:rPr>
  </w:style>
  <w:style w:type="character" w:customStyle="1" w:styleId="tw4winMark">
    <w:name w:val="tw4winMark"/>
    <w:rPr>
      <w:rFonts w:ascii="Courier New" w:hAnsi="Courier New"/>
      <w:vanish/>
      <w:color w:val="800080"/>
      <w:sz w:val="24"/>
      <w:vertAlign w:val="subscript"/>
    </w:rPr>
  </w:style>
  <w:style w:type="character" w:customStyle="1" w:styleId="BalloonTextChar1">
    <w:name w:val="Balloon Text Char1"/>
    <w:basedOn w:val="DefaultParagraphFont"/>
    <w:uiPriority w:val="99"/>
    <w:semiHidden/>
    <w:rPr>
      <w:rFonts w:asciiTheme="minorEastAsia" w:eastAsiaTheme="minorEastAsia" w:cs="Times New Roman"/>
      <w:sz w:val="16"/>
      <w:szCs w:val="16"/>
    </w:rPr>
  </w:style>
  <w:style w:type="character" w:styleId="Emphasis">
    <w:name w:val="Emphasis"/>
    <w:basedOn w:val="DefaultParagraphFont"/>
    <w:uiPriority w:val="20"/>
    <w:qFormat/>
    <w:rPr>
      <w:rFonts w:cs="Times New Roman"/>
      <w:i/>
      <w:iCs/>
    </w:rPr>
  </w:style>
  <w:style w:type="paragraph" w:styleId="DocumentMap">
    <w:name w:val="Document Map"/>
    <w:basedOn w:val="Normal"/>
    <w:uiPriority w:val="99"/>
    <w:semiHidden/>
    <w:pPr>
      <w:shd w:val="clear" w:color="auto" w:fill="000080"/>
    </w:pPr>
    <w:rPr>
      <w:rFonts w:eastAsiaTheme="minorEastAsia"/>
      <w:sz w:val="20"/>
      <w:szCs w:val="20"/>
      <w:lang w:val="en-GB"/>
    </w:rPr>
  </w:style>
  <w:style w:type="character" w:customStyle="1" w:styleId="DocumentMapChar">
    <w:name w:val="Document Map Char"/>
    <w:basedOn w:val="DefaultParagraphFont"/>
    <w:uiPriority w:val="99"/>
    <w:semiHidden/>
    <w:rPr>
      <w:rFonts w:ascii="Segoe UI" w:hAnsi="Segoe UI" w:cs="Segoe UI"/>
      <w:snapToGrid w:val="0"/>
      <w:sz w:val="16"/>
      <w:szCs w:val="16"/>
    </w:rPr>
  </w:style>
  <w:style w:type="character" w:customStyle="1" w:styleId="DocumentMapChar1">
    <w:name w:val="Document Map Char1"/>
    <w:basedOn w:val="DefaultParagraphFont"/>
    <w:link w:val="Heading2Annexes"/>
    <w:uiPriority w:val="99"/>
    <w:semiHidden/>
    <w:locked/>
    <w:rPr>
      <w:rFonts w:asciiTheme="minorEastAsia" w:eastAsiaTheme="minorEastAsia" w:cs="Times New Roman"/>
      <w:sz w:val="20"/>
      <w:szCs w:val="20"/>
      <w:shd w:val="clear" w:color="auto" w:fill="000080"/>
      <w:lang w:val="en-GB"/>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numbering" w:customStyle="1" w:styleId="List0">
    <w:name w:val="List 0"/>
    <w:pPr>
      <w:numPr>
        <w:numId w:val="18"/>
      </w:numPr>
    </w:pPr>
  </w:style>
  <w:style w:type="paragraph" w:customStyle="1" w:styleId="Head1">
    <w:name w:val="Head 1"/>
    <w:basedOn w:val="Heading2"/>
    <w:qFormat/>
    <w:rsid w:val="00D23C58"/>
    <w:pPr>
      <w:numPr>
        <w:numId w:val="0"/>
      </w:numPr>
      <w:bidi/>
      <w:spacing w:before="0"/>
    </w:pPr>
    <w:rPr>
      <w:rFonts w:ascii="Simplified Arabic" w:eastAsiaTheme="minorEastAsia" w:hAnsi="Simplified Arabic" w:cs="Simplified Arabic"/>
      <w:i/>
      <w:smallCaps w:val="0"/>
    </w:rPr>
  </w:style>
  <w:style w:type="paragraph" w:customStyle="1" w:styleId="Head2">
    <w:name w:val="Head 2"/>
    <w:basedOn w:val="Heading3"/>
    <w:qFormat/>
    <w:rsid w:val="00D23C58"/>
    <w:pPr>
      <w:bidi/>
    </w:pPr>
    <w:rPr>
      <w:rFonts w:ascii="Simplified Arabic" w:eastAsiaTheme="minorEastAsia" w:hAnsi="Simplified Arabic" w:cs="Simplified Arabic"/>
    </w:rPr>
  </w:style>
  <w:style w:type="paragraph" w:customStyle="1" w:styleId="Annex">
    <w:name w:val="Annex"/>
    <w:basedOn w:val="Heading2Annexes"/>
    <w:qFormat/>
    <w:rsid w:val="00F15E0B"/>
    <w:pPr>
      <w:bidi/>
    </w:pPr>
    <w:rPr>
      <w:rFonts w:ascii="Simplified Arabic" w:eastAsiaTheme="minorEastAsia" w:hAnsi="Simplified Arabic" w:cs="Simplified Arabic"/>
      <w:i/>
    </w:rPr>
  </w:style>
  <w:style w:type="paragraph" w:customStyle="1" w:styleId="Tables">
    <w:name w:val="Tables"/>
    <w:basedOn w:val="Tabletitle"/>
    <w:qFormat/>
    <w:rsid w:val="003612F4"/>
    <w:pPr>
      <w:bidi/>
      <w:spacing w:before="20" w:after="20"/>
    </w:pPr>
    <w:rPr>
      <w:rFonts w:ascii="Simplified Arabic" w:eastAsiaTheme="minorEastAsia" w:hAnsi="Simplified Arabic" w:cs="Simplified Arabic"/>
      <w:bCs/>
      <w:sz w:val="24"/>
    </w:rPr>
  </w:style>
  <w:style w:type="paragraph" w:customStyle="1" w:styleId="boxes">
    <w:name w:val="boxes"/>
    <w:basedOn w:val="Boxtitle"/>
    <w:qFormat/>
    <w:rsid w:val="00942866"/>
    <w:pPr>
      <w:framePr w:hSpace="180" w:wrap="around" w:vAnchor="text" w:hAnchor="page" w:x="1549" w:y="103"/>
      <w:bidi/>
    </w:pPr>
    <w:rPr>
      <w:rFonts w:ascii="Simplified Arabic" w:eastAsiaTheme="minorEastAsia" w:hAnsi="Simplified Arabic" w:cs="Simplified Arabic"/>
      <w:bCs/>
      <w:snapToGrid/>
      <w:sz w:val="24"/>
      <w:szCs w:val="24"/>
    </w:rPr>
  </w:style>
  <w:style w:type="paragraph" w:customStyle="1" w:styleId="Figures">
    <w:name w:val="Figures"/>
    <w:basedOn w:val="Figuretitle"/>
    <w:qFormat/>
    <w:rsid w:val="00E625D2"/>
    <w:pPr>
      <w:framePr w:wrap="around" w:vAnchor="margin" w:hAnchor="margin" w:xAlign="left" w:y="2570"/>
      <w:bidi/>
    </w:pPr>
    <w:rPr>
      <w:rFonts w:ascii="Simplified Arabic" w:eastAsiaTheme="minorEastAsia" w:hAnsi="Simplified Arabic" w:cs="Simplified Arabic"/>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690344">
      <w:marLeft w:val="0"/>
      <w:marRight w:val="0"/>
      <w:marTop w:val="0"/>
      <w:marBottom w:val="0"/>
      <w:divBdr>
        <w:top w:val="none" w:sz="0" w:space="0" w:color="auto"/>
        <w:left w:val="none" w:sz="0" w:space="0" w:color="auto"/>
        <w:bottom w:val="none" w:sz="0" w:space="0" w:color="auto"/>
        <w:right w:val="none" w:sz="0" w:space="0" w:color="auto"/>
      </w:divBdr>
    </w:div>
    <w:div w:id="1370690348">
      <w:marLeft w:val="0"/>
      <w:marRight w:val="0"/>
      <w:marTop w:val="0"/>
      <w:marBottom w:val="0"/>
      <w:divBdr>
        <w:top w:val="none" w:sz="0" w:space="0" w:color="auto"/>
        <w:left w:val="none" w:sz="0" w:space="0" w:color="auto"/>
        <w:bottom w:val="none" w:sz="0" w:space="0" w:color="auto"/>
        <w:right w:val="none" w:sz="0" w:space="0" w:color="auto"/>
      </w:divBdr>
    </w:div>
    <w:div w:id="1370690358">
      <w:marLeft w:val="0"/>
      <w:marRight w:val="0"/>
      <w:marTop w:val="0"/>
      <w:marBottom w:val="0"/>
      <w:divBdr>
        <w:top w:val="none" w:sz="0" w:space="0" w:color="auto"/>
        <w:left w:val="none" w:sz="0" w:space="0" w:color="auto"/>
        <w:bottom w:val="none" w:sz="0" w:space="0" w:color="auto"/>
        <w:right w:val="none" w:sz="0" w:space="0" w:color="auto"/>
      </w:divBdr>
    </w:div>
    <w:div w:id="1370690363">
      <w:marLeft w:val="0"/>
      <w:marRight w:val="0"/>
      <w:marTop w:val="0"/>
      <w:marBottom w:val="0"/>
      <w:divBdr>
        <w:top w:val="none" w:sz="0" w:space="0" w:color="auto"/>
        <w:left w:val="none" w:sz="0" w:space="0" w:color="auto"/>
        <w:bottom w:val="none" w:sz="0" w:space="0" w:color="auto"/>
        <w:right w:val="none" w:sz="0" w:space="0" w:color="auto"/>
      </w:divBdr>
    </w:div>
    <w:div w:id="1370690364">
      <w:marLeft w:val="0"/>
      <w:marRight w:val="0"/>
      <w:marTop w:val="0"/>
      <w:marBottom w:val="0"/>
      <w:divBdr>
        <w:top w:val="none" w:sz="0" w:space="0" w:color="auto"/>
        <w:left w:val="none" w:sz="0" w:space="0" w:color="auto"/>
        <w:bottom w:val="none" w:sz="0" w:space="0" w:color="auto"/>
        <w:right w:val="none" w:sz="0" w:space="0" w:color="auto"/>
      </w:divBdr>
    </w:div>
    <w:div w:id="1370690368">
      <w:marLeft w:val="0"/>
      <w:marRight w:val="0"/>
      <w:marTop w:val="0"/>
      <w:marBottom w:val="0"/>
      <w:divBdr>
        <w:top w:val="none" w:sz="0" w:space="0" w:color="auto"/>
        <w:left w:val="none" w:sz="0" w:space="0" w:color="auto"/>
        <w:bottom w:val="none" w:sz="0" w:space="0" w:color="auto"/>
        <w:right w:val="none" w:sz="0" w:space="0" w:color="auto"/>
      </w:divBdr>
    </w:div>
    <w:div w:id="1370690373">
      <w:marLeft w:val="0"/>
      <w:marRight w:val="0"/>
      <w:marTop w:val="0"/>
      <w:marBottom w:val="0"/>
      <w:divBdr>
        <w:top w:val="none" w:sz="0" w:space="0" w:color="auto"/>
        <w:left w:val="none" w:sz="0" w:space="0" w:color="auto"/>
        <w:bottom w:val="none" w:sz="0" w:space="0" w:color="auto"/>
        <w:right w:val="none" w:sz="0" w:space="0" w:color="auto"/>
      </w:divBdr>
    </w:div>
    <w:div w:id="1370690374">
      <w:marLeft w:val="0"/>
      <w:marRight w:val="0"/>
      <w:marTop w:val="0"/>
      <w:marBottom w:val="0"/>
      <w:divBdr>
        <w:top w:val="none" w:sz="0" w:space="0" w:color="auto"/>
        <w:left w:val="none" w:sz="0" w:space="0" w:color="auto"/>
        <w:bottom w:val="none" w:sz="0" w:space="0" w:color="auto"/>
        <w:right w:val="none" w:sz="0" w:space="0" w:color="auto"/>
      </w:divBdr>
    </w:div>
    <w:div w:id="1370690375">
      <w:marLeft w:val="0"/>
      <w:marRight w:val="0"/>
      <w:marTop w:val="0"/>
      <w:marBottom w:val="0"/>
      <w:divBdr>
        <w:top w:val="none" w:sz="0" w:space="0" w:color="auto"/>
        <w:left w:val="none" w:sz="0" w:space="0" w:color="auto"/>
        <w:bottom w:val="none" w:sz="0" w:space="0" w:color="auto"/>
        <w:right w:val="none" w:sz="0" w:space="0" w:color="auto"/>
      </w:divBdr>
    </w:div>
    <w:div w:id="1370690377">
      <w:marLeft w:val="0"/>
      <w:marRight w:val="0"/>
      <w:marTop w:val="0"/>
      <w:marBottom w:val="0"/>
      <w:divBdr>
        <w:top w:val="none" w:sz="0" w:space="0" w:color="auto"/>
        <w:left w:val="none" w:sz="0" w:space="0" w:color="auto"/>
        <w:bottom w:val="none" w:sz="0" w:space="0" w:color="auto"/>
        <w:right w:val="none" w:sz="0" w:space="0" w:color="auto"/>
      </w:divBdr>
      <w:divsChild>
        <w:div w:id="1370690349">
          <w:marLeft w:val="0"/>
          <w:marRight w:val="0"/>
          <w:marTop w:val="0"/>
          <w:marBottom w:val="0"/>
          <w:divBdr>
            <w:top w:val="none" w:sz="0" w:space="0" w:color="auto"/>
            <w:left w:val="none" w:sz="0" w:space="0" w:color="auto"/>
            <w:bottom w:val="none" w:sz="0" w:space="0" w:color="auto"/>
            <w:right w:val="none" w:sz="0" w:space="0" w:color="auto"/>
          </w:divBdr>
        </w:div>
        <w:div w:id="1370690420">
          <w:marLeft w:val="0"/>
          <w:marRight w:val="0"/>
          <w:marTop w:val="0"/>
          <w:marBottom w:val="0"/>
          <w:divBdr>
            <w:top w:val="none" w:sz="0" w:space="0" w:color="auto"/>
            <w:left w:val="none" w:sz="0" w:space="0" w:color="auto"/>
            <w:bottom w:val="none" w:sz="0" w:space="0" w:color="auto"/>
            <w:right w:val="none" w:sz="0" w:space="0" w:color="auto"/>
          </w:divBdr>
        </w:div>
        <w:div w:id="1370690440">
          <w:marLeft w:val="0"/>
          <w:marRight w:val="0"/>
          <w:marTop w:val="0"/>
          <w:marBottom w:val="0"/>
          <w:divBdr>
            <w:top w:val="none" w:sz="0" w:space="0" w:color="auto"/>
            <w:left w:val="none" w:sz="0" w:space="0" w:color="auto"/>
            <w:bottom w:val="none" w:sz="0" w:space="0" w:color="auto"/>
            <w:right w:val="none" w:sz="0" w:space="0" w:color="auto"/>
          </w:divBdr>
        </w:div>
        <w:div w:id="1370690459">
          <w:marLeft w:val="0"/>
          <w:marRight w:val="0"/>
          <w:marTop w:val="0"/>
          <w:marBottom w:val="0"/>
          <w:divBdr>
            <w:top w:val="none" w:sz="0" w:space="0" w:color="auto"/>
            <w:left w:val="none" w:sz="0" w:space="0" w:color="auto"/>
            <w:bottom w:val="none" w:sz="0" w:space="0" w:color="auto"/>
            <w:right w:val="none" w:sz="0" w:space="0" w:color="auto"/>
          </w:divBdr>
        </w:div>
        <w:div w:id="1370690524">
          <w:marLeft w:val="0"/>
          <w:marRight w:val="0"/>
          <w:marTop w:val="0"/>
          <w:marBottom w:val="0"/>
          <w:divBdr>
            <w:top w:val="none" w:sz="0" w:space="0" w:color="auto"/>
            <w:left w:val="none" w:sz="0" w:space="0" w:color="auto"/>
            <w:bottom w:val="none" w:sz="0" w:space="0" w:color="auto"/>
            <w:right w:val="none" w:sz="0" w:space="0" w:color="auto"/>
          </w:divBdr>
        </w:div>
      </w:divsChild>
    </w:div>
    <w:div w:id="1370690384">
      <w:marLeft w:val="0"/>
      <w:marRight w:val="0"/>
      <w:marTop w:val="0"/>
      <w:marBottom w:val="0"/>
      <w:divBdr>
        <w:top w:val="none" w:sz="0" w:space="0" w:color="auto"/>
        <w:left w:val="none" w:sz="0" w:space="0" w:color="auto"/>
        <w:bottom w:val="none" w:sz="0" w:space="0" w:color="auto"/>
        <w:right w:val="none" w:sz="0" w:space="0" w:color="auto"/>
      </w:divBdr>
      <w:divsChild>
        <w:div w:id="1370690541">
          <w:marLeft w:val="0"/>
          <w:marRight w:val="0"/>
          <w:marTop w:val="0"/>
          <w:marBottom w:val="0"/>
          <w:divBdr>
            <w:top w:val="none" w:sz="0" w:space="0" w:color="auto"/>
            <w:left w:val="none" w:sz="0" w:space="0" w:color="auto"/>
            <w:bottom w:val="none" w:sz="0" w:space="0" w:color="auto"/>
            <w:right w:val="none" w:sz="0" w:space="0" w:color="auto"/>
          </w:divBdr>
          <w:divsChild>
            <w:div w:id="1370690343">
              <w:marLeft w:val="0"/>
              <w:marRight w:val="0"/>
              <w:marTop w:val="0"/>
              <w:marBottom w:val="0"/>
              <w:divBdr>
                <w:top w:val="none" w:sz="0" w:space="0" w:color="auto"/>
                <w:left w:val="none" w:sz="0" w:space="0" w:color="auto"/>
                <w:bottom w:val="none" w:sz="0" w:space="0" w:color="auto"/>
                <w:right w:val="none" w:sz="0" w:space="0" w:color="auto"/>
              </w:divBdr>
            </w:div>
            <w:div w:id="1370690345">
              <w:marLeft w:val="0"/>
              <w:marRight w:val="0"/>
              <w:marTop w:val="0"/>
              <w:marBottom w:val="0"/>
              <w:divBdr>
                <w:top w:val="none" w:sz="0" w:space="0" w:color="auto"/>
                <w:left w:val="none" w:sz="0" w:space="0" w:color="auto"/>
                <w:bottom w:val="none" w:sz="0" w:space="0" w:color="auto"/>
                <w:right w:val="none" w:sz="0" w:space="0" w:color="auto"/>
              </w:divBdr>
            </w:div>
            <w:div w:id="1370690350">
              <w:marLeft w:val="0"/>
              <w:marRight w:val="0"/>
              <w:marTop w:val="0"/>
              <w:marBottom w:val="0"/>
              <w:divBdr>
                <w:top w:val="none" w:sz="0" w:space="0" w:color="auto"/>
                <w:left w:val="none" w:sz="0" w:space="0" w:color="auto"/>
                <w:bottom w:val="none" w:sz="0" w:space="0" w:color="auto"/>
                <w:right w:val="none" w:sz="0" w:space="0" w:color="auto"/>
              </w:divBdr>
            </w:div>
            <w:div w:id="1370690351">
              <w:marLeft w:val="0"/>
              <w:marRight w:val="0"/>
              <w:marTop w:val="0"/>
              <w:marBottom w:val="0"/>
              <w:divBdr>
                <w:top w:val="none" w:sz="0" w:space="0" w:color="auto"/>
                <w:left w:val="none" w:sz="0" w:space="0" w:color="auto"/>
                <w:bottom w:val="none" w:sz="0" w:space="0" w:color="auto"/>
                <w:right w:val="none" w:sz="0" w:space="0" w:color="auto"/>
              </w:divBdr>
            </w:div>
            <w:div w:id="1370690352">
              <w:marLeft w:val="0"/>
              <w:marRight w:val="0"/>
              <w:marTop w:val="0"/>
              <w:marBottom w:val="0"/>
              <w:divBdr>
                <w:top w:val="none" w:sz="0" w:space="0" w:color="auto"/>
                <w:left w:val="none" w:sz="0" w:space="0" w:color="auto"/>
                <w:bottom w:val="none" w:sz="0" w:space="0" w:color="auto"/>
                <w:right w:val="none" w:sz="0" w:space="0" w:color="auto"/>
              </w:divBdr>
            </w:div>
            <w:div w:id="1370690353">
              <w:marLeft w:val="0"/>
              <w:marRight w:val="0"/>
              <w:marTop w:val="0"/>
              <w:marBottom w:val="0"/>
              <w:divBdr>
                <w:top w:val="none" w:sz="0" w:space="0" w:color="auto"/>
                <w:left w:val="none" w:sz="0" w:space="0" w:color="auto"/>
                <w:bottom w:val="none" w:sz="0" w:space="0" w:color="auto"/>
                <w:right w:val="none" w:sz="0" w:space="0" w:color="auto"/>
              </w:divBdr>
            </w:div>
            <w:div w:id="1370690354">
              <w:marLeft w:val="0"/>
              <w:marRight w:val="0"/>
              <w:marTop w:val="0"/>
              <w:marBottom w:val="0"/>
              <w:divBdr>
                <w:top w:val="none" w:sz="0" w:space="0" w:color="auto"/>
                <w:left w:val="none" w:sz="0" w:space="0" w:color="auto"/>
                <w:bottom w:val="none" w:sz="0" w:space="0" w:color="auto"/>
                <w:right w:val="none" w:sz="0" w:space="0" w:color="auto"/>
              </w:divBdr>
            </w:div>
            <w:div w:id="1370690356">
              <w:marLeft w:val="0"/>
              <w:marRight w:val="0"/>
              <w:marTop w:val="0"/>
              <w:marBottom w:val="0"/>
              <w:divBdr>
                <w:top w:val="none" w:sz="0" w:space="0" w:color="auto"/>
                <w:left w:val="none" w:sz="0" w:space="0" w:color="auto"/>
                <w:bottom w:val="none" w:sz="0" w:space="0" w:color="auto"/>
                <w:right w:val="none" w:sz="0" w:space="0" w:color="auto"/>
              </w:divBdr>
            </w:div>
            <w:div w:id="1370690357">
              <w:marLeft w:val="0"/>
              <w:marRight w:val="0"/>
              <w:marTop w:val="0"/>
              <w:marBottom w:val="0"/>
              <w:divBdr>
                <w:top w:val="none" w:sz="0" w:space="0" w:color="auto"/>
                <w:left w:val="none" w:sz="0" w:space="0" w:color="auto"/>
                <w:bottom w:val="none" w:sz="0" w:space="0" w:color="auto"/>
                <w:right w:val="none" w:sz="0" w:space="0" w:color="auto"/>
              </w:divBdr>
            </w:div>
            <w:div w:id="1370690361">
              <w:marLeft w:val="0"/>
              <w:marRight w:val="0"/>
              <w:marTop w:val="0"/>
              <w:marBottom w:val="0"/>
              <w:divBdr>
                <w:top w:val="none" w:sz="0" w:space="0" w:color="auto"/>
                <w:left w:val="none" w:sz="0" w:space="0" w:color="auto"/>
                <w:bottom w:val="none" w:sz="0" w:space="0" w:color="auto"/>
                <w:right w:val="none" w:sz="0" w:space="0" w:color="auto"/>
              </w:divBdr>
            </w:div>
            <w:div w:id="1370690362">
              <w:marLeft w:val="0"/>
              <w:marRight w:val="0"/>
              <w:marTop w:val="0"/>
              <w:marBottom w:val="0"/>
              <w:divBdr>
                <w:top w:val="none" w:sz="0" w:space="0" w:color="auto"/>
                <w:left w:val="none" w:sz="0" w:space="0" w:color="auto"/>
                <w:bottom w:val="none" w:sz="0" w:space="0" w:color="auto"/>
                <w:right w:val="none" w:sz="0" w:space="0" w:color="auto"/>
              </w:divBdr>
            </w:div>
            <w:div w:id="1370690367">
              <w:marLeft w:val="0"/>
              <w:marRight w:val="0"/>
              <w:marTop w:val="0"/>
              <w:marBottom w:val="0"/>
              <w:divBdr>
                <w:top w:val="none" w:sz="0" w:space="0" w:color="auto"/>
                <w:left w:val="none" w:sz="0" w:space="0" w:color="auto"/>
                <w:bottom w:val="none" w:sz="0" w:space="0" w:color="auto"/>
                <w:right w:val="none" w:sz="0" w:space="0" w:color="auto"/>
              </w:divBdr>
            </w:div>
            <w:div w:id="1370690371">
              <w:marLeft w:val="0"/>
              <w:marRight w:val="0"/>
              <w:marTop w:val="0"/>
              <w:marBottom w:val="0"/>
              <w:divBdr>
                <w:top w:val="none" w:sz="0" w:space="0" w:color="auto"/>
                <w:left w:val="none" w:sz="0" w:space="0" w:color="auto"/>
                <w:bottom w:val="none" w:sz="0" w:space="0" w:color="auto"/>
                <w:right w:val="none" w:sz="0" w:space="0" w:color="auto"/>
              </w:divBdr>
            </w:div>
            <w:div w:id="1370690372">
              <w:marLeft w:val="0"/>
              <w:marRight w:val="0"/>
              <w:marTop w:val="0"/>
              <w:marBottom w:val="0"/>
              <w:divBdr>
                <w:top w:val="none" w:sz="0" w:space="0" w:color="auto"/>
                <w:left w:val="none" w:sz="0" w:space="0" w:color="auto"/>
                <w:bottom w:val="none" w:sz="0" w:space="0" w:color="auto"/>
                <w:right w:val="none" w:sz="0" w:space="0" w:color="auto"/>
              </w:divBdr>
            </w:div>
            <w:div w:id="1370690378">
              <w:marLeft w:val="0"/>
              <w:marRight w:val="0"/>
              <w:marTop w:val="0"/>
              <w:marBottom w:val="0"/>
              <w:divBdr>
                <w:top w:val="none" w:sz="0" w:space="0" w:color="auto"/>
                <w:left w:val="none" w:sz="0" w:space="0" w:color="auto"/>
                <w:bottom w:val="none" w:sz="0" w:space="0" w:color="auto"/>
                <w:right w:val="none" w:sz="0" w:space="0" w:color="auto"/>
              </w:divBdr>
            </w:div>
            <w:div w:id="1370690382">
              <w:marLeft w:val="0"/>
              <w:marRight w:val="0"/>
              <w:marTop w:val="0"/>
              <w:marBottom w:val="0"/>
              <w:divBdr>
                <w:top w:val="none" w:sz="0" w:space="0" w:color="auto"/>
                <w:left w:val="none" w:sz="0" w:space="0" w:color="auto"/>
                <w:bottom w:val="none" w:sz="0" w:space="0" w:color="auto"/>
                <w:right w:val="none" w:sz="0" w:space="0" w:color="auto"/>
              </w:divBdr>
            </w:div>
            <w:div w:id="1370690383">
              <w:marLeft w:val="0"/>
              <w:marRight w:val="0"/>
              <w:marTop w:val="0"/>
              <w:marBottom w:val="0"/>
              <w:divBdr>
                <w:top w:val="none" w:sz="0" w:space="0" w:color="auto"/>
                <w:left w:val="none" w:sz="0" w:space="0" w:color="auto"/>
                <w:bottom w:val="none" w:sz="0" w:space="0" w:color="auto"/>
                <w:right w:val="none" w:sz="0" w:space="0" w:color="auto"/>
              </w:divBdr>
            </w:div>
            <w:div w:id="1370690388">
              <w:marLeft w:val="0"/>
              <w:marRight w:val="0"/>
              <w:marTop w:val="0"/>
              <w:marBottom w:val="0"/>
              <w:divBdr>
                <w:top w:val="none" w:sz="0" w:space="0" w:color="auto"/>
                <w:left w:val="none" w:sz="0" w:space="0" w:color="auto"/>
                <w:bottom w:val="none" w:sz="0" w:space="0" w:color="auto"/>
                <w:right w:val="none" w:sz="0" w:space="0" w:color="auto"/>
              </w:divBdr>
            </w:div>
            <w:div w:id="1370690389">
              <w:marLeft w:val="0"/>
              <w:marRight w:val="0"/>
              <w:marTop w:val="0"/>
              <w:marBottom w:val="0"/>
              <w:divBdr>
                <w:top w:val="none" w:sz="0" w:space="0" w:color="auto"/>
                <w:left w:val="none" w:sz="0" w:space="0" w:color="auto"/>
                <w:bottom w:val="none" w:sz="0" w:space="0" w:color="auto"/>
                <w:right w:val="none" w:sz="0" w:space="0" w:color="auto"/>
              </w:divBdr>
            </w:div>
            <w:div w:id="1370690391">
              <w:marLeft w:val="0"/>
              <w:marRight w:val="0"/>
              <w:marTop w:val="0"/>
              <w:marBottom w:val="0"/>
              <w:divBdr>
                <w:top w:val="none" w:sz="0" w:space="0" w:color="auto"/>
                <w:left w:val="none" w:sz="0" w:space="0" w:color="auto"/>
                <w:bottom w:val="none" w:sz="0" w:space="0" w:color="auto"/>
                <w:right w:val="none" w:sz="0" w:space="0" w:color="auto"/>
              </w:divBdr>
            </w:div>
            <w:div w:id="1370690396">
              <w:marLeft w:val="0"/>
              <w:marRight w:val="0"/>
              <w:marTop w:val="0"/>
              <w:marBottom w:val="0"/>
              <w:divBdr>
                <w:top w:val="none" w:sz="0" w:space="0" w:color="auto"/>
                <w:left w:val="none" w:sz="0" w:space="0" w:color="auto"/>
                <w:bottom w:val="none" w:sz="0" w:space="0" w:color="auto"/>
                <w:right w:val="none" w:sz="0" w:space="0" w:color="auto"/>
              </w:divBdr>
            </w:div>
            <w:div w:id="1370690405">
              <w:marLeft w:val="0"/>
              <w:marRight w:val="0"/>
              <w:marTop w:val="0"/>
              <w:marBottom w:val="0"/>
              <w:divBdr>
                <w:top w:val="none" w:sz="0" w:space="0" w:color="auto"/>
                <w:left w:val="none" w:sz="0" w:space="0" w:color="auto"/>
                <w:bottom w:val="none" w:sz="0" w:space="0" w:color="auto"/>
                <w:right w:val="none" w:sz="0" w:space="0" w:color="auto"/>
              </w:divBdr>
            </w:div>
            <w:div w:id="1370690408">
              <w:marLeft w:val="0"/>
              <w:marRight w:val="0"/>
              <w:marTop w:val="0"/>
              <w:marBottom w:val="0"/>
              <w:divBdr>
                <w:top w:val="none" w:sz="0" w:space="0" w:color="auto"/>
                <w:left w:val="none" w:sz="0" w:space="0" w:color="auto"/>
                <w:bottom w:val="none" w:sz="0" w:space="0" w:color="auto"/>
                <w:right w:val="none" w:sz="0" w:space="0" w:color="auto"/>
              </w:divBdr>
            </w:div>
            <w:div w:id="1370690411">
              <w:marLeft w:val="0"/>
              <w:marRight w:val="0"/>
              <w:marTop w:val="0"/>
              <w:marBottom w:val="0"/>
              <w:divBdr>
                <w:top w:val="none" w:sz="0" w:space="0" w:color="auto"/>
                <w:left w:val="none" w:sz="0" w:space="0" w:color="auto"/>
                <w:bottom w:val="none" w:sz="0" w:space="0" w:color="auto"/>
                <w:right w:val="none" w:sz="0" w:space="0" w:color="auto"/>
              </w:divBdr>
            </w:div>
            <w:div w:id="1370690412">
              <w:marLeft w:val="0"/>
              <w:marRight w:val="0"/>
              <w:marTop w:val="0"/>
              <w:marBottom w:val="0"/>
              <w:divBdr>
                <w:top w:val="none" w:sz="0" w:space="0" w:color="auto"/>
                <w:left w:val="none" w:sz="0" w:space="0" w:color="auto"/>
                <w:bottom w:val="none" w:sz="0" w:space="0" w:color="auto"/>
                <w:right w:val="none" w:sz="0" w:space="0" w:color="auto"/>
              </w:divBdr>
            </w:div>
            <w:div w:id="1370690413">
              <w:marLeft w:val="0"/>
              <w:marRight w:val="0"/>
              <w:marTop w:val="0"/>
              <w:marBottom w:val="0"/>
              <w:divBdr>
                <w:top w:val="none" w:sz="0" w:space="0" w:color="auto"/>
                <w:left w:val="none" w:sz="0" w:space="0" w:color="auto"/>
                <w:bottom w:val="none" w:sz="0" w:space="0" w:color="auto"/>
                <w:right w:val="none" w:sz="0" w:space="0" w:color="auto"/>
              </w:divBdr>
            </w:div>
            <w:div w:id="1370690414">
              <w:marLeft w:val="0"/>
              <w:marRight w:val="0"/>
              <w:marTop w:val="0"/>
              <w:marBottom w:val="0"/>
              <w:divBdr>
                <w:top w:val="none" w:sz="0" w:space="0" w:color="auto"/>
                <w:left w:val="none" w:sz="0" w:space="0" w:color="auto"/>
                <w:bottom w:val="none" w:sz="0" w:space="0" w:color="auto"/>
                <w:right w:val="none" w:sz="0" w:space="0" w:color="auto"/>
              </w:divBdr>
            </w:div>
            <w:div w:id="1370690415">
              <w:marLeft w:val="0"/>
              <w:marRight w:val="0"/>
              <w:marTop w:val="0"/>
              <w:marBottom w:val="0"/>
              <w:divBdr>
                <w:top w:val="none" w:sz="0" w:space="0" w:color="auto"/>
                <w:left w:val="none" w:sz="0" w:space="0" w:color="auto"/>
                <w:bottom w:val="none" w:sz="0" w:space="0" w:color="auto"/>
                <w:right w:val="none" w:sz="0" w:space="0" w:color="auto"/>
              </w:divBdr>
            </w:div>
            <w:div w:id="1370690416">
              <w:marLeft w:val="0"/>
              <w:marRight w:val="0"/>
              <w:marTop w:val="0"/>
              <w:marBottom w:val="0"/>
              <w:divBdr>
                <w:top w:val="none" w:sz="0" w:space="0" w:color="auto"/>
                <w:left w:val="none" w:sz="0" w:space="0" w:color="auto"/>
                <w:bottom w:val="none" w:sz="0" w:space="0" w:color="auto"/>
                <w:right w:val="none" w:sz="0" w:space="0" w:color="auto"/>
              </w:divBdr>
            </w:div>
            <w:div w:id="1370690418">
              <w:marLeft w:val="0"/>
              <w:marRight w:val="0"/>
              <w:marTop w:val="0"/>
              <w:marBottom w:val="0"/>
              <w:divBdr>
                <w:top w:val="none" w:sz="0" w:space="0" w:color="auto"/>
                <w:left w:val="none" w:sz="0" w:space="0" w:color="auto"/>
                <w:bottom w:val="none" w:sz="0" w:space="0" w:color="auto"/>
                <w:right w:val="none" w:sz="0" w:space="0" w:color="auto"/>
              </w:divBdr>
            </w:div>
            <w:div w:id="1370690426">
              <w:marLeft w:val="0"/>
              <w:marRight w:val="0"/>
              <w:marTop w:val="0"/>
              <w:marBottom w:val="0"/>
              <w:divBdr>
                <w:top w:val="none" w:sz="0" w:space="0" w:color="auto"/>
                <w:left w:val="none" w:sz="0" w:space="0" w:color="auto"/>
                <w:bottom w:val="none" w:sz="0" w:space="0" w:color="auto"/>
                <w:right w:val="none" w:sz="0" w:space="0" w:color="auto"/>
              </w:divBdr>
            </w:div>
            <w:div w:id="1370690434">
              <w:marLeft w:val="0"/>
              <w:marRight w:val="0"/>
              <w:marTop w:val="0"/>
              <w:marBottom w:val="0"/>
              <w:divBdr>
                <w:top w:val="none" w:sz="0" w:space="0" w:color="auto"/>
                <w:left w:val="none" w:sz="0" w:space="0" w:color="auto"/>
                <w:bottom w:val="none" w:sz="0" w:space="0" w:color="auto"/>
                <w:right w:val="none" w:sz="0" w:space="0" w:color="auto"/>
              </w:divBdr>
            </w:div>
            <w:div w:id="1370690436">
              <w:marLeft w:val="0"/>
              <w:marRight w:val="0"/>
              <w:marTop w:val="0"/>
              <w:marBottom w:val="0"/>
              <w:divBdr>
                <w:top w:val="none" w:sz="0" w:space="0" w:color="auto"/>
                <w:left w:val="none" w:sz="0" w:space="0" w:color="auto"/>
                <w:bottom w:val="none" w:sz="0" w:space="0" w:color="auto"/>
                <w:right w:val="none" w:sz="0" w:space="0" w:color="auto"/>
              </w:divBdr>
            </w:div>
            <w:div w:id="1370690438">
              <w:marLeft w:val="0"/>
              <w:marRight w:val="0"/>
              <w:marTop w:val="0"/>
              <w:marBottom w:val="0"/>
              <w:divBdr>
                <w:top w:val="none" w:sz="0" w:space="0" w:color="auto"/>
                <w:left w:val="none" w:sz="0" w:space="0" w:color="auto"/>
                <w:bottom w:val="none" w:sz="0" w:space="0" w:color="auto"/>
                <w:right w:val="none" w:sz="0" w:space="0" w:color="auto"/>
              </w:divBdr>
            </w:div>
            <w:div w:id="1370690441">
              <w:marLeft w:val="0"/>
              <w:marRight w:val="0"/>
              <w:marTop w:val="0"/>
              <w:marBottom w:val="0"/>
              <w:divBdr>
                <w:top w:val="none" w:sz="0" w:space="0" w:color="auto"/>
                <w:left w:val="none" w:sz="0" w:space="0" w:color="auto"/>
                <w:bottom w:val="none" w:sz="0" w:space="0" w:color="auto"/>
                <w:right w:val="none" w:sz="0" w:space="0" w:color="auto"/>
              </w:divBdr>
            </w:div>
            <w:div w:id="1370690442">
              <w:marLeft w:val="0"/>
              <w:marRight w:val="0"/>
              <w:marTop w:val="0"/>
              <w:marBottom w:val="0"/>
              <w:divBdr>
                <w:top w:val="none" w:sz="0" w:space="0" w:color="auto"/>
                <w:left w:val="none" w:sz="0" w:space="0" w:color="auto"/>
                <w:bottom w:val="none" w:sz="0" w:space="0" w:color="auto"/>
                <w:right w:val="none" w:sz="0" w:space="0" w:color="auto"/>
              </w:divBdr>
            </w:div>
            <w:div w:id="1370690445">
              <w:marLeft w:val="0"/>
              <w:marRight w:val="0"/>
              <w:marTop w:val="0"/>
              <w:marBottom w:val="0"/>
              <w:divBdr>
                <w:top w:val="none" w:sz="0" w:space="0" w:color="auto"/>
                <w:left w:val="none" w:sz="0" w:space="0" w:color="auto"/>
                <w:bottom w:val="none" w:sz="0" w:space="0" w:color="auto"/>
                <w:right w:val="none" w:sz="0" w:space="0" w:color="auto"/>
              </w:divBdr>
            </w:div>
            <w:div w:id="1370690446">
              <w:marLeft w:val="0"/>
              <w:marRight w:val="0"/>
              <w:marTop w:val="0"/>
              <w:marBottom w:val="0"/>
              <w:divBdr>
                <w:top w:val="none" w:sz="0" w:space="0" w:color="auto"/>
                <w:left w:val="none" w:sz="0" w:space="0" w:color="auto"/>
                <w:bottom w:val="none" w:sz="0" w:space="0" w:color="auto"/>
                <w:right w:val="none" w:sz="0" w:space="0" w:color="auto"/>
              </w:divBdr>
            </w:div>
            <w:div w:id="1370690448">
              <w:marLeft w:val="0"/>
              <w:marRight w:val="0"/>
              <w:marTop w:val="0"/>
              <w:marBottom w:val="0"/>
              <w:divBdr>
                <w:top w:val="none" w:sz="0" w:space="0" w:color="auto"/>
                <w:left w:val="none" w:sz="0" w:space="0" w:color="auto"/>
                <w:bottom w:val="none" w:sz="0" w:space="0" w:color="auto"/>
                <w:right w:val="none" w:sz="0" w:space="0" w:color="auto"/>
              </w:divBdr>
            </w:div>
            <w:div w:id="1370690449">
              <w:marLeft w:val="0"/>
              <w:marRight w:val="0"/>
              <w:marTop w:val="0"/>
              <w:marBottom w:val="0"/>
              <w:divBdr>
                <w:top w:val="none" w:sz="0" w:space="0" w:color="auto"/>
                <w:left w:val="none" w:sz="0" w:space="0" w:color="auto"/>
                <w:bottom w:val="none" w:sz="0" w:space="0" w:color="auto"/>
                <w:right w:val="none" w:sz="0" w:space="0" w:color="auto"/>
              </w:divBdr>
            </w:div>
            <w:div w:id="1370690451">
              <w:marLeft w:val="0"/>
              <w:marRight w:val="0"/>
              <w:marTop w:val="0"/>
              <w:marBottom w:val="0"/>
              <w:divBdr>
                <w:top w:val="none" w:sz="0" w:space="0" w:color="auto"/>
                <w:left w:val="none" w:sz="0" w:space="0" w:color="auto"/>
                <w:bottom w:val="none" w:sz="0" w:space="0" w:color="auto"/>
                <w:right w:val="none" w:sz="0" w:space="0" w:color="auto"/>
              </w:divBdr>
            </w:div>
            <w:div w:id="1370690452">
              <w:marLeft w:val="0"/>
              <w:marRight w:val="0"/>
              <w:marTop w:val="0"/>
              <w:marBottom w:val="0"/>
              <w:divBdr>
                <w:top w:val="none" w:sz="0" w:space="0" w:color="auto"/>
                <w:left w:val="none" w:sz="0" w:space="0" w:color="auto"/>
                <w:bottom w:val="none" w:sz="0" w:space="0" w:color="auto"/>
                <w:right w:val="none" w:sz="0" w:space="0" w:color="auto"/>
              </w:divBdr>
            </w:div>
            <w:div w:id="1370690454">
              <w:marLeft w:val="0"/>
              <w:marRight w:val="0"/>
              <w:marTop w:val="0"/>
              <w:marBottom w:val="0"/>
              <w:divBdr>
                <w:top w:val="none" w:sz="0" w:space="0" w:color="auto"/>
                <w:left w:val="none" w:sz="0" w:space="0" w:color="auto"/>
                <w:bottom w:val="none" w:sz="0" w:space="0" w:color="auto"/>
                <w:right w:val="none" w:sz="0" w:space="0" w:color="auto"/>
              </w:divBdr>
            </w:div>
            <w:div w:id="1370690455">
              <w:marLeft w:val="0"/>
              <w:marRight w:val="0"/>
              <w:marTop w:val="0"/>
              <w:marBottom w:val="0"/>
              <w:divBdr>
                <w:top w:val="none" w:sz="0" w:space="0" w:color="auto"/>
                <w:left w:val="none" w:sz="0" w:space="0" w:color="auto"/>
                <w:bottom w:val="none" w:sz="0" w:space="0" w:color="auto"/>
                <w:right w:val="none" w:sz="0" w:space="0" w:color="auto"/>
              </w:divBdr>
            </w:div>
            <w:div w:id="1370690456">
              <w:marLeft w:val="0"/>
              <w:marRight w:val="0"/>
              <w:marTop w:val="0"/>
              <w:marBottom w:val="0"/>
              <w:divBdr>
                <w:top w:val="none" w:sz="0" w:space="0" w:color="auto"/>
                <w:left w:val="none" w:sz="0" w:space="0" w:color="auto"/>
                <w:bottom w:val="none" w:sz="0" w:space="0" w:color="auto"/>
                <w:right w:val="none" w:sz="0" w:space="0" w:color="auto"/>
              </w:divBdr>
            </w:div>
            <w:div w:id="1370690457">
              <w:marLeft w:val="0"/>
              <w:marRight w:val="0"/>
              <w:marTop w:val="0"/>
              <w:marBottom w:val="0"/>
              <w:divBdr>
                <w:top w:val="none" w:sz="0" w:space="0" w:color="auto"/>
                <w:left w:val="none" w:sz="0" w:space="0" w:color="auto"/>
                <w:bottom w:val="none" w:sz="0" w:space="0" w:color="auto"/>
                <w:right w:val="none" w:sz="0" w:space="0" w:color="auto"/>
              </w:divBdr>
            </w:div>
            <w:div w:id="1370690458">
              <w:marLeft w:val="0"/>
              <w:marRight w:val="0"/>
              <w:marTop w:val="0"/>
              <w:marBottom w:val="0"/>
              <w:divBdr>
                <w:top w:val="none" w:sz="0" w:space="0" w:color="auto"/>
                <w:left w:val="none" w:sz="0" w:space="0" w:color="auto"/>
                <w:bottom w:val="none" w:sz="0" w:space="0" w:color="auto"/>
                <w:right w:val="none" w:sz="0" w:space="0" w:color="auto"/>
              </w:divBdr>
            </w:div>
            <w:div w:id="1370690462">
              <w:marLeft w:val="0"/>
              <w:marRight w:val="0"/>
              <w:marTop w:val="0"/>
              <w:marBottom w:val="0"/>
              <w:divBdr>
                <w:top w:val="none" w:sz="0" w:space="0" w:color="auto"/>
                <w:left w:val="none" w:sz="0" w:space="0" w:color="auto"/>
                <w:bottom w:val="none" w:sz="0" w:space="0" w:color="auto"/>
                <w:right w:val="none" w:sz="0" w:space="0" w:color="auto"/>
              </w:divBdr>
            </w:div>
            <w:div w:id="1370690464">
              <w:marLeft w:val="0"/>
              <w:marRight w:val="0"/>
              <w:marTop w:val="0"/>
              <w:marBottom w:val="0"/>
              <w:divBdr>
                <w:top w:val="none" w:sz="0" w:space="0" w:color="auto"/>
                <w:left w:val="none" w:sz="0" w:space="0" w:color="auto"/>
                <w:bottom w:val="none" w:sz="0" w:space="0" w:color="auto"/>
                <w:right w:val="none" w:sz="0" w:space="0" w:color="auto"/>
              </w:divBdr>
            </w:div>
            <w:div w:id="1370690465">
              <w:marLeft w:val="0"/>
              <w:marRight w:val="0"/>
              <w:marTop w:val="0"/>
              <w:marBottom w:val="0"/>
              <w:divBdr>
                <w:top w:val="none" w:sz="0" w:space="0" w:color="auto"/>
                <w:left w:val="none" w:sz="0" w:space="0" w:color="auto"/>
                <w:bottom w:val="none" w:sz="0" w:space="0" w:color="auto"/>
                <w:right w:val="none" w:sz="0" w:space="0" w:color="auto"/>
              </w:divBdr>
            </w:div>
            <w:div w:id="1370690466">
              <w:marLeft w:val="0"/>
              <w:marRight w:val="0"/>
              <w:marTop w:val="0"/>
              <w:marBottom w:val="0"/>
              <w:divBdr>
                <w:top w:val="none" w:sz="0" w:space="0" w:color="auto"/>
                <w:left w:val="none" w:sz="0" w:space="0" w:color="auto"/>
                <w:bottom w:val="none" w:sz="0" w:space="0" w:color="auto"/>
                <w:right w:val="none" w:sz="0" w:space="0" w:color="auto"/>
              </w:divBdr>
            </w:div>
            <w:div w:id="1370690468">
              <w:marLeft w:val="0"/>
              <w:marRight w:val="0"/>
              <w:marTop w:val="0"/>
              <w:marBottom w:val="0"/>
              <w:divBdr>
                <w:top w:val="none" w:sz="0" w:space="0" w:color="auto"/>
                <w:left w:val="none" w:sz="0" w:space="0" w:color="auto"/>
                <w:bottom w:val="none" w:sz="0" w:space="0" w:color="auto"/>
                <w:right w:val="none" w:sz="0" w:space="0" w:color="auto"/>
              </w:divBdr>
            </w:div>
            <w:div w:id="1370690469">
              <w:marLeft w:val="0"/>
              <w:marRight w:val="0"/>
              <w:marTop w:val="0"/>
              <w:marBottom w:val="0"/>
              <w:divBdr>
                <w:top w:val="none" w:sz="0" w:space="0" w:color="auto"/>
                <w:left w:val="none" w:sz="0" w:space="0" w:color="auto"/>
                <w:bottom w:val="none" w:sz="0" w:space="0" w:color="auto"/>
                <w:right w:val="none" w:sz="0" w:space="0" w:color="auto"/>
              </w:divBdr>
            </w:div>
            <w:div w:id="1370690471">
              <w:marLeft w:val="0"/>
              <w:marRight w:val="0"/>
              <w:marTop w:val="0"/>
              <w:marBottom w:val="0"/>
              <w:divBdr>
                <w:top w:val="none" w:sz="0" w:space="0" w:color="auto"/>
                <w:left w:val="none" w:sz="0" w:space="0" w:color="auto"/>
                <w:bottom w:val="none" w:sz="0" w:space="0" w:color="auto"/>
                <w:right w:val="none" w:sz="0" w:space="0" w:color="auto"/>
              </w:divBdr>
            </w:div>
            <w:div w:id="1370690473">
              <w:marLeft w:val="0"/>
              <w:marRight w:val="0"/>
              <w:marTop w:val="0"/>
              <w:marBottom w:val="0"/>
              <w:divBdr>
                <w:top w:val="none" w:sz="0" w:space="0" w:color="auto"/>
                <w:left w:val="none" w:sz="0" w:space="0" w:color="auto"/>
                <w:bottom w:val="none" w:sz="0" w:space="0" w:color="auto"/>
                <w:right w:val="none" w:sz="0" w:space="0" w:color="auto"/>
              </w:divBdr>
            </w:div>
            <w:div w:id="1370690476">
              <w:marLeft w:val="0"/>
              <w:marRight w:val="0"/>
              <w:marTop w:val="0"/>
              <w:marBottom w:val="0"/>
              <w:divBdr>
                <w:top w:val="none" w:sz="0" w:space="0" w:color="auto"/>
                <w:left w:val="none" w:sz="0" w:space="0" w:color="auto"/>
                <w:bottom w:val="none" w:sz="0" w:space="0" w:color="auto"/>
                <w:right w:val="none" w:sz="0" w:space="0" w:color="auto"/>
              </w:divBdr>
            </w:div>
            <w:div w:id="1370690478">
              <w:marLeft w:val="0"/>
              <w:marRight w:val="0"/>
              <w:marTop w:val="0"/>
              <w:marBottom w:val="0"/>
              <w:divBdr>
                <w:top w:val="none" w:sz="0" w:space="0" w:color="auto"/>
                <w:left w:val="none" w:sz="0" w:space="0" w:color="auto"/>
                <w:bottom w:val="none" w:sz="0" w:space="0" w:color="auto"/>
                <w:right w:val="none" w:sz="0" w:space="0" w:color="auto"/>
              </w:divBdr>
            </w:div>
            <w:div w:id="1370690479">
              <w:marLeft w:val="0"/>
              <w:marRight w:val="0"/>
              <w:marTop w:val="0"/>
              <w:marBottom w:val="0"/>
              <w:divBdr>
                <w:top w:val="none" w:sz="0" w:space="0" w:color="auto"/>
                <w:left w:val="none" w:sz="0" w:space="0" w:color="auto"/>
                <w:bottom w:val="none" w:sz="0" w:space="0" w:color="auto"/>
                <w:right w:val="none" w:sz="0" w:space="0" w:color="auto"/>
              </w:divBdr>
            </w:div>
            <w:div w:id="1370690480">
              <w:marLeft w:val="0"/>
              <w:marRight w:val="0"/>
              <w:marTop w:val="0"/>
              <w:marBottom w:val="0"/>
              <w:divBdr>
                <w:top w:val="none" w:sz="0" w:space="0" w:color="auto"/>
                <w:left w:val="none" w:sz="0" w:space="0" w:color="auto"/>
                <w:bottom w:val="none" w:sz="0" w:space="0" w:color="auto"/>
                <w:right w:val="none" w:sz="0" w:space="0" w:color="auto"/>
              </w:divBdr>
            </w:div>
            <w:div w:id="1370690482">
              <w:marLeft w:val="0"/>
              <w:marRight w:val="0"/>
              <w:marTop w:val="0"/>
              <w:marBottom w:val="0"/>
              <w:divBdr>
                <w:top w:val="none" w:sz="0" w:space="0" w:color="auto"/>
                <w:left w:val="none" w:sz="0" w:space="0" w:color="auto"/>
                <w:bottom w:val="none" w:sz="0" w:space="0" w:color="auto"/>
                <w:right w:val="none" w:sz="0" w:space="0" w:color="auto"/>
              </w:divBdr>
            </w:div>
            <w:div w:id="1370690483">
              <w:marLeft w:val="0"/>
              <w:marRight w:val="0"/>
              <w:marTop w:val="0"/>
              <w:marBottom w:val="0"/>
              <w:divBdr>
                <w:top w:val="none" w:sz="0" w:space="0" w:color="auto"/>
                <w:left w:val="none" w:sz="0" w:space="0" w:color="auto"/>
                <w:bottom w:val="none" w:sz="0" w:space="0" w:color="auto"/>
                <w:right w:val="none" w:sz="0" w:space="0" w:color="auto"/>
              </w:divBdr>
            </w:div>
            <w:div w:id="1370690486">
              <w:marLeft w:val="0"/>
              <w:marRight w:val="0"/>
              <w:marTop w:val="0"/>
              <w:marBottom w:val="0"/>
              <w:divBdr>
                <w:top w:val="none" w:sz="0" w:space="0" w:color="auto"/>
                <w:left w:val="none" w:sz="0" w:space="0" w:color="auto"/>
                <w:bottom w:val="none" w:sz="0" w:space="0" w:color="auto"/>
                <w:right w:val="none" w:sz="0" w:space="0" w:color="auto"/>
              </w:divBdr>
            </w:div>
            <w:div w:id="1370690491">
              <w:marLeft w:val="0"/>
              <w:marRight w:val="0"/>
              <w:marTop w:val="0"/>
              <w:marBottom w:val="0"/>
              <w:divBdr>
                <w:top w:val="none" w:sz="0" w:space="0" w:color="auto"/>
                <w:left w:val="none" w:sz="0" w:space="0" w:color="auto"/>
                <w:bottom w:val="none" w:sz="0" w:space="0" w:color="auto"/>
                <w:right w:val="none" w:sz="0" w:space="0" w:color="auto"/>
              </w:divBdr>
            </w:div>
            <w:div w:id="1370690496">
              <w:marLeft w:val="0"/>
              <w:marRight w:val="0"/>
              <w:marTop w:val="0"/>
              <w:marBottom w:val="0"/>
              <w:divBdr>
                <w:top w:val="none" w:sz="0" w:space="0" w:color="auto"/>
                <w:left w:val="none" w:sz="0" w:space="0" w:color="auto"/>
                <w:bottom w:val="none" w:sz="0" w:space="0" w:color="auto"/>
                <w:right w:val="none" w:sz="0" w:space="0" w:color="auto"/>
              </w:divBdr>
            </w:div>
            <w:div w:id="1370690498">
              <w:marLeft w:val="0"/>
              <w:marRight w:val="0"/>
              <w:marTop w:val="0"/>
              <w:marBottom w:val="0"/>
              <w:divBdr>
                <w:top w:val="none" w:sz="0" w:space="0" w:color="auto"/>
                <w:left w:val="none" w:sz="0" w:space="0" w:color="auto"/>
                <w:bottom w:val="none" w:sz="0" w:space="0" w:color="auto"/>
                <w:right w:val="none" w:sz="0" w:space="0" w:color="auto"/>
              </w:divBdr>
            </w:div>
            <w:div w:id="1370690499">
              <w:marLeft w:val="0"/>
              <w:marRight w:val="0"/>
              <w:marTop w:val="0"/>
              <w:marBottom w:val="0"/>
              <w:divBdr>
                <w:top w:val="none" w:sz="0" w:space="0" w:color="auto"/>
                <w:left w:val="none" w:sz="0" w:space="0" w:color="auto"/>
                <w:bottom w:val="none" w:sz="0" w:space="0" w:color="auto"/>
                <w:right w:val="none" w:sz="0" w:space="0" w:color="auto"/>
              </w:divBdr>
            </w:div>
            <w:div w:id="1370690501">
              <w:marLeft w:val="0"/>
              <w:marRight w:val="0"/>
              <w:marTop w:val="0"/>
              <w:marBottom w:val="0"/>
              <w:divBdr>
                <w:top w:val="none" w:sz="0" w:space="0" w:color="auto"/>
                <w:left w:val="none" w:sz="0" w:space="0" w:color="auto"/>
                <w:bottom w:val="none" w:sz="0" w:space="0" w:color="auto"/>
                <w:right w:val="none" w:sz="0" w:space="0" w:color="auto"/>
              </w:divBdr>
            </w:div>
            <w:div w:id="1370690506">
              <w:marLeft w:val="0"/>
              <w:marRight w:val="0"/>
              <w:marTop w:val="0"/>
              <w:marBottom w:val="0"/>
              <w:divBdr>
                <w:top w:val="none" w:sz="0" w:space="0" w:color="auto"/>
                <w:left w:val="none" w:sz="0" w:space="0" w:color="auto"/>
                <w:bottom w:val="none" w:sz="0" w:space="0" w:color="auto"/>
                <w:right w:val="none" w:sz="0" w:space="0" w:color="auto"/>
              </w:divBdr>
            </w:div>
            <w:div w:id="1370690507">
              <w:marLeft w:val="0"/>
              <w:marRight w:val="0"/>
              <w:marTop w:val="0"/>
              <w:marBottom w:val="0"/>
              <w:divBdr>
                <w:top w:val="none" w:sz="0" w:space="0" w:color="auto"/>
                <w:left w:val="none" w:sz="0" w:space="0" w:color="auto"/>
                <w:bottom w:val="none" w:sz="0" w:space="0" w:color="auto"/>
                <w:right w:val="none" w:sz="0" w:space="0" w:color="auto"/>
              </w:divBdr>
            </w:div>
            <w:div w:id="1370690508">
              <w:marLeft w:val="0"/>
              <w:marRight w:val="0"/>
              <w:marTop w:val="0"/>
              <w:marBottom w:val="0"/>
              <w:divBdr>
                <w:top w:val="none" w:sz="0" w:space="0" w:color="auto"/>
                <w:left w:val="none" w:sz="0" w:space="0" w:color="auto"/>
                <w:bottom w:val="none" w:sz="0" w:space="0" w:color="auto"/>
                <w:right w:val="none" w:sz="0" w:space="0" w:color="auto"/>
              </w:divBdr>
            </w:div>
            <w:div w:id="1370690511">
              <w:marLeft w:val="0"/>
              <w:marRight w:val="0"/>
              <w:marTop w:val="0"/>
              <w:marBottom w:val="0"/>
              <w:divBdr>
                <w:top w:val="none" w:sz="0" w:space="0" w:color="auto"/>
                <w:left w:val="none" w:sz="0" w:space="0" w:color="auto"/>
                <w:bottom w:val="none" w:sz="0" w:space="0" w:color="auto"/>
                <w:right w:val="none" w:sz="0" w:space="0" w:color="auto"/>
              </w:divBdr>
            </w:div>
            <w:div w:id="1370690512">
              <w:marLeft w:val="0"/>
              <w:marRight w:val="0"/>
              <w:marTop w:val="0"/>
              <w:marBottom w:val="0"/>
              <w:divBdr>
                <w:top w:val="none" w:sz="0" w:space="0" w:color="auto"/>
                <w:left w:val="none" w:sz="0" w:space="0" w:color="auto"/>
                <w:bottom w:val="none" w:sz="0" w:space="0" w:color="auto"/>
                <w:right w:val="none" w:sz="0" w:space="0" w:color="auto"/>
              </w:divBdr>
            </w:div>
            <w:div w:id="1370690513">
              <w:marLeft w:val="0"/>
              <w:marRight w:val="0"/>
              <w:marTop w:val="0"/>
              <w:marBottom w:val="0"/>
              <w:divBdr>
                <w:top w:val="none" w:sz="0" w:space="0" w:color="auto"/>
                <w:left w:val="none" w:sz="0" w:space="0" w:color="auto"/>
                <w:bottom w:val="none" w:sz="0" w:space="0" w:color="auto"/>
                <w:right w:val="none" w:sz="0" w:space="0" w:color="auto"/>
              </w:divBdr>
            </w:div>
            <w:div w:id="1370690515">
              <w:marLeft w:val="0"/>
              <w:marRight w:val="0"/>
              <w:marTop w:val="0"/>
              <w:marBottom w:val="0"/>
              <w:divBdr>
                <w:top w:val="none" w:sz="0" w:space="0" w:color="auto"/>
                <w:left w:val="none" w:sz="0" w:space="0" w:color="auto"/>
                <w:bottom w:val="none" w:sz="0" w:space="0" w:color="auto"/>
                <w:right w:val="none" w:sz="0" w:space="0" w:color="auto"/>
              </w:divBdr>
            </w:div>
            <w:div w:id="1370690517">
              <w:marLeft w:val="0"/>
              <w:marRight w:val="0"/>
              <w:marTop w:val="0"/>
              <w:marBottom w:val="0"/>
              <w:divBdr>
                <w:top w:val="none" w:sz="0" w:space="0" w:color="auto"/>
                <w:left w:val="none" w:sz="0" w:space="0" w:color="auto"/>
                <w:bottom w:val="none" w:sz="0" w:space="0" w:color="auto"/>
                <w:right w:val="none" w:sz="0" w:space="0" w:color="auto"/>
              </w:divBdr>
            </w:div>
            <w:div w:id="1370690520">
              <w:marLeft w:val="0"/>
              <w:marRight w:val="0"/>
              <w:marTop w:val="0"/>
              <w:marBottom w:val="0"/>
              <w:divBdr>
                <w:top w:val="none" w:sz="0" w:space="0" w:color="auto"/>
                <w:left w:val="none" w:sz="0" w:space="0" w:color="auto"/>
                <w:bottom w:val="none" w:sz="0" w:space="0" w:color="auto"/>
                <w:right w:val="none" w:sz="0" w:space="0" w:color="auto"/>
              </w:divBdr>
            </w:div>
            <w:div w:id="1370690521">
              <w:marLeft w:val="0"/>
              <w:marRight w:val="0"/>
              <w:marTop w:val="0"/>
              <w:marBottom w:val="0"/>
              <w:divBdr>
                <w:top w:val="none" w:sz="0" w:space="0" w:color="auto"/>
                <w:left w:val="none" w:sz="0" w:space="0" w:color="auto"/>
                <w:bottom w:val="none" w:sz="0" w:space="0" w:color="auto"/>
                <w:right w:val="none" w:sz="0" w:space="0" w:color="auto"/>
              </w:divBdr>
            </w:div>
            <w:div w:id="1370690522">
              <w:marLeft w:val="0"/>
              <w:marRight w:val="0"/>
              <w:marTop w:val="0"/>
              <w:marBottom w:val="0"/>
              <w:divBdr>
                <w:top w:val="none" w:sz="0" w:space="0" w:color="auto"/>
                <w:left w:val="none" w:sz="0" w:space="0" w:color="auto"/>
                <w:bottom w:val="none" w:sz="0" w:space="0" w:color="auto"/>
                <w:right w:val="none" w:sz="0" w:space="0" w:color="auto"/>
              </w:divBdr>
            </w:div>
            <w:div w:id="1370690523">
              <w:marLeft w:val="0"/>
              <w:marRight w:val="0"/>
              <w:marTop w:val="0"/>
              <w:marBottom w:val="0"/>
              <w:divBdr>
                <w:top w:val="none" w:sz="0" w:space="0" w:color="auto"/>
                <w:left w:val="none" w:sz="0" w:space="0" w:color="auto"/>
                <w:bottom w:val="none" w:sz="0" w:space="0" w:color="auto"/>
                <w:right w:val="none" w:sz="0" w:space="0" w:color="auto"/>
              </w:divBdr>
            </w:div>
            <w:div w:id="1370690525">
              <w:marLeft w:val="0"/>
              <w:marRight w:val="0"/>
              <w:marTop w:val="0"/>
              <w:marBottom w:val="0"/>
              <w:divBdr>
                <w:top w:val="none" w:sz="0" w:space="0" w:color="auto"/>
                <w:left w:val="none" w:sz="0" w:space="0" w:color="auto"/>
                <w:bottom w:val="none" w:sz="0" w:space="0" w:color="auto"/>
                <w:right w:val="none" w:sz="0" w:space="0" w:color="auto"/>
              </w:divBdr>
            </w:div>
            <w:div w:id="1370690526">
              <w:marLeft w:val="0"/>
              <w:marRight w:val="0"/>
              <w:marTop w:val="0"/>
              <w:marBottom w:val="0"/>
              <w:divBdr>
                <w:top w:val="none" w:sz="0" w:space="0" w:color="auto"/>
                <w:left w:val="none" w:sz="0" w:space="0" w:color="auto"/>
                <w:bottom w:val="none" w:sz="0" w:space="0" w:color="auto"/>
                <w:right w:val="none" w:sz="0" w:space="0" w:color="auto"/>
              </w:divBdr>
            </w:div>
            <w:div w:id="1370690531">
              <w:marLeft w:val="0"/>
              <w:marRight w:val="0"/>
              <w:marTop w:val="0"/>
              <w:marBottom w:val="0"/>
              <w:divBdr>
                <w:top w:val="none" w:sz="0" w:space="0" w:color="auto"/>
                <w:left w:val="none" w:sz="0" w:space="0" w:color="auto"/>
                <w:bottom w:val="none" w:sz="0" w:space="0" w:color="auto"/>
                <w:right w:val="none" w:sz="0" w:space="0" w:color="auto"/>
              </w:divBdr>
            </w:div>
            <w:div w:id="1370690534">
              <w:marLeft w:val="0"/>
              <w:marRight w:val="0"/>
              <w:marTop w:val="0"/>
              <w:marBottom w:val="0"/>
              <w:divBdr>
                <w:top w:val="none" w:sz="0" w:space="0" w:color="auto"/>
                <w:left w:val="none" w:sz="0" w:space="0" w:color="auto"/>
                <w:bottom w:val="none" w:sz="0" w:space="0" w:color="auto"/>
                <w:right w:val="none" w:sz="0" w:space="0" w:color="auto"/>
              </w:divBdr>
            </w:div>
            <w:div w:id="1370690535">
              <w:marLeft w:val="0"/>
              <w:marRight w:val="0"/>
              <w:marTop w:val="0"/>
              <w:marBottom w:val="0"/>
              <w:divBdr>
                <w:top w:val="none" w:sz="0" w:space="0" w:color="auto"/>
                <w:left w:val="none" w:sz="0" w:space="0" w:color="auto"/>
                <w:bottom w:val="none" w:sz="0" w:space="0" w:color="auto"/>
                <w:right w:val="none" w:sz="0" w:space="0" w:color="auto"/>
              </w:divBdr>
            </w:div>
            <w:div w:id="1370690536">
              <w:marLeft w:val="0"/>
              <w:marRight w:val="0"/>
              <w:marTop w:val="0"/>
              <w:marBottom w:val="0"/>
              <w:divBdr>
                <w:top w:val="none" w:sz="0" w:space="0" w:color="auto"/>
                <w:left w:val="none" w:sz="0" w:space="0" w:color="auto"/>
                <w:bottom w:val="none" w:sz="0" w:space="0" w:color="auto"/>
                <w:right w:val="none" w:sz="0" w:space="0" w:color="auto"/>
              </w:divBdr>
            </w:div>
            <w:div w:id="1370690538">
              <w:marLeft w:val="0"/>
              <w:marRight w:val="0"/>
              <w:marTop w:val="0"/>
              <w:marBottom w:val="0"/>
              <w:divBdr>
                <w:top w:val="none" w:sz="0" w:space="0" w:color="auto"/>
                <w:left w:val="none" w:sz="0" w:space="0" w:color="auto"/>
                <w:bottom w:val="none" w:sz="0" w:space="0" w:color="auto"/>
                <w:right w:val="none" w:sz="0" w:space="0" w:color="auto"/>
              </w:divBdr>
            </w:div>
            <w:div w:id="1370690542">
              <w:marLeft w:val="0"/>
              <w:marRight w:val="0"/>
              <w:marTop w:val="0"/>
              <w:marBottom w:val="0"/>
              <w:divBdr>
                <w:top w:val="none" w:sz="0" w:space="0" w:color="auto"/>
                <w:left w:val="none" w:sz="0" w:space="0" w:color="auto"/>
                <w:bottom w:val="none" w:sz="0" w:space="0" w:color="auto"/>
                <w:right w:val="none" w:sz="0" w:space="0" w:color="auto"/>
              </w:divBdr>
            </w:div>
            <w:div w:id="1370690545">
              <w:marLeft w:val="0"/>
              <w:marRight w:val="0"/>
              <w:marTop w:val="0"/>
              <w:marBottom w:val="0"/>
              <w:divBdr>
                <w:top w:val="none" w:sz="0" w:space="0" w:color="auto"/>
                <w:left w:val="none" w:sz="0" w:space="0" w:color="auto"/>
                <w:bottom w:val="none" w:sz="0" w:space="0" w:color="auto"/>
                <w:right w:val="none" w:sz="0" w:space="0" w:color="auto"/>
              </w:divBdr>
            </w:div>
            <w:div w:id="1370690549">
              <w:marLeft w:val="0"/>
              <w:marRight w:val="0"/>
              <w:marTop w:val="0"/>
              <w:marBottom w:val="0"/>
              <w:divBdr>
                <w:top w:val="none" w:sz="0" w:space="0" w:color="auto"/>
                <w:left w:val="none" w:sz="0" w:space="0" w:color="auto"/>
                <w:bottom w:val="none" w:sz="0" w:space="0" w:color="auto"/>
                <w:right w:val="none" w:sz="0" w:space="0" w:color="auto"/>
              </w:divBdr>
            </w:div>
            <w:div w:id="1370690550">
              <w:marLeft w:val="0"/>
              <w:marRight w:val="0"/>
              <w:marTop w:val="0"/>
              <w:marBottom w:val="0"/>
              <w:divBdr>
                <w:top w:val="none" w:sz="0" w:space="0" w:color="auto"/>
                <w:left w:val="none" w:sz="0" w:space="0" w:color="auto"/>
                <w:bottom w:val="none" w:sz="0" w:space="0" w:color="auto"/>
                <w:right w:val="none" w:sz="0" w:space="0" w:color="auto"/>
              </w:divBdr>
            </w:div>
            <w:div w:id="1370690551">
              <w:marLeft w:val="0"/>
              <w:marRight w:val="0"/>
              <w:marTop w:val="0"/>
              <w:marBottom w:val="0"/>
              <w:divBdr>
                <w:top w:val="none" w:sz="0" w:space="0" w:color="auto"/>
                <w:left w:val="none" w:sz="0" w:space="0" w:color="auto"/>
                <w:bottom w:val="none" w:sz="0" w:space="0" w:color="auto"/>
                <w:right w:val="none" w:sz="0" w:space="0" w:color="auto"/>
              </w:divBdr>
            </w:div>
            <w:div w:id="1370690553">
              <w:marLeft w:val="0"/>
              <w:marRight w:val="0"/>
              <w:marTop w:val="0"/>
              <w:marBottom w:val="0"/>
              <w:divBdr>
                <w:top w:val="none" w:sz="0" w:space="0" w:color="auto"/>
                <w:left w:val="none" w:sz="0" w:space="0" w:color="auto"/>
                <w:bottom w:val="none" w:sz="0" w:space="0" w:color="auto"/>
                <w:right w:val="none" w:sz="0" w:space="0" w:color="auto"/>
              </w:divBdr>
            </w:div>
            <w:div w:id="1370690557">
              <w:marLeft w:val="0"/>
              <w:marRight w:val="0"/>
              <w:marTop w:val="0"/>
              <w:marBottom w:val="0"/>
              <w:divBdr>
                <w:top w:val="none" w:sz="0" w:space="0" w:color="auto"/>
                <w:left w:val="none" w:sz="0" w:space="0" w:color="auto"/>
                <w:bottom w:val="none" w:sz="0" w:space="0" w:color="auto"/>
                <w:right w:val="none" w:sz="0" w:space="0" w:color="auto"/>
              </w:divBdr>
            </w:div>
            <w:div w:id="1370690558">
              <w:marLeft w:val="0"/>
              <w:marRight w:val="0"/>
              <w:marTop w:val="0"/>
              <w:marBottom w:val="0"/>
              <w:divBdr>
                <w:top w:val="none" w:sz="0" w:space="0" w:color="auto"/>
                <w:left w:val="none" w:sz="0" w:space="0" w:color="auto"/>
                <w:bottom w:val="none" w:sz="0" w:space="0" w:color="auto"/>
                <w:right w:val="none" w:sz="0" w:space="0" w:color="auto"/>
              </w:divBdr>
            </w:div>
            <w:div w:id="1370690559">
              <w:marLeft w:val="0"/>
              <w:marRight w:val="0"/>
              <w:marTop w:val="0"/>
              <w:marBottom w:val="0"/>
              <w:divBdr>
                <w:top w:val="none" w:sz="0" w:space="0" w:color="auto"/>
                <w:left w:val="none" w:sz="0" w:space="0" w:color="auto"/>
                <w:bottom w:val="none" w:sz="0" w:space="0" w:color="auto"/>
                <w:right w:val="none" w:sz="0" w:space="0" w:color="auto"/>
              </w:divBdr>
            </w:div>
            <w:div w:id="1370690560">
              <w:marLeft w:val="0"/>
              <w:marRight w:val="0"/>
              <w:marTop w:val="0"/>
              <w:marBottom w:val="0"/>
              <w:divBdr>
                <w:top w:val="none" w:sz="0" w:space="0" w:color="auto"/>
                <w:left w:val="none" w:sz="0" w:space="0" w:color="auto"/>
                <w:bottom w:val="none" w:sz="0" w:space="0" w:color="auto"/>
                <w:right w:val="none" w:sz="0" w:space="0" w:color="auto"/>
              </w:divBdr>
            </w:div>
            <w:div w:id="1370690563">
              <w:marLeft w:val="0"/>
              <w:marRight w:val="0"/>
              <w:marTop w:val="0"/>
              <w:marBottom w:val="0"/>
              <w:divBdr>
                <w:top w:val="none" w:sz="0" w:space="0" w:color="auto"/>
                <w:left w:val="none" w:sz="0" w:space="0" w:color="auto"/>
                <w:bottom w:val="none" w:sz="0" w:space="0" w:color="auto"/>
                <w:right w:val="none" w:sz="0" w:space="0" w:color="auto"/>
              </w:divBdr>
            </w:div>
            <w:div w:id="1370690566">
              <w:marLeft w:val="0"/>
              <w:marRight w:val="0"/>
              <w:marTop w:val="0"/>
              <w:marBottom w:val="0"/>
              <w:divBdr>
                <w:top w:val="none" w:sz="0" w:space="0" w:color="auto"/>
                <w:left w:val="none" w:sz="0" w:space="0" w:color="auto"/>
                <w:bottom w:val="none" w:sz="0" w:space="0" w:color="auto"/>
                <w:right w:val="none" w:sz="0" w:space="0" w:color="auto"/>
              </w:divBdr>
            </w:div>
            <w:div w:id="1370690567">
              <w:marLeft w:val="0"/>
              <w:marRight w:val="0"/>
              <w:marTop w:val="0"/>
              <w:marBottom w:val="0"/>
              <w:divBdr>
                <w:top w:val="none" w:sz="0" w:space="0" w:color="auto"/>
                <w:left w:val="none" w:sz="0" w:space="0" w:color="auto"/>
                <w:bottom w:val="none" w:sz="0" w:space="0" w:color="auto"/>
                <w:right w:val="none" w:sz="0" w:space="0" w:color="auto"/>
              </w:divBdr>
            </w:div>
            <w:div w:id="1370690569">
              <w:marLeft w:val="0"/>
              <w:marRight w:val="0"/>
              <w:marTop w:val="0"/>
              <w:marBottom w:val="0"/>
              <w:divBdr>
                <w:top w:val="none" w:sz="0" w:space="0" w:color="auto"/>
                <w:left w:val="none" w:sz="0" w:space="0" w:color="auto"/>
                <w:bottom w:val="none" w:sz="0" w:space="0" w:color="auto"/>
                <w:right w:val="none" w:sz="0" w:space="0" w:color="auto"/>
              </w:divBdr>
            </w:div>
            <w:div w:id="1370690571">
              <w:marLeft w:val="0"/>
              <w:marRight w:val="0"/>
              <w:marTop w:val="0"/>
              <w:marBottom w:val="0"/>
              <w:divBdr>
                <w:top w:val="none" w:sz="0" w:space="0" w:color="auto"/>
                <w:left w:val="none" w:sz="0" w:space="0" w:color="auto"/>
                <w:bottom w:val="none" w:sz="0" w:space="0" w:color="auto"/>
                <w:right w:val="none" w:sz="0" w:space="0" w:color="auto"/>
              </w:divBdr>
            </w:div>
            <w:div w:id="1370690572">
              <w:marLeft w:val="0"/>
              <w:marRight w:val="0"/>
              <w:marTop w:val="0"/>
              <w:marBottom w:val="0"/>
              <w:divBdr>
                <w:top w:val="none" w:sz="0" w:space="0" w:color="auto"/>
                <w:left w:val="none" w:sz="0" w:space="0" w:color="auto"/>
                <w:bottom w:val="none" w:sz="0" w:space="0" w:color="auto"/>
                <w:right w:val="none" w:sz="0" w:space="0" w:color="auto"/>
              </w:divBdr>
            </w:div>
            <w:div w:id="1370690574">
              <w:marLeft w:val="0"/>
              <w:marRight w:val="0"/>
              <w:marTop w:val="0"/>
              <w:marBottom w:val="0"/>
              <w:divBdr>
                <w:top w:val="none" w:sz="0" w:space="0" w:color="auto"/>
                <w:left w:val="none" w:sz="0" w:space="0" w:color="auto"/>
                <w:bottom w:val="none" w:sz="0" w:space="0" w:color="auto"/>
                <w:right w:val="none" w:sz="0" w:space="0" w:color="auto"/>
              </w:divBdr>
            </w:div>
            <w:div w:id="1370690576">
              <w:marLeft w:val="0"/>
              <w:marRight w:val="0"/>
              <w:marTop w:val="0"/>
              <w:marBottom w:val="0"/>
              <w:divBdr>
                <w:top w:val="none" w:sz="0" w:space="0" w:color="auto"/>
                <w:left w:val="none" w:sz="0" w:space="0" w:color="auto"/>
                <w:bottom w:val="none" w:sz="0" w:space="0" w:color="auto"/>
                <w:right w:val="none" w:sz="0" w:space="0" w:color="auto"/>
              </w:divBdr>
            </w:div>
            <w:div w:id="1370690580">
              <w:marLeft w:val="0"/>
              <w:marRight w:val="0"/>
              <w:marTop w:val="0"/>
              <w:marBottom w:val="0"/>
              <w:divBdr>
                <w:top w:val="none" w:sz="0" w:space="0" w:color="auto"/>
                <w:left w:val="none" w:sz="0" w:space="0" w:color="auto"/>
                <w:bottom w:val="none" w:sz="0" w:space="0" w:color="auto"/>
                <w:right w:val="none" w:sz="0" w:space="0" w:color="auto"/>
              </w:divBdr>
            </w:div>
            <w:div w:id="1370690581">
              <w:marLeft w:val="0"/>
              <w:marRight w:val="0"/>
              <w:marTop w:val="0"/>
              <w:marBottom w:val="0"/>
              <w:divBdr>
                <w:top w:val="none" w:sz="0" w:space="0" w:color="auto"/>
                <w:left w:val="none" w:sz="0" w:space="0" w:color="auto"/>
                <w:bottom w:val="none" w:sz="0" w:space="0" w:color="auto"/>
                <w:right w:val="none" w:sz="0" w:space="0" w:color="auto"/>
              </w:divBdr>
            </w:div>
            <w:div w:id="1370690583">
              <w:marLeft w:val="0"/>
              <w:marRight w:val="0"/>
              <w:marTop w:val="0"/>
              <w:marBottom w:val="0"/>
              <w:divBdr>
                <w:top w:val="none" w:sz="0" w:space="0" w:color="auto"/>
                <w:left w:val="none" w:sz="0" w:space="0" w:color="auto"/>
                <w:bottom w:val="none" w:sz="0" w:space="0" w:color="auto"/>
                <w:right w:val="none" w:sz="0" w:space="0" w:color="auto"/>
              </w:divBdr>
            </w:div>
            <w:div w:id="1370690585">
              <w:marLeft w:val="0"/>
              <w:marRight w:val="0"/>
              <w:marTop w:val="0"/>
              <w:marBottom w:val="0"/>
              <w:divBdr>
                <w:top w:val="none" w:sz="0" w:space="0" w:color="auto"/>
                <w:left w:val="none" w:sz="0" w:space="0" w:color="auto"/>
                <w:bottom w:val="none" w:sz="0" w:space="0" w:color="auto"/>
                <w:right w:val="none" w:sz="0" w:space="0" w:color="auto"/>
              </w:divBdr>
            </w:div>
            <w:div w:id="1370690590">
              <w:marLeft w:val="0"/>
              <w:marRight w:val="0"/>
              <w:marTop w:val="0"/>
              <w:marBottom w:val="0"/>
              <w:divBdr>
                <w:top w:val="none" w:sz="0" w:space="0" w:color="auto"/>
                <w:left w:val="none" w:sz="0" w:space="0" w:color="auto"/>
                <w:bottom w:val="none" w:sz="0" w:space="0" w:color="auto"/>
                <w:right w:val="none" w:sz="0" w:space="0" w:color="auto"/>
              </w:divBdr>
            </w:div>
            <w:div w:id="1370690591">
              <w:marLeft w:val="0"/>
              <w:marRight w:val="0"/>
              <w:marTop w:val="0"/>
              <w:marBottom w:val="0"/>
              <w:divBdr>
                <w:top w:val="none" w:sz="0" w:space="0" w:color="auto"/>
                <w:left w:val="none" w:sz="0" w:space="0" w:color="auto"/>
                <w:bottom w:val="none" w:sz="0" w:space="0" w:color="auto"/>
                <w:right w:val="none" w:sz="0" w:space="0" w:color="auto"/>
              </w:divBdr>
            </w:div>
            <w:div w:id="1370690592">
              <w:marLeft w:val="0"/>
              <w:marRight w:val="0"/>
              <w:marTop w:val="0"/>
              <w:marBottom w:val="0"/>
              <w:divBdr>
                <w:top w:val="none" w:sz="0" w:space="0" w:color="auto"/>
                <w:left w:val="none" w:sz="0" w:space="0" w:color="auto"/>
                <w:bottom w:val="none" w:sz="0" w:space="0" w:color="auto"/>
                <w:right w:val="none" w:sz="0" w:space="0" w:color="auto"/>
              </w:divBdr>
            </w:div>
            <w:div w:id="1370690594">
              <w:marLeft w:val="0"/>
              <w:marRight w:val="0"/>
              <w:marTop w:val="0"/>
              <w:marBottom w:val="0"/>
              <w:divBdr>
                <w:top w:val="none" w:sz="0" w:space="0" w:color="auto"/>
                <w:left w:val="none" w:sz="0" w:space="0" w:color="auto"/>
                <w:bottom w:val="none" w:sz="0" w:space="0" w:color="auto"/>
                <w:right w:val="none" w:sz="0" w:space="0" w:color="auto"/>
              </w:divBdr>
            </w:div>
            <w:div w:id="1370690595">
              <w:marLeft w:val="0"/>
              <w:marRight w:val="0"/>
              <w:marTop w:val="0"/>
              <w:marBottom w:val="0"/>
              <w:divBdr>
                <w:top w:val="none" w:sz="0" w:space="0" w:color="auto"/>
                <w:left w:val="none" w:sz="0" w:space="0" w:color="auto"/>
                <w:bottom w:val="none" w:sz="0" w:space="0" w:color="auto"/>
                <w:right w:val="none" w:sz="0" w:space="0" w:color="auto"/>
              </w:divBdr>
            </w:div>
            <w:div w:id="1370690597">
              <w:marLeft w:val="0"/>
              <w:marRight w:val="0"/>
              <w:marTop w:val="0"/>
              <w:marBottom w:val="0"/>
              <w:divBdr>
                <w:top w:val="none" w:sz="0" w:space="0" w:color="auto"/>
                <w:left w:val="none" w:sz="0" w:space="0" w:color="auto"/>
                <w:bottom w:val="none" w:sz="0" w:space="0" w:color="auto"/>
                <w:right w:val="none" w:sz="0" w:space="0" w:color="auto"/>
              </w:divBdr>
            </w:div>
            <w:div w:id="1370690598">
              <w:marLeft w:val="0"/>
              <w:marRight w:val="0"/>
              <w:marTop w:val="0"/>
              <w:marBottom w:val="0"/>
              <w:divBdr>
                <w:top w:val="none" w:sz="0" w:space="0" w:color="auto"/>
                <w:left w:val="none" w:sz="0" w:space="0" w:color="auto"/>
                <w:bottom w:val="none" w:sz="0" w:space="0" w:color="auto"/>
                <w:right w:val="none" w:sz="0" w:space="0" w:color="auto"/>
              </w:divBdr>
            </w:div>
            <w:div w:id="1370690600">
              <w:marLeft w:val="0"/>
              <w:marRight w:val="0"/>
              <w:marTop w:val="0"/>
              <w:marBottom w:val="0"/>
              <w:divBdr>
                <w:top w:val="none" w:sz="0" w:space="0" w:color="auto"/>
                <w:left w:val="none" w:sz="0" w:space="0" w:color="auto"/>
                <w:bottom w:val="none" w:sz="0" w:space="0" w:color="auto"/>
                <w:right w:val="none" w:sz="0" w:space="0" w:color="auto"/>
              </w:divBdr>
            </w:div>
            <w:div w:id="137069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0385">
      <w:marLeft w:val="0"/>
      <w:marRight w:val="0"/>
      <w:marTop w:val="0"/>
      <w:marBottom w:val="0"/>
      <w:divBdr>
        <w:top w:val="none" w:sz="0" w:space="0" w:color="auto"/>
        <w:left w:val="none" w:sz="0" w:space="0" w:color="auto"/>
        <w:bottom w:val="none" w:sz="0" w:space="0" w:color="auto"/>
        <w:right w:val="none" w:sz="0" w:space="0" w:color="auto"/>
      </w:divBdr>
    </w:div>
    <w:div w:id="1370690386">
      <w:marLeft w:val="0"/>
      <w:marRight w:val="0"/>
      <w:marTop w:val="0"/>
      <w:marBottom w:val="0"/>
      <w:divBdr>
        <w:top w:val="none" w:sz="0" w:space="0" w:color="auto"/>
        <w:left w:val="none" w:sz="0" w:space="0" w:color="auto"/>
        <w:bottom w:val="none" w:sz="0" w:space="0" w:color="auto"/>
        <w:right w:val="none" w:sz="0" w:space="0" w:color="auto"/>
      </w:divBdr>
    </w:div>
    <w:div w:id="1370690387">
      <w:marLeft w:val="0"/>
      <w:marRight w:val="0"/>
      <w:marTop w:val="0"/>
      <w:marBottom w:val="0"/>
      <w:divBdr>
        <w:top w:val="none" w:sz="0" w:space="0" w:color="auto"/>
        <w:left w:val="none" w:sz="0" w:space="0" w:color="auto"/>
        <w:bottom w:val="none" w:sz="0" w:space="0" w:color="auto"/>
        <w:right w:val="none" w:sz="0" w:space="0" w:color="auto"/>
      </w:divBdr>
    </w:div>
    <w:div w:id="1370690394">
      <w:marLeft w:val="0"/>
      <w:marRight w:val="0"/>
      <w:marTop w:val="0"/>
      <w:marBottom w:val="0"/>
      <w:divBdr>
        <w:top w:val="none" w:sz="0" w:space="0" w:color="auto"/>
        <w:left w:val="none" w:sz="0" w:space="0" w:color="auto"/>
        <w:bottom w:val="none" w:sz="0" w:space="0" w:color="auto"/>
        <w:right w:val="none" w:sz="0" w:space="0" w:color="auto"/>
      </w:divBdr>
    </w:div>
    <w:div w:id="1370690395">
      <w:marLeft w:val="0"/>
      <w:marRight w:val="0"/>
      <w:marTop w:val="0"/>
      <w:marBottom w:val="0"/>
      <w:divBdr>
        <w:top w:val="none" w:sz="0" w:space="0" w:color="auto"/>
        <w:left w:val="none" w:sz="0" w:space="0" w:color="auto"/>
        <w:bottom w:val="none" w:sz="0" w:space="0" w:color="auto"/>
        <w:right w:val="none" w:sz="0" w:space="0" w:color="auto"/>
      </w:divBdr>
    </w:div>
    <w:div w:id="1370690397">
      <w:marLeft w:val="0"/>
      <w:marRight w:val="0"/>
      <w:marTop w:val="0"/>
      <w:marBottom w:val="0"/>
      <w:divBdr>
        <w:top w:val="none" w:sz="0" w:space="0" w:color="auto"/>
        <w:left w:val="none" w:sz="0" w:space="0" w:color="auto"/>
        <w:bottom w:val="none" w:sz="0" w:space="0" w:color="auto"/>
        <w:right w:val="none" w:sz="0" w:space="0" w:color="auto"/>
      </w:divBdr>
      <w:divsChild>
        <w:div w:id="1370690355">
          <w:marLeft w:val="0"/>
          <w:marRight w:val="0"/>
          <w:marTop w:val="0"/>
          <w:marBottom w:val="0"/>
          <w:divBdr>
            <w:top w:val="none" w:sz="0" w:space="0" w:color="auto"/>
            <w:left w:val="none" w:sz="0" w:space="0" w:color="auto"/>
            <w:bottom w:val="none" w:sz="0" w:space="0" w:color="auto"/>
            <w:right w:val="none" w:sz="0" w:space="0" w:color="auto"/>
          </w:divBdr>
        </w:div>
        <w:div w:id="1370690379">
          <w:marLeft w:val="0"/>
          <w:marRight w:val="0"/>
          <w:marTop w:val="0"/>
          <w:marBottom w:val="0"/>
          <w:divBdr>
            <w:top w:val="none" w:sz="0" w:space="0" w:color="auto"/>
            <w:left w:val="none" w:sz="0" w:space="0" w:color="auto"/>
            <w:bottom w:val="none" w:sz="0" w:space="0" w:color="auto"/>
            <w:right w:val="none" w:sz="0" w:space="0" w:color="auto"/>
          </w:divBdr>
        </w:div>
        <w:div w:id="1370690401">
          <w:marLeft w:val="0"/>
          <w:marRight w:val="0"/>
          <w:marTop w:val="0"/>
          <w:marBottom w:val="0"/>
          <w:divBdr>
            <w:top w:val="none" w:sz="0" w:space="0" w:color="auto"/>
            <w:left w:val="none" w:sz="0" w:space="0" w:color="auto"/>
            <w:bottom w:val="none" w:sz="0" w:space="0" w:color="auto"/>
            <w:right w:val="none" w:sz="0" w:space="0" w:color="auto"/>
          </w:divBdr>
        </w:div>
        <w:div w:id="1370690409">
          <w:marLeft w:val="0"/>
          <w:marRight w:val="0"/>
          <w:marTop w:val="0"/>
          <w:marBottom w:val="0"/>
          <w:divBdr>
            <w:top w:val="none" w:sz="0" w:space="0" w:color="auto"/>
            <w:left w:val="none" w:sz="0" w:space="0" w:color="auto"/>
            <w:bottom w:val="none" w:sz="0" w:space="0" w:color="auto"/>
            <w:right w:val="none" w:sz="0" w:space="0" w:color="auto"/>
          </w:divBdr>
        </w:div>
        <w:div w:id="1370690439">
          <w:marLeft w:val="0"/>
          <w:marRight w:val="0"/>
          <w:marTop w:val="0"/>
          <w:marBottom w:val="0"/>
          <w:divBdr>
            <w:top w:val="none" w:sz="0" w:space="0" w:color="auto"/>
            <w:left w:val="none" w:sz="0" w:space="0" w:color="auto"/>
            <w:bottom w:val="none" w:sz="0" w:space="0" w:color="auto"/>
            <w:right w:val="none" w:sz="0" w:space="0" w:color="auto"/>
          </w:divBdr>
        </w:div>
        <w:div w:id="1370690450">
          <w:marLeft w:val="0"/>
          <w:marRight w:val="0"/>
          <w:marTop w:val="0"/>
          <w:marBottom w:val="0"/>
          <w:divBdr>
            <w:top w:val="none" w:sz="0" w:space="0" w:color="auto"/>
            <w:left w:val="none" w:sz="0" w:space="0" w:color="auto"/>
            <w:bottom w:val="none" w:sz="0" w:space="0" w:color="auto"/>
            <w:right w:val="none" w:sz="0" w:space="0" w:color="auto"/>
          </w:divBdr>
        </w:div>
        <w:div w:id="1370690470">
          <w:marLeft w:val="0"/>
          <w:marRight w:val="0"/>
          <w:marTop w:val="0"/>
          <w:marBottom w:val="0"/>
          <w:divBdr>
            <w:top w:val="none" w:sz="0" w:space="0" w:color="auto"/>
            <w:left w:val="none" w:sz="0" w:space="0" w:color="auto"/>
            <w:bottom w:val="none" w:sz="0" w:space="0" w:color="auto"/>
            <w:right w:val="none" w:sz="0" w:space="0" w:color="auto"/>
          </w:divBdr>
        </w:div>
        <w:div w:id="1370690474">
          <w:marLeft w:val="0"/>
          <w:marRight w:val="0"/>
          <w:marTop w:val="0"/>
          <w:marBottom w:val="0"/>
          <w:divBdr>
            <w:top w:val="none" w:sz="0" w:space="0" w:color="auto"/>
            <w:left w:val="none" w:sz="0" w:space="0" w:color="auto"/>
            <w:bottom w:val="none" w:sz="0" w:space="0" w:color="auto"/>
            <w:right w:val="none" w:sz="0" w:space="0" w:color="auto"/>
          </w:divBdr>
        </w:div>
        <w:div w:id="1370690477">
          <w:marLeft w:val="0"/>
          <w:marRight w:val="0"/>
          <w:marTop w:val="0"/>
          <w:marBottom w:val="0"/>
          <w:divBdr>
            <w:top w:val="none" w:sz="0" w:space="0" w:color="auto"/>
            <w:left w:val="none" w:sz="0" w:space="0" w:color="auto"/>
            <w:bottom w:val="none" w:sz="0" w:space="0" w:color="auto"/>
            <w:right w:val="none" w:sz="0" w:space="0" w:color="auto"/>
          </w:divBdr>
        </w:div>
        <w:div w:id="1370690489">
          <w:marLeft w:val="0"/>
          <w:marRight w:val="0"/>
          <w:marTop w:val="0"/>
          <w:marBottom w:val="0"/>
          <w:divBdr>
            <w:top w:val="none" w:sz="0" w:space="0" w:color="auto"/>
            <w:left w:val="none" w:sz="0" w:space="0" w:color="auto"/>
            <w:bottom w:val="none" w:sz="0" w:space="0" w:color="auto"/>
            <w:right w:val="none" w:sz="0" w:space="0" w:color="auto"/>
          </w:divBdr>
        </w:div>
        <w:div w:id="1370690495">
          <w:marLeft w:val="0"/>
          <w:marRight w:val="0"/>
          <w:marTop w:val="0"/>
          <w:marBottom w:val="0"/>
          <w:divBdr>
            <w:top w:val="none" w:sz="0" w:space="0" w:color="auto"/>
            <w:left w:val="none" w:sz="0" w:space="0" w:color="auto"/>
            <w:bottom w:val="none" w:sz="0" w:space="0" w:color="auto"/>
            <w:right w:val="none" w:sz="0" w:space="0" w:color="auto"/>
          </w:divBdr>
        </w:div>
        <w:div w:id="1370690505">
          <w:marLeft w:val="0"/>
          <w:marRight w:val="0"/>
          <w:marTop w:val="0"/>
          <w:marBottom w:val="0"/>
          <w:divBdr>
            <w:top w:val="none" w:sz="0" w:space="0" w:color="auto"/>
            <w:left w:val="none" w:sz="0" w:space="0" w:color="auto"/>
            <w:bottom w:val="none" w:sz="0" w:space="0" w:color="auto"/>
            <w:right w:val="none" w:sz="0" w:space="0" w:color="auto"/>
          </w:divBdr>
        </w:div>
        <w:div w:id="1370690529">
          <w:marLeft w:val="0"/>
          <w:marRight w:val="0"/>
          <w:marTop w:val="0"/>
          <w:marBottom w:val="0"/>
          <w:divBdr>
            <w:top w:val="none" w:sz="0" w:space="0" w:color="auto"/>
            <w:left w:val="none" w:sz="0" w:space="0" w:color="auto"/>
            <w:bottom w:val="none" w:sz="0" w:space="0" w:color="auto"/>
            <w:right w:val="none" w:sz="0" w:space="0" w:color="auto"/>
          </w:divBdr>
        </w:div>
        <w:div w:id="1370690543">
          <w:marLeft w:val="0"/>
          <w:marRight w:val="0"/>
          <w:marTop w:val="0"/>
          <w:marBottom w:val="0"/>
          <w:divBdr>
            <w:top w:val="none" w:sz="0" w:space="0" w:color="auto"/>
            <w:left w:val="none" w:sz="0" w:space="0" w:color="auto"/>
            <w:bottom w:val="none" w:sz="0" w:space="0" w:color="auto"/>
            <w:right w:val="none" w:sz="0" w:space="0" w:color="auto"/>
          </w:divBdr>
        </w:div>
        <w:div w:id="1370690596">
          <w:marLeft w:val="0"/>
          <w:marRight w:val="0"/>
          <w:marTop w:val="0"/>
          <w:marBottom w:val="0"/>
          <w:divBdr>
            <w:top w:val="none" w:sz="0" w:space="0" w:color="auto"/>
            <w:left w:val="none" w:sz="0" w:space="0" w:color="auto"/>
            <w:bottom w:val="none" w:sz="0" w:space="0" w:color="auto"/>
            <w:right w:val="none" w:sz="0" w:space="0" w:color="auto"/>
          </w:divBdr>
        </w:div>
      </w:divsChild>
    </w:div>
    <w:div w:id="1370690398">
      <w:marLeft w:val="0"/>
      <w:marRight w:val="0"/>
      <w:marTop w:val="0"/>
      <w:marBottom w:val="0"/>
      <w:divBdr>
        <w:top w:val="none" w:sz="0" w:space="0" w:color="auto"/>
        <w:left w:val="none" w:sz="0" w:space="0" w:color="auto"/>
        <w:bottom w:val="none" w:sz="0" w:space="0" w:color="auto"/>
        <w:right w:val="none" w:sz="0" w:space="0" w:color="auto"/>
      </w:divBdr>
    </w:div>
    <w:div w:id="1370690402">
      <w:marLeft w:val="0"/>
      <w:marRight w:val="0"/>
      <w:marTop w:val="0"/>
      <w:marBottom w:val="0"/>
      <w:divBdr>
        <w:top w:val="none" w:sz="0" w:space="0" w:color="auto"/>
        <w:left w:val="none" w:sz="0" w:space="0" w:color="auto"/>
        <w:bottom w:val="none" w:sz="0" w:space="0" w:color="auto"/>
        <w:right w:val="none" w:sz="0" w:space="0" w:color="auto"/>
      </w:divBdr>
      <w:divsChild>
        <w:div w:id="1370690546">
          <w:marLeft w:val="0"/>
          <w:marRight w:val="0"/>
          <w:marTop w:val="0"/>
          <w:marBottom w:val="0"/>
          <w:divBdr>
            <w:top w:val="none" w:sz="0" w:space="0" w:color="auto"/>
            <w:left w:val="none" w:sz="0" w:space="0" w:color="auto"/>
            <w:bottom w:val="none" w:sz="0" w:space="0" w:color="auto"/>
            <w:right w:val="none" w:sz="0" w:space="0" w:color="auto"/>
          </w:divBdr>
        </w:div>
        <w:div w:id="1370690570">
          <w:marLeft w:val="0"/>
          <w:marRight w:val="0"/>
          <w:marTop w:val="0"/>
          <w:marBottom w:val="0"/>
          <w:divBdr>
            <w:top w:val="none" w:sz="0" w:space="0" w:color="auto"/>
            <w:left w:val="none" w:sz="0" w:space="0" w:color="auto"/>
            <w:bottom w:val="none" w:sz="0" w:space="0" w:color="auto"/>
            <w:right w:val="none" w:sz="0" w:space="0" w:color="auto"/>
          </w:divBdr>
        </w:div>
      </w:divsChild>
    </w:div>
    <w:div w:id="1370690404">
      <w:marLeft w:val="0"/>
      <w:marRight w:val="0"/>
      <w:marTop w:val="0"/>
      <w:marBottom w:val="0"/>
      <w:divBdr>
        <w:top w:val="none" w:sz="0" w:space="0" w:color="auto"/>
        <w:left w:val="none" w:sz="0" w:space="0" w:color="auto"/>
        <w:bottom w:val="none" w:sz="0" w:space="0" w:color="auto"/>
        <w:right w:val="none" w:sz="0" w:space="0" w:color="auto"/>
      </w:divBdr>
    </w:div>
    <w:div w:id="1370690406">
      <w:marLeft w:val="0"/>
      <w:marRight w:val="0"/>
      <w:marTop w:val="0"/>
      <w:marBottom w:val="0"/>
      <w:divBdr>
        <w:top w:val="none" w:sz="0" w:space="0" w:color="auto"/>
        <w:left w:val="none" w:sz="0" w:space="0" w:color="auto"/>
        <w:bottom w:val="none" w:sz="0" w:space="0" w:color="auto"/>
        <w:right w:val="none" w:sz="0" w:space="0" w:color="auto"/>
      </w:divBdr>
      <w:divsChild>
        <w:div w:id="1370690419">
          <w:marLeft w:val="547"/>
          <w:marRight w:val="0"/>
          <w:marTop w:val="0"/>
          <w:marBottom w:val="0"/>
          <w:divBdr>
            <w:top w:val="none" w:sz="0" w:space="0" w:color="auto"/>
            <w:left w:val="none" w:sz="0" w:space="0" w:color="auto"/>
            <w:bottom w:val="none" w:sz="0" w:space="0" w:color="auto"/>
            <w:right w:val="none" w:sz="0" w:space="0" w:color="auto"/>
          </w:divBdr>
        </w:div>
      </w:divsChild>
    </w:div>
    <w:div w:id="1370690417">
      <w:marLeft w:val="0"/>
      <w:marRight w:val="0"/>
      <w:marTop w:val="0"/>
      <w:marBottom w:val="0"/>
      <w:divBdr>
        <w:top w:val="none" w:sz="0" w:space="0" w:color="auto"/>
        <w:left w:val="none" w:sz="0" w:space="0" w:color="auto"/>
        <w:bottom w:val="none" w:sz="0" w:space="0" w:color="auto"/>
        <w:right w:val="none" w:sz="0" w:space="0" w:color="auto"/>
      </w:divBdr>
    </w:div>
    <w:div w:id="1370690423">
      <w:marLeft w:val="0"/>
      <w:marRight w:val="0"/>
      <w:marTop w:val="0"/>
      <w:marBottom w:val="0"/>
      <w:divBdr>
        <w:top w:val="none" w:sz="0" w:space="0" w:color="auto"/>
        <w:left w:val="none" w:sz="0" w:space="0" w:color="auto"/>
        <w:bottom w:val="none" w:sz="0" w:space="0" w:color="auto"/>
        <w:right w:val="none" w:sz="0" w:space="0" w:color="auto"/>
      </w:divBdr>
    </w:div>
    <w:div w:id="1370690424">
      <w:marLeft w:val="0"/>
      <w:marRight w:val="0"/>
      <w:marTop w:val="0"/>
      <w:marBottom w:val="0"/>
      <w:divBdr>
        <w:top w:val="none" w:sz="0" w:space="0" w:color="auto"/>
        <w:left w:val="none" w:sz="0" w:space="0" w:color="auto"/>
        <w:bottom w:val="none" w:sz="0" w:space="0" w:color="auto"/>
        <w:right w:val="none" w:sz="0" w:space="0" w:color="auto"/>
      </w:divBdr>
    </w:div>
    <w:div w:id="1370690429">
      <w:marLeft w:val="0"/>
      <w:marRight w:val="0"/>
      <w:marTop w:val="0"/>
      <w:marBottom w:val="0"/>
      <w:divBdr>
        <w:top w:val="none" w:sz="0" w:space="0" w:color="auto"/>
        <w:left w:val="none" w:sz="0" w:space="0" w:color="auto"/>
        <w:bottom w:val="none" w:sz="0" w:space="0" w:color="auto"/>
        <w:right w:val="none" w:sz="0" w:space="0" w:color="auto"/>
      </w:divBdr>
    </w:div>
    <w:div w:id="1370690433">
      <w:marLeft w:val="0"/>
      <w:marRight w:val="0"/>
      <w:marTop w:val="0"/>
      <w:marBottom w:val="0"/>
      <w:divBdr>
        <w:top w:val="none" w:sz="0" w:space="0" w:color="auto"/>
        <w:left w:val="none" w:sz="0" w:space="0" w:color="auto"/>
        <w:bottom w:val="none" w:sz="0" w:space="0" w:color="auto"/>
        <w:right w:val="none" w:sz="0" w:space="0" w:color="auto"/>
      </w:divBdr>
    </w:div>
    <w:div w:id="1370690435">
      <w:marLeft w:val="0"/>
      <w:marRight w:val="0"/>
      <w:marTop w:val="0"/>
      <w:marBottom w:val="0"/>
      <w:divBdr>
        <w:top w:val="none" w:sz="0" w:space="0" w:color="auto"/>
        <w:left w:val="none" w:sz="0" w:space="0" w:color="auto"/>
        <w:bottom w:val="none" w:sz="0" w:space="0" w:color="auto"/>
        <w:right w:val="none" w:sz="0" w:space="0" w:color="auto"/>
      </w:divBdr>
    </w:div>
    <w:div w:id="1370690443">
      <w:marLeft w:val="0"/>
      <w:marRight w:val="0"/>
      <w:marTop w:val="0"/>
      <w:marBottom w:val="0"/>
      <w:divBdr>
        <w:top w:val="none" w:sz="0" w:space="0" w:color="auto"/>
        <w:left w:val="none" w:sz="0" w:space="0" w:color="auto"/>
        <w:bottom w:val="none" w:sz="0" w:space="0" w:color="auto"/>
        <w:right w:val="none" w:sz="0" w:space="0" w:color="auto"/>
      </w:divBdr>
    </w:div>
    <w:div w:id="1370690444">
      <w:marLeft w:val="0"/>
      <w:marRight w:val="0"/>
      <w:marTop w:val="0"/>
      <w:marBottom w:val="0"/>
      <w:divBdr>
        <w:top w:val="none" w:sz="0" w:space="0" w:color="auto"/>
        <w:left w:val="none" w:sz="0" w:space="0" w:color="auto"/>
        <w:bottom w:val="none" w:sz="0" w:space="0" w:color="auto"/>
        <w:right w:val="none" w:sz="0" w:space="0" w:color="auto"/>
      </w:divBdr>
      <w:divsChild>
        <w:div w:id="1370690370">
          <w:marLeft w:val="0"/>
          <w:marRight w:val="0"/>
          <w:marTop w:val="0"/>
          <w:marBottom w:val="0"/>
          <w:divBdr>
            <w:top w:val="none" w:sz="0" w:space="0" w:color="auto"/>
            <w:left w:val="none" w:sz="0" w:space="0" w:color="auto"/>
            <w:bottom w:val="none" w:sz="0" w:space="0" w:color="auto"/>
            <w:right w:val="none" w:sz="0" w:space="0" w:color="auto"/>
          </w:divBdr>
          <w:divsChild>
            <w:div w:id="1370690589">
              <w:marLeft w:val="0"/>
              <w:marRight w:val="0"/>
              <w:marTop w:val="0"/>
              <w:marBottom w:val="0"/>
              <w:divBdr>
                <w:top w:val="none" w:sz="0" w:space="0" w:color="auto"/>
                <w:left w:val="none" w:sz="0" w:space="0" w:color="auto"/>
                <w:bottom w:val="none" w:sz="0" w:space="0" w:color="auto"/>
                <w:right w:val="none" w:sz="0" w:space="0" w:color="auto"/>
              </w:divBdr>
              <w:divsChild>
                <w:div w:id="1370690346">
                  <w:marLeft w:val="0"/>
                  <w:marRight w:val="0"/>
                  <w:marTop w:val="0"/>
                  <w:marBottom w:val="0"/>
                  <w:divBdr>
                    <w:top w:val="none" w:sz="0" w:space="0" w:color="auto"/>
                    <w:left w:val="none" w:sz="0" w:space="0" w:color="auto"/>
                    <w:bottom w:val="none" w:sz="0" w:space="0" w:color="auto"/>
                    <w:right w:val="none" w:sz="0" w:space="0" w:color="auto"/>
                  </w:divBdr>
                </w:div>
                <w:div w:id="1370690359">
                  <w:marLeft w:val="0"/>
                  <w:marRight w:val="0"/>
                  <w:marTop w:val="0"/>
                  <w:marBottom w:val="0"/>
                  <w:divBdr>
                    <w:top w:val="none" w:sz="0" w:space="0" w:color="auto"/>
                    <w:left w:val="none" w:sz="0" w:space="0" w:color="auto"/>
                    <w:bottom w:val="none" w:sz="0" w:space="0" w:color="auto"/>
                    <w:right w:val="none" w:sz="0" w:space="0" w:color="auto"/>
                  </w:divBdr>
                </w:div>
                <w:div w:id="1370690360">
                  <w:marLeft w:val="0"/>
                  <w:marRight w:val="0"/>
                  <w:marTop w:val="0"/>
                  <w:marBottom w:val="0"/>
                  <w:divBdr>
                    <w:top w:val="none" w:sz="0" w:space="0" w:color="auto"/>
                    <w:left w:val="none" w:sz="0" w:space="0" w:color="auto"/>
                    <w:bottom w:val="none" w:sz="0" w:space="0" w:color="auto"/>
                    <w:right w:val="none" w:sz="0" w:space="0" w:color="auto"/>
                  </w:divBdr>
                </w:div>
                <w:div w:id="1370690365">
                  <w:marLeft w:val="0"/>
                  <w:marRight w:val="0"/>
                  <w:marTop w:val="0"/>
                  <w:marBottom w:val="0"/>
                  <w:divBdr>
                    <w:top w:val="none" w:sz="0" w:space="0" w:color="auto"/>
                    <w:left w:val="none" w:sz="0" w:space="0" w:color="auto"/>
                    <w:bottom w:val="none" w:sz="0" w:space="0" w:color="auto"/>
                    <w:right w:val="none" w:sz="0" w:space="0" w:color="auto"/>
                  </w:divBdr>
                </w:div>
                <w:div w:id="1370690366">
                  <w:marLeft w:val="0"/>
                  <w:marRight w:val="0"/>
                  <w:marTop w:val="0"/>
                  <w:marBottom w:val="0"/>
                  <w:divBdr>
                    <w:top w:val="none" w:sz="0" w:space="0" w:color="auto"/>
                    <w:left w:val="none" w:sz="0" w:space="0" w:color="auto"/>
                    <w:bottom w:val="none" w:sz="0" w:space="0" w:color="auto"/>
                    <w:right w:val="none" w:sz="0" w:space="0" w:color="auto"/>
                  </w:divBdr>
                </w:div>
                <w:div w:id="1370690369">
                  <w:marLeft w:val="0"/>
                  <w:marRight w:val="0"/>
                  <w:marTop w:val="0"/>
                  <w:marBottom w:val="0"/>
                  <w:divBdr>
                    <w:top w:val="none" w:sz="0" w:space="0" w:color="auto"/>
                    <w:left w:val="none" w:sz="0" w:space="0" w:color="auto"/>
                    <w:bottom w:val="none" w:sz="0" w:space="0" w:color="auto"/>
                    <w:right w:val="none" w:sz="0" w:space="0" w:color="auto"/>
                  </w:divBdr>
                </w:div>
                <w:div w:id="1370690376">
                  <w:marLeft w:val="0"/>
                  <w:marRight w:val="0"/>
                  <w:marTop w:val="0"/>
                  <w:marBottom w:val="0"/>
                  <w:divBdr>
                    <w:top w:val="none" w:sz="0" w:space="0" w:color="auto"/>
                    <w:left w:val="none" w:sz="0" w:space="0" w:color="auto"/>
                    <w:bottom w:val="none" w:sz="0" w:space="0" w:color="auto"/>
                    <w:right w:val="none" w:sz="0" w:space="0" w:color="auto"/>
                  </w:divBdr>
                </w:div>
                <w:div w:id="1370690390">
                  <w:marLeft w:val="0"/>
                  <w:marRight w:val="0"/>
                  <w:marTop w:val="0"/>
                  <w:marBottom w:val="0"/>
                  <w:divBdr>
                    <w:top w:val="none" w:sz="0" w:space="0" w:color="auto"/>
                    <w:left w:val="none" w:sz="0" w:space="0" w:color="auto"/>
                    <w:bottom w:val="none" w:sz="0" w:space="0" w:color="auto"/>
                    <w:right w:val="none" w:sz="0" w:space="0" w:color="auto"/>
                  </w:divBdr>
                </w:div>
                <w:div w:id="1370690399">
                  <w:marLeft w:val="0"/>
                  <w:marRight w:val="0"/>
                  <w:marTop w:val="0"/>
                  <w:marBottom w:val="0"/>
                  <w:divBdr>
                    <w:top w:val="none" w:sz="0" w:space="0" w:color="auto"/>
                    <w:left w:val="none" w:sz="0" w:space="0" w:color="auto"/>
                    <w:bottom w:val="none" w:sz="0" w:space="0" w:color="auto"/>
                    <w:right w:val="none" w:sz="0" w:space="0" w:color="auto"/>
                  </w:divBdr>
                </w:div>
                <w:div w:id="1370690400">
                  <w:marLeft w:val="0"/>
                  <w:marRight w:val="0"/>
                  <w:marTop w:val="0"/>
                  <w:marBottom w:val="0"/>
                  <w:divBdr>
                    <w:top w:val="none" w:sz="0" w:space="0" w:color="auto"/>
                    <w:left w:val="none" w:sz="0" w:space="0" w:color="auto"/>
                    <w:bottom w:val="none" w:sz="0" w:space="0" w:color="auto"/>
                    <w:right w:val="none" w:sz="0" w:space="0" w:color="auto"/>
                  </w:divBdr>
                </w:div>
                <w:div w:id="1370690407">
                  <w:marLeft w:val="0"/>
                  <w:marRight w:val="0"/>
                  <w:marTop w:val="0"/>
                  <w:marBottom w:val="0"/>
                  <w:divBdr>
                    <w:top w:val="none" w:sz="0" w:space="0" w:color="auto"/>
                    <w:left w:val="none" w:sz="0" w:space="0" w:color="auto"/>
                    <w:bottom w:val="none" w:sz="0" w:space="0" w:color="auto"/>
                    <w:right w:val="none" w:sz="0" w:space="0" w:color="auto"/>
                  </w:divBdr>
                </w:div>
                <w:div w:id="1370690421">
                  <w:marLeft w:val="0"/>
                  <w:marRight w:val="0"/>
                  <w:marTop w:val="0"/>
                  <w:marBottom w:val="0"/>
                  <w:divBdr>
                    <w:top w:val="none" w:sz="0" w:space="0" w:color="auto"/>
                    <w:left w:val="none" w:sz="0" w:space="0" w:color="auto"/>
                    <w:bottom w:val="none" w:sz="0" w:space="0" w:color="auto"/>
                    <w:right w:val="none" w:sz="0" w:space="0" w:color="auto"/>
                  </w:divBdr>
                </w:div>
                <w:div w:id="1370690425">
                  <w:marLeft w:val="0"/>
                  <w:marRight w:val="0"/>
                  <w:marTop w:val="0"/>
                  <w:marBottom w:val="0"/>
                  <w:divBdr>
                    <w:top w:val="none" w:sz="0" w:space="0" w:color="auto"/>
                    <w:left w:val="none" w:sz="0" w:space="0" w:color="auto"/>
                    <w:bottom w:val="none" w:sz="0" w:space="0" w:color="auto"/>
                    <w:right w:val="none" w:sz="0" w:space="0" w:color="auto"/>
                  </w:divBdr>
                </w:div>
                <w:div w:id="1370690428">
                  <w:marLeft w:val="0"/>
                  <w:marRight w:val="0"/>
                  <w:marTop w:val="0"/>
                  <w:marBottom w:val="0"/>
                  <w:divBdr>
                    <w:top w:val="none" w:sz="0" w:space="0" w:color="auto"/>
                    <w:left w:val="none" w:sz="0" w:space="0" w:color="auto"/>
                    <w:bottom w:val="none" w:sz="0" w:space="0" w:color="auto"/>
                    <w:right w:val="none" w:sz="0" w:space="0" w:color="auto"/>
                  </w:divBdr>
                </w:div>
                <w:div w:id="1370690432">
                  <w:marLeft w:val="0"/>
                  <w:marRight w:val="0"/>
                  <w:marTop w:val="0"/>
                  <w:marBottom w:val="0"/>
                  <w:divBdr>
                    <w:top w:val="none" w:sz="0" w:space="0" w:color="auto"/>
                    <w:left w:val="none" w:sz="0" w:space="0" w:color="auto"/>
                    <w:bottom w:val="none" w:sz="0" w:space="0" w:color="auto"/>
                    <w:right w:val="none" w:sz="0" w:space="0" w:color="auto"/>
                  </w:divBdr>
                </w:div>
                <w:div w:id="1370690475">
                  <w:marLeft w:val="0"/>
                  <w:marRight w:val="0"/>
                  <w:marTop w:val="0"/>
                  <w:marBottom w:val="0"/>
                  <w:divBdr>
                    <w:top w:val="none" w:sz="0" w:space="0" w:color="auto"/>
                    <w:left w:val="none" w:sz="0" w:space="0" w:color="auto"/>
                    <w:bottom w:val="none" w:sz="0" w:space="0" w:color="auto"/>
                    <w:right w:val="none" w:sz="0" w:space="0" w:color="auto"/>
                  </w:divBdr>
                </w:div>
                <w:div w:id="1370690484">
                  <w:marLeft w:val="0"/>
                  <w:marRight w:val="0"/>
                  <w:marTop w:val="0"/>
                  <w:marBottom w:val="0"/>
                  <w:divBdr>
                    <w:top w:val="none" w:sz="0" w:space="0" w:color="auto"/>
                    <w:left w:val="none" w:sz="0" w:space="0" w:color="auto"/>
                    <w:bottom w:val="none" w:sz="0" w:space="0" w:color="auto"/>
                    <w:right w:val="none" w:sz="0" w:space="0" w:color="auto"/>
                  </w:divBdr>
                </w:div>
                <w:div w:id="1370690492">
                  <w:marLeft w:val="0"/>
                  <w:marRight w:val="0"/>
                  <w:marTop w:val="0"/>
                  <w:marBottom w:val="0"/>
                  <w:divBdr>
                    <w:top w:val="none" w:sz="0" w:space="0" w:color="auto"/>
                    <w:left w:val="none" w:sz="0" w:space="0" w:color="auto"/>
                    <w:bottom w:val="none" w:sz="0" w:space="0" w:color="auto"/>
                    <w:right w:val="none" w:sz="0" w:space="0" w:color="auto"/>
                  </w:divBdr>
                </w:div>
                <w:div w:id="1370690500">
                  <w:marLeft w:val="0"/>
                  <w:marRight w:val="0"/>
                  <w:marTop w:val="0"/>
                  <w:marBottom w:val="0"/>
                  <w:divBdr>
                    <w:top w:val="none" w:sz="0" w:space="0" w:color="auto"/>
                    <w:left w:val="none" w:sz="0" w:space="0" w:color="auto"/>
                    <w:bottom w:val="none" w:sz="0" w:space="0" w:color="auto"/>
                    <w:right w:val="none" w:sz="0" w:space="0" w:color="auto"/>
                  </w:divBdr>
                </w:div>
                <w:div w:id="1370690502">
                  <w:marLeft w:val="0"/>
                  <w:marRight w:val="0"/>
                  <w:marTop w:val="0"/>
                  <w:marBottom w:val="0"/>
                  <w:divBdr>
                    <w:top w:val="none" w:sz="0" w:space="0" w:color="auto"/>
                    <w:left w:val="none" w:sz="0" w:space="0" w:color="auto"/>
                    <w:bottom w:val="none" w:sz="0" w:space="0" w:color="auto"/>
                    <w:right w:val="none" w:sz="0" w:space="0" w:color="auto"/>
                  </w:divBdr>
                </w:div>
                <w:div w:id="1370690510">
                  <w:marLeft w:val="0"/>
                  <w:marRight w:val="0"/>
                  <w:marTop w:val="0"/>
                  <w:marBottom w:val="0"/>
                  <w:divBdr>
                    <w:top w:val="none" w:sz="0" w:space="0" w:color="auto"/>
                    <w:left w:val="none" w:sz="0" w:space="0" w:color="auto"/>
                    <w:bottom w:val="none" w:sz="0" w:space="0" w:color="auto"/>
                    <w:right w:val="none" w:sz="0" w:space="0" w:color="auto"/>
                  </w:divBdr>
                </w:div>
                <w:div w:id="1370690530">
                  <w:marLeft w:val="0"/>
                  <w:marRight w:val="0"/>
                  <w:marTop w:val="0"/>
                  <w:marBottom w:val="0"/>
                  <w:divBdr>
                    <w:top w:val="none" w:sz="0" w:space="0" w:color="auto"/>
                    <w:left w:val="none" w:sz="0" w:space="0" w:color="auto"/>
                    <w:bottom w:val="none" w:sz="0" w:space="0" w:color="auto"/>
                    <w:right w:val="none" w:sz="0" w:space="0" w:color="auto"/>
                  </w:divBdr>
                </w:div>
                <w:div w:id="1370690532">
                  <w:marLeft w:val="0"/>
                  <w:marRight w:val="0"/>
                  <w:marTop w:val="0"/>
                  <w:marBottom w:val="0"/>
                  <w:divBdr>
                    <w:top w:val="none" w:sz="0" w:space="0" w:color="auto"/>
                    <w:left w:val="none" w:sz="0" w:space="0" w:color="auto"/>
                    <w:bottom w:val="none" w:sz="0" w:space="0" w:color="auto"/>
                    <w:right w:val="none" w:sz="0" w:space="0" w:color="auto"/>
                  </w:divBdr>
                </w:div>
                <w:div w:id="1370690539">
                  <w:marLeft w:val="0"/>
                  <w:marRight w:val="0"/>
                  <w:marTop w:val="0"/>
                  <w:marBottom w:val="0"/>
                  <w:divBdr>
                    <w:top w:val="none" w:sz="0" w:space="0" w:color="auto"/>
                    <w:left w:val="none" w:sz="0" w:space="0" w:color="auto"/>
                    <w:bottom w:val="none" w:sz="0" w:space="0" w:color="auto"/>
                    <w:right w:val="none" w:sz="0" w:space="0" w:color="auto"/>
                  </w:divBdr>
                </w:div>
                <w:div w:id="1370690540">
                  <w:marLeft w:val="0"/>
                  <w:marRight w:val="0"/>
                  <w:marTop w:val="0"/>
                  <w:marBottom w:val="0"/>
                  <w:divBdr>
                    <w:top w:val="none" w:sz="0" w:space="0" w:color="auto"/>
                    <w:left w:val="none" w:sz="0" w:space="0" w:color="auto"/>
                    <w:bottom w:val="none" w:sz="0" w:space="0" w:color="auto"/>
                    <w:right w:val="none" w:sz="0" w:space="0" w:color="auto"/>
                  </w:divBdr>
                </w:div>
                <w:div w:id="1370690548">
                  <w:marLeft w:val="0"/>
                  <w:marRight w:val="0"/>
                  <w:marTop w:val="0"/>
                  <w:marBottom w:val="0"/>
                  <w:divBdr>
                    <w:top w:val="none" w:sz="0" w:space="0" w:color="auto"/>
                    <w:left w:val="none" w:sz="0" w:space="0" w:color="auto"/>
                    <w:bottom w:val="none" w:sz="0" w:space="0" w:color="auto"/>
                    <w:right w:val="none" w:sz="0" w:space="0" w:color="auto"/>
                  </w:divBdr>
                </w:div>
                <w:div w:id="1370690552">
                  <w:marLeft w:val="0"/>
                  <w:marRight w:val="0"/>
                  <w:marTop w:val="0"/>
                  <w:marBottom w:val="0"/>
                  <w:divBdr>
                    <w:top w:val="none" w:sz="0" w:space="0" w:color="auto"/>
                    <w:left w:val="none" w:sz="0" w:space="0" w:color="auto"/>
                    <w:bottom w:val="none" w:sz="0" w:space="0" w:color="auto"/>
                    <w:right w:val="none" w:sz="0" w:space="0" w:color="auto"/>
                  </w:divBdr>
                </w:div>
                <w:div w:id="1370690568">
                  <w:marLeft w:val="0"/>
                  <w:marRight w:val="0"/>
                  <w:marTop w:val="0"/>
                  <w:marBottom w:val="0"/>
                  <w:divBdr>
                    <w:top w:val="none" w:sz="0" w:space="0" w:color="auto"/>
                    <w:left w:val="none" w:sz="0" w:space="0" w:color="auto"/>
                    <w:bottom w:val="none" w:sz="0" w:space="0" w:color="auto"/>
                    <w:right w:val="none" w:sz="0" w:space="0" w:color="auto"/>
                  </w:divBdr>
                </w:div>
                <w:div w:id="1370690588">
                  <w:marLeft w:val="0"/>
                  <w:marRight w:val="0"/>
                  <w:marTop w:val="0"/>
                  <w:marBottom w:val="0"/>
                  <w:divBdr>
                    <w:top w:val="none" w:sz="0" w:space="0" w:color="auto"/>
                    <w:left w:val="none" w:sz="0" w:space="0" w:color="auto"/>
                    <w:bottom w:val="none" w:sz="0" w:space="0" w:color="auto"/>
                    <w:right w:val="none" w:sz="0" w:space="0" w:color="auto"/>
                  </w:divBdr>
                </w:div>
                <w:div w:id="13706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0460">
          <w:marLeft w:val="0"/>
          <w:marRight w:val="0"/>
          <w:marTop w:val="0"/>
          <w:marBottom w:val="0"/>
          <w:divBdr>
            <w:top w:val="none" w:sz="0" w:space="0" w:color="auto"/>
            <w:left w:val="none" w:sz="0" w:space="0" w:color="auto"/>
            <w:bottom w:val="none" w:sz="0" w:space="0" w:color="auto"/>
            <w:right w:val="none" w:sz="0" w:space="0" w:color="auto"/>
          </w:divBdr>
          <w:divsChild>
            <w:div w:id="1370690422">
              <w:marLeft w:val="0"/>
              <w:marRight w:val="0"/>
              <w:marTop w:val="0"/>
              <w:marBottom w:val="0"/>
              <w:divBdr>
                <w:top w:val="none" w:sz="0" w:space="0" w:color="auto"/>
                <w:left w:val="none" w:sz="0" w:space="0" w:color="auto"/>
                <w:bottom w:val="none" w:sz="0" w:space="0" w:color="auto"/>
                <w:right w:val="none" w:sz="0" w:space="0" w:color="auto"/>
              </w:divBdr>
              <w:divsChild>
                <w:div w:id="1370690380">
                  <w:marLeft w:val="0"/>
                  <w:marRight w:val="0"/>
                  <w:marTop w:val="0"/>
                  <w:marBottom w:val="0"/>
                  <w:divBdr>
                    <w:top w:val="none" w:sz="0" w:space="0" w:color="auto"/>
                    <w:left w:val="none" w:sz="0" w:space="0" w:color="auto"/>
                    <w:bottom w:val="none" w:sz="0" w:space="0" w:color="auto"/>
                    <w:right w:val="none" w:sz="0" w:space="0" w:color="auto"/>
                  </w:divBdr>
                </w:div>
                <w:div w:id="1370690381">
                  <w:marLeft w:val="0"/>
                  <w:marRight w:val="0"/>
                  <w:marTop w:val="0"/>
                  <w:marBottom w:val="0"/>
                  <w:divBdr>
                    <w:top w:val="none" w:sz="0" w:space="0" w:color="auto"/>
                    <w:left w:val="none" w:sz="0" w:space="0" w:color="auto"/>
                    <w:bottom w:val="none" w:sz="0" w:space="0" w:color="auto"/>
                    <w:right w:val="none" w:sz="0" w:space="0" w:color="auto"/>
                  </w:divBdr>
                </w:div>
                <w:div w:id="1370690410">
                  <w:marLeft w:val="0"/>
                  <w:marRight w:val="0"/>
                  <w:marTop w:val="0"/>
                  <w:marBottom w:val="0"/>
                  <w:divBdr>
                    <w:top w:val="none" w:sz="0" w:space="0" w:color="auto"/>
                    <w:left w:val="none" w:sz="0" w:space="0" w:color="auto"/>
                    <w:bottom w:val="none" w:sz="0" w:space="0" w:color="auto"/>
                    <w:right w:val="none" w:sz="0" w:space="0" w:color="auto"/>
                  </w:divBdr>
                </w:div>
                <w:div w:id="1370690437">
                  <w:marLeft w:val="0"/>
                  <w:marRight w:val="0"/>
                  <w:marTop w:val="0"/>
                  <w:marBottom w:val="0"/>
                  <w:divBdr>
                    <w:top w:val="none" w:sz="0" w:space="0" w:color="auto"/>
                    <w:left w:val="none" w:sz="0" w:space="0" w:color="auto"/>
                    <w:bottom w:val="none" w:sz="0" w:space="0" w:color="auto"/>
                    <w:right w:val="none" w:sz="0" w:space="0" w:color="auto"/>
                  </w:divBdr>
                </w:div>
                <w:div w:id="1370690472">
                  <w:marLeft w:val="0"/>
                  <w:marRight w:val="0"/>
                  <w:marTop w:val="0"/>
                  <w:marBottom w:val="0"/>
                  <w:divBdr>
                    <w:top w:val="none" w:sz="0" w:space="0" w:color="auto"/>
                    <w:left w:val="none" w:sz="0" w:space="0" w:color="auto"/>
                    <w:bottom w:val="none" w:sz="0" w:space="0" w:color="auto"/>
                    <w:right w:val="none" w:sz="0" w:space="0" w:color="auto"/>
                  </w:divBdr>
                </w:div>
                <w:div w:id="1370690481">
                  <w:marLeft w:val="0"/>
                  <w:marRight w:val="0"/>
                  <w:marTop w:val="0"/>
                  <w:marBottom w:val="0"/>
                  <w:divBdr>
                    <w:top w:val="none" w:sz="0" w:space="0" w:color="auto"/>
                    <w:left w:val="none" w:sz="0" w:space="0" w:color="auto"/>
                    <w:bottom w:val="none" w:sz="0" w:space="0" w:color="auto"/>
                    <w:right w:val="none" w:sz="0" w:space="0" w:color="auto"/>
                  </w:divBdr>
                </w:div>
                <w:div w:id="1370690504">
                  <w:marLeft w:val="0"/>
                  <w:marRight w:val="0"/>
                  <w:marTop w:val="0"/>
                  <w:marBottom w:val="0"/>
                  <w:divBdr>
                    <w:top w:val="none" w:sz="0" w:space="0" w:color="auto"/>
                    <w:left w:val="none" w:sz="0" w:space="0" w:color="auto"/>
                    <w:bottom w:val="none" w:sz="0" w:space="0" w:color="auto"/>
                    <w:right w:val="none" w:sz="0" w:space="0" w:color="auto"/>
                  </w:divBdr>
                </w:div>
                <w:div w:id="13706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690447">
      <w:marLeft w:val="0"/>
      <w:marRight w:val="0"/>
      <w:marTop w:val="0"/>
      <w:marBottom w:val="0"/>
      <w:divBdr>
        <w:top w:val="none" w:sz="0" w:space="0" w:color="auto"/>
        <w:left w:val="none" w:sz="0" w:space="0" w:color="auto"/>
        <w:bottom w:val="none" w:sz="0" w:space="0" w:color="auto"/>
        <w:right w:val="none" w:sz="0" w:space="0" w:color="auto"/>
      </w:divBdr>
    </w:div>
    <w:div w:id="1370690453">
      <w:marLeft w:val="0"/>
      <w:marRight w:val="0"/>
      <w:marTop w:val="0"/>
      <w:marBottom w:val="0"/>
      <w:divBdr>
        <w:top w:val="none" w:sz="0" w:space="0" w:color="auto"/>
        <w:left w:val="none" w:sz="0" w:space="0" w:color="auto"/>
        <w:bottom w:val="none" w:sz="0" w:space="0" w:color="auto"/>
        <w:right w:val="none" w:sz="0" w:space="0" w:color="auto"/>
      </w:divBdr>
    </w:div>
    <w:div w:id="1370690461">
      <w:marLeft w:val="0"/>
      <w:marRight w:val="0"/>
      <w:marTop w:val="0"/>
      <w:marBottom w:val="0"/>
      <w:divBdr>
        <w:top w:val="none" w:sz="0" w:space="0" w:color="auto"/>
        <w:left w:val="none" w:sz="0" w:space="0" w:color="auto"/>
        <w:bottom w:val="none" w:sz="0" w:space="0" w:color="auto"/>
        <w:right w:val="none" w:sz="0" w:space="0" w:color="auto"/>
      </w:divBdr>
    </w:div>
    <w:div w:id="1370690463">
      <w:marLeft w:val="0"/>
      <w:marRight w:val="0"/>
      <w:marTop w:val="0"/>
      <w:marBottom w:val="0"/>
      <w:divBdr>
        <w:top w:val="none" w:sz="0" w:space="0" w:color="auto"/>
        <w:left w:val="none" w:sz="0" w:space="0" w:color="auto"/>
        <w:bottom w:val="none" w:sz="0" w:space="0" w:color="auto"/>
        <w:right w:val="none" w:sz="0" w:space="0" w:color="auto"/>
      </w:divBdr>
    </w:div>
    <w:div w:id="1370690467">
      <w:marLeft w:val="0"/>
      <w:marRight w:val="0"/>
      <w:marTop w:val="0"/>
      <w:marBottom w:val="0"/>
      <w:divBdr>
        <w:top w:val="none" w:sz="0" w:space="0" w:color="auto"/>
        <w:left w:val="none" w:sz="0" w:space="0" w:color="auto"/>
        <w:bottom w:val="none" w:sz="0" w:space="0" w:color="auto"/>
        <w:right w:val="none" w:sz="0" w:space="0" w:color="auto"/>
      </w:divBdr>
    </w:div>
    <w:div w:id="1370690485">
      <w:marLeft w:val="0"/>
      <w:marRight w:val="0"/>
      <w:marTop w:val="0"/>
      <w:marBottom w:val="0"/>
      <w:divBdr>
        <w:top w:val="none" w:sz="0" w:space="0" w:color="auto"/>
        <w:left w:val="none" w:sz="0" w:space="0" w:color="auto"/>
        <w:bottom w:val="none" w:sz="0" w:space="0" w:color="auto"/>
        <w:right w:val="none" w:sz="0" w:space="0" w:color="auto"/>
      </w:divBdr>
      <w:divsChild>
        <w:div w:id="1370690347">
          <w:marLeft w:val="0"/>
          <w:marRight w:val="0"/>
          <w:marTop w:val="0"/>
          <w:marBottom w:val="0"/>
          <w:divBdr>
            <w:top w:val="none" w:sz="0" w:space="0" w:color="auto"/>
            <w:left w:val="none" w:sz="0" w:space="0" w:color="auto"/>
            <w:bottom w:val="none" w:sz="0" w:space="0" w:color="auto"/>
            <w:right w:val="none" w:sz="0" w:space="0" w:color="auto"/>
          </w:divBdr>
        </w:div>
        <w:div w:id="1370690431">
          <w:marLeft w:val="0"/>
          <w:marRight w:val="0"/>
          <w:marTop w:val="0"/>
          <w:marBottom w:val="0"/>
          <w:divBdr>
            <w:top w:val="none" w:sz="0" w:space="0" w:color="auto"/>
            <w:left w:val="none" w:sz="0" w:space="0" w:color="auto"/>
            <w:bottom w:val="none" w:sz="0" w:space="0" w:color="auto"/>
            <w:right w:val="none" w:sz="0" w:space="0" w:color="auto"/>
          </w:divBdr>
        </w:div>
        <w:div w:id="1370690537">
          <w:marLeft w:val="0"/>
          <w:marRight w:val="0"/>
          <w:marTop w:val="0"/>
          <w:marBottom w:val="0"/>
          <w:divBdr>
            <w:top w:val="none" w:sz="0" w:space="0" w:color="auto"/>
            <w:left w:val="none" w:sz="0" w:space="0" w:color="auto"/>
            <w:bottom w:val="none" w:sz="0" w:space="0" w:color="auto"/>
            <w:right w:val="none" w:sz="0" w:space="0" w:color="auto"/>
          </w:divBdr>
        </w:div>
      </w:divsChild>
    </w:div>
    <w:div w:id="1370690487">
      <w:marLeft w:val="0"/>
      <w:marRight w:val="0"/>
      <w:marTop w:val="0"/>
      <w:marBottom w:val="0"/>
      <w:divBdr>
        <w:top w:val="none" w:sz="0" w:space="0" w:color="auto"/>
        <w:left w:val="none" w:sz="0" w:space="0" w:color="auto"/>
        <w:bottom w:val="none" w:sz="0" w:space="0" w:color="auto"/>
        <w:right w:val="none" w:sz="0" w:space="0" w:color="auto"/>
      </w:divBdr>
      <w:divsChild>
        <w:div w:id="1370690393">
          <w:marLeft w:val="547"/>
          <w:marRight w:val="0"/>
          <w:marTop w:val="0"/>
          <w:marBottom w:val="0"/>
          <w:divBdr>
            <w:top w:val="none" w:sz="0" w:space="0" w:color="auto"/>
            <w:left w:val="none" w:sz="0" w:space="0" w:color="auto"/>
            <w:bottom w:val="none" w:sz="0" w:space="0" w:color="auto"/>
            <w:right w:val="none" w:sz="0" w:space="0" w:color="auto"/>
          </w:divBdr>
        </w:div>
      </w:divsChild>
    </w:div>
    <w:div w:id="1370690488">
      <w:marLeft w:val="0"/>
      <w:marRight w:val="0"/>
      <w:marTop w:val="0"/>
      <w:marBottom w:val="0"/>
      <w:divBdr>
        <w:top w:val="none" w:sz="0" w:space="0" w:color="auto"/>
        <w:left w:val="none" w:sz="0" w:space="0" w:color="auto"/>
        <w:bottom w:val="none" w:sz="0" w:space="0" w:color="auto"/>
        <w:right w:val="none" w:sz="0" w:space="0" w:color="auto"/>
      </w:divBdr>
    </w:div>
    <w:div w:id="1370690490">
      <w:marLeft w:val="0"/>
      <w:marRight w:val="0"/>
      <w:marTop w:val="0"/>
      <w:marBottom w:val="0"/>
      <w:divBdr>
        <w:top w:val="none" w:sz="0" w:space="0" w:color="auto"/>
        <w:left w:val="none" w:sz="0" w:space="0" w:color="auto"/>
        <w:bottom w:val="none" w:sz="0" w:space="0" w:color="auto"/>
        <w:right w:val="none" w:sz="0" w:space="0" w:color="auto"/>
      </w:divBdr>
    </w:div>
    <w:div w:id="1370690493">
      <w:marLeft w:val="0"/>
      <w:marRight w:val="0"/>
      <w:marTop w:val="0"/>
      <w:marBottom w:val="0"/>
      <w:divBdr>
        <w:top w:val="none" w:sz="0" w:space="0" w:color="auto"/>
        <w:left w:val="none" w:sz="0" w:space="0" w:color="auto"/>
        <w:bottom w:val="none" w:sz="0" w:space="0" w:color="auto"/>
        <w:right w:val="none" w:sz="0" w:space="0" w:color="auto"/>
      </w:divBdr>
    </w:div>
    <w:div w:id="1370690494">
      <w:marLeft w:val="0"/>
      <w:marRight w:val="0"/>
      <w:marTop w:val="0"/>
      <w:marBottom w:val="0"/>
      <w:divBdr>
        <w:top w:val="none" w:sz="0" w:space="0" w:color="auto"/>
        <w:left w:val="none" w:sz="0" w:space="0" w:color="auto"/>
        <w:bottom w:val="none" w:sz="0" w:space="0" w:color="auto"/>
        <w:right w:val="none" w:sz="0" w:space="0" w:color="auto"/>
      </w:divBdr>
    </w:div>
    <w:div w:id="1370690497">
      <w:marLeft w:val="0"/>
      <w:marRight w:val="0"/>
      <w:marTop w:val="0"/>
      <w:marBottom w:val="0"/>
      <w:divBdr>
        <w:top w:val="none" w:sz="0" w:space="0" w:color="auto"/>
        <w:left w:val="none" w:sz="0" w:space="0" w:color="auto"/>
        <w:bottom w:val="none" w:sz="0" w:space="0" w:color="auto"/>
        <w:right w:val="none" w:sz="0" w:space="0" w:color="auto"/>
      </w:divBdr>
    </w:div>
    <w:div w:id="1370690503">
      <w:marLeft w:val="0"/>
      <w:marRight w:val="0"/>
      <w:marTop w:val="0"/>
      <w:marBottom w:val="0"/>
      <w:divBdr>
        <w:top w:val="none" w:sz="0" w:space="0" w:color="auto"/>
        <w:left w:val="none" w:sz="0" w:space="0" w:color="auto"/>
        <w:bottom w:val="none" w:sz="0" w:space="0" w:color="auto"/>
        <w:right w:val="none" w:sz="0" w:space="0" w:color="auto"/>
      </w:divBdr>
    </w:div>
    <w:div w:id="1370690514">
      <w:marLeft w:val="0"/>
      <w:marRight w:val="0"/>
      <w:marTop w:val="0"/>
      <w:marBottom w:val="0"/>
      <w:divBdr>
        <w:top w:val="none" w:sz="0" w:space="0" w:color="auto"/>
        <w:left w:val="none" w:sz="0" w:space="0" w:color="auto"/>
        <w:bottom w:val="none" w:sz="0" w:space="0" w:color="auto"/>
        <w:right w:val="none" w:sz="0" w:space="0" w:color="auto"/>
      </w:divBdr>
    </w:div>
    <w:div w:id="1370690516">
      <w:marLeft w:val="0"/>
      <w:marRight w:val="0"/>
      <w:marTop w:val="0"/>
      <w:marBottom w:val="0"/>
      <w:divBdr>
        <w:top w:val="none" w:sz="0" w:space="0" w:color="auto"/>
        <w:left w:val="none" w:sz="0" w:space="0" w:color="auto"/>
        <w:bottom w:val="none" w:sz="0" w:space="0" w:color="auto"/>
        <w:right w:val="none" w:sz="0" w:space="0" w:color="auto"/>
      </w:divBdr>
    </w:div>
    <w:div w:id="1370690518">
      <w:marLeft w:val="0"/>
      <w:marRight w:val="0"/>
      <w:marTop w:val="0"/>
      <w:marBottom w:val="0"/>
      <w:divBdr>
        <w:top w:val="none" w:sz="0" w:space="0" w:color="auto"/>
        <w:left w:val="none" w:sz="0" w:space="0" w:color="auto"/>
        <w:bottom w:val="none" w:sz="0" w:space="0" w:color="auto"/>
        <w:right w:val="none" w:sz="0" w:space="0" w:color="auto"/>
      </w:divBdr>
      <w:divsChild>
        <w:div w:id="1370690392">
          <w:marLeft w:val="0"/>
          <w:marRight w:val="0"/>
          <w:marTop w:val="0"/>
          <w:marBottom w:val="0"/>
          <w:divBdr>
            <w:top w:val="none" w:sz="0" w:space="0" w:color="auto"/>
            <w:left w:val="none" w:sz="0" w:space="0" w:color="auto"/>
            <w:bottom w:val="none" w:sz="0" w:space="0" w:color="auto"/>
            <w:right w:val="none" w:sz="0" w:space="0" w:color="auto"/>
          </w:divBdr>
          <w:divsChild>
            <w:div w:id="1370690427">
              <w:marLeft w:val="0"/>
              <w:marRight w:val="0"/>
              <w:marTop w:val="0"/>
              <w:marBottom w:val="0"/>
              <w:divBdr>
                <w:top w:val="none" w:sz="0" w:space="0" w:color="auto"/>
                <w:left w:val="none" w:sz="0" w:space="0" w:color="auto"/>
                <w:bottom w:val="none" w:sz="0" w:space="0" w:color="auto"/>
                <w:right w:val="none" w:sz="0" w:space="0" w:color="auto"/>
              </w:divBdr>
            </w:div>
            <w:div w:id="137069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90519">
      <w:marLeft w:val="0"/>
      <w:marRight w:val="0"/>
      <w:marTop w:val="0"/>
      <w:marBottom w:val="0"/>
      <w:divBdr>
        <w:top w:val="none" w:sz="0" w:space="0" w:color="auto"/>
        <w:left w:val="none" w:sz="0" w:space="0" w:color="auto"/>
        <w:bottom w:val="none" w:sz="0" w:space="0" w:color="auto"/>
        <w:right w:val="none" w:sz="0" w:space="0" w:color="auto"/>
      </w:divBdr>
    </w:div>
    <w:div w:id="1370690527">
      <w:marLeft w:val="0"/>
      <w:marRight w:val="0"/>
      <w:marTop w:val="0"/>
      <w:marBottom w:val="0"/>
      <w:divBdr>
        <w:top w:val="none" w:sz="0" w:space="0" w:color="auto"/>
        <w:left w:val="none" w:sz="0" w:space="0" w:color="auto"/>
        <w:bottom w:val="none" w:sz="0" w:space="0" w:color="auto"/>
        <w:right w:val="none" w:sz="0" w:space="0" w:color="auto"/>
      </w:divBdr>
    </w:div>
    <w:div w:id="1370690528">
      <w:marLeft w:val="0"/>
      <w:marRight w:val="0"/>
      <w:marTop w:val="0"/>
      <w:marBottom w:val="0"/>
      <w:divBdr>
        <w:top w:val="none" w:sz="0" w:space="0" w:color="auto"/>
        <w:left w:val="none" w:sz="0" w:space="0" w:color="auto"/>
        <w:bottom w:val="none" w:sz="0" w:space="0" w:color="auto"/>
        <w:right w:val="none" w:sz="0" w:space="0" w:color="auto"/>
      </w:divBdr>
    </w:div>
    <w:div w:id="1370690533">
      <w:marLeft w:val="0"/>
      <w:marRight w:val="0"/>
      <w:marTop w:val="0"/>
      <w:marBottom w:val="0"/>
      <w:divBdr>
        <w:top w:val="none" w:sz="0" w:space="0" w:color="auto"/>
        <w:left w:val="none" w:sz="0" w:space="0" w:color="auto"/>
        <w:bottom w:val="none" w:sz="0" w:space="0" w:color="auto"/>
        <w:right w:val="none" w:sz="0" w:space="0" w:color="auto"/>
      </w:divBdr>
    </w:div>
    <w:div w:id="1370690544">
      <w:marLeft w:val="0"/>
      <w:marRight w:val="0"/>
      <w:marTop w:val="0"/>
      <w:marBottom w:val="0"/>
      <w:divBdr>
        <w:top w:val="none" w:sz="0" w:space="0" w:color="auto"/>
        <w:left w:val="none" w:sz="0" w:space="0" w:color="auto"/>
        <w:bottom w:val="none" w:sz="0" w:space="0" w:color="auto"/>
        <w:right w:val="none" w:sz="0" w:space="0" w:color="auto"/>
      </w:divBdr>
    </w:div>
    <w:div w:id="1370690547">
      <w:marLeft w:val="0"/>
      <w:marRight w:val="0"/>
      <w:marTop w:val="0"/>
      <w:marBottom w:val="0"/>
      <w:divBdr>
        <w:top w:val="none" w:sz="0" w:space="0" w:color="auto"/>
        <w:left w:val="none" w:sz="0" w:space="0" w:color="auto"/>
        <w:bottom w:val="none" w:sz="0" w:space="0" w:color="auto"/>
        <w:right w:val="none" w:sz="0" w:space="0" w:color="auto"/>
      </w:divBdr>
    </w:div>
    <w:div w:id="1370690554">
      <w:marLeft w:val="0"/>
      <w:marRight w:val="0"/>
      <w:marTop w:val="0"/>
      <w:marBottom w:val="0"/>
      <w:divBdr>
        <w:top w:val="none" w:sz="0" w:space="0" w:color="auto"/>
        <w:left w:val="none" w:sz="0" w:space="0" w:color="auto"/>
        <w:bottom w:val="none" w:sz="0" w:space="0" w:color="auto"/>
        <w:right w:val="none" w:sz="0" w:space="0" w:color="auto"/>
      </w:divBdr>
    </w:div>
    <w:div w:id="1370690555">
      <w:marLeft w:val="0"/>
      <w:marRight w:val="0"/>
      <w:marTop w:val="0"/>
      <w:marBottom w:val="0"/>
      <w:divBdr>
        <w:top w:val="none" w:sz="0" w:space="0" w:color="auto"/>
        <w:left w:val="none" w:sz="0" w:space="0" w:color="auto"/>
        <w:bottom w:val="none" w:sz="0" w:space="0" w:color="auto"/>
        <w:right w:val="none" w:sz="0" w:space="0" w:color="auto"/>
      </w:divBdr>
    </w:div>
    <w:div w:id="1370690556">
      <w:marLeft w:val="0"/>
      <w:marRight w:val="0"/>
      <w:marTop w:val="0"/>
      <w:marBottom w:val="0"/>
      <w:divBdr>
        <w:top w:val="none" w:sz="0" w:space="0" w:color="auto"/>
        <w:left w:val="none" w:sz="0" w:space="0" w:color="auto"/>
        <w:bottom w:val="none" w:sz="0" w:space="0" w:color="auto"/>
        <w:right w:val="none" w:sz="0" w:space="0" w:color="auto"/>
      </w:divBdr>
    </w:div>
    <w:div w:id="1370690561">
      <w:marLeft w:val="0"/>
      <w:marRight w:val="0"/>
      <w:marTop w:val="0"/>
      <w:marBottom w:val="0"/>
      <w:divBdr>
        <w:top w:val="none" w:sz="0" w:space="0" w:color="auto"/>
        <w:left w:val="none" w:sz="0" w:space="0" w:color="auto"/>
        <w:bottom w:val="none" w:sz="0" w:space="0" w:color="auto"/>
        <w:right w:val="none" w:sz="0" w:space="0" w:color="auto"/>
      </w:divBdr>
    </w:div>
    <w:div w:id="1370690562">
      <w:marLeft w:val="0"/>
      <w:marRight w:val="0"/>
      <w:marTop w:val="0"/>
      <w:marBottom w:val="0"/>
      <w:divBdr>
        <w:top w:val="none" w:sz="0" w:space="0" w:color="auto"/>
        <w:left w:val="none" w:sz="0" w:space="0" w:color="auto"/>
        <w:bottom w:val="none" w:sz="0" w:space="0" w:color="auto"/>
        <w:right w:val="none" w:sz="0" w:space="0" w:color="auto"/>
      </w:divBdr>
    </w:div>
    <w:div w:id="1370690564">
      <w:marLeft w:val="0"/>
      <w:marRight w:val="0"/>
      <w:marTop w:val="0"/>
      <w:marBottom w:val="0"/>
      <w:divBdr>
        <w:top w:val="none" w:sz="0" w:space="0" w:color="auto"/>
        <w:left w:val="none" w:sz="0" w:space="0" w:color="auto"/>
        <w:bottom w:val="none" w:sz="0" w:space="0" w:color="auto"/>
        <w:right w:val="none" w:sz="0" w:space="0" w:color="auto"/>
      </w:divBdr>
    </w:div>
    <w:div w:id="1370690565">
      <w:marLeft w:val="0"/>
      <w:marRight w:val="0"/>
      <w:marTop w:val="0"/>
      <w:marBottom w:val="0"/>
      <w:divBdr>
        <w:top w:val="none" w:sz="0" w:space="0" w:color="auto"/>
        <w:left w:val="none" w:sz="0" w:space="0" w:color="auto"/>
        <w:bottom w:val="none" w:sz="0" w:space="0" w:color="auto"/>
        <w:right w:val="none" w:sz="0" w:space="0" w:color="auto"/>
      </w:divBdr>
    </w:div>
    <w:div w:id="1370690573">
      <w:marLeft w:val="0"/>
      <w:marRight w:val="0"/>
      <w:marTop w:val="0"/>
      <w:marBottom w:val="0"/>
      <w:divBdr>
        <w:top w:val="none" w:sz="0" w:space="0" w:color="auto"/>
        <w:left w:val="none" w:sz="0" w:space="0" w:color="auto"/>
        <w:bottom w:val="none" w:sz="0" w:space="0" w:color="auto"/>
        <w:right w:val="none" w:sz="0" w:space="0" w:color="auto"/>
      </w:divBdr>
    </w:div>
    <w:div w:id="1370690575">
      <w:marLeft w:val="0"/>
      <w:marRight w:val="0"/>
      <w:marTop w:val="0"/>
      <w:marBottom w:val="0"/>
      <w:divBdr>
        <w:top w:val="none" w:sz="0" w:space="0" w:color="auto"/>
        <w:left w:val="none" w:sz="0" w:space="0" w:color="auto"/>
        <w:bottom w:val="none" w:sz="0" w:space="0" w:color="auto"/>
        <w:right w:val="none" w:sz="0" w:space="0" w:color="auto"/>
      </w:divBdr>
    </w:div>
    <w:div w:id="1370690577">
      <w:marLeft w:val="0"/>
      <w:marRight w:val="0"/>
      <w:marTop w:val="0"/>
      <w:marBottom w:val="0"/>
      <w:divBdr>
        <w:top w:val="none" w:sz="0" w:space="0" w:color="auto"/>
        <w:left w:val="none" w:sz="0" w:space="0" w:color="auto"/>
        <w:bottom w:val="none" w:sz="0" w:space="0" w:color="auto"/>
        <w:right w:val="none" w:sz="0" w:space="0" w:color="auto"/>
      </w:divBdr>
    </w:div>
    <w:div w:id="1370690578">
      <w:marLeft w:val="0"/>
      <w:marRight w:val="0"/>
      <w:marTop w:val="0"/>
      <w:marBottom w:val="0"/>
      <w:divBdr>
        <w:top w:val="none" w:sz="0" w:space="0" w:color="auto"/>
        <w:left w:val="none" w:sz="0" w:space="0" w:color="auto"/>
        <w:bottom w:val="none" w:sz="0" w:space="0" w:color="auto"/>
        <w:right w:val="none" w:sz="0" w:space="0" w:color="auto"/>
      </w:divBdr>
    </w:div>
    <w:div w:id="1370690579">
      <w:marLeft w:val="0"/>
      <w:marRight w:val="0"/>
      <w:marTop w:val="0"/>
      <w:marBottom w:val="0"/>
      <w:divBdr>
        <w:top w:val="none" w:sz="0" w:space="0" w:color="auto"/>
        <w:left w:val="none" w:sz="0" w:space="0" w:color="auto"/>
        <w:bottom w:val="none" w:sz="0" w:space="0" w:color="auto"/>
        <w:right w:val="none" w:sz="0" w:space="0" w:color="auto"/>
      </w:divBdr>
    </w:div>
    <w:div w:id="1370690582">
      <w:marLeft w:val="0"/>
      <w:marRight w:val="0"/>
      <w:marTop w:val="0"/>
      <w:marBottom w:val="0"/>
      <w:divBdr>
        <w:top w:val="none" w:sz="0" w:space="0" w:color="auto"/>
        <w:left w:val="none" w:sz="0" w:space="0" w:color="auto"/>
        <w:bottom w:val="none" w:sz="0" w:space="0" w:color="auto"/>
        <w:right w:val="none" w:sz="0" w:space="0" w:color="auto"/>
      </w:divBdr>
    </w:div>
    <w:div w:id="1370690584">
      <w:marLeft w:val="0"/>
      <w:marRight w:val="0"/>
      <w:marTop w:val="0"/>
      <w:marBottom w:val="0"/>
      <w:divBdr>
        <w:top w:val="none" w:sz="0" w:space="0" w:color="auto"/>
        <w:left w:val="none" w:sz="0" w:space="0" w:color="auto"/>
        <w:bottom w:val="none" w:sz="0" w:space="0" w:color="auto"/>
        <w:right w:val="none" w:sz="0" w:space="0" w:color="auto"/>
      </w:divBdr>
    </w:div>
    <w:div w:id="1370690586">
      <w:marLeft w:val="0"/>
      <w:marRight w:val="0"/>
      <w:marTop w:val="0"/>
      <w:marBottom w:val="0"/>
      <w:divBdr>
        <w:top w:val="none" w:sz="0" w:space="0" w:color="auto"/>
        <w:left w:val="none" w:sz="0" w:space="0" w:color="auto"/>
        <w:bottom w:val="none" w:sz="0" w:space="0" w:color="auto"/>
        <w:right w:val="none" w:sz="0" w:space="0" w:color="auto"/>
      </w:divBdr>
    </w:div>
    <w:div w:id="1370690587">
      <w:marLeft w:val="0"/>
      <w:marRight w:val="0"/>
      <w:marTop w:val="0"/>
      <w:marBottom w:val="0"/>
      <w:divBdr>
        <w:top w:val="none" w:sz="0" w:space="0" w:color="auto"/>
        <w:left w:val="none" w:sz="0" w:space="0" w:color="auto"/>
        <w:bottom w:val="none" w:sz="0" w:space="0" w:color="auto"/>
        <w:right w:val="none" w:sz="0" w:space="0" w:color="auto"/>
      </w:divBdr>
    </w:div>
    <w:div w:id="1370690593">
      <w:marLeft w:val="0"/>
      <w:marRight w:val="0"/>
      <w:marTop w:val="0"/>
      <w:marBottom w:val="0"/>
      <w:divBdr>
        <w:top w:val="none" w:sz="0" w:space="0" w:color="auto"/>
        <w:left w:val="none" w:sz="0" w:space="0" w:color="auto"/>
        <w:bottom w:val="none" w:sz="0" w:space="0" w:color="auto"/>
        <w:right w:val="none" w:sz="0" w:space="0" w:color="auto"/>
      </w:divBdr>
      <w:divsChild>
        <w:div w:id="13706904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footer" Target="footer11.xml"/><Relationship Id="rId3" Type="http://schemas.openxmlformats.org/officeDocument/2006/relationships/styles" Target="styles.xml"/><Relationship Id="rId21" Type="http://schemas.openxmlformats.org/officeDocument/2006/relationships/diagramData" Target="diagrams/data1.xml"/><Relationship Id="rId34" Type="http://schemas.openxmlformats.org/officeDocument/2006/relationships/diagramColors" Target="diagrams/colors3.xml"/><Relationship Id="rId42" Type="http://schemas.openxmlformats.org/officeDocument/2006/relationships/image" Target="media/image7.jpeg"/><Relationship Id="rId47" Type="http://schemas.openxmlformats.org/officeDocument/2006/relationships/image" Target="media/image10.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3.png"/><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footer" Target="footer10.xm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8.xml"/><Relationship Id="rId29" Type="http://schemas.openxmlformats.org/officeDocument/2006/relationships/diagramColors" Target="diagrams/colors2.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Colors" Target="diagrams/colors1.xml"/><Relationship Id="rId32" Type="http://schemas.openxmlformats.org/officeDocument/2006/relationships/diagramLayout" Target="diagrams/layout3.xml"/><Relationship Id="rId37" Type="http://schemas.openxmlformats.org/officeDocument/2006/relationships/chart" Target="charts/chart1.xml"/><Relationship Id="rId40" Type="http://schemas.openxmlformats.org/officeDocument/2006/relationships/image" Target="media/image5.png"/><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footer" Target="footer9.xml"/><Relationship Id="rId49"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footer" Target="footer7.xml"/><Relationship Id="rId31" Type="http://schemas.openxmlformats.org/officeDocument/2006/relationships/diagramData" Target="diagrams/data3.xml"/><Relationship Id="rId44" Type="http://schemas.openxmlformats.org/officeDocument/2006/relationships/footer" Target="footer1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image" Target="media/image8.jpeg"/><Relationship Id="rId48" Type="http://schemas.openxmlformats.org/officeDocument/2006/relationships/footer" Target="footer14.xml"/><Relationship Id="rId8"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internationalbudget.org" TargetMode="External"/><Relationship Id="rId2" Type="http://schemas.openxmlformats.org/officeDocument/2006/relationships/hyperlink" Target="https://www.openknowledge.worldbank.org/handle/10986/21607" TargetMode="External"/><Relationship Id="rId1" Type="http://schemas.openxmlformats.org/officeDocument/2006/relationships/hyperlink" Target="http://documents.worldbank.org/curated/en/2015/09/25096259/egypt-promoting-poverty-reduction-shared-prosperity-systematic-country-diagnostic"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2"/>
            </a:pPr>
            <a:r>
              <a:rPr lang="ar-SA" sz="699"/>
              <a:t> </a:t>
            </a:r>
            <a:r>
              <a:rPr lang="ar-SA" sz="1100">
                <a:effectLst/>
              </a:rPr>
              <a:t>الشكل 1</a:t>
            </a:r>
            <a:endParaRPr lang="en-US" sz="1100">
              <a:effectLst/>
            </a:endParaRPr>
          </a:p>
          <a:p>
            <a:pPr>
              <a:defRPr sz="1002"/>
            </a:pPr>
            <a:r>
              <a:rPr lang="ar-SA" sz="1100">
                <a:effectLst/>
              </a:rPr>
              <a:t>مصر: تطور ترتيب ممارسة أنشطة الأعمال في </a:t>
            </a:r>
            <a:r>
              <a:rPr lang="ar-EG" sz="1100">
                <a:effectLst/>
              </a:rPr>
              <a:t>أ</a:t>
            </a:r>
            <a:r>
              <a:rPr lang="ar-SA" sz="1100">
                <a:effectLst/>
              </a:rPr>
              <a:t>ثناء فترة إستراتيجية المساعدة / مذكرة الإستراتيجية المؤقتة</a:t>
            </a:r>
            <a:endParaRPr lang="en-US" sz="1001"/>
          </a:p>
        </c:rich>
      </c:tx>
      <c:layout>
        <c:manualLayout>
          <c:xMode val="edge"/>
          <c:yMode val="edge"/>
          <c:x val="0.12526209417621248"/>
          <c:y val="5.4474118570230273E-3"/>
        </c:manualLayout>
      </c:layout>
      <c:overlay val="0"/>
      <c:spPr>
        <a:noFill/>
        <a:ln w="25399">
          <a:noFill/>
        </a:ln>
      </c:spPr>
    </c:title>
    <c:autoTitleDeleted val="0"/>
    <c:plotArea>
      <c:layout/>
      <c:lineChart>
        <c:grouping val="standard"/>
        <c:varyColors val="0"/>
        <c:ser>
          <c:idx val="0"/>
          <c:order val="0"/>
          <c:tx>
            <c:strRef>
              <c:f>Sheet1!$A$4</c:f>
              <c:strCache>
                <c:ptCount val="1"/>
                <c:pt idx="0">
                  <c:v>Egypt </c:v>
                </c:pt>
              </c:strCache>
            </c:strRef>
          </c:tx>
          <c:cat>
            <c:numRef>
              <c:f>Sheet1!$B$3:$J$3</c:f>
              <c:numCache>
                <c:formatCode>General</c:formatCode>
                <c:ptCount val="9"/>
                <c:pt idx="0">
                  <c:v>2006</c:v>
                </c:pt>
                <c:pt idx="1">
                  <c:v>2007</c:v>
                </c:pt>
                <c:pt idx="2">
                  <c:v>2008</c:v>
                </c:pt>
                <c:pt idx="3">
                  <c:v>2009</c:v>
                </c:pt>
                <c:pt idx="4">
                  <c:v>2010</c:v>
                </c:pt>
                <c:pt idx="5">
                  <c:v>2011</c:v>
                </c:pt>
                <c:pt idx="6">
                  <c:v>2012</c:v>
                </c:pt>
                <c:pt idx="7">
                  <c:v>2013</c:v>
                </c:pt>
                <c:pt idx="8">
                  <c:v>2014</c:v>
                </c:pt>
              </c:numCache>
            </c:numRef>
          </c:cat>
          <c:val>
            <c:numRef>
              <c:f>Sheet1!$B$4:$J$4</c:f>
              <c:numCache>
                <c:formatCode>General</c:formatCode>
                <c:ptCount val="9"/>
                <c:pt idx="0">
                  <c:v>165</c:v>
                </c:pt>
                <c:pt idx="1">
                  <c:v>165</c:v>
                </c:pt>
                <c:pt idx="2">
                  <c:v>126</c:v>
                </c:pt>
                <c:pt idx="3">
                  <c:v>116</c:v>
                </c:pt>
                <c:pt idx="4">
                  <c:v>106</c:v>
                </c:pt>
                <c:pt idx="5">
                  <c:v>108</c:v>
                </c:pt>
                <c:pt idx="6">
                  <c:v>110</c:v>
                </c:pt>
                <c:pt idx="7">
                  <c:v>109</c:v>
                </c:pt>
                <c:pt idx="8">
                  <c:v>128</c:v>
                </c:pt>
              </c:numCache>
            </c:numRef>
          </c:val>
          <c:smooth val="0"/>
        </c:ser>
        <c:dLbls>
          <c:showLegendKey val="0"/>
          <c:showVal val="0"/>
          <c:showCatName val="0"/>
          <c:showSerName val="0"/>
          <c:showPercent val="0"/>
          <c:showBubbleSize val="0"/>
        </c:dLbls>
        <c:marker val="1"/>
        <c:smooth val="0"/>
        <c:axId val="545366992"/>
        <c:axId val="545368168"/>
      </c:lineChart>
      <c:catAx>
        <c:axId val="545366992"/>
        <c:scaling>
          <c:orientation val="minMax"/>
        </c:scaling>
        <c:delete val="0"/>
        <c:axPos val="b"/>
        <c:numFmt formatCode="General" sourceLinked="1"/>
        <c:majorTickMark val="out"/>
        <c:minorTickMark val="none"/>
        <c:tickLblPos val="nextTo"/>
        <c:crossAx val="545368168"/>
        <c:crosses val="autoZero"/>
        <c:auto val="1"/>
        <c:lblAlgn val="ctr"/>
        <c:lblOffset val="100"/>
        <c:noMultiLvlLbl val="0"/>
      </c:catAx>
      <c:valAx>
        <c:axId val="545368168"/>
        <c:scaling>
          <c:orientation val="minMax"/>
        </c:scaling>
        <c:delete val="0"/>
        <c:axPos val="l"/>
        <c:majorGridlines/>
        <c:numFmt formatCode="General" sourceLinked="1"/>
        <c:majorTickMark val="out"/>
        <c:minorTickMark val="none"/>
        <c:tickLblPos val="nextTo"/>
        <c:crossAx val="545366992"/>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DA112D-E788-4E8A-97F5-84B632DEEE01}" type="doc">
      <dgm:prSet loTypeId="urn:microsoft.com/office/officeart/2005/8/layout/hierarchy2" loCatId="hierarchy" qsTypeId="urn:microsoft.com/office/officeart/2005/8/quickstyle/simple1#1" qsCatId="simple" csTypeId="urn:microsoft.com/office/officeart/2005/8/colors/colorful3" csCatId="colorful" phldr="1"/>
      <dgm:spPr/>
      <dgm:t>
        <a:bodyPr/>
        <a:lstStyle/>
        <a:p>
          <a:endParaRPr lang="en-US"/>
        </a:p>
      </dgm:t>
    </dgm:pt>
    <dgm:pt modelId="{64EF3316-BBB7-409A-9DC1-A5A6ACF80C6D}">
      <dgm:prSet phldrT="[Text]" custT="1"/>
      <dgm:spPr>
        <a:xfrm>
          <a:off x="4554" y="3707560"/>
          <a:ext cx="971933" cy="1294566"/>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r" rtl="1"/>
          <a:r>
            <a:rPr lang="ar-SA" sz="1000"/>
            <a:t>الحد من الفقر وزيادة الرخاء المشترك على نحو مستدام</a:t>
          </a:r>
          <a:endParaRPr lang="en-US" sz="1000" b="1">
            <a:solidFill>
              <a:sysClr val="window" lastClr="FFFFFF"/>
            </a:solidFill>
            <a:latin typeface="Calibri"/>
            <a:ea typeface="+mn-ea"/>
            <a:cs typeface="+mn-cs"/>
          </a:endParaRPr>
        </a:p>
      </dgm:t>
    </dgm:pt>
    <dgm:pt modelId="{8030E2D7-8F39-4D00-8370-D58CFE73DF32}" type="parTrans" cxnId="{C74A1039-A3F9-471C-91A6-1164D1881067}">
      <dgm:prSet/>
      <dgm:spPr/>
      <dgm:t>
        <a:bodyPr/>
        <a:lstStyle/>
        <a:p>
          <a:pPr algn="ctr"/>
          <a:endParaRPr lang="en-US"/>
        </a:p>
      </dgm:t>
    </dgm:pt>
    <dgm:pt modelId="{3DCE6C9D-75F3-4862-B32F-69DF6232D7A7}" type="sibTrans" cxnId="{C74A1039-A3F9-471C-91A6-1164D1881067}">
      <dgm:prSet/>
      <dgm:spPr/>
      <dgm:t>
        <a:bodyPr/>
        <a:lstStyle/>
        <a:p>
          <a:pPr algn="ctr"/>
          <a:endParaRPr lang="en-US"/>
        </a:p>
      </dgm:t>
    </dgm:pt>
    <dgm:pt modelId="{248E5A5D-AFF9-452C-86E1-76E0D8987061}">
      <dgm:prSet phldrT="[Text]" custT="1"/>
      <dgm:spPr>
        <a:xfrm>
          <a:off x="1532188" y="4768253"/>
          <a:ext cx="1389250" cy="77081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مجال التركيز 3 : الاحتواء الاجتماعي</a:t>
          </a:r>
          <a:endParaRPr lang="en-US" sz="1000">
            <a:solidFill>
              <a:sysClr val="window" lastClr="FFFFFF"/>
            </a:solidFill>
            <a:latin typeface="Calibri"/>
            <a:ea typeface="+mn-ea"/>
            <a:cs typeface="+mn-cs"/>
          </a:endParaRPr>
        </a:p>
      </dgm:t>
    </dgm:pt>
    <dgm:pt modelId="{E047FAEF-6FDC-4A1F-9FC4-D1E1B62CEE67}" type="parTrans" cxnId="{7D214716-D9D3-4F08-83DE-5783983A60C7}">
      <dgm:prSet/>
      <dgm:spPr>
        <a:xfrm rot="3310531">
          <a:off x="767790" y="4745406"/>
          <a:ext cx="973095" cy="17692"/>
        </a:xfrm>
        <a:noFill/>
        <a:ln w="25400" cap="flat" cmpd="sng" algn="ctr">
          <a:solidFill>
            <a:srgbClr val="8064A2">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FE7C2FDC-7558-45F2-AAD5-813C845FD8AB}" type="sibTrans" cxnId="{7D214716-D9D3-4F08-83DE-5783983A60C7}">
      <dgm:prSet/>
      <dgm:spPr/>
      <dgm:t>
        <a:bodyPr/>
        <a:lstStyle/>
        <a:p>
          <a:pPr algn="ctr"/>
          <a:endParaRPr lang="en-US"/>
        </a:p>
      </dgm:t>
    </dgm:pt>
    <dgm:pt modelId="{A9756BE1-3646-4709-90AF-AC1E9971FE48}">
      <dgm:prSet phldrT="[Text]" custT="1"/>
      <dgm:spPr>
        <a:xfrm>
          <a:off x="3477139" y="469812"/>
          <a:ext cx="1389250" cy="1166706"/>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b="1"/>
            <a:t>الهدف 1.1 لإطار الشراكة الإستراتيجية: تحسين إدارة المالية العامة</a:t>
          </a:r>
          <a:endParaRPr lang="en-US" sz="1000" b="0">
            <a:solidFill>
              <a:sysClr val="window" lastClr="FFFFFF"/>
            </a:solidFill>
            <a:latin typeface="Calibri"/>
            <a:ea typeface="+mn-ea"/>
            <a:cs typeface="+mn-cs"/>
          </a:endParaRPr>
        </a:p>
      </dgm:t>
    </dgm:pt>
    <dgm:pt modelId="{AC59B546-B133-42E2-840C-23F025C0C747}" type="sibTrans" cxnId="{A55E2592-0048-41D4-8305-DE3A24463821}">
      <dgm:prSet/>
      <dgm:spPr/>
      <dgm:t>
        <a:bodyPr/>
        <a:lstStyle/>
        <a:p>
          <a:pPr algn="ctr"/>
          <a:endParaRPr lang="en-US"/>
        </a:p>
      </dgm:t>
    </dgm:pt>
    <dgm:pt modelId="{F257DDD2-3E63-4EC0-8501-119379D99C8B}" type="parTrans" cxnId="{A55E2592-0048-41D4-8305-DE3A24463821}">
      <dgm:prSet/>
      <dgm:spPr>
        <a:xfrm rot="16962322">
          <a:off x="1935975" y="2276700"/>
          <a:ext cx="2526628" cy="17692"/>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ADE609D-5C31-49AA-8D26-308B791CF2BF}">
      <dgm:prSet phldrT="[Text]" custT="1"/>
      <dgm:spPr>
        <a:xfrm>
          <a:off x="1532188" y="3170614"/>
          <a:ext cx="1389250" cy="69462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مجال التركيز 1 : تحسين نظام الإدارة العامة والحوكمة</a:t>
          </a:r>
          <a:endParaRPr lang="en-US" sz="1000" b="1">
            <a:solidFill>
              <a:sysClr val="window" lastClr="FFFFFF"/>
            </a:solidFill>
            <a:latin typeface="Calibri"/>
            <a:ea typeface="+mn-ea"/>
            <a:cs typeface="+mn-cs"/>
          </a:endParaRPr>
        </a:p>
      </dgm:t>
    </dgm:pt>
    <dgm:pt modelId="{205397FA-208D-48E9-A74B-D72BAB00A137}" type="parTrans" cxnId="{E66E3949-1F89-4C68-8F4B-8CD3275C8E21}">
      <dgm:prSet/>
      <dgm:spPr>
        <a:xfrm rot="18215016">
          <a:off x="752036" y="3927539"/>
          <a:ext cx="1004604" cy="17692"/>
        </a:xfrm>
        <a:noFill/>
        <a:ln w="25400" cap="flat" cmpd="sng" algn="ctr">
          <a:solidFill>
            <a:srgbClr val="8064A2">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AFF01DA-5F30-4771-976E-6724AF1C0165}" type="sibTrans" cxnId="{E66E3949-1F89-4C68-8F4B-8CD3275C8E21}">
      <dgm:prSet/>
      <dgm:spPr/>
      <dgm:t>
        <a:bodyPr/>
        <a:lstStyle/>
        <a:p>
          <a:endParaRPr lang="en-US"/>
        </a:p>
      </dgm:t>
    </dgm:pt>
    <dgm:pt modelId="{773299C6-0180-45E1-A55F-5C2A39C3405A}">
      <dgm:prSet custT="1"/>
      <dgm:spPr>
        <a:xfrm>
          <a:off x="5155299" y="451554"/>
          <a:ext cx="1963455" cy="1203223"/>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ضبط أوضاع المالية العامة أمر ضروري لتحقيق نمو يراعي مصلحة الفقراء، وفي السياق المصري، يتطلَّب هذا: (1) زيادة الإيرادات (2) خفض النفقات العامة، وتحسين كفاءتها، وتعزيز الإيرادات الحكومية.</a:t>
          </a:r>
          <a:endParaRPr lang="en-US" sz="1000" b="1">
            <a:solidFill>
              <a:sysClr val="window" lastClr="FFFFFF"/>
            </a:solidFill>
            <a:latin typeface="Calibri"/>
            <a:ea typeface="+mn-ea"/>
            <a:cs typeface="+mn-cs"/>
          </a:endParaRPr>
        </a:p>
      </dgm:t>
    </dgm:pt>
    <dgm:pt modelId="{3DC2A227-5E38-466D-9E7A-FE675C5AAF8D}" type="parTrans" cxnId="{A4BDEF13-8EA2-4916-A0F4-2C7790EA7651}">
      <dgm:prSet/>
      <dgm:spPr>
        <a:xfrm>
          <a:off x="4866390" y="1044319"/>
          <a:ext cx="288908" cy="17692"/>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A5B4D3-4102-474C-B77F-88DDBE21C1A9}" type="sibTrans" cxnId="{A4BDEF13-8EA2-4916-A0F4-2C7790EA7651}">
      <dgm:prSet/>
      <dgm:spPr/>
      <dgm:t>
        <a:bodyPr/>
        <a:lstStyle/>
        <a:p>
          <a:endParaRPr lang="en-US"/>
        </a:p>
      </dgm:t>
    </dgm:pt>
    <dgm:pt modelId="{375B9BD2-38A8-4177-8F13-8B28E3164C80}">
      <dgm:prSet custT="1"/>
      <dgm:spPr>
        <a:xfrm>
          <a:off x="3477139" y="1829454"/>
          <a:ext cx="1389250" cy="114920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الهدف 1.2 لإطار الشراكة الإستراتيجية: تحسين شفافية المالية العامة</a:t>
          </a:r>
          <a:endParaRPr lang="en-US" sz="1000" b="0">
            <a:solidFill>
              <a:sysClr val="window" lastClr="FFFFFF"/>
            </a:solidFill>
            <a:latin typeface="Calibri"/>
            <a:ea typeface="+mn-ea"/>
            <a:cs typeface="+mn-cs"/>
          </a:endParaRPr>
        </a:p>
      </dgm:t>
    </dgm:pt>
    <dgm:pt modelId="{B387A116-B323-4A12-9FCE-31C18192341A}" type="sibTrans" cxnId="{DC1AECDC-BB86-494B-B0B7-ED842C40EF16}">
      <dgm:prSet/>
      <dgm:spPr/>
      <dgm:t>
        <a:bodyPr/>
        <a:lstStyle/>
        <a:p>
          <a:endParaRPr lang="en-US"/>
        </a:p>
      </dgm:t>
    </dgm:pt>
    <dgm:pt modelId="{D8A3E6F6-57CD-4CD5-BA5C-61916E4C4DFE}" type="parTrans" cxnId="{DC1AECDC-BB86-494B-B0B7-ED842C40EF16}">
      <dgm:prSet/>
      <dgm:spPr>
        <a:xfrm rot="17790851">
          <a:off x="2576892" y="2952145"/>
          <a:ext cx="1244794" cy="17692"/>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E642913-D829-44B0-911E-D946C492A715}">
      <dgm:prSet custT="1"/>
      <dgm:spPr>
        <a:xfrm>
          <a:off x="3477139" y="4308777"/>
          <a:ext cx="1389250" cy="116410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1.4 لإطار الشراكة الإستراتيجية: تدعيم مشاركة المواطنين في تقديم الخدمات</a:t>
          </a:r>
          <a:endParaRPr lang="en-US" sz="1000" b="1">
            <a:solidFill>
              <a:sysClr val="window" lastClr="FFFFFF"/>
            </a:solidFill>
            <a:latin typeface="Calibri"/>
            <a:ea typeface="+mn-ea"/>
            <a:cs typeface="+mn-cs"/>
          </a:endParaRPr>
        </a:p>
      </dgm:t>
    </dgm:pt>
    <dgm:pt modelId="{8AA1C928-E2C4-4294-8AAA-1A41B7DB55BB}" type="parTrans" cxnId="{361318E3-2E21-4A6F-8714-F7413F275265}">
      <dgm:prSet/>
      <dgm:spPr>
        <a:xfrm rot="4077821">
          <a:off x="2458739" y="4195531"/>
          <a:ext cx="1481100" cy="17692"/>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C333629-F346-44DF-B91A-7E326C692D49}" type="sibTrans" cxnId="{361318E3-2E21-4A6F-8714-F7413F275265}">
      <dgm:prSet/>
      <dgm:spPr/>
      <dgm:t>
        <a:bodyPr/>
        <a:lstStyle/>
        <a:p>
          <a:endParaRPr lang="en-US"/>
        </a:p>
      </dgm:t>
    </dgm:pt>
    <dgm:pt modelId="{62CEF179-360D-4F53-A088-503B00B6C54D}">
      <dgm:prSet custT="1"/>
      <dgm:spPr>
        <a:xfrm>
          <a:off x="3477139" y="5606431"/>
          <a:ext cx="1389250" cy="95961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الهدف 1.5 لإطار الشراكة الإستراتيجية:  تدعيم حوكمة قطاع الطاقة</a:t>
          </a:r>
          <a:endParaRPr lang="en-US" sz="1000" b="0">
            <a:solidFill>
              <a:sysClr val="window" lastClr="FFFFFF"/>
            </a:solidFill>
            <a:latin typeface="Calibri"/>
            <a:ea typeface="+mn-ea"/>
            <a:cs typeface="+mn-cs"/>
          </a:endParaRPr>
        </a:p>
      </dgm:t>
    </dgm:pt>
    <dgm:pt modelId="{6EF710DB-E9BA-4196-9F36-846BD5B10A9B}" type="parTrans" cxnId="{0066F31F-F45C-4685-8A53-5C78C4A724AB}">
      <dgm:prSet/>
      <dgm:spPr>
        <a:xfrm rot="4667473">
          <a:off x="1885419" y="4793235"/>
          <a:ext cx="2627739" cy="17692"/>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C7DA5CD-3ABC-4574-846D-13A281CBBF43}" type="sibTrans" cxnId="{0066F31F-F45C-4685-8A53-5C78C4A724AB}">
      <dgm:prSet/>
      <dgm:spPr/>
      <dgm:t>
        <a:bodyPr/>
        <a:lstStyle/>
        <a:p>
          <a:endParaRPr lang="en-US"/>
        </a:p>
      </dgm:t>
    </dgm:pt>
    <dgm:pt modelId="{FF098634-2C13-42E2-8592-14464DA48602}">
      <dgm:prSet custT="1"/>
      <dgm:spPr>
        <a:xfrm>
          <a:off x="5155313" y="5557113"/>
          <a:ext cx="1983169" cy="105824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نظام دعم منتجات الطاقة يترك تأثيرا مُشوِّها على الاقتصاد. ويجب إصلاح نظام الدعم وتحسين حوكمة قطاع الطاقة من أجل تحسين وضع المالية العامة لمصر وإزالة التشوهات.</a:t>
          </a:r>
          <a:endParaRPr lang="en-US" sz="1000" b="1" i="0">
            <a:solidFill>
              <a:sysClr val="window" lastClr="FFFFFF"/>
            </a:solidFill>
            <a:latin typeface="Calibri"/>
            <a:ea typeface="+mn-ea"/>
            <a:cs typeface="+mn-cs"/>
          </a:endParaRPr>
        </a:p>
      </dgm:t>
    </dgm:pt>
    <dgm:pt modelId="{193F56D7-42E8-4473-89C0-7AEF2809EFA5}" type="parTrans" cxnId="{F1455272-C96C-4A07-B6EF-6601E33E4E35}">
      <dgm:prSet/>
      <dgm:spPr>
        <a:xfrm>
          <a:off x="4866390" y="6077390"/>
          <a:ext cx="288922" cy="17692"/>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63024D-59B9-40AA-A168-DE5387A5DD79}" type="sibTrans" cxnId="{F1455272-C96C-4A07-B6EF-6601E33E4E35}">
      <dgm:prSet/>
      <dgm:spPr/>
      <dgm:t>
        <a:bodyPr/>
        <a:lstStyle/>
        <a:p>
          <a:endParaRPr lang="en-US"/>
        </a:p>
      </dgm:t>
    </dgm:pt>
    <dgm:pt modelId="{FA052810-65AA-4D9A-8F24-DF68248E9A57}">
      <dgm:prSet custT="1"/>
      <dgm:spPr>
        <a:xfrm>
          <a:off x="3486670" y="3141893"/>
          <a:ext cx="1389250" cy="101993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endParaRPr lang="en-US" sz="1000" b="1">
            <a:solidFill>
              <a:sysClr val="window" lastClr="FFFFFF"/>
            </a:solidFill>
            <a:latin typeface="Calibri"/>
            <a:ea typeface="+mn-ea"/>
            <a:cs typeface="+mn-cs"/>
          </a:endParaRPr>
        </a:p>
        <a:p>
          <a:pPr algn="ctr"/>
          <a:r>
            <a:rPr lang="ar-SA" sz="1000"/>
            <a:t>الهدف 1.3 لإطار الشراكة الإستراتيجية: إنشاء قاعدة شواهد للإدارة العامة المستندة إلى الأداء</a:t>
          </a:r>
          <a:endParaRPr lang="en-US" sz="1000">
            <a:solidFill>
              <a:sysClr val="window" lastClr="FFFFFF"/>
            </a:solidFill>
            <a:latin typeface="Calibri"/>
            <a:ea typeface="+mn-ea"/>
            <a:cs typeface="+mn-cs"/>
          </a:endParaRPr>
        </a:p>
      </dgm:t>
    </dgm:pt>
    <dgm:pt modelId="{18B1807D-B576-4245-A169-647AA31D11A0}" type="sibTrans" cxnId="{9FAE5098-332F-4860-9542-C2F5661B394A}">
      <dgm:prSet/>
      <dgm:spPr/>
      <dgm:t>
        <a:bodyPr/>
        <a:lstStyle/>
        <a:p>
          <a:pPr algn="ctr"/>
          <a:endParaRPr lang="en-US"/>
        </a:p>
      </dgm:t>
    </dgm:pt>
    <dgm:pt modelId="{88FB2B82-3C0D-4F7D-B852-BE5A9BA8DA70}" type="parTrans" cxnId="{9FAE5098-332F-4860-9542-C2F5661B394A}">
      <dgm:prSet/>
      <dgm:spPr>
        <a:xfrm rot="799829">
          <a:off x="2913613" y="3576047"/>
          <a:ext cx="580881" cy="17692"/>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2B2F61F9-CEB4-4133-91BB-4862E29CBFAA}">
      <dgm:prSet/>
      <dgm:spPr>
        <a:xfrm>
          <a:off x="1532188" y="3969433"/>
          <a:ext cx="1389250" cy="69462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SA"/>
            <a:t>مجال التركيز 2: تحسين فرص خلق الوظائف بالقطاع الخاص</a:t>
          </a:r>
          <a:endParaRPr lang="en-US" b="1">
            <a:solidFill>
              <a:sysClr val="window" lastClr="FFFFFF"/>
            </a:solidFill>
            <a:latin typeface="Calibri"/>
            <a:ea typeface="+mn-ea"/>
            <a:cs typeface="+mn-cs"/>
          </a:endParaRPr>
        </a:p>
      </dgm:t>
    </dgm:pt>
    <dgm:pt modelId="{1F2C2E36-51FC-4873-9D8E-6D56EFF60474}" type="parTrans" cxnId="{DC5E459D-F9F8-4B09-9B81-773A0FAD65D2}">
      <dgm:prSet/>
      <dgm:spPr>
        <a:xfrm rot="21364689">
          <a:off x="975836" y="4326948"/>
          <a:ext cx="557004" cy="17692"/>
        </a:xfrm>
        <a:noFill/>
        <a:ln w="25400" cap="flat" cmpd="sng" algn="ctr">
          <a:solidFill>
            <a:srgbClr val="8064A2">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55A851E-1D7B-4BB7-89C7-3C1EE51A37B8}" type="sibTrans" cxnId="{DC5E459D-F9F8-4B09-9B81-773A0FAD65D2}">
      <dgm:prSet/>
      <dgm:spPr/>
      <dgm:t>
        <a:bodyPr/>
        <a:lstStyle/>
        <a:p>
          <a:endParaRPr lang="en-US"/>
        </a:p>
      </dgm:t>
    </dgm:pt>
    <dgm:pt modelId="{E17560CB-3A14-41AF-9D80-3E7FB4A38A3E}">
      <dgm:prSet custT="1"/>
      <dgm:spPr>
        <a:xfrm>
          <a:off x="5088740" y="1768494"/>
          <a:ext cx="1976625" cy="127315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SA" sz="1000"/>
            <a:t>الحاجة إلى إجراء إصلاحات في الإنفاق ومراجعة الحسابات وإدارة شؤون المالية العامة من أجل التقديم الفاعل للخدمات في إطار البرنامج الاستثماري للحكومة المصرية.</a:t>
          </a:r>
          <a:endParaRPr lang="en-US" sz="1000" b="1">
            <a:solidFill>
              <a:sysClr val="window" lastClr="FFFFFF"/>
            </a:solidFill>
            <a:latin typeface="Calibri"/>
            <a:ea typeface="+mn-ea"/>
            <a:cs typeface="+mn-cs"/>
          </a:endParaRPr>
        </a:p>
      </dgm:t>
    </dgm:pt>
    <dgm:pt modelId="{28AEE1C1-9AD3-4F3D-ADE0-B1ECE7CF5AFF}" type="parTrans" cxnId="{7EB4D18A-151B-4CF6-BF04-82E7FD0D1398}">
      <dgm:prSet/>
      <dgm:spPr>
        <a:xfrm rot="15680">
          <a:off x="4866389" y="2395716"/>
          <a:ext cx="222351" cy="17692"/>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FA61B60-DACE-4FAE-9259-E4D967C052E0}" type="sibTrans" cxnId="{7EB4D18A-151B-4CF6-BF04-82E7FD0D1398}">
      <dgm:prSet/>
      <dgm:spPr/>
      <dgm:t>
        <a:bodyPr/>
        <a:lstStyle/>
        <a:p>
          <a:endParaRPr lang="en-US"/>
        </a:p>
      </dgm:t>
    </dgm:pt>
    <dgm:pt modelId="{D3DE62D0-01F1-42D4-B724-47AA134881AF}">
      <dgm:prSet custT="1"/>
      <dgm:spPr>
        <a:xfrm>
          <a:off x="5183987" y="4376361"/>
          <a:ext cx="1938532" cy="112418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توجد عقبات كثيرة في طريق نمو يساعد على خلق الوظائف وتقديم خدمات عامة ذات جودة، وذلك بسبب عجز المواطنين عن مساءلة الدولة.</a:t>
          </a:r>
          <a:endParaRPr lang="en-US" sz="1000">
            <a:solidFill>
              <a:sysClr val="window" lastClr="FFFFFF"/>
            </a:solidFill>
            <a:latin typeface="Calibri"/>
            <a:ea typeface="+mn-ea"/>
            <a:cs typeface="+mn-cs"/>
          </a:endParaRPr>
        </a:p>
      </dgm:t>
    </dgm:pt>
    <dgm:pt modelId="{1D548C64-D4C2-49D9-9D52-6FAE61221DE0}" type="parTrans" cxnId="{11576FC2-8BDF-4572-AD5C-E57A995E43EE}">
      <dgm:prSet/>
      <dgm:spPr>
        <a:xfrm rot="511677">
          <a:off x="4864615" y="4905793"/>
          <a:ext cx="321147" cy="17692"/>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07EC3C2-3494-4DDA-B540-1B32FAB9CD29}" type="sibTrans" cxnId="{11576FC2-8BDF-4572-AD5C-E57A995E43EE}">
      <dgm:prSet/>
      <dgm:spPr/>
      <dgm:t>
        <a:bodyPr/>
        <a:lstStyle/>
        <a:p>
          <a:endParaRPr lang="en-US"/>
        </a:p>
      </dgm:t>
    </dgm:pt>
    <dgm:pt modelId="{180AEC33-7A6F-4E9E-8211-22D249D95925}">
      <dgm:prSet custT="1"/>
      <dgm:spPr>
        <a:xfrm>
          <a:off x="5193503" y="3174409"/>
          <a:ext cx="1862332" cy="108822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rtl="1"/>
          <a:r>
            <a:rPr lang="ar-SA" sz="1000"/>
            <a:t>من الضروري أن تقوم مصر بإصلاح قدرات التنفيذ، والتنظيم البالغ التعقيد للإدارة المركزية للدولة من أجل التقديم الفاعل للخدمات.</a:t>
          </a:r>
          <a:endParaRPr lang="en-US" sz="1000" b="1" i="0">
            <a:solidFill>
              <a:sysClr val="window" lastClr="FFFFFF"/>
            </a:solidFill>
            <a:latin typeface="Calibri"/>
            <a:ea typeface="+mn-ea"/>
            <a:cs typeface="+mn-cs"/>
          </a:endParaRPr>
        </a:p>
      </dgm:t>
    </dgm:pt>
    <dgm:pt modelId="{84744AA0-3CF8-4CF3-B066-45A612C593A0}" type="parTrans" cxnId="{3A130A5A-CBB8-42D7-B904-AF180972682B}">
      <dgm:prSet/>
      <dgm:spPr>
        <a:xfrm rot="711284">
          <a:off x="4872460" y="3676345"/>
          <a:ext cx="324503" cy="17692"/>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0AB0B5-21A5-4611-A900-A1BE2D3A9F5E}" type="sibTrans" cxnId="{3A130A5A-CBB8-42D7-B904-AF180972682B}">
      <dgm:prSet/>
      <dgm:spPr/>
      <dgm:t>
        <a:bodyPr/>
        <a:lstStyle/>
        <a:p>
          <a:endParaRPr lang="en-US"/>
        </a:p>
      </dgm:t>
    </dgm:pt>
    <dgm:pt modelId="{D7826509-EC2B-4A24-B843-7A7EBCCFB9CF}" type="pres">
      <dgm:prSet presAssocID="{B2DA112D-E788-4E8A-97F5-84B632DEEE01}" presName="diagram" presStyleCnt="0">
        <dgm:presLayoutVars>
          <dgm:chPref val="1"/>
          <dgm:dir val="rev"/>
          <dgm:animOne val="branch"/>
          <dgm:animLvl val="lvl"/>
          <dgm:resizeHandles val="exact"/>
        </dgm:presLayoutVars>
      </dgm:prSet>
      <dgm:spPr/>
      <dgm:t>
        <a:bodyPr/>
        <a:lstStyle/>
        <a:p>
          <a:endParaRPr lang="en-US"/>
        </a:p>
      </dgm:t>
    </dgm:pt>
    <dgm:pt modelId="{5BEFC538-B3B9-40A9-894F-0288C31C9C57}" type="pres">
      <dgm:prSet presAssocID="{64EF3316-BBB7-409A-9DC1-A5A6ACF80C6D}" presName="root1" presStyleCnt="0"/>
      <dgm:spPr/>
      <dgm:t>
        <a:bodyPr/>
        <a:lstStyle/>
        <a:p>
          <a:endParaRPr lang="en-US"/>
        </a:p>
      </dgm:t>
    </dgm:pt>
    <dgm:pt modelId="{734CEE8B-6FA1-42D1-8DA6-E887A40B5820}" type="pres">
      <dgm:prSet presAssocID="{64EF3316-BBB7-409A-9DC1-A5A6ACF80C6D}" presName="LevelOneTextNode" presStyleLbl="node0" presStyleIdx="0" presStyleCnt="1" custScaleX="69961" custScaleY="186369">
        <dgm:presLayoutVars>
          <dgm:chPref val="3"/>
        </dgm:presLayoutVars>
      </dgm:prSet>
      <dgm:spPr>
        <a:prstGeom prst="roundRect">
          <a:avLst>
            <a:gd name="adj" fmla="val 10000"/>
          </a:avLst>
        </a:prstGeom>
      </dgm:spPr>
      <dgm:t>
        <a:bodyPr/>
        <a:lstStyle/>
        <a:p>
          <a:endParaRPr lang="en-US"/>
        </a:p>
      </dgm:t>
    </dgm:pt>
    <dgm:pt modelId="{9EEA43A2-A199-44EC-8898-3041A5F87FCB}" type="pres">
      <dgm:prSet presAssocID="{64EF3316-BBB7-409A-9DC1-A5A6ACF80C6D}" presName="level2hierChild" presStyleCnt="0"/>
      <dgm:spPr/>
      <dgm:t>
        <a:bodyPr/>
        <a:lstStyle/>
        <a:p>
          <a:endParaRPr lang="en-US"/>
        </a:p>
      </dgm:t>
    </dgm:pt>
    <dgm:pt modelId="{05B31C23-4D55-4071-88F4-C6C57CE176E1}" type="pres">
      <dgm:prSet presAssocID="{205397FA-208D-48E9-A74B-D72BAB00A137}" presName="conn2-1" presStyleLbl="parChTrans1D2" presStyleIdx="0" presStyleCnt="3"/>
      <dgm:spPr>
        <a:custGeom>
          <a:avLst/>
          <a:gdLst/>
          <a:ahLst/>
          <a:cxnLst/>
          <a:rect l="0" t="0" r="0" b="0"/>
          <a:pathLst>
            <a:path>
              <a:moveTo>
                <a:pt x="0" y="11282"/>
              </a:moveTo>
              <a:lnTo>
                <a:pt x="681158" y="11282"/>
              </a:lnTo>
            </a:path>
          </a:pathLst>
        </a:custGeom>
      </dgm:spPr>
      <dgm:t>
        <a:bodyPr/>
        <a:lstStyle/>
        <a:p>
          <a:endParaRPr lang="en-US"/>
        </a:p>
      </dgm:t>
    </dgm:pt>
    <dgm:pt modelId="{A4EE937D-B408-45A3-A5E6-5EB4DDEF254C}" type="pres">
      <dgm:prSet presAssocID="{205397FA-208D-48E9-A74B-D72BAB00A137}" presName="connTx" presStyleLbl="parChTrans1D2" presStyleIdx="0" presStyleCnt="3"/>
      <dgm:spPr/>
      <dgm:t>
        <a:bodyPr/>
        <a:lstStyle/>
        <a:p>
          <a:endParaRPr lang="en-US"/>
        </a:p>
      </dgm:t>
    </dgm:pt>
    <dgm:pt modelId="{BC0E2788-3D9B-45CD-A96E-6F83779BD7A7}" type="pres">
      <dgm:prSet presAssocID="{AADE609D-5C31-49AA-8D26-308B791CF2BF}" presName="root2" presStyleCnt="0"/>
      <dgm:spPr/>
      <dgm:t>
        <a:bodyPr/>
        <a:lstStyle/>
        <a:p>
          <a:endParaRPr lang="en-US"/>
        </a:p>
      </dgm:t>
    </dgm:pt>
    <dgm:pt modelId="{1D995411-AD4A-4D44-89A3-4CA74B3E624C}" type="pres">
      <dgm:prSet presAssocID="{AADE609D-5C31-49AA-8D26-308B791CF2BF}" presName="LevelTwoTextNode" presStyleLbl="node2" presStyleIdx="0" presStyleCnt="3">
        <dgm:presLayoutVars>
          <dgm:chPref val="3"/>
        </dgm:presLayoutVars>
      </dgm:prSet>
      <dgm:spPr>
        <a:prstGeom prst="roundRect">
          <a:avLst>
            <a:gd name="adj" fmla="val 10000"/>
          </a:avLst>
        </a:prstGeom>
      </dgm:spPr>
      <dgm:t>
        <a:bodyPr/>
        <a:lstStyle/>
        <a:p>
          <a:endParaRPr lang="en-US"/>
        </a:p>
      </dgm:t>
    </dgm:pt>
    <dgm:pt modelId="{0759D191-BE40-4E28-B288-6C15CEF10618}" type="pres">
      <dgm:prSet presAssocID="{AADE609D-5C31-49AA-8D26-308B791CF2BF}" presName="level3hierChild" presStyleCnt="0"/>
      <dgm:spPr/>
      <dgm:t>
        <a:bodyPr/>
        <a:lstStyle/>
        <a:p>
          <a:endParaRPr lang="en-US"/>
        </a:p>
      </dgm:t>
    </dgm:pt>
    <dgm:pt modelId="{EFFE82EA-51F5-466E-B789-11FCD94A28B2}" type="pres">
      <dgm:prSet presAssocID="{F257DDD2-3E63-4EC0-8501-119379D99C8B}" presName="conn2-1" presStyleLbl="parChTrans1D3" presStyleIdx="0" presStyleCnt="5"/>
      <dgm:spPr>
        <a:custGeom>
          <a:avLst/>
          <a:gdLst/>
          <a:ahLst/>
          <a:cxnLst/>
          <a:rect l="0" t="0" r="0" b="0"/>
          <a:pathLst>
            <a:path>
              <a:moveTo>
                <a:pt x="0" y="8846"/>
              </a:moveTo>
              <a:lnTo>
                <a:pt x="2608565" y="8846"/>
              </a:lnTo>
            </a:path>
          </a:pathLst>
        </a:custGeom>
      </dgm:spPr>
      <dgm:t>
        <a:bodyPr/>
        <a:lstStyle/>
        <a:p>
          <a:endParaRPr lang="en-US"/>
        </a:p>
      </dgm:t>
    </dgm:pt>
    <dgm:pt modelId="{2E8D370F-E965-4AB7-96CF-25D23998651D}" type="pres">
      <dgm:prSet presAssocID="{F257DDD2-3E63-4EC0-8501-119379D99C8B}" presName="connTx" presStyleLbl="parChTrans1D3" presStyleIdx="0" presStyleCnt="5"/>
      <dgm:spPr/>
      <dgm:t>
        <a:bodyPr/>
        <a:lstStyle/>
        <a:p>
          <a:endParaRPr lang="en-US"/>
        </a:p>
      </dgm:t>
    </dgm:pt>
    <dgm:pt modelId="{B7F4E74B-EB83-4537-AF24-74A872FC675C}" type="pres">
      <dgm:prSet presAssocID="{A9756BE1-3646-4709-90AF-AC1E9971FE48}" presName="root2" presStyleCnt="0"/>
      <dgm:spPr/>
      <dgm:t>
        <a:bodyPr/>
        <a:lstStyle/>
        <a:p>
          <a:endParaRPr lang="en-US"/>
        </a:p>
      </dgm:t>
    </dgm:pt>
    <dgm:pt modelId="{94EF3E8E-7896-4A41-9E93-E3DC2A7DA069}" type="pres">
      <dgm:prSet presAssocID="{A9756BE1-3646-4709-90AF-AC1E9971FE48}" presName="LevelTwoTextNode" presStyleLbl="node3" presStyleIdx="0" presStyleCnt="5" custScaleY="167962">
        <dgm:presLayoutVars>
          <dgm:chPref val="3"/>
        </dgm:presLayoutVars>
      </dgm:prSet>
      <dgm:spPr>
        <a:prstGeom prst="roundRect">
          <a:avLst>
            <a:gd name="adj" fmla="val 10000"/>
          </a:avLst>
        </a:prstGeom>
      </dgm:spPr>
      <dgm:t>
        <a:bodyPr/>
        <a:lstStyle/>
        <a:p>
          <a:endParaRPr lang="en-US"/>
        </a:p>
      </dgm:t>
    </dgm:pt>
    <dgm:pt modelId="{C8F3D0F9-04B6-47C6-AB82-98462E38F116}" type="pres">
      <dgm:prSet presAssocID="{A9756BE1-3646-4709-90AF-AC1E9971FE48}" presName="level3hierChild" presStyleCnt="0"/>
      <dgm:spPr/>
      <dgm:t>
        <a:bodyPr/>
        <a:lstStyle/>
        <a:p>
          <a:endParaRPr lang="en-US"/>
        </a:p>
      </dgm:t>
    </dgm:pt>
    <dgm:pt modelId="{CF4C494B-0011-4782-962C-C11C5CBC282E}" type="pres">
      <dgm:prSet presAssocID="{3DC2A227-5E38-466D-9E7A-FE675C5AAF8D}" presName="conn2-1" presStyleLbl="parChTrans1D4" presStyleIdx="0" presStyleCnt="5"/>
      <dgm:spPr>
        <a:custGeom>
          <a:avLst/>
          <a:gdLst/>
          <a:ahLst/>
          <a:cxnLst/>
          <a:rect l="0" t="0" r="0" b="0"/>
          <a:pathLst>
            <a:path>
              <a:moveTo>
                <a:pt x="0" y="11282"/>
              </a:moveTo>
              <a:lnTo>
                <a:pt x="553111" y="11282"/>
              </a:lnTo>
            </a:path>
          </a:pathLst>
        </a:custGeom>
      </dgm:spPr>
      <dgm:t>
        <a:bodyPr/>
        <a:lstStyle/>
        <a:p>
          <a:endParaRPr lang="en-US"/>
        </a:p>
      </dgm:t>
    </dgm:pt>
    <dgm:pt modelId="{58A74DEB-C540-4E7D-B6A4-B0D5B6A350AD}" type="pres">
      <dgm:prSet presAssocID="{3DC2A227-5E38-466D-9E7A-FE675C5AAF8D}" presName="connTx" presStyleLbl="parChTrans1D4" presStyleIdx="0" presStyleCnt="5"/>
      <dgm:spPr/>
      <dgm:t>
        <a:bodyPr/>
        <a:lstStyle/>
        <a:p>
          <a:endParaRPr lang="en-US"/>
        </a:p>
      </dgm:t>
    </dgm:pt>
    <dgm:pt modelId="{5538BE5C-D826-4E7A-8186-BF556A74EAA3}" type="pres">
      <dgm:prSet presAssocID="{773299C6-0180-45E1-A55F-5C2A39C3405A}" presName="root2" presStyleCnt="0"/>
      <dgm:spPr/>
      <dgm:t>
        <a:bodyPr/>
        <a:lstStyle/>
        <a:p>
          <a:endParaRPr lang="en-US"/>
        </a:p>
      </dgm:t>
    </dgm:pt>
    <dgm:pt modelId="{EED096D6-5D75-4A02-8524-67AD870D3E3C}" type="pres">
      <dgm:prSet presAssocID="{773299C6-0180-45E1-A55F-5C2A39C3405A}" presName="LevelTwoTextNode" presStyleLbl="node4" presStyleIdx="0" presStyleCnt="5" custScaleX="141332" custScaleY="173219" custLinFactNeighborX="-19204">
        <dgm:presLayoutVars>
          <dgm:chPref val="3"/>
        </dgm:presLayoutVars>
      </dgm:prSet>
      <dgm:spPr>
        <a:prstGeom prst="roundRect">
          <a:avLst>
            <a:gd name="adj" fmla="val 10000"/>
          </a:avLst>
        </a:prstGeom>
      </dgm:spPr>
      <dgm:t>
        <a:bodyPr/>
        <a:lstStyle/>
        <a:p>
          <a:endParaRPr lang="en-US"/>
        </a:p>
      </dgm:t>
    </dgm:pt>
    <dgm:pt modelId="{C74E5896-E276-43C2-9B60-5A38A1B17490}" type="pres">
      <dgm:prSet presAssocID="{773299C6-0180-45E1-A55F-5C2A39C3405A}" presName="level3hierChild" presStyleCnt="0"/>
      <dgm:spPr/>
      <dgm:t>
        <a:bodyPr/>
        <a:lstStyle/>
        <a:p>
          <a:endParaRPr lang="en-US"/>
        </a:p>
      </dgm:t>
    </dgm:pt>
    <dgm:pt modelId="{20E236EB-3137-4886-B4B5-8168AB828BF7}" type="pres">
      <dgm:prSet presAssocID="{D8A3E6F6-57CD-4CD5-BA5C-61916E4C4DFE}" presName="conn2-1" presStyleLbl="parChTrans1D3" presStyleIdx="1" presStyleCnt="5"/>
      <dgm:spPr>
        <a:custGeom>
          <a:avLst/>
          <a:gdLst/>
          <a:ahLst/>
          <a:cxnLst/>
          <a:rect l="0" t="0" r="0" b="0"/>
          <a:pathLst>
            <a:path>
              <a:moveTo>
                <a:pt x="0" y="8846"/>
              </a:moveTo>
              <a:lnTo>
                <a:pt x="1393521" y="8846"/>
              </a:lnTo>
            </a:path>
          </a:pathLst>
        </a:custGeom>
      </dgm:spPr>
      <dgm:t>
        <a:bodyPr/>
        <a:lstStyle/>
        <a:p>
          <a:endParaRPr lang="en-US"/>
        </a:p>
      </dgm:t>
    </dgm:pt>
    <dgm:pt modelId="{966F4E88-F54D-4893-BBF1-AB63377F9A77}" type="pres">
      <dgm:prSet presAssocID="{D8A3E6F6-57CD-4CD5-BA5C-61916E4C4DFE}" presName="connTx" presStyleLbl="parChTrans1D3" presStyleIdx="1" presStyleCnt="5"/>
      <dgm:spPr/>
      <dgm:t>
        <a:bodyPr/>
        <a:lstStyle/>
        <a:p>
          <a:endParaRPr lang="en-US"/>
        </a:p>
      </dgm:t>
    </dgm:pt>
    <dgm:pt modelId="{E603BDC6-5CA9-4030-B86E-8AF5125A4AB9}" type="pres">
      <dgm:prSet presAssocID="{375B9BD2-38A8-4177-8F13-8B28E3164C80}" presName="root2" presStyleCnt="0"/>
      <dgm:spPr/>
      <dgm:t>
        <a:bodyPr/>
        <a:lstStyle/>
        <a:p>
          <a:endParaRPr lang="en-US"/>
        </a:p>
      </dgm:t>
    </dgm:pt>
    <dgm:pt modelId="{69104445-069C-45C0-90CA-86EE94ED0130}" type="pres">
      <dgm:prSet presAssocID="{375B9BD2-38A8-4177-8F13-8B28E3164C80}" presName="LevelTwoTextNode" presStyleLbl="node3" presStyleIdx="1" presStyleCnt="5" custScaleY="165442" custLinFactNeighborY="1225">
        <dgm:presLayoutVars>
          <dgm:chPref val="3"/>
        </dgm:presLayoutVars>
      </dgm:prSet>
      <dgm:spPr>
        <a:prstGeom prst="roundRect">
          <a:avLst>
            <a:gd name="adj" fmla="val 10000"/>
          </a:avLst>
        </a:prstGeom>
      </dgm:spPr>
      <dgm:t>
        <a:bodyPr/>
        <a:lstStyle/>
        <a:p>
          <a:endParaRPr lang="en-US"/>
        </a:p>
      </dgm:t>
    </dgm:pt>
    <dgm:pt modelId="{F230DD37-E30F-4E7F-AD22-4F0EB6B011C7}" type="pres">
      <dgm:prSet presAssocID="{375B9BD2-38A8-4177-8F13-8B28E3164C80}" presName="level3hierChild" presStyleCnt="0"/>
      <dgm:spPr/>
      <dgm:t>
        <a:bodyPr/>
        <a:lstStyle/>
        <a:p>
          <a:endParaRPr lang="en-US"/>
        </a:p>
      </dgm:t>
    </dgm:pt>
    <dgm:pt modelId="{64CC9DA2-49C4-440A-B148-8797CFE750A8}" type="pres">
      <dgm:prSet presAssocID="{28AEE1C1-9AD3-4F3D-ADE0-B1ECE7CF5AFF}" presName="conn2-1" presStyleLbl="parChTrans1D4" presStyleIdx="1" presStyleCnt="5"/>
      <dgm:spPr>
        <a:custGeom>
          <a:avLst/>
          <a:gdLst/>
          <a:ahLst/>
          <a:cxnLst/>
          <a:rect l="0" t="0" r="0" b="0"/>
          <a:pathLst>
            <a:path>
              <a:moveTo>
                <a:pt x="0" y="8846"/>
              </a:moveTo>
              <a:lnTo>
                <a:pt x="222371" y="8846"/>
              </a:lnTo>
            </a:path>
          </a:pathLst>
        </a:custGeom>
      </dgm:spPr>
      <dgm:t>
        <a:bodyPr/>
        <a:lstStyle/>
        <a:p>
          <a:endParaRPr lang="en-US"/>
        </a:p>
      </dgm:t>
    </dgm:pt>
    <dgm:pt modelId="{40AB5EE5-6A15-41E8-886F-4579B0DC7AC5}" type="pres">
      <dgm:prSet presAssocID="{28AEE1C1-9AD3-4F3D-ADE0-B1ECE7CF5AFF}" presName="connTx" presStyleLbl="parChTrans1D4" presStyleIdx="1" presStyleCnt="5"/>
      <dgm:spPr/>
      <dgm:t>
        <a:bodyPr/>
        <a:lstStyle/>
        <a:p>
          <a:endParaRPr lang="en-US"/>
        </a:p>
      </dgm:t>
    </dgm:pt>
    <dgm:pt modelId="{CB5173B3-59F4-4F72-B918-E9DABE878830}" type="pres">
      <dgm:prSet presAssocID="{E17560CB-3A14-41AF-9D80-3E7FB4A38A3E}" presName="root2" presStyleCnt="0"/>
      <dgm:spPr/>
    </dgm:pt>
    <dgm:pt modelId="{AF65891A-0357-47FE-82C1-40EDC29AAC34}" type="pres">
      <dgm:prSet presAssocID="{E17560CB-3A14-41AF-9D80-3E7FB4A38A3E}" presName="LevelTwoTextNode" presStyleLbl="node4" presStyleIdx="1" presStyleCnt="5" custScaleX="142280" custScaleY="183286" custLinFactNeighborX="-23995" custLinFactNeighborY="1371">
        <dgm:presLayoutVars>
          <dgm:chPref val="3"/>
        </dgm:presLayoutVars>
      </dgm:prSet>
      <dgm:spPr>
        <a:prstGeom prst="roundRect">
          <a:avLst>
            <a:gd name="adj" fmla="val 10000"/>
          </a:avLst>
        </a:prstGeom>
      </dgm:spPr>
      <dgm:t>
        <a:bodyPr/>
        <a:lstStyle/>
        <a:p>
          <a:endParaRPr lang="en-US"/>
        </a:p>
      </dgm:t>
    </dgm:pt>
    <dgm:pt modelId="{B310ECAC-6453-4078-B75A-0D3EE6239870}" type="pres">
      <dgm:prSet presAssocID="{E17560CB-3A14-41AF-9D80-3E7FB4A38A3E}" presName="level3hierChild" presStyleCnt="0"/>
      <dgm:spPr/>
    </dgm:pt>
    <dgm:pt modelId="{3D4DD8BF-D887-44BA-A9E0-2A5CEB616BF1}" type="pres">
      <dgm:prSet presAssocID="{88FB2B82-3C0D-4F7D-B852-BE5A9BA8DA70}" presName="conn2-1" presStyleLbl="parChTrans1D3" presStyleIdx="2" presStyleCnt="5"/>
      <dgm:spPr>
        <a:custGeom>
          <a:avLst/>
          <a:gdLst/>
          <a:ahLst/>
          <a:cxnLst/>
          <a:rect l="0" t="0" r="0" b="0"/>
          <a:pathLst>
            <a:path>
              <a:moveTo>
                <a:pt x="0" y="8846"/>
              </a:moveTo>
              <a:lnTo>
                <a:pt x="555803" y="8846"/>
              </a:lnTo>
            </a:path>
          </a:pathLst>
        </a:custGeom>
      </dgm:spPr>
      <dgm:t>
        <a:bodyPr/>
        <a:lstStyle/>
        <a:p>
          <a:endParaRPr lang="en-US"/>
        </a:p>
      </dgm:t>
    </dgm:pt>
    <dgm:pt modelId="{2B823AA3-0F36-45C7-A459-C4335A1B6943}" type="pres">
      <dgm:prSet presAssocID="{88FB2B82-3C0D-4F7D-B852-BE5A9BA8DA70}" presName="connTx" presStyleLbl="parChTrans1D3" presStyleIdx="2" presStyleCnt="5"/>
      <dgm:spPr/>
      <dgm:t>
        <a:bodyPr/>
        <a:lstStyle/>
        <a:p>
          <a:endParaRPr lang="en-US"/>
        </a:p>
      </dgm:t>
    </dgm:pt>
    <dgm:pt modelId="{4892816A-A7BF-4948-BF21-EECA87EDDB09}" type="pres">
      <dgm:prSet presAssocID="{FA052810-65AA-4D9A-8F24-DF68248E9A57}" presName="root2" presStyleCnt="0"/>
      <dgm:spPr/>
      <dgm:t>
        <a:bodyPr/>
        <a:lstStyle/>
        <a:p>
          <a:endParaRPr lang="en-US"/>
        </a:p>
      </dgm:t>
    </dgm:pt>
    <dgm:pt modelId="{AFB06027-6012-404C-8EBA-8BB6BE1321CF}" type="pres">
      <dgm:prSet presAssocID="{FA052810-65AA-4D9A-8F24-DF68248E9A57}" presName="LevelTwoTextNode" presStyleLbl="node3" presStyleIdx="2" presStyleCnt="5" custScaleY="146832" custLinFactNeighborX="686" custLinFactNeighborY="-4113">
        <dgm:presLayoutVars>
          <dgm:chPref val="3"/>
        </dgm:presLayoutVars>
      </dgm:prSet>
      <dgm:spPr>
        <a:prstGeom prst="roundRect">
          <a:avLst>
            <a:gd name="adj" fmla="val 10000"/>
          </a:avLst>
        </a:prstGeom>
      </dgm:spPr>
      <dgm:t>
        <a:bodyPr/>
        <a:lstStyle/>
        <a:p>
          <a:endParaRPr lang="en-US"/>
        </a:p>
      </dgm:t>
    </dgm:pt>
    <dgm:pt modelId="{C68A4967-6771-4065-89B6-4FDD2BF11C49}" type="pres">
      <dgm:prSet presAssocID="{FA052810-65AA-4D9A-8F24-DF68248E9A57}" presName="level3hierChild" presStyleCnt="0"/>
      <dgm:spPr/>
      <dgm:t>
        <a:bodyPr/>
        <a:lstStyle/>
        <a:p>
          <a:endParaRPr lang="en-US"/>
        </a:p>
      </dgm:t>
    </dgm:pt>
    <dgm:pt modelId="{BCF17D0C-4ABD-4FF7-B88E-F98B7D7D2B29}" type="pres">
      <dgm:prSet presAssocID="{84744AA0-3CF8-4CF3-B066-45A612C593A0}" presName="conn2-1" presStyleLbl="parChTrans1D4" presStyleIdx="2" presStyleCnt="5"/>
      <dgm:spPr>
        <a:custGeom>
          <a:avLst/>
          <a:gdLst/>
          <a:ahLst/>
          <a:cxnLst/>
          <a:rect l="0" t="0" r="0" b="0"/>
          <a:pathLst>
            <a:path>
              <a:moveTo>
                <a:pt x="0" y="8846"/>
              </a:moveTo>
              <a:lnTo>
                <a:pt x="324533" y="8846"/>
              </a:lnTo>
            </a:path>
          </a:pathLst>
        </a:custGeom>
      </dgm:spPr>
      <dgm:t>
        <a:bodyPr/>
        <a:lstStyle/>
        <a:p>
          <a:endParaRPr lang="en-US"/>
        </a:p>
      </dgm:t>
    </dgm:pt>
    <dgm:pt modelId="{04EA4862-1EC2-46AE-93F8-69C0064374FC}" type="pres">
      <dgm:prSet presAssocID="{84744AA0-3CF8-4CF3-B066-45A612C593A0}" presName="connTx" presStyleLbl="parChTrans1D4" presStyleIdx="2" presStyleCnt="5"/>
      <dgm:spPr/>
      <dgm:t>
        <a:bodyPr/>
        <a:lstStyle/>
        <a:p>
          <a:endParaRPr lang="en-US"/>
        </a:p>
      </dgm:t>
    </dgm:pt>
    <dgm:pt modelId="{9A982547-C5AC-40D2-A689-AE0E481DBE09}" type="pres">
      <dgm:prSet presAssocID="{180AEC33-7A6F-4E9E-8211-22D249D95925}" presName="root2" presStyleCnt="0"/>
      <dgm:spPr/>
    </dgm:pt>
    <dgm:pt modelId="{578ADF9F-1648-42D0-86C6-CCFDB2AECE9E}" type="pres">
      <dgm:prSet presAssocID="{180AEC33-7A6F-4E9E-8211-22D249D95925}" presName="LevelTwoTextNode" presStyleLbl="node4" presStyleIdx="2" presStyleCnt="5" custScaleX="134053" custScaleY="156664" custLinFactNeighborX="-16454" custLinFactNeighborY="5484">
        <dgm:presLayoutVars>
          <dgm:chPref val="3"/>
        </dgm:presLayoutVars>
      </dgm:prSet>
      <dgm:spPr>
        <a:prstGeom prst="roundRect">
          <a:avLst>
            <a:gd name="adj" fmla="val 10000"/>
          </a:avLst>
        </a:prstGeom>
      </dgm:spPr>
      <dgm:t>
        <a:bodyPr/>
        <a:lstStyle/>
        <a:p>
          <a:endParaRPr lang="en-US"/>
        </a:p>
      </dgm:t>
    </dgm:pt>
    <dgm:pt modelId="{530100F1-C799-4570-80AB-1ACAA2FADDFE}" type="pres">
      <dgm:prSet presAssocID="{180AEC33-7A6F-4E9E-8211-22D249D95925}" presName="level3hierChild" presStyleCnt="0"/>
      <dgm:spPr/>
    </dgm:pt>
    <dgm:pt modelId="{D2391722-61AF-4B89-A342-E19182DD6EA5}" type="pres">
      <dgm:prSet presAssocID="{8AA1C928-E2C4-4294-8AAA-1A41B7DB55BB}" presName="conn2-1" presStyleLbl="parChTrans1D3" presStyleIdx="3" presStyleCnt="5"/>
      <dgm:spPr>
        <a:custGeom>
          <a:avLst/>
          <a:gdLst/>
          <a:ahLst/>
          <a:cxnLst/>
          <a:rect l="0" t="0" r="0" b="0"/>
          <a:pathLst>
            <a:path>
              <a:moveTo>
                <a:pt x="0" y="8846"/>
              </a:moveTo>
              <a:lnTo>
                <a:pt x="1472141" y="8846"/>
              </a:lnTo>
            </a:path>
          </a:pathLst>
        </a:custGeom>
      </dgm:spPr>
      <dgm:t>
        <a:bodyPr/>
        <a:lstStyle/>
        <a:p>
          <a:endParaRPr lang="en-US"/>
        </a:p>
      </dgm:t>
    </dgm:pt>
    <dgm:pt modelId="{A8619188-6935-422A-A84D-9D55B441A82C}" type="pres">
      <dgm:prSet presAssocID="{8AA1C928-E2C4-4294-8AAA-1A41B7DB55BB}" presName="connTx" presStyleLbl="parChTrans1D3" presStyleIdx="3" presStyleCnt="5"/>
      <dgm:spPr/>
      <dgm:t>
        <a:bodyPr/>
        <a:lstStyle/>
        <a:p>
          <a:endParaRPr lang="en-US"/>
        </a:p>
      </dgm:t>
    </dgm:pt>
    <dgm:pt modelId="{9DF04E6C-FF5B-494D-96B9-501559BF30F9}" type="pres">
      <dgm:prSet presAssocID="{DE642913-D829-44B0-911E-D946C492A715}" presName="root2" presStyleCnt="0"/>
      <dgm:spPr/>
      <dgm:t>
        <a:bodyPr/>
        <a:lstStyle/>
        <a:p>
          <a:endParaRPr lang="en-US"/>
        </a:p>
      </dgm:t>
    </dgm:pt>
    <dgm:pt modelId="{D6A3D829-C137-4405-8A2D-796F04C33BB6}" type="pres">
      <dgm:prSet presAssocID="{DE642913-D829-44B0-911E-D946C492A715}" presName="LevelTwoTextNode" presStyleLbl="node3" presStyleIdx="3" presStyleCnt="5" custScaleY="167587">
        <dgm:presLayoutVars>
          <dgm:chPref val="3"/>
        </dgm:presLayoutVars>
      </dgm:prSet>
      <dgm:spPr>
        <a:prstGeom prst="roundRect">
          <a:avLst>
            <a:gd name="adj" fmla="val 10000"/>
          </a:avLst>
        </a:prstGeom>
      </dgm:spPr>
      <dgm:t>
        <a:bodyPr/>
        <a:lstStyle/>
        <a:p>
          <a:endParaRPr lang="en-US"/>
        </a:p>
      </dgm:t>
    </dgm:pt>
    <dgm:pt modelId="{0F386B90-2B48-40E5-9CB6-9BC79F5A0AF0}" type="pres">
      <dgm:prSet presAssocID="{DE642913-D829-44B0-911E-D946C492A715}" presName="level3hierChild" presStyleCnt="0"/>
      <dgm:spPr/>
      <dgm:t>
        <a:bodyPr/>
        <a:lstStyle/>
        <a:p>
          <a:endParaRPr lang="en-US"/>
        </a:p>
      </dgm:t>
    </dgm:pt>
    <dgm:pt modelId="{1A77859D-234B-4533-BEE3-43158BD1A8AA}" type="pres">
      <dgm:prSet presAssocID="{1D548C64-D4C2-49D9-9D52-6FAE61221DE0}" presName="conn2-1" presStyleLbl="parChTrans1D4" presStyleIdx="3" presStyleCnt="5"/>
      <dgm:spPr>
        <a:custGeom>
          <a:avLst/>
          <a:gdLst/>
          <a:ahLst/>
          <a:cxnLst/>
          <a:rect l="0" t="0" r="0" b="0"/>
          <a:pathLst>
            <a:path>
              <a:moveTo>
                <a:pt x="0" y="8846"/>
              </a:moveTo>
              <a:lnTo>
                <a:pt x="321176" y="8846"/>
              </a:lnTo>
            </a:path>
          </a:pathLst>
        </a:custGeom>
      </dgm:spPr>
      <dgm:t>
        <a:bodyPr/>
        <a:lstStyle/>
        <a:p>
          <a:endParaRPr lang="en-US"/>
        </a:p>
      </dgm:t>
    </dgm:pt>
    <dgm:pt modelId="{464EC113-EF7D-4DA4-A5AA-B012008F3E79}" type="pres">
      <dgm:prSet presAssocID="{1D548C64-D4C2-49D9-9D52-6FAE61221DE0}" presName="connTx" presStyleLbl="parChTrans1D4" presStyleIdx="3" presStyleCnt="5"/>
      <dgm:spPr/>
      <dgm:t>
        <a:bodyPr/>
        <a:lstStyle/>
        <a:p>
          <a:endParaRPr lang="en-US"/>
        </a:p>
      </dgm:t>
    </dgm:pt>
    <dgm:pt modelId="{EC377718-F568-4BF6-9AB6-34B9ECFCB0B7}" type="pres">
      <dgm:prSet presAssocID="{D3DE62D0-01F1-42D4-B724-47AA134881AF}" presName="root2" presStyleCnt="0"/>
      <dgm:spPr/>
    </dgm:pt>
    <dgm:pt modelId="{E6B48A25-51F2-42ED-BACD-79788828E45B}" type="pres">
      <dgm:prSet presAssocID="{D3DE62D0-01F1-42D4-B724-47AA134881AF}" presName="LevelTwoTextNode" presStyleLbl="node4" presStyleIdx="3" presStyleCnt="5" custScaleX="139538" custScaleY="161840" custLinFactNeighborX="-17139" custLinFactNeighborY="6856">
        <dgm:presLayoutVars>
          <dgm:chPref val="3"/>
        </dgm:presLayoutVars>
      </dgm:prSet>
      <dgm:spPr>
        <a:prstGeom prst="roundRect">
          <a:avLst>
            <a:gd name="adj" fmla="val 10000"/>
          </a:avLst>
        </a:prstGeom>
      </dgm:spPr>
      <dgm:t>
        <a:bodyPr/>
        <a:lstStyle/>
        <a:p>
          <a:endParaRPr lang="en-US"/>
        </a:p>
      </dgm:t>
    </dgm:pt>
    <dgm:pt modelId="{0B0DE7F6-A615-4396-96F9-CA35D5ADFFB4}" type="pres">
      <dgm:prSet presAssocID="{D3DE62D0-01F1-42D4-B724-47AA134881AF}" presName="level3hierChild" presStyleCnt="0"/>
      <dgm:spPr/>
    </dgm:pt>
    <dgm:pt modelId="{A4AFA082-98F9-4A53-9106-2B061F472557}" type="pres">
      <dgm:prSet presAssocID="{6EF710DB-E9BA-4196-9F36-846BD5B10A9B}" presName="conn2-1" presStyleLbl="parChTrans1D3" presStyleIdx="4" presStyleCnt="5"/>
      <dgm:spPr>
        <a:custGeom>
          <a:avLst/>
          <a:gdLst/>
          <a:ahLst/>
          <a:cxnLst/>
          <a:rect l="0" t="0" r="0" b="0"/>
          <a:pathLst>
            <a:path>
              <a:moveTo>
                <a:pt x="0" y="8846"/>
              </a:moveTo>
              <a:lnTo>
                <a:pt x="2709835" y="8846"/>
              </a:lnTo>
            </a:path>
          </a:pathLst>
        </a:custGeom>
      </dgm:spPr>
      <dgm:t>
        <a:bodyPr/>
        <a:lstStyle/>
        <a:p>
          <a:endParaRPr lang="en-US"/>
        </a:p>
      </dgm:t>
    </dgm:pt>
    <dgm:pt modelId="{F148B881-1E2F-463B-8C9D-B4D23DCC39F1}" type="pres">
      <dgm:prSet presAssocID="{6EF710DB-E9BA-4196-9F36-846BD5B10A9B}" presName="connTx" presStyleLbl="parChTrans1D3" presStyleIdx="4" presStyleCnt="5"/>
      <dgm:spPr/>
      <dgm:t>
        <a:bodyPr/>
        <a:lstStyle/>
        <a:p>
          <a:endParaRPr lang="en-US"/>
        </a:p>
      </dgm:t>
    </dgm:pt>
    <dgm:pt modelId="{762E4A41-6701-4D1D-AFB9-B63206012B83}" type="pres">
      <dgm:prSet presAssocID="{62CEF179-360D-4F53-A088-503B00B6C54D}" presName="root2" presStyleCnt="0"/>
      <dgm:spPr/>
      <dgm:t>
        <a:bodyPr/>
        <a:lstStyle/>
        <a:p>
          <a:endParaRPr lang="en-US"/>
        </a:p>
      </dgm:t>
    </dgm:pt>
    <dgm:pt modelId="{E042646E-6362-443D-ADA1-FB01938224DD}" type="pres">
      <dgm:prSet presAssocID="{62CEF179-360D-4F53-A088-503B00B6C54D}" presName="LevelTwoTextNode" presStyleLbl="node3" presStyleIdx="4" presStyleCnt="5" custScaleY="138148">
        <dgm:presLayoutVars>
          <dgm:chPref val="3"/>
        </dgm:presLayoutVars>
      </dgm:prSet>
      <dgm:spPr>
        <a:prstGeom prst="roundRect">
          <a:avLst>
            <a:gd name="adj" fmla="val 10000"/>
          </a:avLst>
        </a:prstGeom>
      </dgm:spPr>
      <dgm:t>
        <a:bodyPr/>
        <a:lstStyle/>
        <a:p>
          <a:endParaRPr lang="en-US"/>
        </a:p>
      </dgm:t>
    </dgm:pt>
    <dgm:pt modelId="{5F0E214B-F355-4977-87A5-A9BD132685A0}" type="pres">
      <dgm:prSet presAssocID="{62CEF179-360D-4F53-A088-503B00B6C54D}" presName="level3hierChild" presStyleCnt="0"/>
      <dgm:spPr/>
      <dgm:t>
        <a:bodyPr/>
        <a:lstStyle/>
        <a:p>
          <a:endParaRPr lang="en-US"/>
        </a:p>
      </dgm:t>
    </dgm:pt>
    <dgm:pt modelId="{C2D5ECA9-8B3D-4E44-A310-E4B8F2AAD02A}" type="pres">
      <dgm:prSet presAssocID="{193F56D7-42E8-4473-89C0-7AEF2809EFA5}" presName="conn2-1" presStyleLbl="parChTrans1D4" presStyleIdx="4" presStyleCnt="5"/>
      <dgm:spPr>
        <a:custGeom>
          <a:avLst/>
          <a:gdLst/>
          <a:ahLst/>
          <a:cxnLst/>
          <a:rect l="0" t="0" r="0" b="0"/>
          <a:pathLst>
            <a:path>
              <a:moveTo>
                <a:pt x="0" y="8846"/>
              </a:moveTo>
              <a:lnTo>
                <a:pt x="288948" y="8846"/>
              </a:lnTo>
            </a:path>
          </a:pathLst>
        </a:custGeom>
      </dgm:spPr>
      <dgm:t>
        <a:bodyPr/>
        <a:lstStyle/>
        <a:p>
          <a:endParaRPr lang="en-US"/>
        </a:p>
      </dgm:t>
    </dgm:pt>
    <dgm:pt modelId="{8706AAA0-D858-45CE-AC33-BE67CB7EA07A}" type="pres">
      <dgm:prSet presAssocID="{193F56D7-42E8-4473-89C0-7AEF2809EFA5}" presName="connTx" presStyleLbl="parChTrans1D4" presStyleIdx="4" presStyleCnt="5"/>
      <dgm:spPr/>
      <dgm:t>
        <a:bodyPr/>
        <a:lstStyle/>
        <a:p>
          <a:endParaRPr lang="en-US"/>
        </a:p>
      </dgm:t>
    </dgm:pt>
    <dgm:pt modelId="{AA0A5A81-7800-4010-B9F6-3CE7E56EA139}" type="pres">
      <dgm:prSet presAssocID="{FF098634-2C13-42E2-8592-14464DA48602}" presName="root2" presStyleCnt="0"/>
      <dgm:spPr/>
      <dgm:t>
        <a:bodyPr/>
        <a:lstStyle/>
        <a:p>
          <a:endParaRPr lang="en-US"/>
        </a:p>
      </dgm:t>
    </dgm:pt>
    <dgm:pt modelId="{00A89337-EC6D-4591-8F82-988DCD92FD20}" type="pres">
      <dgm:prSet presAssocID="{FF098634-2C13-42E2-8592-14464DA48602}" presName="LevelTwoTextNode" presStyleLbl="node4" presStyleIdx="4" presStyleCnt="5" custScaleX="142751" custScaleY="152348" custLinFactNeighborX="-19203">
        <dgm:presLayoutVars>
          <dgm:chPref val="3"/>
        </dgm:presLayoutVars>
      </dgm:prSet>
      <dgm:spPr>
        <a:prstGeom prst="roundRect">
          <a:avLst>
            <a:gd name="adj" fmla="val 10000"/>
          </a:avLst>
        </a:prstGeom>
      </dgm:spPr>
      <dgm:t>
        <a:bodyPr/>
        <a:lstStyle/>
        <a:p>
          <a:endParaRPr lang="en-US"/>
        </a:p>
      </dgm:t>
    </dgm:pt>
    <dgm:pt modelId="{E5655F3C-EB75-44D6-A132-3D929ADAE508}" type="pres">
      <dgm:prSet presAssocID="{FF098634-2C13-42E2-8592-14464DA48602}" presName="level3hierChild" presStyleCnt="0"/>
      <dgm:spPr/>
      <dgm:t>
        <a:bodyPr/>
        <a:lstStyle/>
        <a:p>
          <a:endParaRPr lang="en-US"/>
        </a:p>
      </dgm:t>
    </dgm:pt>
    <dgm:pt modelId="{2B1861C3-CD53-434F-951B-0379D0010A3A}" type="pres">
      <dgm:prSet presAssocID="{1F2C2E36-51FC-4873-9D8E-6D56EFF60474}" presName="conn2-1" presStyleLbl="parChTrans1D2" presStyleIdx="1" presStyleCnt="3"/>
      <dgm:spPr>
        <a:custGeom>
          <a:avLst/>
          <a:gdLst/>
          <a:ahLst/>
          <a:cxnLst/>
          <a:rect l="0" t="0" r="0" b="0"/>
          <a:pathLst>
            <a:path>
              <a:moveTo>
                <a:pt x="0" y="8846"/>
              </a:moveTo>
              <a:lnTo>
                <a:pt x="557054" y="8846"/>
              </a:lnTo>
            </a:path>
          </a:pathLst>
        </a:custGeom>
      </dgm:spPr>
      <dgm:t>
        <a:bodyPr/>
        <a:lstStyle/>
        <a:p>
          <a:endParaRPr lang="en-US"/>
        </a:p>
      </dgm:t>
    </dgm:pt>
    <dgm:pt modelId="{842BAC25-C4AC-4528-A8E8-EF6A255207DC}" type="pres">
      <dgm:prSet presAssocID="{1F2C2E36-51FC-4873-9D8E-6D56EFF60474}" presName="connTx" presStyleLbl="parChTrans1D2" presStyleIdx="1" presStyleCnt="3"/>
      <dgm:spPr/>
      <dgm:t>
        <a:bodyPr/>
        <a:lstStyle/>
        <a:p>
          <a:endParaRPr lang="en-US"/>
        </a:p>
      </dgm:t>
    </dgm:pt>
    <dgm:pt modelId="{6992FEA6-D513-4175-BBC8-88A701D863AE}" type="pres">
      <dgm:prSet presAssocID="{2B2F61F9-CEB4-4133-91BB-4862E29CBFAA}" presName="root2" presStyleCnt="0"/>
      <dgm:spPr/>
    </dgm:pt>
    <dgm:pt modelId="{9A5F21D4-FBDB-412E-B337-9B42ABAE84E2}" type="pres">
      <dgm:prSet presAssocID="{2B2F61F9-CEB4-4133-91BB-4862E29CBFAA}" presName="LevelTwoTextNode" presStyleLbl="node2" presStyleIdx="1" presStyleCnt="3">
        <dgm:presLayoutVars>
          <dgm:chPref val="3"/>
        </dgm:presLayoutVars>
      </dgm:prSet>
      <dgm:spPr>
        <a:prstGeom prst="roundRect">
          <a:avLst>
            <a:gd name="adj" fmla="val 10000"/>
          </a:avLst>
        </a:prstGeom>
      </dgm:spPr>
      <dgm:t>
        <a:bodyPr/>
        <a:lstStyle/>
        <a:p>
          <a:endParaRPr lang="en-US"/>
        </a:p>
      </dgm:t>
    </dgm:pt>
    <dgm:pt modelId="{5B1967D0-2E5E-48EF-A16F-B387518D417A}" type="pres">
      <dgm:prSet presAssocID="{2B2F61F9-CEB4-4133-91BB-4862E29CBFAA}" presName="level3hierChild" presStyleCnt="0"/>
      <dgm:spPr/>
    </dgm:pt>
    <dgm:pt modelId="{0AB148D7-1C37-40A4-B5EA-F97FF0813C26}" type="pres">
      <dgm:prSet presAssocID="{E047FAEF-6FDC-4A1F-9FC4-D1E1B62CEE67}" presName="conn2-1" presStyleLbl="parChTrans1D2" presStyleIdx="2" presStyleCnt="3"/>
      <dgm:spPr>
        <a:custGeom>
          <a:avLst/>
          <a:gdLst/>
          <a:ahLst/>
          <a:cxnLst/>
          <a:rect l="0" t="0" r="0" b="0"/>
          <a:pathLst>
            <a:path>
              <a:moveTo>
                <a:pt x="0" y="11282"/>
              </a:moveTo>
              <a:lnTo>
                <a:pt x="681158" y="11282"/>
              </a:lnTo>
            </a:path>
          </a:pathLst>
        </a:custGeom>
      </dgm:spPr>
      <dgm:t>
        <a:bodyPr/>
        <a:lstStyle/>
        <a:p>
          <a:endParaRPr lang="en-US"/>
        </a:p>
      </dgm:t>
    </dgm:pt>
    <dgm:pt modelId="{EDA636EC-76E8-4885-B6DC-DDF88252F7B4}" type="pres">
      <dgm:prSet presAssocID="{E047FAEF-6FDC-4A1F-9FC4-D1E1B62CEE67}" presName="connTx" presStyleLbl="parChTrans1D2" presStyleIdx="2" presStyleCnt="3"/>
      <dgm:spPr/>
      <dgm:t>
        <a:bodyPr/>
        <a:lstStyle/>
        <a:p>
          <a:endParaRPr lang="en-US"/>
        </a:p>
      </dgm:t>
    </dgm:pt>
    <dgm:pt modelId="{13D7B609-5866-40E1-83D7-71EB9EF42530}" type="pres">
      <dgm:prSet presAssocID="{248E5A5D-AFF9-452C-86E1-76E0D8987061}" presName="root2" presStyleCnt="0"/>
      <dgm:spPr/>
      <dgm:t>
        <a:bodyPr/>
        <a:lstStyle/>
        <a:p>
          <a:endParaRPr lang="en-US"/>
        </a:p>
      </dgm:t>
    </dgm:pt>
    <dgm:pt modelId="{85DBD701-4339-41D3-B22B-D66201087CE3}" type="pres">
      <dgm:prSet presAssocID="{248E5A5D-AFF9-452C-86E1-76E0D8987061}" presName="LevelTwoTextNode" presStyleLbl="node2" presStyleIdx="2" presStyleCnt="3" custScaleY="110969">
        <dgm:presLayoutVars>
          <dgm:chPref val="3"/>
        </dgm:presLayoutVars>
      </dgm:prSet>
      <dgm:spPr>
        <a:prstGeom prst="roundRect">
          <a:avLst>
            <a:gd name="adj" fmla="val 10000"/>
          </a:avLst>
        </a:prstGeom>
      </dgm:spPr>
      <dgm:t>
        <a:bodyPr/>
        <a:lstStyle/>
        <a:p>
          <a:endParaRPr lang="en-US"/>
        </a:p>
      </dgm:t>
    </dgm:pt>
    <dgm:pt modelId="{743B681D-FCAE-4470-8CB7-B6DB03F1FA40}" type="pres">
      <dgm:prSet presAssocID="{248E5A5D-AFF9-452C-86E1-76E0D8987061}" presName="level3hierChild" presStyleCnt="0"/>
      <dgm:spPr/>
      <dgm:t>
        <a:bodyPr/>
        <a:lstStyle/>
        <a:p>
          <a:endParaRPr lang="en-US"/>
        </a:p>
      </dgm:t>
    </dgm:pt>
  </dgm:ptLst>
  <dgm:cxnLst>
    <dgm:cxn modelId="{7498FFCB-B620-4FCB-B264-229BAB5F3C52}" type="presOf" srcId="{375B9BD2-38A8-4177-8F13-8B28E3164C80}" destId="{69104445-069C-45C0-90CA-86EE94ED0130}" srcOrd="0" destOrd="0" presId="urn:microsoft.com/office/officeart/2005/8/layout/hierarchy2"/>
    <dgm:cxn modelId="{CE1FCC2C-5E8D-4076-B67F-9074A9F70AC6}" type="presOf" srcId="{E047FAEF-6FDC-4A1F-9FC4-D1E1B62CEE67}" destId="{0AB148D7-1C37-40A4-B5EA-F97FF0813C26}" srcOrd="0" destOrd="0" presId="urn:microsoft.com/office/officeart/2005/8/layout/hierarchy2"/>
    <dgm:cxn modelId="{313E0723-6F78-4F28-9376-A2D72D71EB8C}" type="presOf" srcId="{193F56D7-42E8-4473-89C0-7AEF2809EFA5}" destId="{C2D5ECA9-8B3D-4E44-A310-E4B8F2AAD02A}" srcOrd="0" destOrd="0" presId="urn:microsoft.com/office/officeart/2005/8/layout/hierarchy2"/>
    <dgm:cxn modelId="{9FAE5098-332F-4860-9542-C2F5661B394A}" srcId="{AADE609D-5C31-49AA-8D26-308B791CF2BF}" destId="{FA052810-65AA-4D9A-8F24-DF68248E9A57}" srcOrd="2" destOrd="0" parTransId="{88FB2B82-3C0D-4F7D-B852-BE5A9BA8DA70}" sibTransId="{18B1807D-B576-4245-A169-647AA31D11A0}"/>
    <dgm:cxn modelId="{0C8CEC40-E370-4F65-AEE2-36482E3DAAA8}" type="presOf" srcId="{84744AA0-3CF8-4CF3-B066-45A612C593A0}" destId="{BCF17D0C-4ABD-4FF7-B88E-F98B7D7D2B29}" srcOrd="0" destOrd="0" presId="urn:microsoft.com/office/officeart/2005/8/layout/hierarchy2"/>
    <dgm:cxn modelId="{45BD9F9F-EFA3-4F74-BDC2-FFAB0072EAE7}" type="presOf" srcId="{205397FA-208D-48E9-A74B-D72BAB00A137}" destId="{A4EE937D-B408-45A3-A5E6-5EB4DDEF254C}" srcOrd="1" destOrd="0" presId="urn:microsoft.com/office/officeart/2005/8/layout/hierarchy2"/>
    <dgm:cxn modelId="{F35BCF9C-BCC7-47B5-AA05-EFF3AAD7B3F6}" type="presOf" srcId="{205397FA-208D-48E9-A74B-D72BAB00A137}" destId="{05B31C23-4D55-4071-88F4-C6C57CE176E1}" srcOrd="0" destOrd="0" presId="urn:microsoft.com/office/officeart/2005/8/layout/hierarchy2"/>
    <dgm:cxn modelId="{7E876D30-B7A5-4C44-9006-C63298759356}" type="presOf" srcId="{E047FAEF-6FDC-4A1F-9FC4-D1E1B62CEE67}" destId="{EDA636EC-76E8-4885-B6DC-DDF88252F7B4}" srcOrd="1" destOrd="0" presId="urn:microsoft.com/office/officeart/2005/8/layout/hierarchy2"/>
    <dgm:cxn modelId="{980164B8-CA78-4199-8B69-3B710E506E73}" type="presOf" srcId="{B2DA112D-E788-4E8A-97F5-84B632DEEE01}" destId="{D7826509-EC2B-4A24-B843-7A7EBCCFB9CF}" srcOrd="0" destOrd="0" presId="urn:microsoft.com/office/officeart/2005/8/layout/hierarchy2"/>
    <dgm:cxn modelId="{FDF5602F-5A3D-4B9E-8922-F50E2F1B38D1}" type="presOf" srcId="{AADE609D-5C31-49AA-8D26-308B791CF2BF}" destId="{1D995411-AD4A-4D44-89A3-4CA74B3E624C}" srcOrd="0" destOrd="0" presId="urn:microsoft.com/office/officeart/2005/8/layout/hierarchy2"/>
    <dgm:cxn modelId="{0617A0C0-5D23-4402-95A1-B6167562762A}" type="presOf" srcId="{8AA1C928-E2C4-4294-8AAA-1A41B7DB55BB}" destId="{A8619188-6935-422A-A84D-9D55B441A82C}" srcOrd="1" destOrd="0" presId="urn:microsoft.com/office/officeart/2005/8/layout/hierarchy2"/>
    <dgm:cxn modelId="{8480DAC8-F3E0-4D22-8488-41E2E64318CD}" type="presOf" srcId="{6EF710DB-E9BA-4196-9F36-846BD5B10A9B}" destId="{A4AFA082-98F9-4A53-9106-2B061F472557}" srcOrd="0" destOrd="0" presId="urn:microsoft.com/office/officeart/2005/8/layout/hierarchy2"/>
    <dgm:cxn modelId="{05C01D52-41A3-4221-85CD-F4B03D059B3E}" type="presOf" srcId="{2B2F61F9-CEB4-4133-91BB-4862E29CBFAA}" destId="{9A5F21D4-FBDB-412E-B337-9B42ABAE84E2}" srcOrd="0" destOrd="0" presId="urn:microsoft.com/office/officeart/2005/8/layout/hierarchy2"/>
    <dgm:cxn modelId="{DC5E459D-F9F8-4B09-9B81-773A0FAD65D2}" srcId="{64EF3316-BBB7-409A-9DC1-A5A6ACF80C6D}" destId="{2B2F61F9-CEB4-4133-91BB-4862E29CBFAA}" srcOrd="1" destOrd="0" parTransId="{1F2C2E36-51FC-4873-9D8E-6D56EFF60474}" sibTransId="{A55A851E-1D7B-4BB7-89C7-3C1EE51A37B8}"/>
    <dgm:cxn modelId="{C74A1039-A3F9-471C-91A6-1164D1881067}" srcId="{B2DA112D-E788-4E8A-97F5-84B632DEEE01}" destId="{64EF3316-BBB7-409A-9DC1-A5A6ACF80C6D}" srcOrd="0" destOrd="0" parTransId="{8030E2D7-8F39-4D00-8370-D58CFE73DF32}" sibTransId="{3DCE6C9D-75F3-4862-B32F-69DF6232D7A7}"/>
    <dgm:cxn modelId="{2C08F8E3-4496-448B-A02F-8E60CBEC538B}" type="presOf" srcId="{1F2C2E36-51FC-4873-9D8E-6D56EFF60474}" destId="{2B1861C3-CD53-434F-951B-0379D0010A3A}" srcOrd="0" destOrd="0" presId="urn:microsoft.com/office/officeart/2005/8/layout/hierarchy2"/>
    <dgm:cxn modelId="{18FAAB65-66CE-472A-89FC-DE6FE04AAE52}" type="presOf" srcId="{773299C6-0180-45E1-A55F-5C2A39C3405A}" destId="{EED096D6-5D75-4A02-8524-67AD870D3E3C}" srcOrd="0" destOrd="0" presId="urn:microsoft.com/office/officeart/2005/8/layout/hierarchy2"/>
    <dgm:cxn modelId="{11576FC2-8BDF-4572-AD5C-E57A995E43EE}" srcId="{DE642913-D829-44B0-911E-D946C492A715}" destId="{D3DE62D0-01F1-42D4-B724-47AA134881AF}" srcOrd="0" destOrd="0" parTransId="{1D548C64-D4C2-49D9-9D52-6FAE61221DE0}" sibTransId="{F07EC3C2-3494-4DDA-B540-1B32FAB9CD29}"/>
    <dgm:cxn modelId="{9D67E538-47CA-4152-BF96-14C4ABC6E3C0}" type="presOf" srcId="{FA052810-65AA-4D9A-8F24-DF68248E9A57}" destId="{AFB06027-6012-404C-8EBA-8BB6BE1321CF}" srcOrd="0" destOrd="0" presId="urn:microsoft.com/office/officeart/2005/8/layout/hierarchy2"/>
    <dgm:cxn modelId="{029FFE7A-0F22-429C-9CA4-FCD4337D6F4C}" type="presOf" srcId="{88FB2B82-3C0D-4F7D-B852-BE5A9BA8DA70}" destId="{3D4DD8BF-D887-44BA-A9E0-2A5CEB616BF1}" srcOrd="0" destOrd="0" presId="urn:microsoft.com/office/officeart/2005/8/layout/hierarchy2"/>
    <dgm:cxn modelId="{73E33B36-4295-4BF9-9911-81ED970CBBE5}" type="presOf" srcId="{193F56D7-42E8-4473-89C0-7AEF2809EFA5}" destId="{8706AAA0-D858-45CE-AC33-BE67CB7EA07A}" srcOrd="1" destOrd="0" presId="urn:microsoft.com/office/officeart/2005/8/layout/hierarchy2"/>
    <dgm:cxn modelId="{A533C9DD-1FC2-4002-81BE-07B76D2F03BD}" type="presOf" srcId="{62CEF179-360D-4F53-A088-503B00B6C54D}" destId="{E042646E-6362-443D-ADA1-FB01938224DD}" srcOrd="0" destOrd="0" presId="urn:microsoft.com/office/officeart/2005/8/layout/hierarchy2"/>
    <dgm:cxn modelId="{E1A18748-9BC8-4C06-B76C-261395C6B5A6}" type="presOf" srcId="{D8A3E6F6-57CD-4CD5-BA5C-61916E4C4DFE}" destId="{966F4E88-F54D-4893-BBF1-AB63377F9A77}" srcOrd="1" destOrd="0" presId="urn:microsoft.com/office/officeart/2005/8/layout/hierarchy2"/>
    <dgm:cxn modelId="{A55E2592-0048-41D4-8305-DE3A24463821}" srcId="{AADE609D-5C31-49AA-8D26-308B791CF2BF}" destId="{A9756BE1-3646-4709-90AF-AC1E9971FE48}" srcOrd="0" destOrd="0" parTransId="{F257DDD2-3E63-4EC0-8501-119379D99C8B}" sibTransId="{AC59B546-B133-42E2-840C-23F025C0C747}"/>
    <dgm:cxn modelId="{E66E3949-1F89-4C68-8F4B-8CD3275C8E21}" srcId="{64EF3316-BBB7-409A-9DC1-A5A6ACF80C6D}" destId="{AADE609D-5C31-49AA-8D26-308B791CF2BF}" srcOrd="0" destOrd="0" parTransId="{205397FA-208D-48E9-A74B-D72BAB00A137}" sibTransId="{0AFF01DA-5F30-4771-976E-6724AF1C0165}"/>
    <dgm:cxn modelId="{F8457072-1C7F-49E7-8E2A-A6E686EA3DD3}" type="presOf" srcId="{D3DE62D0-01F1-42D4-B724-47AA134881AF}" destId="{E6B48A25-51F2-42ED-BACD-79788828E45B}" srcOrd="0" destOrd="0" presId="urn:microsoft.com/office/officeart/2005/8/layout/hierarchy2"/>
    <dgm:cxn modelId="{264B3F7A-D859-466D-B56F-9C8E5902306D}" type="presOf" srcId="{1F2C2E36-51FC-4873-9D8E-6D56EFF60474}" destId="{842BAC25-C4AC-4528-A8E8-EF6A255207DC}" srcOrd="1" destOrd="0" presId="urn:microsoft.com/office/officeart/2005/8/layout/hierarchy2"/>
    <dgm:cxn modelId="{19AD4833-A771-4B2E-AE27-C89189ABF737}" type="presOf" srcId="{F257DDD2-3E63-4EC0-8501-119379D99C8B}" destId="{2E8D370F-E965-4AB7-96CF-25D23998651D}" srcOrd="1" destOrd="0" presId="urn:microsoft.com/office/officeart/2005/8/layout/hierarchy2"/>
    <dgm:cxn modelId="{3A130A5A-CBB8-42D7-B904-AF180972682B}" srcId="{FA052810-65AA-4D9A-8F24-DF68248E9A57}" destId="{180AEC33-7A6F-4E9E-8211-22D249D95925}" srcOrd="0" destOrd="0" parTransId="{84744AA0-3CF8-4CF3-B066-45A612C593A0}" sibTransId="{940AB0B5-21A5-4611-A900-A1BE2D3A9F5E}"/>
    <dgm:cxn modelId="{486E853C-E1A3-4B3B-A6E2-48333EA13B14}" type="presOf" srcId="{1D548C64-D4C2-49D9-9D52-6FAE61221DE0}" destId="{1A77859D-234B-4533-BEE3-43158BD1A8AA}" srcOrd="0" destOrd="0" presId="urn:microsoft.com/office/officeart/2005/8/layout/hierarchy2"/>
    <dgm:cxn modelId="{0066F31F-F45C-4685-8A53-5C78C4A724AB}" srcId="{AADE609D-5C31-49AA-8D26-308B791CF2BF}" destId="{62CEF179-360D-4F53-A088-503B00B6C54D}" srcOrd="4" destOrd="0" parTransId="{6EF710DB-E9BA-4196-9F36-846BD5B10A9B}" sibTransId="{8C7DA5CD-3ABC-4574-846D-13A281CBBF43}"/>
    <dgm:cxn modelId="{361318E3-2E21-4A6F-8714-F7413F275265}" srcId="{AADE609D-5C31-49AA-8D26-308B791CF2BF}" destId="{DE642913-D829-44B0-911E-D946C492A715}" srcOrd="3" destOrd="0" parTransId="{8AA1C928-E2C4-4294-8AAA-1A41B7DB55BB}" sibTransId="{EC333629-F346-44DF-B91A-7E326C692D49}"/>
    <dgm:cxn modelId="{399731B9-DCC3-4A07-A3A0-B0AA89237575}" type="presOf" srcId="{88FB2B82-3C0D-4F7D-B852-BE5A9BA8DA70}" destId="{2B823AA3-0F36-45C7-A459-C4335A1B6943}" srcOrd="1" destOrd="0" presId="urn:microsoft.com/office/officeart/2005/8/layout/hierarchy2"/>
    <dgm:cxn modelId="{5B965F99-6AE1-47C7-895D-4B93686E690A}" type="presOf" srcId="{8AA1C928-E2C4-4294-8AAA-1A41B7DB55BB}" destId="{D2391722-61AF-4B89-A342-E19182DD6EA5}" srcOrd="0" destOrd="0" presId="urn:microsoft.com/office/officeart/2005/8/layout/hierarchy2"/>
    <dgm:cxn modelId="{26C4F904-3CE6-416E-A0FC-AC9D7A7952AD}" type="presOf" srcId="{6EF710DB-E9BA-4196-9F36-846BD5B10A9B}" destId="{F148B881-1E2F-463B-8C9D-B4D23DCC39F1}" srcOrd="1" destOrd="0" presId="urn:microsoft.com/office/officeart/2005/8/layout/hierarchy2"/>
    <dgm:cxn modelId="{D628A902-494D-4AAE-AC34-1D9706F6F4E4}" type="presOf" srcId="{E17560CB-3A14-41AF-9D80-3E7FB4A38A3E}" destId="{AF65891A-0357-47FE-82C1-40EDC29AAC34}" srcOrd="0" destOrd="0" presId="urn:microsoft.com/office/officeart/2005/8/layout/hierarchy2"/>
    <dgm:cxn modelId="{740B2259-A837-4F68-BCE4-B7F2DE0C52F9}" type="presOf" srcId="{28AEE1C1-9AD3-4F3D-ADE0-B1ECE7CF5AFF}" destId="{64CC9DA2-49C4-440A-B148-8797CFE750A8}" srcOrd="0" destOrd="0" presId="urn:microsoft.com/office/officeart/2005/8/layout/hierarchy2"/>
    <dgm:cxn modelId="{D5DD0896-641F-4665-99D4-46D5818BCD6B}" type="presOf" srcId="{D8A3E6F6-57CD-4CD5-BA5C-61916E4C4DFE}" destId="{20E236EB-3137-4886-B4B5-8168AB828BF7}" srcOrd="0" destOrd="0" presId="urn:microsoft.com/office/officeart/2005/8/layout/hierarchy2"/>
    <dgm:cxn modelId="{FB21C198-D7C1-4B2A-9A11-58AC26010487}" type="presOf" srcId="{248E5A5D-AFF9-452C-86E1-76E0D8987061}" destId="{85DBD701-4339-41D3-B22B-D66201087CE3}" srcOrd="0" destOrd="0" presId="urn:microsoft.com/office/officeart/2005/8/layout/hierarchy2"/>
    <dgm:cxn modelId="{DC6B80CC-8C41-4595-8A96-1F164FAE37C5}" type="presOf" srcId="{3DC2A227-5E38-466D-9E7A-FE675C5AAF8D}" destId="{58A74DEB-C540-4E7D-B6A4-B0D5B6A350AD}" srcOrd="1" destOrd="0" presId="urn:microsoft.com/office/officeart/2005/8/layout/hierarchy2"/>
    <dgm:cxn modelId="{312A9F4A-D4CC-4A69-A5C1-92B7732965D8}" type="presOf" srcId="{FF098634-2C13-42E2-8592-14464DA48602}" destId="{00A89337-EC6D-4591-8F82-988DCD92FD20}" srcOrd="0" destOrd="0" presId="urn:microsoft.com/office/officeart/2005/8/layout/hierarchy2"/>
    <dgm:cxn modelId="{2741D684-B835-41F5-B902-2B1A98305B62}" type="presOf" srcId="{1D548C64-D4C2-49D9-9D52-6FAE61221DE0}" destId="{464EC113-EF7D-4DA4-A5AA-B012008F3E79}" srcOrd="1" destOrd="0" presId="urn:microsoft.com/office/officeart/2005/8/layout/hierarchy2"/>
    <dgm:cxn modelId="{7848A2C3-BD95-4577-AF49-F66EB80A3F95}" type="presOf" srcId="{84744AA0-3CF8-4CF3-B066-45A612C593A0}" destId="{04EA4862-1EC2-46AE-93F8-69C0064374FC}" srcOrd="1" destOrd="0" presId="urn:microsoft.com/office/officeart/2005/8/layout/hierarchy2"/>
    <dgm:cxn modelId="{7D214716-D9D3-4F08-83DE-5783983A60C7}" srcId="{64EF3316-BBB7-409A-9DC1-A5A6ACF80C6D}" destId="{248E5A5D-AFF9-452C-86E1-76E0D8987061}" srcOrd="2" destOrd="0" parTransId="{E047FAEF-6FDC-4A1F-9FC4-D1E1B62CEE67}" sibTransId="{FE7C2FDC-7558-45F2-AAD5-813C845FD8AB}"/>
    <dgm:cxn modelId="{60559687-1FCD-4FCA-9A3A-0AA11A1A8790}" type="presOf" srcId="{28AEE1C1-9AD3-4F3D-ADE0-B1ECE7CF5AFF}" destId="{40AB5EE5-6A15-41E8-886F-4579B0DC7AC5}" srcOrd="1" destOrd="0" presId="urn:microsoft.com/office/officeart/2005/8/layout/hierarchy2"/>
    <dgm:cxn modelId="{F1455272-C96C-4A07-B6EF-6601E33E4E35}" srcId="{62CEF179-360D-4F53-A088-503B00B6C54D}" destId="{FF098634-2C13-42E2-8592-14464DA48602}" srcOrd="0" destOrd="0" parTransId="{193F56D7-42E8-4473-89C0-7AEF2809EFA5}" sibTransId="{8263024D-59B9-40AA-A168-DE5387A5DD79}"/>
    <dgm:cxn modelId="{7EB4D18A-151B-4CF6-BF04-82E7FD0D1398}" srcId="{375B9BD2-38A8-4177-8F13-8B28E3164C80}" destId="{E17560CB-3A14-41AF-9D80-3E7FB4A38A3E}" srcOrd="0" destOrd="0" parTransId="{28AEE1C1-9AD3-4F3D-ADE0-B1ECE7CF5AFF}" sibTransId="{EFA61B60-DACE-4FAE-9259-E4D967C052E0}"/>
    <dgm:cxn modelId="{DC1AECDC-BB86-494B-B0B7-ED842C40EF16}" srcId="{AADE609D-5C31-49AA-8D26-308B791CF2BF}" destId="{375B9BD2-38A8-4177-8F13-8B28E3164C80}" srcOrd="1" destOrd="0" parTransId="{D8A3E6F6-57CD-4CD5-BA5C-61916E4C4DFE}" sibTransId="{B387A116-B323-4A12-9FCE-31C18192341A}"/>
    <dgm:cxn modelId="{465FEE75-3C73-40AE-95C0-0E3E4CC30E2E}" type="presOf" srcId="{A9756BE1-3646-4709-90AF-AC1E9971FE48}" destId="{94EF3E8E-7896-4A41-9E93-E3DC2A7DA069}" srcOrd="0" destOrd="0" presId="urn:microsoft.com/office/officeart/2005/8/layout/hierarchy2"/>
    <dgm:cxn modelId="{6B27D417-0DAA-40CB-B5B3-A8F6B1827ACD}" type="presOf" srcId="{64EF3316-BBB7-409A-9DC1-A5A6ACF80C6D}" destId="{734CEE8B-6FA1-42D1-8DA6-E887A40B5820}" srcOrd="0" destOrd="0" presId="urn:microsoft.com/office/officeart/2005/8/layout/hierarchy2"/>
    <dgm:cxn modelId="{A4BDEF13-8EA2-4916-A0F4-2C7790EA7651}" srcId="{A9756BE1-3646-4709-90AF-AC1E9971FE48}" destId="{773299C6-0180-45E1-A55F-5C2A39C3405A}" srcOrd="0" destOrd="0" parTransId="{3DC2A227-5E38-466D-9E7A-FE675C5AAF8D}" sibTransId="{96A5B4D3-4102-474C-B77F-88DDBE21C1A9}"/>
    <dgm:cxn modelId="{ACDEB87E-D4B9-4CEE-8650-BFEC88978AC2}" type="presOf" srcId="{F257DDD2-3E63-4EC0-8501-119379D99C8B}" destId="{EFFE82EA-51F5-466E-B789-11FCD94A28B2}" srcOrd="0" destOrd="0" presId="urn:microsoft.com/office/officeart/2005/8/layout/hierarchy2"/>
    <dgm:cxn modelId="{F9E6C55D-DED6-422A-9BC8-4793EAD2594F}" type="presOf" srcId="{DE642913-D829-44B0-911E-D946C492A715}" destId="{D6A3D829-C137-4405-8A2D-796F04C33BB6}" srcOrd="0" destOrd="0" presId="urn:microsoft.com/office/officeart/2005/8/layout/hierarchy2"/>
    <dgm:cxn modelId="{7E490658-5FD0-4F70-AB35-137E8F237AA1}" type="presOf" srcId="{3DC2A227-5E38-466D-9E7A-FE675C5AAF8D}" destId="{CF4C494B-0011-4782-962C-C11C5CBC282E}" srcOrd="0" destOrd="0" presId="urn:microsoft.com/office/officeart/2005/8/layout/hierarchy2"/>
    <dgm:cxn modelId="{40A83587-D063-4168-AB33-907147E7E6FF}" type="presOf" srcId="{180AEC33-7A6F-4E9E-8211-22D249D95925}" destId="{578ADF9F-1648-42D0-86C6-CCFDB2AECE9E}" srcOrd="0" destOrd="0" presId="urn:microsoft.com/office/officeart/2005/8/layout/hierarchy2"/>
    <dgm:cxn modelId="{8C188C67-254A-49DC-90F5-70D4626379A1}" type="presParOf" srcId="{D7826509-EC2B-4A24-B843-7A7EBCCFB9CF}" destId="{5BEFC538-B3B9-40A9-894F-0288C31C9C57}" srcOrd="0" destOrd="0" presId="urn:microsoft.com/office/officeart/2005/8/layout/hierarchy2"/>
    <dgm:cxn modelId="{1E668ABC-AD66-4AA9-9B32-D4D6A0C6BFF1}" type="presParOf" srcId="{5BEFC538-B3B9-40A9-894F-0288C31C9C57}" destId="{734CEE8B-6FA1-42D1-8DA6-E887A40B5820}" srcOrd="0" destOrd="0" presId="urn:microsoft.com/office/officeart/2005/8/layout/hierarchy2"/>
    <dgm:cxn modelId="{2CB455BC-55C6-481B-A02C-574DA2D16800}" type="presParOf" srcId="{5BEFC538-B3B9-40A9-894F-0288C31C9C57}" destId="{9EEA43A2-A199-44EC-8898-3041A5F87FCB}" srcOrd="1" destOrd="0" presId="urn:microsoft.com/office/officeart/2005/8/layout/hierarchy2"/>
    <dgm:cxn modelId="{4D829CFD-7840-4B8F-BFE7-BCC8E7412ABB}" type="presParOf" srcId="{9EEA43A2-A199-44EC-8898-3041A5F87FCB}" destId="{05B31C23-4D55-4071-88F4-C6C57CE176E1}" srcOrd="0" destOrd="0" presId="urn:microsoft.com/office/officeart/2005/8/layout/hierarchy2"/>
    <dgm:cxn modelId="{8C9D8926-32E7-4A39-8543-EA46A673A76D}" type="presParOf" srcId="{05B31C23-4D55-4071-88F4-C6C57CE176E1}" destId="{A4EE937D-B408-45A3-A5E6-5EB4DDEF254C}" srcOrd="0" destOrd="0" presId="urn:microsoft.com/office/officeart/2005/8/layout/hierarchy2"/>
    <dgm:cxn modelId="{969B3B13-E4F0-457B-B701-FFDF6EF563FE}" type="presParOf" srcId="{9EEA43A2-A199-44EC-8898-3041A5F87FCB}" destId="{BC0E2788-3D9B-45CD-A96E-6F83779BD7A7}" srcOrd="1" destOrd="0" presId="urn:microsoft.com/office/officeart/2005/8/layout/hierarchy2"/>
    <dgm:cxn modelId="{4811C1F9-3600-4132-8754-DB4B2C1E2521}" type="presParOf" srcId="{BC0E2788-3D9B-45CD-A96E-6F83779BD7A7}" destId="{1D995411-AD4A-4D44-89A3-4CA74B3E624C}" srcOrd="0" destOrd="0" presId="urn:microsoft.com/office/officeart/2005/8/layout/hierarchy2"/>
    <dgm:cxn modelId="{049652FC-EFBD-406C-940F-C607DAA5C7FB}" type="presParOf" srcId="{BC0E2788-3D9B-45CD-A96E-6F83779BD7A7}" destId="{0759D191-BE40-4E28-B288-6C15CEF10618}" srcOrd="1" destOrd="0" presId="urn:microsoft.com/office/officeart/2005/8/layout/hierarchy2"/>
    <dgm:cxn modelId="{09D04DB2-1889-4FA8-954D-5C589745CB8C}" type="presParOf" srcId="{0759D191-BE40-4E28-B288-6C15CEF10618}" destId="{EFFE82EA-51F5-466E-B789-11FCD94A28B2}" srcOrd="0" destOrd="0" presId="urn:microsoft.com/office/officeart/2005/8/layout/hierarchy2"/>
    <dgm:cxn modelId="{EC0BB354-BBC5-4683-B894-C9EA9DE055D0}" type="presParOf" srcId="{EFFE82EA-51F5-466E-B789-11FCD94A28B2}" destId="{2E8D370F-E965-4AB7-96CF-25D23998651D}" srcOrd="0" destOrd="0" presId="urn:microsoft.com/office/officeart/2005/8/layout/hierarchy2"/>
    <dgm:cxn modelId="{DE0DA25F-1776-4B6B-B342-37495A3FBA82}" type="presParOf" srcId="{0759D191-BE40-4E28-B288-6C15CEF10618}" destId="{B7F4E74B-EB83-4537-AF24-74A872FC675C}" srcOrd="1" destOrd="0" presId="urn:microsoft.com/office/officeart/2005/8/layout/hierarchy2"/>
    <dgm:cxn modelId="{6BD01F49-2DCF-4E3E-A627-A078C632EA8E}" type="presParOf" srcId="{B7F4E74B-EB83-4537-AF24-74A872FC675C}" destId="{94EF3E8E-7896-4A41-9E93-E3DC2A7DA069}" srcOrd="0" destOrd="0" presId="urn:microsoft.com/office/officeart/2005/8/layout/hierarchy2"/>
    <dgm:cxn modelId="{55882251-EF99-47B9-80F6-52FE169AFEFD}" type="presParOf" srcId="{B7F4E74B-EB83-4537-AF24-74A872FC675C}" destId="{C8F3D0F9-04B6-47C6-AB82-98462E38F116}" srcOrd="1" destOrd="0" presId="urn:microsoft.com/office/officeart/2005/8/layout/hierarchy2"/>
    <dgm:cxn modelId="{3A4A6753-18F5-432C-BD98-4B8797F0468D}" type="presParOf" srcId="{C8F3D0F9-04B6-47C6-AB82-98462E38F116}" destId="{CF4C494B-0011-4782-962C-C11C5CBC282E}" srcOrd="0" destOrd="0" presId="urn:microsoft.com/office/officeart/2005/8/layout/hierarchy2"/>
    <dgm:cxn modelId="{4F366760-8C2E-4480-8DA0-DB027EC7AB42}" type="presParOf" srcId="{CF4C494B-0011-4782-962C-C11C5CBC282E}" destId="{58A74DEB-C540-4E7D-B6A4-B0D5B6A350AD}" srcOrd="0" destOrd="0" presId="urn:microsoft.com/office/officeart/2005/8/layout/hierarchy2"/>
    <dgm:cxn modelId="{D7EEA73E-B082-45B6-BAD4-FEAE18A2B6B8}" type="presParOf" srcId="{C8F3D0F9-04B6-47C6-AB82-98462E38F116}" destId="{5538BE5C-D826-4E7A-8186-BF556A74EAA3}" srcOrd="1" destOrd="0" presId="urn:microsoft.com/office/officeart/2005/8/layout/hierarchy2"/>
    <dgm:cxn modelId="{D3275728-9B24-4149-99DA-010C0EBF3C17}" type="presParOf" srcId="{5538BE5C-D826-4E7A-8186-BF556A74EAA3}" destId="{EED096D6-5D75-4A02-8524-67AD870D3E3C}" srcOrd="0" destOrd="0" presId="urn:microsoft.com/office/officeart/2005/8/layout/hierarchy2"/>
    <dgm:cxn modelId="{35D10972-7F6D-4F15-9B95-6CBE54A6DDAE}" type="presParOf" srcId="{5538BE5C-D826-4E7A-8186-BF556A74EAA3}" destId="{C74E5896-E276-43C2-9B60-5A38A1B17490}" srcOrd="1" destOrd="0" presId="urn:microsoft.com/office/officeart/2005/8/layout/hierarchy2"/>
    <dgm:cxn modelId="{8FF2B6D8-8B70-4899-925D-79AD8936F6AE}" type="presParOf" srcId="{0759D191-BE40-4E28-B288-6C15CEF10618}" destId="{20E236EB-3137-4886-B4B5-8168AB828BF7}" srcOrd="2" destOrd="0" presId="urn:microsoft.com/office/officeart/2005/8/layout/hierarchy2"/>
    <dgm:cxn modelId="{8BB1230D-D6C3-498B-A157-C8C64A5D3292}" type="presParOf" srcId="{20E236EB-3137-4886-B4B5-8168AB828BF7}" destId="{966F4E88-F54D-4893-BBF1-AB63377F9A77}" srcOrd="0" destOrd="0" presId="urn:microsoft.com/office/officeart/2005/8/layout/hierarchy2"/>
    <dgm:cxn modelId="{19E50877-3CD2-42C9-A8D0-23C78DBE4346}" type="presParOf" srcId="{0759D191-BE40-4E28-B288-6C15CEF10618}" destId="{E603BDC6-5CA9-4030-B86E-8AF5125A4AB9}" srcOrd="3" destOrd="0" presId="urn:microsoft.com/office/officeart/2005/8/layout/hierarchy2"/>
    <dgm:cxn modelId="{5538A15B-CBE2-4D92-AAF9-46CF2F45BD10}" type="presParOf" srcId="{E603BDC6-5CA9-4030-B86E-8AF5125A4AB9}" destId="{69104445-069C-45C0-90CA-86EE94ED0130}" srcOrd="0" destOrd="0" presId="urn:microsoft.com/office/officeart/2005/8/layout/hierarchy2"/>
    <dgm:cxn modelId="{B9ABFBA0-47B1-4751-A95C-434D7013AFFA}" type="presParOf" srcId="{E603BDC6-5CA9-4030-B86E-8AF5125A4AB9}" destId="{F230DD37-E30F-4E7F-AD22-4F0EB6B011C7}" srcOrd="1" destOrd="0" presId="urn:microsoft.com/office/officeart/2005/8/layout/hierarchy2"/>
    <dgm:cxn modelId="{85DE57EF-8A11-4518-970B-FC3C1FAFA013}" type="presParOf" srcId="{F230DD37-E30F-4E7F-AD22-4F0EB6B011C7}" destId="{64CC9DA2-49C4-440A-B148-8797CFE750A8}" srcOrd="0" destOrd="0" presId="urn:microsoft.com/office/officeart/2005/8/layout/hierarchy2"/>
    <dgm:cxn modelId="{6B502EE2-898B-4D66-86E8-41E2FD8DCCA2}" type="presParOf" srcId="{64CC9DA2-49C4-440A-B148-8797CFE750A8}" destId="{40AB5EE5-6A15-41E8-886F-4579B0DC7AC5}" srcOrd="0" destOrd="0" presId="urn:microsoft.com/office/officeart/2005/8/layout/hierarchy2"/>
    <dgm:cxn modelId="{AEACAF77-50BE-4710-9228-CC1698A43CB7}" type="presParOf" srcId="{F230DD37-E30F-4E7F-AD22-4F0EB6B011C7}" destId="{CB5173B3-59F4-4F72-B918-E9DABE878830}" srcOrd="1" destOrd="0" presId="urn:microsoft.com/office/officeart/2005/8/layout/hierarchy2"/>
    <dgm:cxn modelId="{951E885F-C394-4009-AD7D-1190BC2841A6}" type="presParOf" srcId="{CB5173B3-59F4-4F72-B918-E9DABE878830}" destId="{AF65891A-0357-47FE-82C1-40EDC29AAC34}" srcOrd="0" destOrd="0" presId="urn:microsoft.com/office/officeart/2005/8/layout/hierarchy2"/>
    <dgm:cxn modelId="{42504386-5BC1-4F3B-96A0-7A229AF68FFE}" type="presParOf" srcId="{CB5173B3-59F4-4F72-B918-E9DABE878830}" destId="{B310ECAC-6453-4078-B75A-0D3EE6239870}" srcOrd="1" destOrd="0" presId="urn:microsoft.com/office/officeart/2005/8/layout/hierarchy2"/>
    <dgm:cxn modelId="{7749FD3B-0FB5-44A9-94AD-5CB4E0F81816}" type="presParOf" srcId="{0759D191-BE40-4E28-B288-6C15CEF10618}" destId="{3D4DD8BF-D887-44BA-A9E0-2A5CEB616BF1}" srcOrd="4" destOrd="0" presId="urn:microsoft.com/office/officeart/2005/8/layout/hierarchy2"/>
    <dgm:cxn modelId="{1820AE2B-1122-4410-ACD0-B3A4FA843A86}" type="presParOf" srcId="{3D4DD8BF-D887-44BA-A9E0-2A5CEB616BF1}" destId="{2B823AA3-0F36-45C7-A459-C4335A1B6943}" srcOrd="0" destOrd="0" presId="urn:microsoft.com/office/officeart/2005/8/layout/hierarchy2"/>
    <dgm:cxn modelId="{6BA9D719-AA5A-494D-B9BB-71408735F6FB}" type="presParOf" srcId="{0759D191-BE40-4E28-B288-6C15CEF10618}" destId="{4892816A-A7BF-4948-BF21-EECA87EDDB09}" srcOrd="5" destOrd="0" presId="urn:microsoft.com/office/officeart/2005/8/layout/hierarchy2"/>
    <dgm:cxn modelId="{D82B6C36-9BCF-4CCD-B73F-046852E5A805}" type="presParOf" srcId="{4892816A-A7BF-4948-BF21-EECA87EDDB09}" destId="{AFB06027-6012-404C-8EBA-8BB6BE1321CF}" srcOrd="0" destOrd="0" presId="urn:microsoft.com/office/officeart/2005/8/layout/hierarchy2"/>
    <dgm:cxn modelId="{485CBB14-BA44-48C3-8BEE-8717B489D479}" type="presParOf" srcId="{4892816A-A7BF-4948-BF21-EECA87EDDB09}" destId="{C68A4967-6771-4065-89B6-4FDD2BF11C49}" srcOrd="1" destOrd="0" presId="urn:microsoft.com/office/officeart/2005/8/layout/hierarchy2"/>
    <dgm:cxn modelId="{37A49F02-9538-4762-9CB9-40B253FDDD6A}" type="presParOf" srcId="{C68A4967-6771-4065-89B6-4FDD2BF11C49}" destId="{BCF17D0C-4ABD-4FF7-B88E-F98B7D7D2B29}" srcOrd="0" destOrd="0" presId="urn:microsoft.com/office/officeart/2005/8/layout/hierarchy2"/>
    <dgm:cxn modelId="{D1AD47C4-EBA4-4DAA-9C92-B57CA3B441D6}" type="presParOf" srcId="{BCF17D0C-4ABD-4FF7-B88E-F98B7D7D2B29}" destId="{04EA4862-1EC2-46AE-93F8-69C0064374FC}" srcOrd="0" destOrd="0" presId="urn:microsoft.com/office/officeart/2005/8/layout/hierarchy2"/>
    <dgm:cxn modelId="{6C5A4649-D0BC-4991-A3E4-99D4761A2A95}" type="presParOf" srcId="{C68A4967-6771-4065-89B6-4FDD2BF11C49}" destId="{9A982547-C5AC-40D2-A689-AE0E481DBE09}" srcOrd="1" destOrd="0" presId="urn:microsoft.com/office/officeart/2005/8/layout/hierarchy2"/>
    <dgm:cxn modelId="{00E52000-E463-41C2-8B23-A521CFBEB69B}" type="presParOf" srcId="{9A982547-C5AC-40D2-A689-AE0E481DBE09}" destId="{578ADF9F-1648-42D0-86C6-CCFDB2AECE9E}" srcOrd="0" destOrd="0" presId="urn:microsoft.com/office/officeart/2005/8/layout/hierarchy2"/>
    <dgm:cxn modelId="{E98F6D6B-8DAA-4301-B84E-19FEA1205BE6}" type="presParOf" srcId="{9A982547-C5AC-40D2-A689-AE0E481DBE09}" destId="{530100F1-C799-4570-80AB-1ACAA2FADDFE}" srcOrd="1" destOrd="0" presId="urn:microsoft.com/office/officeart/2005/8/layout/hierarchy2"/>
    <dgm:cxn modelId="{8CB380E5-9760-4F44-86F9-CAAD2C665B43}" type="presParOf" srcId="{0759D191-BE40-4E28-B288-6C15CEF10618}" destId="{D2391722-61AF-4B89-A342-E19182DD6EA5}" srcOrd="6" destOrd="0" presId="urn:microsoft.com/office/officeart/2005/8/layout/hierarchy2"/>
    <dgm:cxn modelId="{A00D9260-DC8E-4C37-944B-CC25A8D95B9E}" type="presParOf" srcId="{D2391722-61AF-4B89-A342-E19182DD6EA5}" destId="{A8619188-6935-422A-A84D-9D55B441A82C}" srcOrd="0" destOrd="0" presId="urn:microsoft.com/office/officeart/2005/8/layout/hierarchy2"/>
    <dgm:cxn modelId="{7E470BD8-D0EB-4C46-8CA5-E28EA686BFE7}" type="presParOf" srcId="{0759D191-BE40-4E28-B288-6C15CEF10618}" destId="{9DF04E6C-FF5B-494D-96B9-501559BF30F9}" srcOrd="7" destOrd="0" presId="urn:microsoft.com/office/officeart/2005/8/layout/hierarchy2"/>
    <dgm:cxn modelId="{CBEE6A42-22FF-4C05-ABE1-C8DB8A2ED857}" type="presParOf" srcId="{9DF04E6C-FF5B-494D-96B9-501559BF30F9}" destId="{D6A3D829-C137-4405-8A2D-796F04C33BB6}" srcOrd="0" destOrd="0" presId="urn:microsoft.com/office/officeart/2005/8/layout/hierarchy2"/>
    <dgm:cxn modelId="{EA04087A-07FF-4283-952F-6DD5FA890A01}" type="presParOf" srcId="{9DF04E6C-FF5B-494D-96B9-501559BF30F9}" destId="{0F386B90-2B48-40E5-9CB6-9BC79F5A0AF0}" srcOrd="1" destOrd="0" presId="urn:microsoft.com/office/officeart/2005/8/layout/hierarchy2"/>
    <dgm:cxn modelId="{84BE0EA3-B4ED-40E7-9AF8-C980056820F4}" type="presParOf" srcId="{0F386B90-2B48-40E5-9CB6-9BC79F5A0AF0}" destId="{1A77859D-234B-4533-BEE3-43158BD1A8AA}" srcOrd="0" destOrd="0" presId="urn:microsoft.com/office/officeart/2005/8/layout/hierarchy2"/>
    <dgm:cxn modelId="{34BBF0EE-C527-4FF6-BB40-CCC1D60C623C}" type="presParOf" srcId="{1A77859D-234B-4533-BEE3-43158BD1A8AA}" destId="{464EC113-EF7D-4DA4-A5AA-B012008F3E79}" srcOrd="0" destOrd="0" presId="urn:microsoft.com/office/officeart/2005/8/layout/hierarchy2"/>
    <dgm:cxn modelId="{7136B0C2-F7B0-40CD-88D4-228666C769B4}" type="presParOf" srcId="{0F386B90-2B48-40E5-9CB6-9BC79F5A0AF0}" destId="{EC377718-F568-4BF6-9AB6-34B9ECFCB0B7}" srcOrd="1" destOrd="0" presId="urn:microsoft.com/office/officeart/2005/8/layout/hierarchy2"/>
    <dgm:cxn modelId="{7D9CE4AA-B16C-4699-8149-99377B73E33B}" type="presParOf" srcId="{EC377718-F568-4BF6-9AB6-34B9ECFCB0B7}" destId="{E6B48A25-51F2-42ED-BACD-79788828E45B}" srcOrd="0" destOrd="0" presId="urn:microsoft.com/office/officeart/2005/8/layout/hierarchy2"/>
    <dgm:cxn modelId="{567CEEDE-EAA3-4DB3-A7A8-D8A5AC7A6BFA}" type="presParOf" srcId="{EC377718-F568-4BF6-9AB6-34B9ECFCB0B7}" destId="{0B0DE7F6-A615-4396-96F9-CA35D5ADFFB4}" srcOrd="1" destOrd="0" presId="urn:microsoft.com/office/officeart/2005/8/layout/hierarchy2"/>
    <dgm:cxn modelId="{A7616E8C-B20D-4F5A-8886-77DED3F9C6EE}" type="presParOf" srcId="{0759D191-BE40-4E28-B288-6C15CEF10618}" destId="{A4AFA082-98F9-4A53-9106-2B061F472557}" srcOrd="8" destOrd="0" presId="urn:microsoft.com/office/officeart/2005/8/layout/hierarchy2"/>
    <dgm:cxn modelId="{67C901DD-287D-437A-AA24-B94447B23672}" type="presParOf" srcId="{A4AFA082-98F9-4A53-9106-2B061F472557}" destId="{F148B881-1E2F-463B-8C9D-B4D23DCC39F1}" srcOrd="0" destOrd="0" presId="urn:microsoft.com/office/officeart/2005/8/layout/hierarchy2"/>
    <dgm:cxn modelId="{78284ACD-992F-4DE8-A3EF-F41B05F0311C}" type="presParOf" srcId="{0759D191-BE40-4E28-B288-6C15CEF10618}" destId="{762E4A41-6701-4D1D-AFB9-B63206012B83}" srcOrd="9" destOrd="0" presId="urn:microsoft.com/office/officeart/2005/8/layout/hierarchy2"/>
    <dgm:cxn modelId="{96F7E74D-B169-4328-BA60-AADD5414BCFE}" type="presParOf" srcId="{762E4A41-6701-4D1D-AFB9-B63206012B83}" destId="{E042646E-6362-443D-ADA1-FB01938224DD}" srcOrd="0" destOrd="0" presId="urn:microsoft.com/office/officeart/2005/8/layout/hierarchy2"/>
    <dgm:cxn modelId="{0ABA2253-8CCC-48C3-B58E-F38F1AD1266C}" type="presParOf" srcId="{762E4A41-6701-4D1D-AFB9-B63206012B83}" destId="{5F0E214B-F355-4977-87A5-A9BD132685A0}" srcOrd="1" destOrd="0" presId="urn:microsoft.com/office/officeart/2005/8/layout/hierarchy2"/>
    <dgm:cxn modelId="{FE470BE1-634D-4252-A464-6554E7570684}" type="presParOf" srcId="{5F0E214B-F355-4977-87A5-A9BD132685A0}" destId="{C2D5ECA9-8B3D-4E44-A310-E4B8F2AAD02A}" srcOrd="0" destOrd="0" presId="urn:microsoft.com/office/officeart/2005/8/layout/hierarchy2"/>
    <dgm:cxn modelId="{D1C78708-E9B5-4E8C-9FD4-331EE2BFD4A2}" type="presParOf" srcId="{C2D5ECA9-8B3D-4E44-A310-E4B8F2AAD02A}" destId="{8706AAA0-D858-45CE-AC33-BE67CB7EA07A}" srcOrd="0" destOrd="0" presId="urn:microsoft.com/office/officeart/2005/8/layout/hierarchy2"/>
    <dgm:cxn modelId="{47872E8B-57B5-4C37-83F4-DFA90F53092E}" type="presParOf" srcId="{5F0E214B-F355-4977-87A5-A9BD132685A0}" destId="{AA0A5A81-7800-4010-B9F6-3CE7E56EA139}" srcOrd="1" destOrd="0" presId="urn:microsoft.com/office/officeart/2005/8/layout/hierarchy2"/>
    <dgm:cxn modelId="{AC0EBAFD-C931-4A5B-B65B-5324B069EA8D}" type="presParOf" srcId="{AA0A5A81-7800-4010-B9F6-3CE7E56EA139}" destId="{00A89337-EC6D-4591-8F82-988DCD92FD20}" srcOrd="0" destOrd="0" presId="urn:microsoft.com/office/officeart/2005/8/layout/hierarchy2"/>
    <dgm:cxn modelId="{86234BEF-3924-4CE7-9D93-7BF311BCABF1}" type="presParOf" srcId="{AA0A5A81-7800-4010-B9F6-3CE7E56EA139}" destId="{E5655F3C-EB75-44D6-A132-3D929ADAE508}" srcOrd="1" destOrd="0" presId="urn:microsoft.com/office/officeart/2005/8/layout/hierarchy2"/>
    <dgm:cxn modelId="{EB099678-EB8B-4C7B-8298-B1EB38C71DB0}" type="presParOf" srcId="{9EEA43A2-A199-44EC-8898-3041A5F87FCB}" destId="{2B1861C3-CD53-434F-951B-0379D0010A3A}" srcOrd="2" destOrd="0" presId="urn:microsoft.com/office/officeart/2005/8/layout/hierarchy2"/>
    <dgm:cxn modelId="{8A423251-673B-44A3-9C4D-FEFE81FCF566}" type="presParOf" srcId="{2B1861C3-CD53-434F-951B-0379D0010A3A}" destId="{842BAC25-C4AC-4528-A8E8-EF6A255207DC}" srcOrd="0" destOrd="0" presId="urn:microsoft.com/office/officeart/2005/8/layout/hierarchy2"/>
    <dgm:cxn modelId="{854F1C44-4529-4C8F-9CD6-8EF75A5B9F67}" type="presParOf" srcId="{9EEA43A2-A199-44EC-8898-3041A5F87FCB}" destId="{6992FEA6-D513-4175-BBC8-88A701D863AE}" srcOrd="3" destOrd="0" presId="urn:microsoft.com/office/officeart/2005/8/layout/hierarchy2"/>
    <dgm:cxn modelId="{3665B842-BA84-4576-A1ED-EFF3C9CA18FA}" type="presParOf" srcId="{6992FEA6-D513-4175-BBC8-88A701D863AE}" destId="{9A5F21D4-FBDB-412E-B337-9B42ABAE84E2}" srcOrd="0" destOrd="0" presId="urn:microsoft.com/office/officeart/2005/8/layout/hierarchy2"/>
    <dgm:cxn modelId="{74BEE6DC-63FF-45F7-835F-131D947AB325}" type="presParOf" srcId="{6992FEA6-D513-4175-BBC8-88A701D863AE}" destId="{5B1967D0-2E5E-48EF-A16F-B387518D417A}" srcOrd="1" destOrd="0" presId="urn:microsoft.com/office/officeart/2005/8/layout/hierarchy2"/>
    <dgm:cxn modelId="{3BB89438-FF5D-46FE-AE97-AC1B22301751}" type="presParOf" srcId="{9EEA43A2-A199-44EC-8898-3041A5F87FCB}" destId="{0AB148D7-1C37-40A4-B5EA-F97FF0813C26}" srcOrd="4" destOrd="0" presId="urn:microsoft.com/office/officeart/2005/8/layout/hierarchy2"/>
    <dgm:cxn modelId="{2D637AA4-F643-4973-871D-A2C8F079A4C7}" type="presParOf" srcId="{0AB148D7-1C37-40A4-B5EA-F97FF0813C26}" destId="{EDA636EC-76E8-4885-B6DC-DDF88252F7B4}" srcOrd="0" destOrd="0" presId="urn:microsoft.com/office/officeart/2005/8/layout/hierarchy2"/>
    <dgm:cxn modelId="{621708FA-072E-4095-87D2-D05A420C0BC7}" type="presParOf" srcId="{9EEA43A2-A199-44EC-8898-3041A5F87FCB}" destId="{13D7B609-5866-40E1-83D7-71EB9EF42530}" srcOrd="5" destOrd="0" presId="urn:microsoft.com/office/officeart/2005/8/layout/hierarchy2"/>
    <dgm:cxn modelId="{0CCAC62E-8D45-4347-9FE6-86BBC542577F}" type="presParOf" srcId="{13D7B609-5866-40E1-83D7-71EB9EF42530}" destId="{85DBD701-4339-41D3-B22B-D66201087CE3}" srcOrd="0" destOrd="0" presId="urn:microsoft.com/office/officeart/2005/8/layout/hierarchy2"/>
    <dgm:cxn modelId="{A9084F18-951A-4EF5-9150-657D9A0A30EB}" type="presParOf" srcId="{13D7B609-5866-40E1-83D7-71EB9EF42530}" destId="{743B681D-FCAE-4470-8CB7-B6DB03F1FA40}" srcOrd="1" destOrd="0" presId="urn:microsoft.com/office/officeart/2005/8/layout/hierarchy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A112D-E788-4E8A-97F5-84B632DEEE01}" type="doc">
      <dgm:prSet loTypeId="urn:microsoft.com/office/officeart/2005/8/layout/hierarchy2" loCatId="hierarchy" qsTypeId="urn:microsoft.com/office/officeart/2005/8/quickstyle/simple1#2" qsCatId="simple" csTypeId="urn:microsoft.com/office/officeart/2005/8/colors/colorful3" csCatId="colorful" phldr="1"/>
      <dgm:spPr/>
      <dgm:t>
        <a:bodyPr/>
        <a:lstStyle/>
        <a:p>
          <a:endParaRPr lang="en-US"/>
        </a:p>
      </dgm:t>
    </dgm:pt>
    <dgm:pt modelId="{64EF3316-BBB7-409A-9DC1-A5A6ACF80C6D}">
      <dgm:prSet phldrT="[Text]" custT="1"/>
      <dgm:spPr>
        <a:xfrm>
          <a:off x="290440" y="3098075"/>
          <a:ext cx="932223" cy="1241674"/>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الحد من الفقر وزيادة الرخاء المشترك على نحو مستدام</a:t>
          </a:r>
          <a:endParaRPr lang="en-US" sz="1000" b="1">
            <a:solidFill>
              <a:sysClr val="window" lastClr="FFFFFF"/>
            </a:solidFill>
            <a:latin typeface="Calibri"/>
            <a:ea typeface="+mn-ea"/>
            <a:cs typeface="+mn-cs"/>
          </a:endParaRPr>
        </a:p>
      </dgm:t>
    </dgm:pt>
    <dgm:pt modelId="{8030E2D7-8F39-4D00-8370-D58CFE73DF32}" type="parTrans" cxnId="{C74A1039-A3F9-471C-91A6-1164D1881067}">
      <dgm:prSet/>
      <dgm:spPr/>
      <dgm:t>
        <a:bodyPr/>
        <a:lstStyle/>
        <a:p>
          <a:pPr algn="ctr"/>
          <a:endParaRPr lang="en-US"/>
        </a:p>
      </dgm:t>
    </dgm:pt>
    <dgm:pt modelId="{3DCE6C9D-75F3-4862-B32F-69DF6232D7A7}" type="sibTrans" cxnId="{C74A1039-A3F9-471C-91A6-1164D1881067}">
      <dgm:prSet/>
      <dgm:spPr/>
      <dgm:t>
        <a:bodyPr/>
        <a:lstStyle/>
        <a:p>
          <a:pPr algn="ctr"/>
          <a:endParaRPr lang="en-US"/>
        </a:p>
      </dgm:t>
    </dgm:pt>
    <dgm:pt modelId="{248E5A5D-AFF9-452C-86E1-76E0D8987061}">
      <dgm:prSet phldrT="[Text]" custT="1"/>
      <dgm:spPr>
        <a:xfrm>
          <a:off x="1574694" y="4393992"/>
          <a:ext cx="1632567" cy="79778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مجال التركيز 3 : الاحتواء الاجتماعي</a:t>
          </a:r>
          <a:endParaRPr lang="en-US" sz="1000">
            <a:solidFill>
              <a:sysClr val="window" lastClr="FFFFFF"/>
            </a:solidFill>
            <a:latin typeface="Calibri"/>
            <a:ea typeface="+mn-ea"/>
            <a:cs typeface="+mn-cs"/>
          </a:endParaRPr>
        </a:p>
      </dgm:t>
    </dgm:pt>
    <dgm:pt modelId="{E047FAEF-6FDC-4A1F-9FC4-D1E1B62CEE67}" type="parTrans" cxnId="{7D214716-D9D3-4F08-83DE-5783983A60C7}">
      <dgm:prSet/>
      <dgm:spPr>
        <a:xfrm rot="4311103">
          <a:off x="833581" y="4247415"/>
          <a:ext cx="1130197" cy="16968"/>
        </a:xfrm>
        <a:noFill/>
        <a:ln w="25400" cap="flat" cmpd="sng" algn="ctr">
          <a:solidFill>
            <a:srgbClr val="8064A2">
              <a:hueOff val="0"/>
              <a:satOff val="0"/>
              <a:lumOff val="0"/>
              <a:alphaOff val="0"/>
            </a:srgbClr>
          </a:solidFill>
          <a:prstDash val="solid"/>
        </a:ln>
        <a:effectLst/>
      </dgm:spPr>
      <dgm:t>
        <a:bodyPr/>
        <a:lstStyle/>
        <a:p>
          <a:pPr algn="ctr"/>
          <a:endParaRPr lang="en-US">
            <a:solidFill>
              <a:sysClr val="windowText" lastClr="000000">
                <a:hueOff val="0"/>
                <a:satOff val="0"/>
                <a:lumOff val="0"/>
                <a:alphaOff val="0"/>
              </a:sysClr>
            </a:solidFill>
            <a:latin typeface="Calibri"/>
            <a:ea typeface="+mn-ea"/>
            <a:cs typeface="+mn-cs"/>
          </a:endParaRPr>
        </a:p>
      </dgm:t>
    </dgm:pt>
    <dgm:pt modelId="{FE7C2FDC-7558-45F2-AAD5-813C845FD8AB}" type="sibTrans" cxnId="{7D214716-D9D3-4F08-83DE-5783983A60C7}">
      <dgm:prSet/>
      <dgm:spPr/>
      <dgm:t>
        <a:bodyPr/>
        <a:lstStyle/>
        <a:p>
          <a:pPr algn="ctr"/>
          <a:endParaRPr lang="en-US"/>
        </a:p>
      </dgm:t>
    </dgm:pt>
    <dgm:pt modelId="{7298350C-9983-4B7F-9DDB-289385694AE4}">
      <dgm:prSet custT="1"/>
      <dgm:spPr>
        <a:xfrm>
          <a:off x="5274514" y="4215640"/>
          <a:ext cx="1883235" cy="125761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تدنِّي الإنتاجية الزراعية، والافتقار إلى فرص في الأنشطة غير الزراعية، وعدم الكفاءة في استخدام المياه عوائق رئيسية تحول دون تحسين سبل كسب العيش للمزارعين في المناطق الريفية، ومساندة نمو تقوده الصناعات الزراعية للاقتصاد الريفي.</a:t>
          </a:r>
          <a:endParaRPr lang="en-US" sz="1000" b="1">
            <a:solidFill>
              <a:sysClr val="window" lastClr="FFFFFF"/>
            </a:solidFill>
            <a:latin typeface="Calibri"/>
            <a:ea typeface="+mn-ea"/>
            <a:cs typeface="+mn-cs"/>
          </a:endParaRPr>
        </a:p>
      </dgm:t>
    </dgm:pt>
    <dgm:pt modelId="{AA100935-8B67-4B24-90EB-67432DB1A53A}" type="sibTrans" cxnId="{80C06058-0B41-43A2-A131-FC75D250B3FB}">
      <dgm:prSet/>
      <dgm:spPr/>
      <dgm:t>
        <a:bodyPr/>
        <a:lstStyle/>
        <a:p>
          <a:endParaRPr lang="en-US"/>
        </a:p>
      </dgm:t>
    </dgm:pt>
    <dgm:pt modelId="{FC2332B3-B99A-4C57-8D62-B819835B3AB2}" type="parTrans" cxnId="{80C06058-0B41-43A2-A131-FC75D250B3FB}">
      <dgm:prSet/>
      <dgm:spPr>
        <a:xfrm>
          <a:off x="4969987" y="4835961"/>
          <a:ext cx="304527" cy="16968"/>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9756BE1-3646-4709-90AF-AC1E9971FE48}">
      <dgm:prSet phldrT="[Text]" custT="1"/>
      <dgm:spPr>
        <a:xfrm>
          <a:off x="3637496" y="496862"/>
          <a:ext cx="1332490" cy="1119038"/>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2.1 لإطار الشراكة الإستراتيجية:  تحسين البيئة التنظيمية لاستثمارات القطاع الخاص</a:t>
          </a:r>
          <a:endParaRPr lang="en-US" sz="1000" b="1">
            <a:solidFill>
              <a:sysClr val="window" lastClr="FFFFFF"/>
            </a:solidFill>
            <a:latin typeface="Calibri"/>
            <a:ea typeface="+mn-ea"/>
            <a:cs typeface="+mn-cs"/>
          </a:endParaRPr>
        </a:p>
      </dgm:t>
    </dgm:pt>
    <dgm:pt modelId="{AC59B546-B133-42E2-840C-23F025C0C747}" type="sibTrans" cxnId="{A55E2592-0048-41D4-8305-DE3A24463821}">
      <dgm:prSet/>
      <dgm:spPr/>
      <dgm:t>
        <a:bodyPr/>
        <a:lstStyle/>
        <a:p>
          <a:pPr algn="ctr"/>
          <a:endParaRPr lang="en-US"/>
        </a:p>
      </dgm:t>
    </dgm:pt>
    <dgm:pt modelId="{F257DDD2-3E63-4EC0-8501-119379D99C8B}" type="parTrans" cxnId="{A55E2592-0048-41D4-8305-DE3A24463821}">
      <dgm:prSet/>
      <dgm:spPr>
        <a:xfrm rot="16802384">
          <a:off x="2066886" y="2364869"/>
          <a:ext cx="2674902" cy="16968"/>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ADE609D-5C31-49AA-8D26-308B791CF2BF}">
      <dgm:prSet phldrT="[Text]" custT="1"/>
      <dgm:spPr>
        <a:xfrm>
          <a:off x="1536585" y="3255692"/>
          <a:ext cx="1634592" cy="869263"/>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مجال التركيز 2: تحسين فرص خلق الوظائف بالقطاع الخاص</a:t>
          </a:r>
          <a:endParaRPr lang="en-US" sz="1000" b="1">
            <a:solidFill>
              <a:sysClr val="window" lastClr="FFFFFF"/>
            </a:solidFill>
            <a:latin typeface="Calibri"/>
            <a:ea typeface="+mn-ea"/>
            <a:cs typeface="+mn-cs"/>
          </a:endParaRPr>
        </a:p>
      </dgm:t>
    </dgm:pt>
    <dgm:pt modelId="{205397FA-208D-48E9-A74B-D72BAB00A137}" type="parTrans" cxnId="{E66E3949-1F89-4C68-8F4B-8CD3275C8E21}">
      <dgm:prSet/>
      <dgm:spPr>
        <a:xfrm rot="21287788">
          <a:off x="1222014" y="3696134"/>
          <a:ext cx="315220" cy="16968"/>
        </a:xfrm>
        <a:noFill/>
        <a:ln w="25400" cap="flat" cmpd="sng" algn="ctr">
          <a:solidFill>
            <a:srgbClr val="8064A2">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AFF01DA-5F30-4771-976E-6724AF1C0165}" type="sibTrans" cxnId="{E66E3949-1F89-4C68-8F4B-8CD3275C8E21}">
      <dgm:prSet/>
      <dgm:spPr/>
      <dgm:t>
        <a:bodyPr/>
        <a:lstStyle/>
        <a:p>
          <a:endParaRPr lang="en-US"/>
        </a:p>
      </dgm:t>
    </dgm:pt>
    <dgm:pt modelId="{E5129055-9D53-45C7-B78C-9F0D38F5B7A3}">
      <dgm:prSet custT="1"/>
      <dgm:spPr>
        <a:xfrm>
          <a:off x="5247105" y="1733350"/>
          <a:ext cx="1883235" cy="1139905"/>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بسبب النقص في إمدادات الكهرباء تعمل الصناعة بنسبة 60-70 في المائة من طاقتها. وتشتد الحاجة إلى شبكات توزيع أكثر كفاءة وفاعلية لضمان حصول الأسر ومؤسسات الأعمال على إمدادات كهرباء يُعوَّل عليها.</a:t>
          </a:r>
          <a:endParaRPr lang="en-US" sz="1000" b="1">
            <a:solidFill>
              <a:sysClr val="window" lastClr="FFFFFF"/>
            </a:solidFill>
            <a:latin typeface="Calibri"/>
            <a:ea typeface="+mn-ea"/>
            <a:cs typeface="+mn-cs"/>
          </a:endParaRPr>
        </a:p>
      </dgm:t>
    </dgm:pt>
    <dgm:pt modelId="{B2FFDC92-9FE5-4351-971F-DF67D6252FE1}" type="parTrans" cxnId="{4ABB3F81-32F5-423E-8BCD-0F3FEED5B610}">
      <dgm:prSet/>
      <dgm:spPr>
        <a:xfrm rot="21498783">
          <a:off x="4969927" y="2298899"/>
          <a:ext cx="277238" cy="16968"/>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338492F-36A1-49F4-89EE-A719673335AF}" type="sibTrans" cxnId="{4ABB3F81-32F5-423E-8BCD-0F3FEED5B610}">
      <dgm:prSet/>
      <dgm:spPr/>
      <dgm:t>
        <a:bodyPr/>
        <a:lstStyle/>
        <a:p>
          <a:endParaRPr lang="en-US"/>
        </a:p>
      </dgm:t>
    </dgm:pt>
    <dgm:pt modelId="{773299C6-0180-45E1-A55F-5C2A39C3405A}">
      <dgm:prSet custT="1"/>
      <dgm:spPr>
        <a:xfrm>
          <a:off x="5247091" y="479350"/>
          <a:ext cx="1883235" cy="1154063"/>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يفتقر القطاع الخاص في مصر إلى الديناميكية، حيث تتيح السياسة الصناعية للاحتكارات أن تزدهر، ويعوق افتقار بيئة الأعمال التنظيمية إلى الكفاءة تنمية الأعمال</a:t>
          </a:r>
          <a:r>
            <a:rPr lang="en-US" sz="1000" b="1">
              <a:solidFill>
                <a:sysClr val="window" lastClr="FFFFFF"/>
              </a:solidFill>
              <a:latin typeface="Calibri"/>
              <a:ea typeface="+mn-ea"/>
              <a:cs typeface="+mn-cs"/>
            </a:rPr>
            <a:t>. </a:t>
          </a:r>
        </a:p>
      </dgm:t>
    </dgm:pt>
    <dgm:pt modelId="{3DC2A227-5E38-466D-9E7A-FE675C5AAF8D}" type="parTrans" cxnId="{A4BDEF13-8EA2-4916-A0F4-2C7790EA7651}">
      <dgm:prSet/>
      <dgm:spPr>
        <a:xfrm>
          <a:off x="4969987" y="1047897"/>
          <a:ext cx="277104" cy="16968"/>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6A5B4D3-4102-474C-B77F-88DDBE21C1A9}" type="sibTrans" cxnId="{A4BDEF13-8EA2-4916-A0F4-2C7790EA7651}">
      <dgm:prSet/>
      <dgm:spPr/>
      <dgm:t>
        <a:bodyPr/>
        <a:lstStyle/>
        <a:p>
          <a:endParaRPr lang="en-US"/>
        </a:p>
      </dgm:t>
    </dgm:pt>
    <dgm:pt modelId="{375B9BD2-38A8-4177-8F13-8B28E3164C80}">
      <dgm:prSet custT="1"/>
      <dgm:spPr>
        <a:xfrm>
          <a:off x="3637496" y="1760340"/>
          <a:ext cx="1332490" cy="110224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2.2 لإطار الشراكة الإستراتيجية:  تحسين طاقة توليد الكهرباء وكفاءة استخدام الطاقة</a:t>
          </a:r>
          <a:endParaRPr lang="en-US" sz="1000" b="0">
            <a:solidFill>
              <a:sysClr val="window" lastClr="FFFFFF"/>
            </a:solidFill>
            <a:latin typeface="Calibri"/>
            <a:ea typeface="+mn-ea"/>
            <a:cs typeface="+mn-cs"/>
          </a:endParaRPr>
        </a:p>
      </dgm:t>
    </dgm:pt>
    <dgm:pt modelId="{B387A116-B323-4A12-9FCE-31C18192341A}" type="sibTrans" cxnId="{DC1AECDC-BB86-494B-B0B7-ED842C40EF16}">
      <dgm:prSet/>
      <dgm:spPr/>
      <dgm:t>
        <a:bodyPr/>
        <a:lstStyle/>
        <a:p>
          <a:endParaRPr lang="en-US"/>
        </a:p>
      </dgm:t>
    </dgm:pt>
    <dgm:pt modelId="{D8A3E6F6-57CD-4CD5-BA5C-61916E4C4DFE}" type="parTrans" cxnId="{DC1AECDC-BB86-494B-B0B7-ED842C40EF16}">
      <dgm:prSet/>
      <dgm:spPr>
        <a:xfrm rot="17321106">
          <a:off x="2676548" y="2992410"/>
          <a:ext cx="1455577" cy="16968"/>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E642913-D829-44B0-911E-D946C492A715}">
      <dgm:prSet custT="1"/>
      <dgm:spPr>
        <a:xfrm>
          <a:off x="3637496" y="4286175"/>
          <a:ext cx="1332490" cy="1116540"/>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2.4 لإطار الشراكة الإستراتيجية:  تعزيز سبل الحصول على خدمات محسَّنة للزراعة والري</a:t>
          </a:r>
          <a:endParaRPr lang="en-US" sz="1000" b="1">
            <a:solidFill>
              <a:sysClr val="window" lastClr="FFFFFF"/>
            </a:solidFill>
            <a:latin typeface="Calibri"/>
            <a:ea typeface="+mn-ea"/>
            <a:cs typeface="+mn-cs"/>
          </a:endParaRPr>
        </a:p>
      </dgm:t>
    </dgm:pt>
    <dgm:pt modelId="{8AA1C928-E2C4-4294-8AAA-1A41B7DB55BB}" type="parTrans" cxnId="{361318E3-2E21-4A6F-8714-F7413F275265}">
      <dgm:prSet/>
      <dgm:spPr>
        <a:xfrm rot="4079941">
          <a:off x="2781953" y="4258900"/>
          <a:ext cx="1244768" cy="16968"/>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C333629-F346-44DF-B91A-7E326C692D49}" type="sibTrans" cxnId="{361318E3-2E21-4A6F-8714-F7413F275265}">
      <dgm:prSet/>
      <dgm:spPr/>
      <dgm:t>
        <a:bodyPr/>
        <a:lstStyle/>
        <a:p>
          <a:endParaRPr lang="en-US"/>
        </a:p>
      </dgm:t>
    </dgm:pt>
    <dgm:pt modelId="{AC9DB7CC-EEA2-4881-A0E2-451CB2ABDC65}">
      <dgm:prSet custT="1"/>
      <dgm:spPr>
        <a:xfrm>
          <a:off x="5247105" y="2973192"/>
          <a:ext cx="1890577" cy="1142510"/>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تُشكِّل الاختناقات في البنية التحتية للنقل مُعوِّقات في طريق التجارة والقدرة على الانتقال وخلق الوظائف وتقديم الخدمات في أنحاء مصر، وتُؤثِّر على وجه الخصوص على التنمية المكانية في المناطق الأكثر فقرا.</a:t>
          </a:r>
          <a:endParaRPr lang="en-US" sz="1000" b="1" i="0">
            <a:solidFill>
              <a:sysClr val="window" lastClr="FFFFFF"/>
            </a:solidFill>
            <a:latin typeface="Calibri"/>
            <a:ea typeface="+mn-ea"/>
            <a:cs typeface="+mn-cs"/>
          </a:endParaRPr>
        </a:p>
      </dgm:t>
    </dgm:pt>
    <dgm:pt modelId="{9E70D98C-6C0D-4C96-8092-4A2632A41F6B}" type="parTrans" cxnId="{FE11816A-AAD8-4E74-A556-F2CA8262359C}">
      <dgm:prSet/>
      <dgm:spPr>
        <a:xfrm rot="832549">
          <a:off x="4984378" y="3503994"/>
          <a:ext cx="266616" cy="16968"/>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33B9A44-360B-420E-99B7-8DFF72C0B31A}" type="sibTrans" cxnId="{FE11816A-AAD8-4E74-A556-F2CA8262359C}">
      <dgm:prSet/>
      <dgm:spPr/>
      <dgm:t>
        <a:bodyPr/>
        <a:lstStyle/>
        <a:p>
          <a:endParaRPr lang="en-US"/>
        </a:p>
      </dgm:t>
    </dgm:pt>
    <dgm:pt modelId="{62CEF179-360D-4F53-A088-503B00B6C54D}">
      <dgm:prSet custT="1"/>
      <dgm:spPr>
        <a:xfrm>
          <a:off x="3637496" y="5620491"/>
          <a:ext cx="1332490" cy="920404"/>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2.5 لإطار الشراكة الإستراتيجية: تحسين سبل حصول المشروعات المتوسطة والصغيرة ومتناهية الصغر على التمويل</a:t>
          </a:r>
          <a:endParaRPr lang="en-US" sz="1000" b="0">
            <a:solidFill>
              <a:sysClr val="window" lastClr="FFFFFF"/>
            </a:solidFill>
            <a:latin typeface="Calibri"/>
            <a:ea typeface="+mn-ea"/>
            <a:cs typeface="+mn-cs"/>
          </a:endParaRPr>
        </a:p>
      </dgm:t>
    </dgm:pt>
    <dgm:pt modelId="{6EF710DB-E9BA-4196-9F36-846BD5B10A9B}" type="parTrans" cxnId="{0066F31F-F45C-4685-8A53-5C78C4A724AB}">
      <dgm:prSet/>
      <dgm:spPr>
        <a:xfrm rot="4737676">
          <a:off x="2186622" y="4877024"/>
          <a:ext cx="2435430" cy="16968"/>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C7DA5CD-3ABC-4574-846D-13A281CBBF43}" type="sibTrans" cxnId="{0066F31F-F45C-4685-8A53-5C78C4A724AB}">
      <dgm:prSet/>
      <dgm:spPr/>
      <dgm:t>
        <a:bodyPr/>
        <a:lstStyle/>
        <a:p>
          <a:endParaRPr lang="en-US"/>
        </a:p>
      </dgm:t>
    </dgm:pt>
    <dgm:pt modelId="{FF098634-2C13-42E2-8592-14464DA48602}">
      <dgm:prSet custT="1"/>
      <dgm:spPr>
        <a:xfrm>
          <a:off x="5247105" y="5573188"/>
          <a:ext cx="1902143" cy="1015011"/>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تضطلع المشروعات المتوسطة والصغيرة والمتناهية الصغر بدور مهيمن في توفير الوظائف، ولاسيما للفقراء. ويُشكِّل تعذُّر الحصول على التمويل عائقا كبيرا في تمكين هذه المشروعات من النمو وخلق فرص عمل.</a:t>
          </a:r>
          <a:endParaRPr lang="en-US" sz="1000" b="1" i="0">
            <a:solidFill>
              <a:sysClr val="window" lastClr="FFFFFF"/>
            </a:solidFill>
            <a:latin typeface="Calibri"/>
            <a:ea typeface="+mn-ea"/>
            <a:cs typeface="+mn-cs"/>
          </a:endParaRPr>
        </a:p>
      </dgm:t>
    </dgm:pt>
    <dgm:pt modelId="{193F56D7-42E8-4473-89C0-7AEF2809EFA5}" type="parTrans" cxnId="{F1455272-C96C-4A07-B6EF-6601E33E4E35}">
      <dgm:prSet/>
      <dgm:spPr>
        <a:xfrm>
          <a:off x="4969987" y="6072209"/>
          <a:ext cx="277118" cy="16968"/>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263024D-59B9-40AA-A168-DE5387A5DD79}" type="sibTrans" cxnId="{F1455272-C96C-4A07-B6EF-6601E33E4E35}">
      <dgm:prSet/>
      <dgm:spPr/>
      <dgm:t>
        <a:bodyPr/>
        <a:lstStyle/>
        <a:p>
          <a:endParaRPr lang="en-US"/>
        </a:p>
      </dgm:t>
    </dgm:pt>
    <dgm:pt modelId="{FA052810-65AA-4D9A-8F24-DF68248E9A57}">
      <dgm:prSet custT="1"/>
      <dgm:spPr>
        <a:xfrm>
          <a:off x="3655778" y="2991378"/>
          <a:ext cx="1332490" cy="97826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2.3 لإطار الشراكة الإستراتيجية:  تعزيز قدرات وسلامة البنية التحتية الأساسية والخدمات لقطاع النقل</a:t>
          </a:r>
          <a:endParaRPr lang="en-US" sz="1000">
            <a:solidFill>
              <a:sysClr val="window" lastClr="FFFFFF"/>
            </a:solidFill>
            <a:latin typeface="Calibri"/>
            <a:ea typeface="+mn-ea"/>
            <a:cs typeface="+mn-cs"/>
          </a:endParaRPr>
        </a:p>
      </dgm:t>
    </dgm:pt>
    <dgm:pt modelId="{18B1807D-B576-4245-A169-647AA31D11A0}" type="sibTrans" cxnId="{9FAE5098-332F-4860-9542-C2F5661B394A}">
      <dgm:prSet/>
      <dgm:spPr/>
      <dgm:t>
        <a:bodyPr/>
        <a:lstStyle/>
        <a:p>
          <a:pPr algn="ctr"/>
          <a:endParaRPr lang="en-US"/>
        </a:p>
      </dgm:t>
    </dgm:pt>
    <dgm:pt modelId="{88FB2B82-3C0D-4F7D-B852-BE5A9BA8DA70}" type="parTrans" cxnId="{9FAE5098-332F-4860-9542-C2F5661B394A}">
      <dgm:prSet/>
      <dgm:spPr>
        <a:xfrm rot="20195340">
          <a:off x="3149442" y="3576932"/>
          <a:ext cx="528071" cy="16968"/>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6CA5801-AF30-4BCA-8B7D-59F239E7E7EE}">
      <dgm:prSet custT="1"/>
      <dgm:spPr>
        <a:xfrm>
          <a:off x="1532521" y="2442173"/>
          <a:ext cx="1695807" cy="469209"/>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مجال التركيز 1 : تحسين نظام الإدارة العامة والحوكمة</a:t>
          </a:r>
          <a:endParaRPr lang="en-US" sz="1000">
            <a:solidFill>
              <a:sysClr val="window" lastClr="FFFFFF"/>
            </a:solidFill>
            <a:latin typeface="Calibri"/>
            <a:ea typeface="+mn-ea"/>
            <a:cs typeface="+mn-cs"/>
          </a:endParaRPr>
        </a:p>
      </dgm:t>
    </dgm:pt>
    <dgm:pt modelId="{F81B72E7-9F51-41ED-9CFB-635FC14865F6}" type="parTrans" cxnId="{A130BF23-E77B-4B73-BEDC-647FD86D128A}">
      <dgm:prSet/>
      <dgm:spPr>
        <a:xfrm rot="17193526">
          <a:off x="833981" y="3189361"/>
          <a:ext cx="1087223" cy="16968"/>
        </a:xfrm>
        <a:noFill/>
        <a:ln w="25400" cap="flat" cmpd="sng" algn="ctr">
          <a:solidFill>
            <a:srgbClr val="8064A2">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40FB04D-59A9-4772-A9C8-558E940C5576}" type="sibTrans" cxnId="{A130BF23-E77B-4B73-BEDC-647FD86D128A}">
      <dgm:prSet/>
      <dgm:spPr/>
      <dgm:t>
        <a:bodyPr/>
        <a:lstStyle/>
        <a:p>
          <a:endParaRPr lang="en-US"/>
        </a:p>
      </dgm:t>
    </dgm:pt>
    <dgm:pt modelId="{D7826509-EC2B-4A24-B843-7A7EBCCFB9CF}" type="pres">
      <dgm:prSet presAssocID="{B2DA112D-E788-4E8A-97F5-84B632DEEE01}" presName="diagram" presStyleCnt="0">
        <dgm:presLayoutVars>
          <dgm:chPref val="1"/>
          <dgm:dir val="rev"/>
          <dgm:animOne val="branch"/>
          <dgm:animLvl val="lvl"/>
          <dgm:resizeHandles val="exact"/>
        </dgm:presLayoutVars>
      </dgm:prSet>
      <dgm:spPr/>
      <dgm:t>
        <a:bodyPr/>
        <a:lstStyle/>
        <a:p>
          <a:endParaRPr lang="en-US"/>
        </a:p>
      </dgm:t>
    </dgm:pt>
    <dgm:pt modelId="{5BEFC538-B3B9-40A9-894F-0288C31C9C57}" type="pres">
      <dgm:prSet presAssocID="{64EF3316-BBB7-409A-9DC1-A5A6ACF80C6D}" presName="root1" presStyleCnt="0"/>
      <dgm:spPr/>
      <dgm:t>
        <a:bodyPr/>
        <a:lstStyle/>
        <a:p>
          <a:endParaRPr lang="en-US"/>
        </a:p>
      </dgm:t>
    </dgm:pt>
    <dgm:pt modelId="{734CEE8B-6FA1-42D1-8DA6-E887A40B5820}" type="pres">
      <dgm:prSet presAssocID="{64EF3316-BBB7-409A-9DC1-A5A6ACF80C6D}" presName="LevelOneTextNode" presStyleLbl="node0" presStyleIdx="0" presStyleCnt="1" custScaleX="69961" custScaleY="186369" custLinFactNeighborX="21445" custLinFactNeighborY="-80061">
        <dgm:presLayoutVars>
          <dgm:chPref val="3"/>
        </dgm:presLayoutVars>
      </dgm:prSet>
      <dgm:spPr>
        <a:prstGeom prst="roundRect">
          <a:avLst>
            <a:gd name="adj" fmla="val 10000"/>
          </a:avLst>
        </a:prstGeom>
      </dgm:spPr>
      <dgm:t>
        <a:bodyPr/>
        <a:lstStyle/>
        <a:p>
          <a:endParaRPr lang="en-US"/>
        </a:p>
      </dgm:t>
    </dgm:pt>
    <dgm:pt modelId="{9EEA43A2-A199-44EC-8898-3041A5F87FCB}" type="pres">
      <dgm:prSet presAssocID="{64EF3316-BBB7-409A-9DC1-A5A6ACF80C6D}" presName="level2hierChild" presStyleCnt="0"/>
      <dgm:spPr/>
      <dgm:t>
        <a:bodyPr/>
        <a:lstStyle/>
        <a:p>
          <a:endParaRPr lang="en-US"/>
        </a:p>
      </dgm:t>
    </dgm:pt>
    <dgm:pt modelId="{05B31C23-4D55-4071-88F4-C6C57CE176E1}" type="pres">
      <dgm:prSet presAssocID="{205397FA-208D-48E9-A74B-D72BAB00A137}" presName="conn2-1" presStyleLbl="parChTrans1D2" presStyleIdx="0" presStyleCnt="3"/>
      <dgm:spPr>
        <a:custGeom>
          <a:avLst/>
          <a:gdLst/>
          <a:ahLst/>
          <a:cxnLst/>
          <a:rect l="0" t="0" r="0" b="0"/>
          <a:pathLst>
            <a:path>
              <a:moveTo>
                <a:pt x="0" y="11282"/>
              </a:moveTo>
              <a:lnTo>
                <a:pt x="681158" y="11282"/>
              </a:lnTo>
            </a:path>
          </a:pathLst>
        </a:custGeom>
      </dgm:spPr>
      <dgm:t>
        <a:bodyPr/>
        <a:lstStyle/>
        <a:p>
          <a:endParaRPr lang="en-US"/>
        </a:p>
      </dgm:t>
    </dgm:pt>
    <dgm:pt modelId="{A4EE937D-B408-45A3-A5E6-5EB4DDEF254C}" type="pres">
      <dgm:prSet presAssocID="{205397FA-208D-48E9-A74B-D72BAB00A137}" presName="connTx" presStyleLbl="parChTrans1D2" presStyleIdx="0" presStyleCnt="3"/>
      <dgm:spPr/>
      <dgm:t>
        <a:bodyPr/>
        <a:lstStyle/>
        <a:p>
          <a:endParaRPr lang="en-US"/>
        </a:p>
      </dgm:t>
    </dgm:pt>
    <dgm:pt modelId="{BC0E2788-3D9B-45CD-A96E-6F83779BD7A7}" type="pres">
      <dgm:prSet presAssocID="{AADE609D-5C31-49AA-8D26-308B791CF2BF}" presName="root2" presStyleCnt="0"/>
      <dgm:spPr/>
      <dgm:t>
        <a:bodyPr/>
        <a:lstStyle/>
        <a:p>
          <a:endParaRPr lang="en-US"/>
        </a:p>
      </dgm:t>
    </dgm:pt>
    <dgm:pt modelId="{1D995411-AD4A-4D44-89A3-4CA74B3E624C}" type="pres">
      <dgm:prSet presAssocID="{AADE609D-5C31-49AA-8D26-308B791CF2BF}" presName="LevelTwoTextNode" presStyleLbl="node2" presStyleIdx="0" presStyleCnt="3" custScaleX="122672" custScaleY="130472" custLinFactNeighborX="5004" custLinFactNeighborY="25733">
        <dgm:presLayoutVars>
          <dgm:chPref val="3"/>
        </dgm:presLayoutVars>
      </dgm:prSet>
      <dgm:spPr>
        <a:prstGeom prst="roundRect">
          <a:avLst>
            <a:gd name="adj" fmla="val 10000"/>
          </a:avLst>
        </a:prstGeom>
      </dgm:spPr>
      <dgm:t>
        <a:bodyPr/>
        <a:lstStyle/>
        <a:p>
          <a:endParaRPr lang="en-US"/>
        </a:p>
      </dgm:t>
    </dgm:pt>
    <dgm:pt modelId="{0759D191-BE40-4E28-B288-6C15CEF10618}" type="pres">
      <dgm:prSet presAssocID="{AADE609D-5C31-49AA-8D26-308B791CF2BF}" presName="level3hierChild" presStyleCnt="0"/>
      <dgm:spPr/>
      <dgm:t>
        <a:bodyPr/>
        <a:lstStyle/>
        <a:p>
          <a:endParaRPr lang="en-US"/>
        </a:p>
      </dgm:t>
    </dgm:pt>
    <dgm:pt modelId="{EFFE82EA-51F5-466E-B789-11FCD94A28B2}" type="pres">
      <dgm:prSet presAssocID="{F257DDD2-3E63-4EC0-8501-119379D99C8B}" presName="conn2-1" presStyleLbl="parChTrans1D3" presStyleIdx="0" presStyleCnt="5"/>
      <dgm:spPr>
        <a:custGeom>
          <a:avLst/>
          <a:gdLst/>
          <a:ahLst/>
          <a:cxnLst/>
          <a:rect l="0" t="0" r="0" b="0"/>
          <a:pathLst>
            <a:path>
              <a:moveTo>
                <a:pt x="0" y="8846"/>
              </a:moveTo>
              <a:lnTo>
                <a:pt x="2608565" y="8846"/>
              </a:lnTo>
            </a:path>
          </a:pathLst>
        </a:custGeom>
      </dgm:spPr>
      <dgm:t>
        <a:bodyPr/>
        <a:lstStyle/>
        <a:p>
          <a:endParaRPr lang="en-US"/>
        </a:p>
      </dgm:t>
    </dgm:pt>
    <dgm:pt modelId="{2E8D370F-E965-4AB7-96CF-25D23998651D}" type="pres">
      <dgm:prSet presAssocID="{F257DDD2-3E63-4EC0-8501-119379D99C8B}" presName="connTx" presStyleLbl="parChTrans1D3" presStyleIdx="0" presStyleCnt="5"/>
      <dgm:spPr/>
      <dgm:t>
        <a:bodyPr/>
        <a:lstStyle/>
        <a:p>
          <a:endParaRPr lang="en-US"/>
        </a:p>
      </dgm:t>
    </dgm:pt>
    <dgm:pt modelId="{B7F4E74B-EB83-4537-AF24-74A872FC675C}" type="pres">
      <dgm:prSet presAssocID="{A9756BE1-3646-4709-90AF-AC1E9971FE48}" presName="root2" presStyleCnt="0"/>
      <dgm:spPr/>
      <dgm:t>
        <a:bodyPr/>
        <a:lstStyle/>
        <a:p>
          <a:endParaRPr lang="en-US"/>
        </a:p>
      </dgm:t>
    </dgm:pt>
    <dgm:pt modelId="{94EF3E8E-7896-4A41-9E93-E3DC2A7DA069}" type="pres">
      <dgm:prSet presAssocID="{A9756BE1-3646-4709-90AF-AC1E9971FE48}" presName="LevelTwoTextNode" presStyleLbl="node3" presStyleIdx="0" presStyleCnt="5" custScaleY="167962">
        <dgm:presLayoutVars>
          <dgm:chPref val="3"/>
        </dgm:presLayoutVars>
      </dgm:prSet>
      <dgm:spPr>
        <a:prstGeom prst="roundRect">
          <a:avLst>
            <a:gd name="adj" fmla="val 10000"/>
          </a:avLst>
        </a:prstGeom>
      </dgm:spPr>
      <dgm:t>
        <a:bodyPr/>
        <a:lstStyle/>
        <a:p>
          <a:endParaRPr lang="en-US"/>
        </a:p>
      </dgm:t>
    </dgm:pt>
    <dgm:pt modelId="{C8F3D0F9-04B6-47C6-AB82-98462E38F116}" type="pres">
      <dgm:prSet presAssocID="{A9756BE1-3646-4709-90AF-AC1E9971FE48}" presName="level3hierChild" presStyleCnt="0"/>
      <dgm:spPr/>
      <dgm:t>
        <a:bodyPr/>
        <a:lstStyle/>
        <a:p>
          <a:endParaRPr lang="en-US"/>
        </a:p>
      </dgm:t>
    </dgm:pt>
    <dgm:pt modelId="{CF4C494B-0011-4782-962C-C11C5CBC282E}" type="pres">
      <dgm:prSet presAssocID="{3DC2A227-5E38-466D-9E7A-FE675C5AAF8D}" presName="conn2-1" presStyleLbl="parChTrans1D4" presStyleIdx="0" presStyleCnt="5"/>
      <dgm:spPr>
        <a:custGeom>
          <a:avLst/>
          <a:gdLst/>
          <a:ahLst/>
          <a:cxnLst/>
          <a:rect l="0" t="0" r="0" b="0"/>
          <a:pathLst>
            <a:path>
              <a:moveTo>
                <a:pt x="0" y="11282"/>
              </a:moveTo>
              <a:lnTo>
                <a:pt x="553111" y="11282"/>
              </a:lnTo>
            </a:path>
          </a:pathLst>
        </a:custGeom>
      </dgm:spPr>
      <dgm:t>
        <a:bodyPr/>
        <a:lstStyle/>
        <a:p>
          <a:endParaRPr lang="en-US"/>
        </a:p>
      </dgm:t>
    </dgm:pt>
    <dgm:pt modelId="{58A74DEB-C540-4E7D-B6A4-B0D5B6A350AD}" type="pres">
      <dgm:prSet presAssocID="{3DC2A227-5E38-466D-9E7A-FE675C5AAF8D}" presName="connTx" presStyleLbl="parChTrans1D4" presStyleIdx="0" presStyleCnt="5"/>
      <dgm:spPr/>
      <dgm:t>
        <a:bodyPr/>
        <a:lstStyle/>
        <a:p>
          <a:endParaRPr lang="en-US"/>
        </a:p>
      </dgm:t>
    </dgm:pt>
    <dgm:pt modelId="{5538BE5C-D826-4E7A-8186-BF556A74EAA3}" type="pres">
      <dgm:prSet presAssocID="{773299C6-0180-45E1-A55F-5C2A39C3405A}" presName="root2" presStyleCnt="0"/>
      <dgm:spPr/>
      <dgm:t>
        <a:bodyPr/>
        <a:lstStyle/>
        <a:p>
          <a:endParaRPr lang="en-US"/>
        </a:p>
      </dgm:t>
    </dgm:pt>
    <dgm:pt modelId="{EED096D6-5D75-4A02-8524-67AD870D3E3C}" type="pres">
      <dgm:prSet presAssocID="{773299C6-0180-45E1-A55F-5C2A39C3405A}" presName="LevelTwoTextNode" presStyleLbl="node4" presStyleIdx="0" presStyleCnt="5" custScaleX="141332" custScaleY="173219" custLinFactNeighborX="-19204">
        <dgm:presLayoutVars>
          <dgm:chPref val="3"/>
        </dgm:presLayoutVars>
      </dgm:prSet>
      <dgm:spPr>
        <a:prstGeom prst="roundRect">
          <a:avLst>
            <a:gd name="adj" fmla="val 10000"/>
          </a:avLst>
        </a:prstGeom>
      </dgm:spPr>
      <dgm:t>
        <a:bodyPr/>
        <a:lstStyle/>
        <a:p>
          <a:endParaRPr lang="en-US"/>
        </a:p>
      </dgm:t>
    </dgm:pt>
    <dgm:pt modelId="{C74E5896-E276-43C2-9B60-5A38A1B17490}" type="pres">
      <dgm:prSet presAssocID="{773299C6-0180-45E1-A55F-5C2A39C3405A}" presName="level3hierChild" presStyleCnt="0"/>
      <dgm:spPr/>
      <dgm:t>
        <a:bodyPr/>
        <a:lstStyle/>
        <a:p>
          <a:endParaRPr lang="en-US"/>
        </a:p>
      </dgm:t>
    </dgm:pt>
    <dgm:pt modelId="{20E236EB-3137-4886-B4B5-8168AB828BF7}" type="pres">
      <dgm:prSet presAssocID="{D8A3E6F6-57CD-4CD5-BA5C-61916E4C4DFE}" presName="conn2-1" presStyleLbl="parChTrans1D3" presStyleIdx="1" presStyleCnt="5"/>
      <dgm:spPr>
        <a:custGeom>
          <a:avLst/>
          <a:gdLst/>
          <a:ahLst/>
          <a:cxnLst/>
          <a:rect l="0" t="0" r="0" b="0"/>
          <a:pathLst>
            <a:path>
              <a:moveTo>
                <a:pt x="0" y="8846"/>
              </a:moveTo>
              <a:lnTo>
                <a:pt x="1393521" y="8846"/>
              </a:lnTo>
            </a:path>
          </a:pathLst>
        </a:custGeom>
      </dgm:spPr>
      <dgm:t>
        <a:bodyPr/>
        <a:lstStyle/>
        <a:p>
          <a:endParaRPr lang="en-US"/>
        </a:p>
      </dgm:t>
    </dgm:pt>
    <dgm:pt modelId="{966F4E88-F54D-4893-BBF1-AB63377F9A77}" type="pres">
      <dgm:prSet presAssocID="{D8A3E6F6-57CD-4CD5-BA5C-61916E4C4DFE}" presName="connTx" presStyleLbl="parChTrans1D3" presStyleIdx="1" presStyleCnt="5"/>
      <dgm:spPr/>
      <dgm:t>
        <a:bodyPr/>
        <a:lstStyle/>
        <a:p>
          <a:endParaRPr lang="en-US"/>
        </a:p>
      </dgm:t>
    </dgm:pt>
    <dgm:pt modelId="{E603BDC6-5CA9-4030-B86E-8AF5125A4AB9}" type="pres">
      <dgm:prSet presAssocID="{375B9BD2-38A8-4177-8F13-8B28E3164C80}" presName="root2" presStyleCnt="0"/>
      <dgm:spPr/>
      <dgm:t>
        <a:bodyPr/>
        <a:lstStyle/>
        <a:p>
          <a:endParaRPr lang="en-US"/>
        </a:p>
      </dgm:t>
    </dgm:pt>
    <dgm:pt modelId="{69104445-069C-45C0-90CA-86EE94ED0130}" type="pres">
      <dgm:prSet presAssocID="{375B9BD2-38A8-4177-8F13-8B28E3164C80}" presName="LevelTwoTextNode" presStyleLbl="node3" presStyleIdx="1" presStyleCnt="5" custScaleY="165442" custLinFactNeighborY="1225">
        <dgm:presLayoutVars>
          <dgm:chPref val="3"/>
        </dgm:presLayoutVars>
      </dgm:prSet>
      <dgm:spPr>
        <a:prstGeom prst="roundRect">
          <a:avLst>
            <a:gd name="adj" fmla="val 10000"/>
          </a:avLst>
        </a:prstGeom>
      </dgm:spPr>
      <dgm:t>
        <a:bodyPr/>
        <a:lstStyle/>
        <a:p>
          <a:endParaRPr lang="en-US"/>
        </a:p>
      </dgm:t>
    </dgm:pt>
    <dgm:pt modelId="{F230DD37-E30F-4E7F-AD22-4F0EB6B011C7}" type="pres">
      <dgm:prSet presAssocID="{375B9BD2-38A8-4177-8F13-8B28E3164C80}" presName="level3hierChild" presStyleCnt="0"/>
      <dgm:spPr/>
      <dgm:t>
        <a:bodyPr/>
        <a:lstStyle/>
        <a:p>
          <a:endParaRPr lang="en-US"/>
        </a:p>
      </dgm:t>
    </dgm:pt>
    <dgm:pt modelId="{8974D137-BAD8-4FE1-9EBE-BCE0E9762E08}" type="pres">
      <dgm:prSet presAssocID="{B2FFDC92-9FE5-4351-971F-DF67D6252FE1}" presName="conn2-1" presStyleLbl="parChTrans1D4" presStyleIdx="1" presStyleCnt="5"/>
      <dgm:spPr>
        <a:custGeom>
          <a:avLst/>
          <a:gdLst/>
          <a:ahLst/>
          <a:cxnLst/>
          <a:rect l="0" t="0" r="0" b="0"/>
          <a:pathLst>
            <a:path>
              <a:moveTo>
                <a:pt x="0" y="11282"/>
              </a:moveTo>
              <a:lnTo>
                <a:pt x="553111" y="11282"/>
              </a:lnTo>
            </a:path>
          </a:pathLst>
        </a:custGeom>
      </dgm:spPr>
      <dgm:t>
        <a:bodyPr/>
        <a:lstStyle/>
        <a:p>
          <a:endParaRPr lang="en-US"/>
        </a:p>
      </dgm:t>
    </dgm:pt>
    <dgm:pt modelId="{1F75B6FD-3946-44DF-AEF6-D2EB5A83BEB1}" type="pres">
      <dgm:prSet presAssocID="{B2FFDC92-9FE5-4351-971F-DF67D6252FE1}" presName="connTx" presStyleLbl="parChTrans1D4" presStyleIdx="1" presStyleCnt="5"/>
      <dgm:spPr/>
      <dgm:t>
        <a:bodyPr/>
        <a:lstStyle/>
        <a:p>
          <a:endParaRPr lang="en-US"/>
        </a:p>
      </dgm:t>
    </dgm:pt>
    <dgm:pt modelId="{5A1088E5-2ADB-49EC-B0F6-34F985683045}" type="pres">
      <dgm:prSet presAssocID="{E5129055-9D53-45C7-B78C-9F0D38F5B7A3}" presName="root2" presStyleCnt="0"/>
      <dgm:spPr/>
      <dgm:t>
        <a:bodyPr/>
        <a:lstStyle/>
        <a:p>
          <a:endParaRPr lang="en-US"/>
        </a:p>
      </dgm:t>
    </dgm:pt>
    <dgm:pt modelId="{7AE194F6-F46C-4D0A-81CB-13FAF3BEA03D}" type="pres">
      <dgm:prSet presAssocID="{E5129055-9D53-45C7-B78C-9F0D38F5B7A3}" presName="LevelTwoTextNode" presStyleLbl="node4" presStyleIdx="1" presStyleCnt="5" custScaleX="141332" custScaleY="171094" custLinFactNeighborX="-19203">
        <dgm:presLayoutVars>
          <dgm:chPref val="3"/>
        </dgm:presLayoutVars>
      </dgm:prSet>
      <dgm:spPr>
        <a:prstGeom prst="roundRect">
          <a:avLst>
            <a:gd name="adj" fmla="val 10000"/>
          </a:avLst>
        </a:prstGeom>
      </dgm:spPr>
      <dgm:t>
        <a:bodyPr/>
        <a:lstStyle/>
        <a:p>
          <a:endParaRPr lang="en-US"/>
        </a:p>
      </dgm:t>
    </dgm:pt>
    <dgm:pt modelId="{7AEDAA98-E1FA-445A-8809-07013A3BB789}" type="pres">
      <dgm:prSet presAssocID="{E5129055-9D53-45C7-B78C-9F0D38F5B7A3}" presName="level3hierChild" presStyleCnt="0"/>
      <dgm:spPr/>
      <dgm:t>
        <a:bodyPr/>
        <a:lstStyle/>
        <a:p>
          <a:endParaRPr lang="en-US"/>
        </a:p>
      </dgm:t>
    </dgm:pt>
    <dgm:pt modelId="{3D4DD8BF-D887-44BA-A9E0-2A5CEB616BF1}" type="pres">
      <dgm:prSet presAssocID="{88FB2B82-3C0D-4F7D-B852-BE5A9BA8DA70}" presName="conn2-1" presStyleLbl="parChTrans1D3" presStyleIdx="2" presStyleCnt="5"/>
      <dgm:spPr>
        <a:custGeom>
          <a:avLst/>
          <a:gdLst/>
          <a:ahLst/>
          <a:cxnLst/>
          <a:rect l="0" t="0" r="0" b="0"/>
          <a:pathLst>
            <a:path>
              <a:moveTo>
                <a:pt x="0" y="8846"/>
              </a:moveTo>
              <a:lnTo>
                <a:pt x="555803" y="8846"/>
              </a:lnTo>
            </a:path>
          </a:pathLst>
        </a:custGeom>
      </dgm:spPr>
      <dgm:t>
        <a:bodyPr/>
        <a:lstStyle/>
        <a:p>
          <a:endParaRPr lang="en-US"/>
        </a:p>
      </dgm:t>
    </dgm:pt>
    <dgm:pt modelId="{2B823AA3-0F36-45C7-A459-C4335A1B6943}" type="pres">
      <dgm:prSet presAssocID="{88FB2B82-3C0D-4F7D-B852-BE5A9BA8DA70}" presName="connTx" presStyleLbl="parChTrans1D3" presStyleIdx="2" presStyleCnt="5"/>
      <dgm:spPr/>
      <dgm:t>
        <a:bodyPr/>
        <a:lstStyle/>
        <a:p>
          <a:endParaRPr lang="en-US"/>
        </a:p>
      </dgm:t>
    </dgm:pt>
    <dgm:pt modelId="{4892816A-A7BF-4948-BF21-EECA87EDDB09}" type="pres">
      <dgm:prSet presAssocID="{FA052810-65AA-4D9A-8F24-DF68248E9A57}" presName="root2" presStyleCnt="0"/>
      <dgm:spPr/>
      <dgm:t>
        <a:bodyPr/>
        <a:lstStyle/>
        <a:p>
          <a:endParaRPr lang="en-US"/>
        </a:p>
      </dgm:t>
    </dgm:pt>
    <dgm:pt modelId="{AFB06027-6012-404C-8EBA-8BB6BE1321CF}" type="pres">
      <dgm:prSet presAssocID="{FA052810-65AA-4D9A-8F24-DF68248E9A57}" presName="LevelTwoTextNode" presStyleLbl="node3" presStyleIdx="2" presStyleCnt="5" custScaleY="146832" custLinFactNeighborX="1372" custLinFactNeighborY="-9597">
        <dgm:presLayoutVars>
          <dgm:chPref val="3"/>
        </dgm:presLayoutVars>
      </dgm:prSet>
      <dgm:spPr>
        <a:prstGeom prst="roundRect">
          <a:avLst>
            <a:gd name="adj" fmla="val 10000"/>
          </a:avLst>
        </a:prstGeom>
      </dgm:spPr>
      <dgm:t>
        <a:bodyPr/>
        <a:lstStyle/>
        <a:p>
          <a:endParaRPr lang="en-US"/>
        </a:p>
      </dgm:t>
    </dgm:pt>
    <dgm:pt modelId="{C68A4967-6771-4065-89B6-4FDD2BF11C49}" type="pres">
      <dgm:prSet presAssocID="{FA052810-65AA-4D9A-8F24-DF68248E9A57}" presName="level3hierChild" presStyleCnt="0"/>
      <dgm:spPr/>
      <dgm:t>
        <a:bodyPr/>
        <a:lstStyle/>
        <a:p>
          <a:endParaRPr lang="en-US"/>
        </a:p>
      </dgm:t>
    </dgm:pt>
    <dgm:pt modelId="{594D0E26-8009-4783-8313-B12B4F6A2D21}" type="pres">
      <dgm:prSet presAssocID="{9E70D98C-6C0D-4C96-8092-4A2632A41F6B}" presName="conn2-1" presStyleLbl="parChTrans1D4" presStyleIdx="2" presStyleCnt="5"/>
      <dgm:spPr>
        <a:custGeom>
          <a:avLst/>
          <a:gdLst/>
          <a:ahLst/>
          <a:cxnLst/>
          <a:rect l="0" t="0" r="0" b="0"/>
          <a:pathLst>
            <a:path>
              <a:moveTo>
                <a:pt x="0" y="11282"/>
              </a:moveTo>
              <a:lnTo>
                <a:pt x="553111" y="11282"/>
              </a:lnTo>
            </a:path>
          </a:pathLst>
        </a:custGeom>
      </dgm:spPr>
      <dgm:t>
        <a:bodyPr/>
        <a:lstStyle/>
        <a:p>
          <a:endParaRPr lang="en-US"/>
        </a:p>
      </dgm:t>
    </dgm:pt>
    <dgm:pt modelId="{20ACC90E-7955-4CBA-AAD1-FAE8592CB938}" type="pres">
      <dgm:prSet presAssocID="{9E70D98C-6C0D-4C96-8092-4A2632A41F6B}" presName="connTx" presStyleLbl="parChTrans1D4" presStyleIdx="2" presStyleCnt="5"/>
      <dgm:spPr/>
      <dgm:t>
        <a:bodyPr/>
        <a:lstStyle/>
        <a:p>
          <a:endParaRPr lang="en-US"/>
        </a:p>
      </dgm:t>
    </dgm:pt>
    <dgm:pt modelId="{638CB2EA-8468-48CE-96F1-7D0CC978DF28}" type="pres">
      <dgm:prSet presAssocID="{AC9DB7CC-EEA2-4881-A0E2-451CB2ABDC65}" presName="root2" presStyleCnt="0"/>
      <dgm:spPr/>
      <dgm:t>
        <a:bodyPr/>
        <a:lstStyle/>
        <a:p>
          <a:endParaRPr lang="en-US"/>
        </a:p>
      </dgm:t>
    </dgm:pt>
    <dgm:pt modelId="{C7863CB3-A1A7-4C08-92BF-FAE2574D6A41}" type="pres">
      <dgm:prSet presAssocID="{AC9DB7CC-EEA2-4881-A0E2-451CB2ABDC65}" presName="LevelTwoTextNode" presStyleLbl="node4" presStyleIdx="2" presStyleCnt="5" custScaleX="141883" custScaleY="171485" custLinFactNeighborX="-19203">
        <dgm:presLayoutVars>
          <dgm:chPref val="3"/>
        </dgm:presLayoutVars>
      </dgm:prSet>
      <dgm:spPr>
        <a:prstGeom prst="roundRect">
          <a:avLst>
            <a:gd name="adj" fmla="val 10000"/>
          </a:avLst>
        </a:prstGeom>
      </dgm:spPr>
      <dgm:t>
        <a:bodyPr/>
        <a:lstStyle/>
        <a:p>
          <a:endParaRPr lang="en-US"/>
        </a:p>
      </dgm:t>
    </dgm:pt>
    <dgm:pt modelId="{50B94742-BEE4-429C-89B6-F5C19DB14058}" type="pres">
      <dgm:prSet presAssocID="{AC9DB7CC-EEA2-4881-A0E2-451CB2ABDC65}" presName="level3hierChild" presStyleCnt="0"/>
      <dgm:spPr/>
      <dgm:t>
        <a:bodyPr/>
        <a:lstStyle/>
        <a:p>
          <a:endParaRPr lang="en-US"/>
        </a:p>
      </dgm:t>
    </dgm:pt>
    <dgm:pt modelId="{D2391722-61AF-4B89-A342-E19182DD6EA5}" type="pres">
      <dgm:prSet presAssocID="{8AA1C928-E2C4-4294-8AAA-1A41B7DB55BB}" presName="conn2-1" presStyleLbl="parChTrans1D3" presStyleIdx="3" presStyleCnt="5"/>
      <dgm:spPr>
        <a:custGeom>
          <a:avLst/>
          <a:gdLst/>
          <a:ahLst/>
          <a:cxnLst/>
          <a:rect l="0" t="0" r="0" b="0"/>
          <a:pathLst>
            <a:path>
              <a:moveTo>
                <a:pt x="0" y="8846"/>
              </a:moveTo>
              <a:lnTo>
                <a:pt x="1472141" y="8846"/>
              </a:lnTo>
            </a:path>
          </a:pathLst>
        </a:custGeom>
      </dgm:spPr>
      <dgm:t>
        <a:bodyPr/>
        <a:lstStyle/>
        <a:p>
          <a:endParaRPr lang="en-US"/>
        </a:p>
      </dgm:t>
    </dgm:pt>
    <dgm:pt modelId="{A8619188-6935-422A-A84D-9D55B441A82C}" type="pres">
      <dgm:prSet presAssocID="{8AA1C928-E2C4-4294-8AAA-1A41B7DB55BB}" presName="connTx" presStyleLbl="parChTrans1D3" presStyleIdx="3" presStyleCnt="5"/>
      <dgm:spPr/>
      <dgm:t>
        <a:bodyPr/>
        <a:lstStyle/>
        <a:p>
          <a:endParaRPr lang="en-US"/>
        </a:p>
      </dgm:t>
    </dgm:pt>
    <dgm:pt modelId="{9DF04E6C-FF5B-494D-96B9-501559BF30F9}" type="pres">
      <dgm:prSet presAssocID="{DE642913-D829-44B0-911E-D946C492A715}" presName="root2" presStyleCnt="0"/>
      <dgm:spPr/>
      <dgm:t>
        <a:bodyPr/>
        <a:lstStyle/>
        <a:p>
          <a:endParaRPr lang="en-US"/>
        </a:p>
      </dgm:t>
    </dgm:pt>
    <dgm:pt modelId="{D6A3D829-C137-4405-8A2D-796F04C33BB6}" type="pres">
      <dgm:prSet presAssocID="{DE642913-D829-44B0-911E-D946C492A715}" presName="LevelTwoTextNode" presStyleLbl="node3" presStyleIdx="3" presStyleCnt="5" custScaleY="167587">
        <dgm:presLayoutVars>
          <dgm:chPref val="3"/>
        </dgm:presLayoutVars>
      </dgm:prSet>
      <dgm:spPr>
        <a:prstGeom prst="roundRect">
          <a:avLst>
            <a:gd name="adj" fmla="val 10000"/>
          </a:avLst>
        </a:prstGeom>
      </dgm:spPr>
      <dgm:t>
        <a:bodyPr/>
        <a:lstStyle/>
        <a:p>
          <a:endParaRPr lang="en-US"/>
        </a:p>
      </dgm:t>
    </dgm:pt>
    <dgm:pt modelId="{0F386B90-2B48-40E5-9CB6-9BC79F5A0AF0}" type="pres">
      <dgm:prSet presAssocID="{DE642913-D829-44B0-911E-D946C492A715}" presName="level3hierChild" presStyleCnt="0"/>
      <dgm:spPr/>
      <dgm:t>
        <a:bodyPr/>
        <a:lstStyle/>
        <a:p>
          <a:endParaRPr lang="en-US"/>
        </a:p>
      </dgm:t>
    </dgm:pt>
    <dgm:pt modelId="{87194154-B110-45D8-B4A0-BC12E86637C7}" type="pres">
      <dgm:prSet presAssocID="{FC2332B3-B99A-4C57-8D62-B819835B3AB2}" presName="conn2-1" presStyleLbl="parChTrans1D4" presStyleIdx="3" presStyleCnt="5"/>
      <dgm:spPr>
        <a:custGeom>
          <a:avLst/>
          <a:gdLst/>
          <a:ahLst/>
          <a:cxnLst/>
          <a:rect l="0" t="0" r="0" b="0"/>
          <a:pathLst>
            <a:path>
              <a:moveTo>
                <a:pt x="0" y="11282"/>
              </a:moveTo>
              <a:lnTo>
                <a:pt x="553111" y="11282"/>
              </a:lnTo>
            </a:path>
          </a:pathLst>
        </a:custGeom>
      </dgm:spPr>
      <dgm:t>
        <a:bodyPr/>
        <a:lstStyle/>
        <a:p>
          <a:endParaRPr lang="en-US"/>
        </a:p>
      </dgm:t>
    </dgm:pt>
    <dgm:pt modelId="{32053C5D-B170-43D4-A486-22C89E8422B5}" type="pres">
      <dgm:prSet presAssocID="{FC2332B3-B99A-4C57-8D62-B819835B3AB2}" presName="connTx" presStyleLbl="parChTrans1D4" presStyleIdx="3" presStyleCnt="5"/>
      <dgm:spPr/>
      <dgm:t>
        <a:bodyPr/>
        <a:lstStyle/>
        <a:p>
          <a:endParaRPr lang="en-US"/>
        </a:p>
      </dgm:t>
    </dgm:pt>
    <dgm:pt modelId="{6C254EF0-F768-44E9-B0BB-C122D7378244}" type="pres">
      <dgm:prSet presAssocID="{7298350C-9983-4B7F-9DDB-289385694AE4}" presName="root2" presStyleCnt="0"/>
      <dgm:spPr/>
      <dgm:t>
        <a:bodyPr/>
        <a:lstStyle/>
        <a:p>
          <a:endParaRPr lang="en-US"/>
        </a:p>
      </dgm:t>
    </dgm:pt>
    <dgm:pt modelId="{A6F9F7AF-F5AF-4099-A68F-2BC86E3E3B33}" type="pres">
      <dgm:prSet presAssocID="{7298350C-9983-4B7F-9DDB-289385694AE4}" presName="LevelTwoTextNode" presStyleLbl="node4" presStyleIdx="3" presStyleCnt="5" custScaleX="141332" custScaleY="188761" custLinFactNeighborX="-17146">
        <dgm:presLayoutVars>
          <dgm:chPref val="3"/>
        </dgm:presLayoutVars>
      </dgm:prSet>
      <dgm:spPr>
        <a:prstGeom prst="roundRect">
          <a:avLst>
            <a:gd name="adj" fmla="val 10000"/>
          </a:avLst>
        </a:prstGeom>
      </dgm:spPr>
      <dgm:t>
        <a:bodyPr/>
        <a:lstStyle/>
        <a:p>
          <a:endParaRPr lang="en-US"/>
        </a:p>
      </dgm:t>
    </dgm:pt>
    <dgm:pt modelId="{CAE0B3BF-F3A0-4CC3-B84A-732F5C316879}" type="pres">
      <dgm:prSet presAssocID="{7298350C-9983-4B7F-9DDB-289385694AE4}" presName="level3hierChild" presStyleCnt="0"/>
      <dgm:spPr/>
      <dgm:t>
        <a:bodyPr/>
        <a:lstStyle/>
        <a:p>
          <a:endParaRPr lang="en-US"/>
        </a:p>
      </dgm:t>
    </dgm:pt>
    <dgm:pt modelId="{A4AFA082-98F9-4A53-9106-2B061F472557}" type="pres">
      <dgm:prSet presAssocID="{6EF710DB-E9BA-4196-9F36-846BD5B10A9B}" presName="conn2-1" presStyleLbl="parChTrans1D3" presStyleIdx="4" presStyleCnt="5"/>
      <dgm:spPr>
        <a:custGeom>
          <a:avLst/>
          <a:gdLst/>
          <a:ahLst/>
          <a:cxnLst/>
          <a:rect l="0" t="0" r="0" b="0"/>
          <a:pathLst>
            <a:path>
              <a:moveTo>
                <a:pt x="0" y="8846"/>
              </a:moveTo>
              <a:lnTo>
                <a:pt x="2709835" y="8846"/>
              </a:lnTo>
            </a:path>
          </a:pathLst>
        </a:custGeom>
      </dgm:spPr>
      <dgm:t>
        <a:bodyPr/>
        <a:lstStyle/>
        <a:p>
          <a:endParaRPr lang="en-US"/>
        </a:p>
      </dgm:t>
    </dgm:pt>
    <dgm:pt modelId="{F148B881-1E2F-463B-8C9D-B4D23DCC39F1}" type="pres">
      <dgm:prSet presAssocID="{6EF710DB-E9BA-4196-9F36-846BD5B10A9B}" presName="connTx" presStyleLbl="parChTrans1D3" presStyleIdx="4" presStyleCnt="5"/>
      <dgm:spPr/>
      <dgm:t>
        <a:bodyPr/>
        <a:lstStyle/>
        <a:p>
          <a:endParaRPr lang="en-US"/>
        </a:p>
      </dgm:t>
    </dgm:pt>
    <dgm:pt modelId="{762E4A41-6701-4D1D-AFB9-B63206012B83}" type="pres">
      <dgm:prSet presAssocID="{62CEF179-360D-4F53-A088-503B00B6C54D}" presName="root2" presStyleCnt="0"/>
      <dgm:spPr/>
      <dgm:t>
        <a:bodyPr/>
        <a:lstStyle/>
        <a:p>
          <a:endParaRPr lang="en-US"/>
        </a:p>
      </dgm:t>
    </dgm:pt>
    <dgm:pt modelId="{E042646E-6362-443D-ADA1-FB01938224DD}" type="pres">
      <dgm:prSet presAssocID="{62CEF179-360D-4F53-A088-503B00B6C54D}" presName="LevelTwoTextNode" presStyleLbl="node3" presStyleIdx="4" presStyleCnt="5" custScaleY="138148">
        <dgm:presLayoutVars>
          <dgm:chPref val="3"/>
        </dgm:presLayoutVars>
      </dgm:prSet>
      <dgm:spPr>
        <a:prstGeom prst="roundRect">
          <a:avLst>
            <a:gd name="adj" fmla="val 10000"/>
          </a:avLst>
        </a:prstGeom>
      </dgm:spPr>
      <dgm:t>
        <a:bodyPr/>
        <a:lstStyle/>
        <a:p>
          <a:endParaRPr lang="en-US"/>
        </a:p>
      </dgm:t>
    </dgm:pt>
    <dgm:pt modelId="{5F0E214B-F355-4977-87A5-A9BD132685A0}" type="pres">
      <dgm:prSet presAssocID="{62CEF179-360D-4F53-A088-503B00B6C54D}" presName="level3hierChild" presStyleCnt="0"/>
      <dgm:spPr/>
      <dgm:t>
        <a:bodyPr/>
        <a:lstStyle/>
        <a:p>
          <a:endParaRPr lang="en-US"/>
        </a:p>
      </dgm:t>
    </dgm:pt>
    <dgm:pt modelId="{C2D5ECA9-8B3D-4E44-A310-E4B8F2AAD02A}" type="pres">
      <dgm:prSet presAssocID="{193F56D7-42E8-4473-89C0-7AEF2809EFA5}" presName="conn2-1" presStyleLbl="parChTrans1D4" presStyleIdx="4" presStyleCnt="5"/>
      <dgm:spPr>
        <a:custGeom>
          <a:avLst/>
          <a:gdLst/>
          <a:ahLst/>
          <a:cxnLst/>
          <a:rect l="0" t="0" r="0" b="0"/>
          <a:pathLst>
            <a:path>
              <a:moveTo>
                <a:pt x="0" y="8846"/>
              </a:moveTo>
              <a:lnTo>
                <a:pt x="288948" y="8846"/>
              </a:lnTo>
            </a:path>
          </a:pathLst>
        </a:custGeom>
      </dgm:spPr>
      <dgm:t>
        <a:bodyPr/>
        <a:lstStyle/>
        <a:p>
          <a:endParaRPr lang="en-US"/>
        </a:p>
      </dgm:t>
    </dgm:pt>
    <dgm:pt modelId="{8706AAA0-D858-45CE-AC33-BE67CB7EA07A}" type="pres">
      <dgm:prSet presAssocID="{193F56D7-42E8-4473-89C0-7AEF2809EFA5}" presName="connTx" presStyleLbl="parChTrans1D4" presStyleIdx="4" presStyleCnt="5"/>
      <dgm:spPr/>
      <dgm:t>
        <a:bodyPr/>
        <a:lstStyle/>
        <a:p>
          <a:endParaRPr lang="en-US"/>
        </a:p>
      </dgm:t>
    </dgm:pt>
    <dgm:pt modelId="{AA0A5A81-7800-4010-B9F6-3CE7E56EA139}" type="pres">
      <dgm:prSet presAssocID="{FF098634-2C13-42E2-8592-14464DA48602}" presName="root2" presStyleCnt="0"/>
      <dgm:spPr/>
      <dgm:t>
        <a:bodyPr/>
        <a:lstStyle/>
        <a:p>
          <a:endParaRPr lang="en-US"/>
        </a:p>
      </dgm:t>
    </dgm:pt>
    <dgm:pt modelId="{00A89337-EC6D-4591-8F82-988DCD92FD20}" type="pres">
      <dgm:prSet presAssocID="{FF098634-2C13-42E2-8592-14464DA48602}" presName="LevelTwoTextNode" presStyleLbl="node4" presStyleIdx="4" presStyleCnt="5" custScaleX="142751" custScaleY="152348" custLinFactNeighborX="-19203">
        <dgm:presLayoutVars>
          <dgm:chPref val="3"/>
        </dgm:presLayoutVars>
      </dgm:prSet>
      <dgm:spPr>
        <a:prstGeom prst="roundRect">
          <a:avLst>
            <a:gd name="adj" fmla="val 10000"/>
          </a:avLst>
        </a:prstGeom>
      </dgm:spPr>
      <dgm:t>
        <a:bodyPr/>
        <a:lstStyle/>
        <a:p>
          <a:endParaRPr lang="en-US"/>
        </a:p>
      </dgm:t>
    </dgm:pt>
    <dgm:pt modelId="{E5655F3C-EB75-44D6-A132-3D929ADAE508}" type="pres">
      <dgm:prSet presAssocID="{FF098634-2C13-42E2-8592-14464DA48602}" presName="level3hierChild" presStyleCnt="0"/>
      <dgm:spPr/>
      <dgm:t>
        <a:bodyPr/>
        <a:lstStyle/>
        <a:p>
          <a:endParaRPr lang="en-US"/>
        </a:p>
      </dgm:t>
    </dgm:pt>
    <dgm:pt modelId="{08E1D166-9EA6-48BF-81AF-17DC0D22E159}" type="pres">
      <dgm:prSet presAssocID="{F81B72E7-9F51-41ED-9CFB-635FC14865F6}" presName="conn2-1" presStyleLbl="parChTrans1D2" presStyleIdx="1" presStyleCnt="3"/>
      <dgm:spPr>
        <a:custGeom>
          <a:avLst/>
          <a:gdLst/>
          <a:ahLst/>
          <a:cxnLst/>
          <a:rect l="0" t="0" r="0" b="0"/>
          <a:pathLst>
            <a:path>
              <a:moveTo>
                <a:pt x="0" y="8484"/>
              </a:moveTo>
              <a:lnTo>
                <a:pt x="1074752" y="8484"/>
              </a:lnTo>
            </a:path>
          </a:pathLst>
        </a:custGeom>
      </dgm:spPr>
      <dgm:t>
        <a:bodyPr/>
        <a:lstStyle/>
        <a:p>
          <a:endParaRPr lang="en-US"/>
        </a:p>
      </dgm:t>
    </dgm:pt>
    <dgm:pt modelId="{3216B025-15F7-425D-A9AD-69F5DA7C2A40}" type="pres">
      <dgm:prSet presAssocID="{F81B72E7-9F51-41ED-9CFB-635FC14865F6}" presName="connTx" presStyleLbl="parChTrans1D2" presStyleIdx="1" presStyleCnt="3"/>
      <dgm:spPr/>
      <dgm:t>
        <a:bodyPr/>
        <a:lstStyle/>
        <a:p>
          <a:endParaRPr lang="en-US"/>
        </a:p>
      </dgm:t>
    </dgm:pt>
    <dgm:pt modelId="{A3DB3B9A-7CC2-48CD-9E36-8A6AA3B554E4}" type="pres">
      <dgm:prSet presAssocID="{46CA5801-AF30-4BCA-8B7D-59F239E7E7EE}" presName="root2" presStyleCnt="0"/>
      <dgm:spPr/>
    </dgm:pt>
    <dgm:pt modelId="{EF73B5D9-7512-41AD-BB4B-B2EC2AA286B9}" type="pres">
      <dgm:prSet presAssocID="{46CA5801-AF30-4BCA-8B7D-59F239E7E7EE}" presName="LevelTwoTextNode" presStyleLbl="node2" presStyleIdx="1" presStyleCnt="3" custScaleX="127266" custScaleY="70426" custLinFactY="-100000" custLinFactNeighborX="4699" custLinFactNeighborY="-141844">
        <dgm:presLayoutVars>
          <dgm:chPref val="3"/>
        </dgm:presLayoutVars>
      </dgm:prSet>
      <dgm:spPr>
        <a:prstGeom prst="roundRect">
          <a:avLst>
            <a:gd name="adj" fmla="val 10000"/>
          </a:avLst>
        </a:prstGeom>
      </dgm:spPr>
      <dgm:t>
        <a:bodyPr/>
        <a:lstStyle/>
        <a:p>
          <a:endParaRPr lang="en-US"/>
        </a:p>
      </dgm:t>
    </dgm:pt>
    <dgm:pt modelId="{1ED64751-F1BF-491E-9BCE-5B8540C121CE}" type="pres">
      <dgm:prSet presAssocID="{46CA5801-AF30-4BCA-8B7D-59F239E7E7EE}" presName="level3hierChild" presStyleCnt="0"/>
      <dgm:spPr/>
    </dgm:pt>
    <dgm:pt modelId="{0AB148D7-1C37-40A4-B5EA-F97FF0813C26}" type="pres">
      <dgm:prSet presAssocID="{E047FAEF-6FDC-4A1F-9FC4-D1E1B62CEE67}" presName="conn2-1" presStyleLbl="parChTrans1D2" presStyleIdx="2" presStyleCnt="3"/>
      <dgm:spPr>
        <a:custGeom>
          <a:avLst/>
          <a:gdLst/>
          <a:ahLst/>
          <a:cxnLst/>
          <a:rect l="0" t="0" r="0" b="0"/>
          <a:pathLst>
            <a:path>
              <a:moveTo>
                <a:pt x="0" y="11282"/>
              </a:moveTo>
              <a:lnTo>
                <a:pt x="681158" y="11282"/>
              </a:lnTo>
            </a:path>
          </a:pathLst>
        </a:custGeom>
      </dgm:spPr>
      <dgm:t>
        <a:bodyPr/>
        <a:lstStyle/>
        <a:p>
          <a:endParaRPr lang="en-US"/>
        </a:p>
      </dgm:t>
    </dgm:pt>
    <dgm:pt modelId="{EDA636EC-76E8-4885-B6DC-DDF88252F7B4}" type="pres">
      <dgm:prSet presAssocID="{E047FAEF-6FDC-4A1F-9FC4-D1E1B62CEE67}" presName="connTx" presStyleLbl="parChTrans1D2" presStyleIdx="2" presStyleCnt="3"/>
      <dgm:spPr/>
      <dgm:t>
        <a:bodyPr/>
        <a:lstStyle/>
        <a:p>
          <a:endParaRPr lang="en-US"/>
        </a:p>
      </dgm:t>
    </dgm:pt>
    <dgm:pt modelId="{13D7B609-5866-40E1-83D7-71EB9EF42530}" type="pres">
      <dgm:prSet presAssocID="{248E5A5D-AFF9-452C-86E1-76E0D8987061}" presName="root2" presStyleCnt="0"/>
      <dgm:spPr/>
      <dgm:t>
        <a:bodyPr/>
        <a:lstStyle/>
        <a:p>
          <a:endParaRPr lang="en-US"/>
        </a:p>
      </dgm:t>
    </dgm:pt>
    <dgm:pt modelId="{85DBD701-4339-41D3-B22B-D66201087CE3}" type="pres">
      <dgm:prSet presAssocID="{248E5A5D-AFF9-452C-86E1-76E0D8987061}" presName="LevelTwoTextNode" presStyleLbl="node2" presStyleIdx="2" presStyleCnt="3" custScaleX="122520" custScaleY="119744" custLinFactNeighborX="7864" custLinFactNeighborY="-34312">
        <dgm:presLayoutVars>
          <dgm:chPref val="3"/>
        </dgm:presLayoutVars>
      </dgm:prSet>
      <dgm:spPr>
        <a:prstGeom prst="roundRect">
          <a:avLst>
            <a:gd name="adj" fmla="val 10000"/>
          </a:avLst>
        </a:prstGeom>
      </dgm:spPr>
      <dgm:t>
        <a:bodyPr/>
        <a:lstStyle/>
        <a:p>
          <a:endParaRPr lang="en-US"/>
        </a:p>
      </dgm:t>
    </dgm:pt>
    <dgm:pt modelId="{743B681D-FCAE-4470-8CB7-B6DB03F1FA40}" type="pres">
      <dgm:prSet presAssocID="{248E5A5D-AFF9-452C-86E1-76E0D8987061}" presName="level3hierChild" presStyleCnt="0"/>
      <dgm:spPr/>
      <dgm:t>
        <a:bodyPr/>
        <a:lstStyle/>
        <a:p>
          <a:endParaRPr lang="en-US"/>
        </a:p>
      </dgm:t>
    </dgm:pt>
  </dgm:ptLst>
  <dgm:cxnLst>
    <dgm:cxn modelId="{F7DAAF8E-DBAE-49C1-A27A-9D492EC160FB}" type="presOf" srcId="{F81B72E7-9F51-41ED-9CFB-635FC14865F6}" destId="{08E1D166-9EA6-48BF-81AF-17DC0D22E159}" srcOrd="0" destOrd="0" presId="urn:microsoft.com/office/officeart/2005/8/layout/hierarchy2"/>
    <dgm:cxn modelId="{50DCF387-C206-49FB-9246-5994337AB549}" type="presOf" srcId="{F257DDD2-3E63-4EC0-8501-119379D99C8B}" destId="{2E8D370F-E965-4AB7-96CF-25D23998651D}" srcOrd="1" destOrd="0" presId="urn:microsoft.com/office/officeart/2005/8/layout/hierarchy2"/>
    <dgm:cxn modelId="{4ABB3F81-32F5-423E-8BCD-0F3FEED5B610}" srcId="{375B9BD2-38A8-4177-8F13-8B28E3164C80}" destId="{E5129055-9D53-45C7-B78C-9F0D38F5B7A3}" srcOrd="0" destOrd="0" parTransId="{B2FFDC92-9FE5-4351-971F-DF67D6252FE1}" sibTransId="{0338492F-36A1-49F4-89EE-A719673335AF}"/>
    <dgm:cxn modelId="{9FAE5098-332F-4860-9542-C2F5661B394A}" srcId="{AADE609D-5C31-49AA-8D26-308B791CF2BF}" destId="{FA052810-65AA-4D9A-8F24-DF68248E9A57}" srcOrd="2" destOrd="0" parTransId="{88FB2B82-3C0D-4F7D-B852-BE5A9BA8DA70}" sibTransId="{18B1807D-B576-4245-A169-647AA31D11A0}"/>
    <dgm:cxn modelId="{6E7B4A02-D18C-410F-9FCC-3325115ADA2F}" type="presOf" srcId="{FA052810-65AA-4D9A-8F24-DF68248E9A57}" destId="{AFB06027-6012-404C-8EBA-8BB6BE1321CF}" srcOrd="0" destOrd="0" presId="urn:microsoft.com/office/officeart/2005/8/layout/hierarchy2"/>
    <dgm:cxn modelId="{0B57C433-26C4-4BBC-AE23-7EB2F0A7DF86}" type="presOf" srcId="{D8A3E6F6-57CD-4CD5-BA5C-61916E4C4DFE}" destId="{966F4E88-F54D-4893-BBF1-AB63377F9A77}" srcOrd="1" destOrd="0" presId="urn:microsoft.com/office/officeart/2005/8/layout/hierarchy2"/>
    <dgm:cxn modelId="{A3412A37-2CF4-41AF-88E3-0EBE1FE26180}" type="presOf" srcId="{193F56D7-42E8-4473-89C0-7AEF2809EFA5}" destId="{8706AAA0-D858-45CE-AC33-BE67CB7EA07A}" srcOrd="1" destOrd="0" presId="urn:microsoft.com/office/officeart/2005/8/layout/hierarchy2"/>
    <dgm:cxn modelId="{8E40BE68-107B-43B8-98E2-40843AA108C3}" type="presOf" srcId="{F81B72E7-9F51-41ED-9CFB-635FC14865F6}" destId="{3216B025-15F7-425D-A9AD-69F5DA7C2A40}" srcOrd="1" destOrd="0" presId="urn:microsoft.com/office/officeart/2005/8/layout/hierarchy2"/>
    <dgm:cxn modelId="{F43A1F48-A288-451F-B32B-5BB2A73DAC7F}" type="presOf" srcId="{773299C6-0180-45E1-A55F-5C2A39C3405A}" destId="{EED096D6-5D75-4A02-8524-67AD870D3E3C}" srcOrd="0" destOrd="0" presId="urn:microsoft.com/office/officeart/2005/8/layout/hierarchy2"/>
    <dgm:cxn modelId="{7FC8A774-6806-4289-8F38-F8FDE91327A5}" type="presOf" srcId="{B2FFDC92-9FE5-4351-971F-DF67D6252FE1}" destId="{1F75B6FD-3946-44DF-AEF6-D2EB5A83BEB1}" srcOrd="1" destOrd="0" presId="urn:microsoft.com/office/officeart/2005/8/layout/hierarchy2"/>
    <dgm:cxn modelId="{4EE44569-3BE5-400C-B4F6-68FD74A9AEB7}" type="presOf" srcId="{F257DDD2-3E63-4EC0-8501-119379D99C8B}" destId="{EFFE82EA-51F5-466E-B789-11FCD94A28B2}" srcOrd="0" destOrd="0" presId="urn:microsoft.com/office/officeart/2005/8/layout/hierarchy2"/>
    <dgm:cxn modelId="{84CCDBFA-0B5F-4575-94D1-92E2645D848E}" type="presOf" srcId="{88FB2B82-3C0D-4F7D-B852-BE5A9BA8DA70}" destId="{2B823AA3-0F36-45C7-A459-C4335A1B6943}" srcOrd="1" destOrd="0" presId="urn:microsoft.com/office/officeart/2005/8/layout/hierarchy2"/>
    <dgm:cxn modelId="{84163F53-9692-457A-BFEF-1948A804DF39}" type="presOf" srcId="{FC2332B3-B99A-4C57-8D62-B819835B3AB2}" destId="{32053C5D-B170-43D4-A486-22C89E8422B5}" srcOrd="1" destOrd="0" presId="urn:microsoft.com/office/officeart/2005/8/layout/hierarchy2"/>
    <dgm:cxn modelId="{C74A1039-A3F9-471C-91A6-1164D1881067}" srcId="{B2DA112D-E788-4E8A-97F5-84B632DEEE01}" destId="{64EF3316-BBB7-409A-9DC1-A5A6ACF80C6D}" srcOrd="0" destOrd="0" parTransId="{8030E2D7-8F39-4D00-8370-D58CFE73DF32}" sibTransId="{3DCE6C9D-75F3-4862-B32F-69DF6232D7A7}"/>
    <dgm:cxn modelId="{DF487B5F-707A-461A-94A9-4A584D76C4C1}" type="presOf" srcId="{FF098634-2C13-42E2-8592-14464DA48602}" destId="{00A89337-EC6D-4591-8F82-988DCD92FD20}" srcOrd="0" destOrd="0" presId="urn:microsoft.com/office/officeart/2005/8/layout/hierarchy2"/>
    <dgm:cxn modelId="{DDE968E5-CAD6-4C6B-80ED-F1D07F408F77}" type="presOf" srcId="{B2FFDC92-9FE5-4351-971F-DF67D6252FE1}" destId="{8974D137-BAD8-4FE1-9EBE-BCE0E9762E08}" srcOrd="0" destOrd="0" presId="urn:microsoft.com/office/officeart/2005/8/layout/hierarchy2"/>
    <dgm:cxn modelId="{CFDC76DB-8561-4335-BD9D-B2969B13418D}" type="presOf" srcId="{375B9BD2-38A8-4177-8F13-8B28E3164C80}" destId="{69104445-069C-45C0-90CA-86EE94ED0130}" srcOrd="0" destOrd="0" presId="urn:microsoft.com/office/officeart/2005/8/layout/hierarchy2"/>
    <dgm:cxn modelId="{15EC4E76-686E-4F35-B87C-656DF12BC673}" type="presOf" srcId="{3DC2A227-5E38-466D-9E7A-FE675C5AAF8D}" destId="{58A74DEB-C540-4E7D-B6A4-B0D5B6A350AD}" srcOrd="1" destOrd="0" presId="urn:microsoft.com/office/officeart/2005/8/layout/hierarchy2"/>
    <dgm:cxn modelId="{45C3B91E-67D3-4650-9A54-B117CDA47AB0}" type="presOf" srcId="{E047FAEF-6FDC-4A1F-9FC4-D1E1B62CEE67}" destId="{0AB148D7-1C37-40A4-B5EA-F97FF0813C26}" srcOrd="0" destOrd="0" presId="urn:microsoft.com/office/officeart/2005/8/layout/hierarchy2"/>
    <dgm:cxn modelId="{A55E2592-0048-41D4-8305-DE3A24463821}" srcId="{AADE609D-5C31-49AA-8D26-308B791CF2BF}" destId="{A9756BE1-3646-4709-90AF-AC1E9971FE48}" srcOrd="0" destOrd="0" parTransId="{F257DDD2-3E63-4EC0-8501-119379D99C8B}" sibTransId="{AC59B546-B133-42E2-840C-23F025C0C747}"/>
    <dgm:cxn modelId="{A1E997D8-B9AD-480E-A9F9-62F1AA24072E}" type="presOf" srcId="{AC9DB7CC-EEA2-4881-A0E2-451CB2ABDC65}" destId="{C7863CB3-A1A7-4C08-92BF-FAE2574D6A41}" srcOrd="0" destOrd="0" presId="urn:microsoft.com/office/officeart/2005/8/layout/hierarchy2"/>
    <dgm:cxn modelId="{BD0B091B-8D9E-4EA0-93E4-2B75C78C0A95}" type="presOf" srcId="{B2DA112D-E788-4E8A-97F5-84B632DEEE01}" destId="{D7826509-EC2B-4A24-B843-7A7EBCCFB9CF}" srcOrd="0" destOrd="0" presId="urn:microsoft.com/office/officeart/2005/8/layout/hierarchy2"/>
    <dgm:cxn modelId="{E66E3949-1F89-4C68-8F4B-8CD3275C8E21}" srcId="{64EF3316-BBB7-409A-9DC1-A5A6ACF80C6D}" destId="{AADE609D-5C31-49AA-8D26-308B791CF2BF}" srcOrd="0" destOrd="0" parTransId="{205397FA-208D-48E9-A74B-D72BAB00A137}" sibTransId="{0AFF01DA-5F30-4771-976E-6724AF1C0165}"/>
    <dgm:cxn modelId="{F53F1365-75F2-4901-89C3-01A1430E24DA}" type="presOf" srcId="{46CA5801-AF30-4BCA-8B7D-59F239E7E7EE}" destId="{EF73B5D9-7512-41AD-BB4B-B2EC2AA286B9}" srcOrd="0" destOrd="0" presId="urn:microsoft.com/office/officeart/2005/8/layout/hierarchy2"/>
    <dgm:cxn modelId="{804B3265-3485-47D3-9F00-5A321C433CD9}" type="presOf" srcId="{9E70D98C-6C0D-4C96-8092-4A2632A41F6B}" destId="{594D0E26-8009-4783-8313-B12B4F6A2D21}" srcOrd="0" destOrd="0" presId="urn:microsoft.com/office/officeart/2005/8/layout/hierarchy2"/>
    <dgm:cxn modelId="{B53FDF7D-948D-4F71-A514-2CA0811E73BF}" type="presOf" srcId="{7298350C-9983-4B7F-9DDB-289385694AE4}" destId="{A6F9F7AF-F5AF-4099-A68F-2BC86E3E3B33}" srcOrd="0" destOrd="0" presId="urn:microsoft.com/office/officeart/2005/8/layout/hierarchy2"/>
    <dgm:cxn modelId="{12D9D12A-8B0A-4396-9DB0-31F2207D5AA2}" type="presOf" srcId="{64EF3316-BBB7-409A-9DC1-A5A6ACF80C6D}" destId="{734CEE8B-6FA1-42D1-8DA6-E887A40B5820}" srcOrd="0" destOrd="0" presId="urn:microsoft.com/office/officeart/2005/8/layout/hierarchy2"/>
    <dgm:cxn modelId="{0066F31F-F45C-4685-8A53-5C78C4A724AB}" srcId="{AADE609D-5C31-49AA-8D26-308B791CF2BF}" destId="{62CEF179-360D-4F53-A088-503B00B6C54D}" srcOrd="4" destOrd="0" parTransId="{6EF710DB-E9BA-4196-9F36-846BD5B10A9B}" sibTransId="{8C7DA5CD-3ABC-4574-846D-13A281CBBF43}"/>
    <dgm:cxn modelId="{48BB6601-235A-46AE-8303-A5D380F87E6E}" type="presOf" srcId="{205397FA-208D-48E9-A74B-D72BAB00A137}" destId="{05B31C23-4D55-4071-88F4-C6C57CE176E1}" srcOrd="0" destOrd="0" presId="urn:microsoft.com/office/officeart/2005/8/layout/hierarchy2"/>
    <dgm:cxn modelId="{361318E3-2E21-4A6F-8714-F7413F275265}" srcId="{AADE609D-5C31-49AA-8D26-308B791CF2BF}" destId="{DE642913-D829-44B0-911E-D946C492A715}" srcOrd="3" destOrd="0" parTransId="{8AA1C928-E2C4-4294-8AAA-1A41B7DB55BB}" sibTransId="{EC333629-F346-44DF-B91A-7E326C692D49}"/>
    <dgm:cxn modelId="{1258C371-946A-4BA5-BFFD-B2E2ADCD3F36}" type="presOf" srcId="{205397FA-208D-48E9-A74B-D72BAB00A137}" destId="{A4EE937D-B408-45A3-A5E6-5EB4DDEF254C}" srcOrd="1" destOrd="0" presId="urn:microsoft.com/office/officeart/2005/8/layout/hierarchy2"/>
    <dgm:cxn modelId="{5E88A65C-4A57-431F-9F7B-CC1129DA7A46}" type="presOf" srcId="{E047FAEF-6FDC-4A1F-9FC4-D1E1B62CEE67}" destId="{EDA636EC-76E8-4885-B6DC-DDF88252F7B4}" srcOrd="1" destOrd="0" presId="urn:microsoft.com/office/officeart/2005/8/layout/hierarchy2"/>
    <dgm:cxn modelId="{3FC5A26B-952B-48DF-8196-7EB62436A22E}" type="presOf" srcId="{6EF710DB-E9BA-4196-9F36-846BD5B10A9B}" destId="{F148B881-1E2F-463B-8C9D-B4D23DCC39F1}" srcOrd="1" destOrd="0" presId="urn:microsoft.com/office/officeart/2005/8/layout/hierarchy2"/>
    <dgm:cxn modelId="{A130BF23-E77B-4B73-BEDC-647FD86D128A}" srcId="{64EF3316-BBB7-409A-9DC1-A5A6ACF80C6D}" destId="{46CA5801-AF30-4BCA-8B7D-59F239E7E7EE}" srcOrd="1" destOrd="0" parTransId="{F81B72E7-9F51-41ED-9CFB-635FC14865F6}" sibTransId="{540FB04D-59A9-4772-A9C8-558E940C5576}"/>
    <dgm:cxn modelId="{6BB60E67-7B63-4157-9F8D-0EBA1C18E8FB}" type="presOf" srcId="{E5129055-9D53-45C7-B78C-9F0D38F5B7A3}" destId="{7AE194F6-F46C-4D0A-81CB-13FAF3BEA03D}" srcOrd="0" destOrd="0" presId="urn:microsoft.com/office/officeart/2005/8/layout/hierarchy2"/>
    <dgm:cxn modelId="{9716E227-8A9F-4905-BFBF-D361B2DCC1EA}" type="presOf" srcId="{3DC2A227-5E38-466D-9E7A-FE675C5AAF8D}" destId="{CF4C494B-0011-4782-962C-C11C5CBC282E}" srcOrd="0" destOrd="0" presId="urn:microsoft.com/office/officeart/2005/8/layout/hierarchy2"/>
    <dgm:cxn modelId="{9B4CBB16-05EE-4DAC-BC6A-A05414B1A7D7}" type="presOf" srcId="{62CEF179-360D-4F53-A088-503B00B6C54D}" destId="{E042646E-6362-443D-ADA1-FB01938224DD}" srcOrd="0" destOrd="0" presId="urn:microsoft.com/office/officeart/2005/8/layout/hierarchy2"/>
    <dgm:cxn modelId="{F966A667-8399-459F-ACB3-51C2FD632E70}" type="presOf" srcId="{248E5A5D-AFF9-452C-86E1-76E0D8987061}" destId="{85DBD701-4339-41D3-B22B-D66201087CE3}" srcOrd="0" destOrd="0" presId="urn:microsoft.com/office/officeart/2005/8/layout/hierarchy2"/>
    <dgm:cxn modelId="{AF107905-78F7-4A20-A0F3-7BAC2BE6669E}" type="presOf" srcId="{A9756BE1-3646-4709-90AF-AC1E9971FE48}" destId="{94EF3E8E-7896-4A41-9E93-E3DC2A7DA069}" srcOrd="0" destOrd="0" presId="urn:microsoft.com/office/officeart/2005/8/layout/hierarchy2"/>
    <dgm:cxn modelId="{FDA589DF-43B0-4D6B-A172-D229CBAF560E}" type="presOf" srcId="{D8A3E6F6-57CD-4CD5-BA5C-61916E4C4DFE}" destId="{20E236EB-3137-4886-B4B5-8168AB828BF7}" srcOrd="0" destOrd="0" presId="urn:microsoft.com/office/officeart/2005/8/layout/hierarchy2"/>
    <dgm:cxn modelId="{7D214716-D9D3-4F08-83DE-5783983A60C7}" srcId="{64EF3316-BBB7-409A-9DC1-A5A6ACF80C6D}" destId="{248E5A5D-AFF9-452C-86E1-76E0D8987061}" srcOrd="2" destOrd="0" parTransId="{E047FAEF-6FDC-4A1F-9FC4-D1E1B62CEE67}" sibTransId="{FE7C2FDC-7558-45F2-AAD5-813C845FD8AB}"/>
    <dgm:cxn modelId="{582AEBDC-C38D-4835-B14B-16F4666315F0}" type="presOf" srcId="{6EF710DB-E9BA-4196-9F36-846BD5B10A9B}" destId="{A4AFA082-98F9-4A53-9106-2B061F472557}" srcOrd="0" destOrd="0" presId="urn:microsoft.com/office/officeart/2005/8/layout/hierarchy2"/>
    <dgm:cxn modelId="{69768736-BFC2-48E1-A764-845DAC647EBD}" type="presOf" srcId="{193F56D7-42E8-4473-89C0-7AEF2809EFA5}" destId="{C2D5ECA9-8B3D-4E44-A310-E4B8F2AAD02A}" srcOrd="0" destOrd="0" presId="urn:microsoft.com/office/officeart/2005/8/layout/hierarchy2"/>
    <dgm:cxn modelId="{855F0B8F-9174-4C0A-8895-410C137493DD}" type="presOf" srcId="{9E70D98C-6C0D-4C96-8092-4A2632A41F6B}" destId="{20ACC90E-7955-4CBA-AAD1-FAE8592CB938}" srcOrd="1" destOrd="0" presId="urn:microsoft.com/office/officeart/2005/8/layout/hierarchy2"/>
    <dgm:cxn modelId="{B57EADAD-DE32-45F0-9CE2-896711068B91}" type="presOf" srcId="{DE642913-D829-44B0-911E-D946C492A715}" destId="{D6A3D829-C137-4405-8A2D-796F04C33BB6}" srcOrd="0" destOrd="0" presId="urn:microsoft.com/office/officeart/2005/8/layout/hierarchy2"/>
    <dgm:cxn modelId="{F1455272-C96C-4A07-B6EF-6601E33E4E35}" srcId="{62CEF179-360D-4F53-A088-503B00B6C54D}" destId="{FF098634-2C13-42E2-8592-14464DA48602}" srcOrd="0" destOrd="0" parTransId="{193F56D7-42E8-4473-89C0-7AEF2809EFA5}" sibTransId="{8263024D-59B9-40AA-A168-DE5387A5DD79}"/>
    <dgm:cxn modelId="{53018753-F487-4CE1-9327-F92D8698200D}" type="presOf" srcId="{8AA1C928-E2C4-4294-8AAA-1A41B7DB55BB}" destId="{A8619188-6935-422A-A84D-9D55B441A82C}" srcOrd="1" destOrd="0" presId="urn:microsoft.com/office/officeart/2005/8/layout/hierarchy2"/>
    <dgm:cxn modelId="{DC1AECDC-BB86-494B-B0B7-ED842C40EF16}" srcId="{AADE609D-5C31-49AA-8D26-308B791CF2BF}" destId="{375B9BD2-38A8-4177-8F13-8B28E3164C80}" srcOrd="1" destOrd="0" parTransId="{D8A3E6F6-57CD-4CD5-BA5C-61916E4C4DFE}" sibTransId="{B387A116-B323-4A12-9FCE-31C18192341A}"/>
    <dgm:cxn modelId="{F06671B1-4CE0-4DAA-B9E2-CC6197DB3542}" type="presOf" srcId="{FC2332B3-B99A-4C57-8D62-B819835B3AB2}" destId="{87194154-B110-45D8-B4A0-BC12E86637C7}" srcOrd="0" destOrd="0" presId="urn:microsoft.com/office/officeart/2005/8/layout/hierarchy2"/>
    <dgm:cxn modelId="{FE11816A-AAD8-4E74-A556-F2CA8262359C}" srcId="{FA052810-65AA-4D9A-8F24-DF68248E9A57}" destId="{AC9DB7CC-EEA2-4881-A0E2-451CB2ABDC65}" srcOrd="0" destOrd="0" parTransId="{9E70D98C-6C0D-4C96-8092-4A2632A41F6B}" sibTransId="{E33B9A44-360B-420E-99B7-8DFF72C0B31A}"/>
    <dgm:cxn modelId="{80C06058-0B41-43A2-A131-FC75D250B3FB}" srcId="{DE642913-D829-44B0-911E-D946C492A715}" destId="{7298350C-9983-4B7F-9DDB-289385694AE4}" srcOrd="0" destOrd="0" parTransId="{FC2332B3-B99A-4C57-8D62-B819835B3AB2}" sibTransId="{AA100935-8B67-4B24-90EB-67432DB1A53A}"/>
    <dgm:cxn modelId="{F2FE01C2-536A-4402-B936-C59CDDFEB085}" type="presOf" srcId="{AADE609D-5C31-49AA-8D26-308B791CF2BF}" destId="{1D995411-AD4A-4D44-89A3-4CA74B3E624C}" srcOrd="0" destOrd="0" presId="urn:microsoft.com/office/officeart/2005/8/layout/hierarchy2"/>
    <dgm:cxn modelId="{A4BDEF13-8EA2-4916-A0F4-2C7790EA7651}" srcId="{A9756BE1-3646-4709-90AF-AC1E9971FE48}" destId="{773299C6-0180-45E1-A55F-5C2A39C3405A}" srcOrd="0" destOrd="0" parTransId="{3DC2A227-5E38-466D-9E7A-FE675C5AAF8D}" sibTransId="{96A5B4D3-4102-474C-B77F-88DDBE21C1A9}"/>
    <dgm:cxn modelId="{DFCD7573-B97B-41EC-8945-6A12310D4403}" type="presOf" srcId="{88FB2B82-3C0D-4F7D-B852-BE5A9BA8DA70}" destId="{3D4DD8BF-D887-44BA-A9E0-2A5CEB616BF1}" srcOrd="0" destOrd="0" presId="urn:microsoft.com/office/officeart/2005/8/layout/hierarchy2"/>
    <dgm:cxn modelId="{26FDA341-EE4E-4767-8640-63A3EC1F6105}" type="presOf" srcId="{8AA1C928-E2C4-4294-8AAA-1A41B7DB55BB}" destId="{D2391722-61AF-4B89-A342-E19182DD6EA5}" srcOrd="0" destOrd="0" presId="urn:microsoft.com/office/officeart/2005/8/layout/hierarchy2"/>
    <dgm:cxn modelId="{2DB02658-D2CF-4220-8456-1FBA315DEEF3}" type="presParOf" srcId="{D7826509-EC2B-4A24-B843-7A7EBCCFB9CF}" destId="{5BEFC538-B3B9-40A9-894F-0288C31C9C57}" srcOrd="0" destOrd="0" presId="urn:microsoft.com/office/officeart/2005/8/layout/hierarchy2"/>
    <dgm:cxn modelId="{4663263D-A626-4900-A91D-64ABE157258E}" type="presParOf" srcId="{5BEFC538-B3B9-40A9-894F-0288C31C9C57}" destId="{734CEE8B-6FA1-42D1-8DA6-E887A40B5820}" srcOrd="0" destOrd="0" presId="urn:microsoft.com/office/officeart/2005/8/layout/hierarchy2"/>
    <dgm:cxn modelId="{27BC5348-B6BB-4263-A5E4-3D6AE4825A48}" type="presParOf" srcId="{5BEFC538-B3B9-40A9-894F-0288C31C9C57}" destId="{9EEA43A2-A199-44EC-8898-3041A5F87FCB}" srcOrd="1" destOrd="0" presId="urn:microsoft.com/office/officeart/2005/8/layout/hierarchy2"/>
    <dgm:cxn modelId="{1EC27737-2985-4E62-9B0E-460A44CF2FF7}" type="presParOf" srcId="{9EEA43A2-A199-44EC-8898-3041A5F87FCB}" destId="{05B31C23-4D55-4071-88F4-C6C57CE176E1}" srcOrd="0" destOrd="0" presId="urn:microsoft.com/office/officeart/2005/8/layout/hierarchy2"/>
    <dgm:cxn modelId="{CD6F065F-AADF-4CE4-90E3-41C215448C21}" type="presParOf" srcId="{05B31C23-4D55-4071-88F4-C6C57CE176E1}" destId="{A4EE937D-B408-45A3-A5E6-5EB4DDEF254C}" srcOrd="0" destOrd="0" presId="urn:microsoft.com/office/officeart/2005/8/layout/hierarchy2"/>
    <dgm:cxn modelId="{DA8E9856-0108-490E-9D66-CD5F49073F27}" type="presParOf" srcId="{9EEA43A2-A199-44EC-8898-3041A5F87FCB}" destId="{BC0E2788-3D9B-45CD-A96E-6F83779BD7A7}" srcOrd="1" destOrd="0" presId="urn:microsoft.com/office/officeart/2005/8/layout/hierarchy2"/>
    <dgm:cxn modelId="{3195F49F-9848-4AE4-87ED-2F2E2EBF5D03}" type="presParOf" srcId="{BC0E2788-3D9B-45CD-A96E-6F83779BD7A7}" destId="{1D995411-AD4A-4D44-89A3-4CA74B3E624C}" srcOrd="0" destOrd="0" presId="urn:microsoft.com/office/officeart/2005/8/layout/hierarchy2"/>
    <dgm:cxn modelId="{42A2D4BD-5C58-4D0D-962A-03E357129C2D}" type="presParOf" srcId="{BC0E2788-3D9B-45CD-A96E-6F83779BD7A7}" destId="{0759D191-BE40-4E28-B288-6C15CEF10618}" srcOrd="1" destOrd="0" presId="urn:microsoft.com/office/officeart/2005/8/layout/hierarchy2"/>
    <dgm:cxn modelId="{BC980762-92BE-4E42-9615-2C7B8AAEDCF2}" type="presParOf" srcId="{0759D191-BE40-4E28-B288-6C15CEF10618}" destId="{EFFE82EA-51F5-466E-B789-11FCD94A28B2}" srcOrd="0" destOrd="0" presId="urn:microsoft.com/office/officeart/2005/8/layout/hierarchy2"/>
    <dgm:cxn modelId="{3B26B742-D0B9-4C70-866D-1386C5B1A440}" type="presParOf" srcId="{EFFE82EA-51F5-466E-B789-11FCD94A28B2}" destId="{2E8D370F-E965-4AB7-96CF-25D23998651D}" srcOrd="0" destOrd="0" presId="urn:microsoft.com/office/officeart/2005/8/layout/hierarchy2"/>
    <dgm:cxn modelId="{6CF5C6B1-2EA4-4BE1-BE10-BAA865D6FDF4}" type="presParOf" srcId="{0759D191-BE40-4E28-B288-6C15CEF10618}" destId="{B7F4E74B-EB83-4537-AF24-74A872FC675C}" srcOrd="1" destOrd="0" presId="urn:microsoft.com/office/officeart/2005/8/layout/hierarchy2"/>
    <dgm:cxn modelId="{4AC1522D-9E0A-4571-AFB8-828C44BC3159}" type="presParOf" srcId="{B7F4E74B-EB83-4537-AF24-74A872FC675C}" destId="{94EF3E8E-7896-4A41-9E93-E3DC2A7DA069}" srcOrd="0" destOrd="0" presId="urn:microsoft.com/office/officeart/2005/8/layout/hierarchy2"/>
    <dgm:cxn modelId="{8FDF6BBF-FA39-4B58-BEA6-BBB6661EAFB1}" type="presParOf" srcId="{B7F4E74B-EB83-4537-AF24-74A872FC675C}" destId="{C8F3D0F9-04B6-47C6-AB82-98462E38F116}" srcOrd="1" destOrd="0" presId="urn:microsoft.com/office/officeart/2005/8/layout/hierarchy2"/>
    <dgm:cxn modelId="{4A419E57-FED8-491E-8D88-A742325A82C7}" type="presParOf" srcId="{C8F3D0F9-04B6-47C6-AB82-98462E38F116}" destId="{CF4C494B-0011-4782-962C-C11C5CBC282E}" srcOrd="0" destOrd="0" presId="urn:microsoft.com/office/officeart/2005/8/layout/hierarchy2"/>
    <dgm:cxn modelId="{913F46D3-0A31-4C8A-9B08-23D51FFAFFAE}" type="presParOf" srcId="{CF4C494B-0011-4782-962C-C11C5CBC282E}" destId="{58A74DEB-C540-4E7D-B6A4-B0D5B6A350AD}" srcOrd="0" destOrd="0" presId="urn:microsoft.com/office/officeart/2005/8/layout/hierarchy2"/>
    <dgm:cxn modelId="{2AF46EA9-A981-4E5A-B1E7-90554C3A1489}" type="presParOf" srcId="{C8F3D0F9-04B6-47C6-AB82-98462E38F116}" destId="{5538BE5C-D826-4E7A-8186-BF556A74EAA3}" srcOrd="1" destOrd="0" presId="urn:microsoft.com/office/officeart/2005/8/layout/hierarchy2"/>
    <dgm:cxn modelId="{C6FC9FC5-A7CE-4E0F-AE2D-38FCBC6E4031}" type="presParOf" srcId="{5538BE5C-D826-4E7A-8186-BF556A74EAA3}" destId="{EED096D6-5D75-4A02-8524-67AD870D3E3C}" srcOrd="0" destOrd="0" presId="urn:microsoft.com/office/officeart/2005/8/layout/hierarchy2"/>
    <dgm:cxn modelId="{AE8FB32A-40D7-4582-9411-E978BF97AE7B}" type="presParOf" srcId="{5538BE5C-D826-4E7A-8186-BF556A74EAA3}" destId="{C74E5896-E276-43C2-9B60-5A38A1B17490}" srcOrd="1" destOrd="0" presId="urn:microsoft.com/office/officeart/2005/8/layout/hierarchy2"/>
    <dgm:cxn modelId="{CB9996D4-9BB6-4816-848E-A834C866BC18}" type="presParOf" srcId="{0759D191-BE40-4E28-B288-6C15CEF10618}" destId="{20E236EB-3137-4886-B4B5-8168AB828BF7}" srcOrd="2" destOrd="0" presId="urn:microsoft.com/office/officeart/2005/8/layout/hierarchy2"/>
    <dgm:cxn modelId="{78DEA3BA-2B3A-4250-A97D-06181AF38963}" type="presParOf" srcId="{20E236EB-3137-4886-B4B5-8168AB828BF7}" destId="{966F4E88-F54D-4893-BBF1-AB63377F9A77}" srcOrd="0" destOrd="0" presId="urn:microsoft.com/office/officeart/2005/8/layout/hierarchy2"/>
    <dgm:cxn modelId="{8A79D5D1-728D-4C76-BFB5-04279D0DB857}" type="presParOf" srcId="{0759D191-BE40-4E28-B288-6C15CEF10618}" destId="{E603BDC6-5CA9-4030-B86E-8AF5125A4AB9}" srcOrd="3" destOrd="0" presId="urn:microsoft.com/office/officeart/2005/8/layout/hierarchy2"/>
    <dgm:cxn modelId="{1C7E9C56-81CE-4743-9851-15770703A730}" type="presParOf" srcId="{E603BDC6-5CA9-4030-B86E-8AF5125A4AB9}" destId="{69104445-069C-45C0-90CA-86EE94ED0130}" srcOrd="0" destOrd="0" presId="urn:microsoft.com/office/officeart/2005/8/layout/hierarchy2"/>
    <dgm:cxn modelId="{C7C71693-6002-4267-82E9-5DDB9A337B3A}" type="presParOf" srcId="{E603BDC6-5CA9-4030-B86E-8AF5125A4AB9}" destId="{F230DD37-E30F-4E7F-AD22-4F0EB6B011C7}" srcOrd="1" destOrd="0" presId="urn:microsoft.com/office/officeart/2005/8/layout/hierarchy2"/>
    <dgm:cxn modelId="{9A2252F5-1261-432D-8862-D8460AD29753}" type="presParOf" srcId="{F230DD37-E30F-4E7F-AD22-4F0EB6B011C7}" destId="{8974D137-BAD8-4FE1-9EBE-BCE0E9762E08}" srcOrd="0" destOrd="0" presId="urn:microsoft.com/office/officeart/2005/8/layout/hierarchy2"/>
    <dgm:cxn modelId="{F0653DEE-AD6E-490C-805D-19EC5E17D738}" type="presParOf" srcId="{8974D137-BAD8-4FE1-9EBE-BCE0E9762E08}" destId="{1F75B6FD-3946-44DF-AEF6-D2EB5A83BEB1}" srcOrd="0" destOrd="0" presId="urn:microsoft.com/office/officeart/2005/8/layout/hierarchy2"/>
    <dgm:cxn modelId="{01274BE9-F1A3-4B45-A520-2319E9BF353C}" type="presParOf" srcId="{F230DD37-E30F-4E7F-AD22-4F0EB6B011C7}" destId="{5A1088E5-2ADB-49EC-B0F6-34F985683045}" srcOrd="1" destOrd="0" presId="urn:microsoft.com/office/officeart/2005/8/layout/hierarchy2"/>
    <dgm:cxn modelId="{3BE4ACB6-1493-4C57-9A93-453592BAF401}" type="presParOf" srcId="{5A1088E5-2ADB-49EC-B0F6-34F985683045}" destId="{7AE194F6-F46C-4D0A-81CB-13FAF3BEA03D}" srcOrd="0" destOrd="0" presId="urn:microsoft.com/office/officeart/2005/8/layout/hierarchy2"/>
    <dgm:cxn modelId="{B77CC6AA-35C3-4A83-9750-67A7B8D5B0E2}" type="presParOf" srcId="{5A1088E5-2ADB-49EC-B0F6-34F985683045}" destId="{7AEDAA98-E1FA-445A-8809-07013A3BB789}" srcOrd="1" destOrd="0" presId="urn:microsoft.com/office/officeart/2005/8/layout/hierarchy2"/>
    <dgm:cxn modelId="{124A7CD4-741E-410A-B90C-2D477861F1A9}" type="presParOf" srcId="{0759D191-BE40-4E28-B288-6C15CEF10618}" destId="{3D4DD8BF-D887-44BA-A9E0-2A5CEB616BF1}" srcOrd="4" destOrd="0" presId="urn:microsoft.com/office/officeart/2005/8/layout/hierarchy2"/>
    <dgm:cxn modelId="{D5D130CE-1CED-4F15-9752-9196218FE483}" type="presParOf" srcId="{3D4DD8BF-D887-44BA-A9E0-2A5CEB616BF1}" destId="{2B823AA3-0F36-45C7-A459-C4335A1B6943}" srcOrd="0" destOrd="0" presId="urn:microsoft.com/office/officeart/2005/8/layout/hierarchy2"/>
    <dgm:cxn modelId="{17FE4AF5-2E2E-4665-A2C3-58C2B39A228F}" type="presParOf" srcId="{0759D191-BE40-4E28-B288-6C15CEF10618}" destId="{4892816A-A7BF-4948-BF21-EECA87EDDB09}" srcOrd="5" destOrd="0" presId="urn:microsoft.com/office/officeart/2005/8/layout/hierarchy2"/>
    <dgm:cxn modelId="{60F65BCD-7BFA-453F-978F-D955214BC688}" type="presParOf" srcId="{4892816A-A7BF-4948-BF21-EECA87EDDB09}" destId="{AFB06027-6012-404C-8EBA-8BB6BE1321CF}" srcOrd="0" destOrd="0" presId="urn:microsoft.com/office/officeart/2005/8/layout/hierarchy2"/>
    <dgm:cxn modelId="{D8FD7B20-C36C-4BD8-9B28-089E8F814E1D}" type="presParOf" srcId="{4892816A-A7BF-4948-BF21-EECA87EDDB09}" destId="{C68A4967-6771-4065-89B6-4FDD2BF11C49}" srcOrd="1" destOrd="0" presId="urn:microsoft.com/office/officeart/2005/8/layout/hierarchy2"/>
    <dgm:cxn modelId="{5B39572E-89DB-4132-A9BF-5201540FE2B1}" type="presParOf" srcId="{C68A4967-6771-4065-89B6-4FDD2BF11C49}" destId="{594D0E26-8009-4783-8313-B12B4F6A2D21}" srcOrd="0" destOrd="0" presId="urn:microsoft.com/office/officeart/2005/8/layout/hierarchy2"/>
    <dgm:cxn modelId="{31E61D84-D4D6-417F-B43D-317975631E51}" type="presParOf" srcId="{594D0E26-8009-4783-8313-B12B4F6A2D21}" destId="{20ACC90E-7955-4CBA-AAD1-FAE8592CB938}" srcOrd="0" destOrd="0" presId="urn:microsoft.com/office/officeart/2005/8/layout/hierarchy2"/>
    <dgm:cxn modelId="{CA6327FE-6595-4A1C-B5F9-C8C386B2F875}" type="presParOf" srcId="{C68A4967-6771-4065-89B6-4FDD2BF11C49}" destId="{638CB2EA-8468-48CE-96F1-7D0CC978DF28}" srcOrd="1" destOrd="0" presId="urn:microsoft.com/office/officeart/2005/8/layout/hierarchy2"/>
    <dgm:cxn modelId="{25115F47-6040-4935-8A82-E73351D3F097}" type="presParOf" srcId="{638CB2EA-8468-48CE-96F1-7D0CC978DF28}" destId="{C7863CB3-A1A7-4C08-92BF-FAE2574D6A41}" srcOrd="0" destOrd="0" presId="urn:microsoft.com/office/officeart/2005/8/layout/hierarchy2"/>
    <dgm:cxn modelId="{5854BC84-BDD9-49BB-8F67-AE015BBB4780}" type="presParOf" srcId="{638CB2EA-8468-48CE-96F1-7D0CC978DF28}" destId="{50B94742-BEE4-429C-89B6-F5C19DB14058}" srcOrd="1" destOrd="0" presId="urn:microsoft.com/office/officeart/2005/8/layout/hierarchy2"/>
    <dgm:cxn modelId="{21E52A1F-826F-453E-9E12-AF47689FF004}" type="presParOf" srcId="{0759D191-BE40-4E28-B288-6C15CEF10618}" destId="{D2391722-61AF-4B89-A342-E19182DD6EA5}" srcOrd="6" destOrd="0" presId="urn:microsoft.com/office/officeart/2005/8/layout/hierarchy2"/>
    <dgm:cxn modelId="{1B2693F9-95EA-4341-91C1-A1B34FA1A0B7}" type="presParOf" srcId="{D2391722-61AF-4B89-A342-E19182DD6EA5}" destId="{A8619188-6935-422A-A84D-9D55B441A82C}" srcOrd="0" destOrd="0" presId="urn:microsoft.com/office/officeart/2005/8/layout/hierarchy2"/>
    <dgm:cxn modelId="{228F8C0D-B681-4F3A-AD55-0A6D63E6CC43}" type="presParOf" srcId="{0759D191-BE40-4E28-B288-6C15CEF10618}" destId="{9DF04E6C-FF5B-494D-96B9-501559BF30F9}" srcOrd="7" destOrd="0" presId="urn:microsoft.com/office/officeart/2005/8/layout/hierarchy2"/>
    <dgm:cxn modelId="{D44A6B03-4312-4E46-895D-8B6ED043D177}" type="presParOf" srcId="{9DF04E6C-FF5B-494D-96B9-501559BF30F9}" destId="{D6A3D829-C137-4405-8A2D-796F04C33BB6}" srcOrd="0" destOrd="0" presId="urn:microsoft.com/office/officeart/2005/8/layout/hierarchy2"/>
    <dgm:cxn modelId="{DF4EB935-C20A-4952-A8A6-23A710288906}" type="presParOf" srcId="{9DF04E6C-FF5B-494D-96B9-501559BF30F9}" destId="{0F386B90-2B48-40E5-9CB6-9BC79F5A0AF0}" srcOrd="1" destOrd="0" presId="urn:microsoft.com/office/officeart/2005/8/layout/hierarchy2"/>
    <dgm:cxn modelId="{4C276364-DB95-4328-921D-FB4D6D1030E4}" type="presParOf" srcId="{0F386B90-2B48-40E5-9CB6-9BC79F5A0AF0}" destId="{87194154-B110-45D8-B4A0-BC12E86637C7}" srcOrd="0" destOrd="0" presId="urn:microsoft.com/office/officeart/2005/8/layout/hierarchy2"/>
    <dgm:cxn modelId="{F6D06C0B-6A46-4245-AADA-81629A54FC37}" type="presParOf" srcId="{87194154-B110-45D8-B4A0-BC12E86637C7}" destId="{32053C5D-B170-43D4-A486-22C89E8422B5}" srcOrd="0" destOrd="0" presId="urn:microsoft.com/office/officeart/2005/8/layout/hierarchy2"/>
    <dgm:cxn modelId="{58E8521B-AC06-4C64-9BD4-9FD0A422E100}" type="presParOf" srcId="{0F386B90-2B48-40E5-9CB6-9BC79F5A0AF0}" destId="{6C254EF0-F768-44E9-B0BB-C122D7378244}" srcOrd="1" destOrd="0" presId="urn:microsoft.com/office/officeart/2005/8/layout/hierarchy2"/>
    <dgm:cxn modelId="{B0A01BE8-F4B6-46EA-AA09-9FA2DD255995}" type="presParOf" srcId="{6C254EF0-F768-44E9-B0BB-C122D7378244}" destId="{A6F9F7AF-F5AF-4099-A68F-2BC86E3E3B33}" srcOrd="0" destOrd="0" presId="urn:microsoft.com/office/officeart/2005/8/layout/hierarchy2"/>
    <dgm:cxn modelId="{8DC6C19E-E146-4AFE-A4A6-151F1E54E304}" type="presParOf" srcId="{6C254EF0-F768-44E9-B0BB-C122D7378244}" destId="{CAE0B3BF-F3A0-4CC3-B84A-732F5C316879}" srcOrd="1" destOrd="0" presId="urn:microsoft.com/office/officeart/2005/8/layout/hierarchy2"/>
    <dgm:cxn modelId="{F63C09E5-809C-414C-8782-6FDECF012831}" type="presParOf" srcId="{0759D191-BE40-4E28-B288-6C15CEF10618}" destId="{A4AFA082-98F9-4A53-9106-2B061F472557}" srcOrd="8" destOrd="0" presId="urn:microsoft.com/office/officeart/2005/8/layout/hierarchy2"/>
    <dgm:cxn modelId="{CD7D12FF-A506-4CD0-8103-1A99A7D35E85}" type="presParOf" srcId="{A4AFA082-98F9-4A53-9106-2B061F472557}" destId="{F148B881-1E2F-463B-8C9D-B4D23DCC39F1}" srcOrd="0" destOrd="0" presId="urn:microsoft.com/office/officeart/2005/8/layout/hierarchy2"/>
    <dgm:cxn modelId="{00B334D4-FEEC-470A-A44C-368CD8E4B751}" type="presParOf" srcId="{0759D191-BE40-4E28-B288-6C15CEF10618}" destId="{762E4A41-6701-4D1D-AFB9-B63206012B83}" srcOrd="9" destOrd="0" presId="urn:microsoft.com/office/officeart/2005/8/layout/hierarchy2"/>
    <dgm:cxn modelId="{C5AEEAA8-6381-4314-9978-9B897697D5AC}" type="presParOf" srcId="{762E4A41-6701-4D1D-AFB9-B63206012B83}" destId="{E042646E-6362-443D-ADA1-FB01938224DD}" srcOrd="0" destOrd="0" presId="urn:microsoft.com/office/officeart/2005/8/layout/hierarchy2"/>
    <dgm:cxn modelId="{DBBEC2E5-C101-41C0-A831-C741C7A9BD62}" type="presParOf" srcId="{762E4A41-6701-4D1D-AFB9-B63206012B83}" destId="{5F0E214B-F355-4977-87A5-A9BD132685A0}" srcOrd="1" destOrd="0" presId="urn:microsoft.com/office/officeart/2005/8/layout/hierarchy2"/>
    <dgm:cxn modelId="{595A73A4-504F-4098-96DA-DCB43D288DDE}" type="presParOf" srcId="{5F0E214B-F355-4977-87A5-A9BD132685A0}" destId="{C2D5ECA9-8B3D-4E44-A310-E4B8F2AAD02A}" srcOrd="0" destOrd="0" presId="urn:microsoft.com/office/officeart/2005/8/layout/hierarchy2"/>
    <dgm:cxn modelId="{46B24320-146F-4177-8E8C-B63C8F6E56C7}" type="presParOf" srcId="{C2D5ECA9-8B3D-4E44-A310-E4B8F2AAD02A}" destId="{8706AAA0-D858-45CE-AC33-BE67CB7EA07A}" srcOrd="0" destOrd="0" presId="urn:microsoft.com/office/officeart/2005/8/layout/hierarchy2"/>
    <dgm:cxn modelId="{D04F4ECC-6F74-4960-B3E7-8B74BD4E8AEA}" type="presParOf" srcId="{5F0E214B-F355-4977-87A5-A9BD132685A0}" destId="{AA0A5A81-7800-4010-B9F6-3CE7E56EA139}" srcOrd="1" destOrd="0" presId="urn:microsoft.com/office/officeart/2005/8/layout/hierarchy2"/>
    <dgm:cxn modelId="{F6D30C47-8022-4676-A898-EB2CE24B29AE}" type="presParOf" srcId="{AA0A5A81-7800-4010-B9F6-3CE7E56EA139}" destId="{00A89337-EC6D-4591-8F82-988DCD92FD20}" srcOrd="0" destOrd="0" presId="urn:microsoft.com/office/officeart/2005/8/layout/hierarchy2"/>
    <dgm:cxn modelId="{F14FDE99-E3D4-4AF9-9432-5EF31DC9E58E}" type="presParOf" srcId="{AA0A5A81-7800-4010-B9F6-3CE7E56EA139}" destId="{E5655F3C-EB75-44D6-A132-3D929ADAE508}" srcOrd="1" destOrd="0" presId="urn:microsoft.com/office/officeart/2005/8/layout/hierarchy2"/>
    <dgm:cxn modelId="{61A2D76E-61A1-4954-AAE2-6133A0E57FFD}" type="presParOf" srcId="{9EEA43A2-A199-44EC-8898-3041A5F87FCB}" destId="{08E1D166-9EA6-48BF-81AF-17DC0D22E159}" srcOrd="2" destOrd="0" presId="urn:microsoft.com/office/officeart/2005/8/layout/hierarchy2"/>
    <dgm:cxn modelId="{073F6D40-3FAB-4A5F-B771-AA304EB9A74E}" type="presParOf" srcId="{08E1D166-9EA6-48BF-81AF-17DC0D22E159}" destId="{3216B025-15F7-425D-A9AD-69F5DA7C2A40}" srcOrd="0" destOrd="0" presId="urn:microsoft.com/office/officeart/2005/8/layout/hierarchy2"/>
    <dgm:cxn modelId="{39E13AD5-B4C7-4DA1-AA14-C8F98B26F254}" type="presParOf" srcId="{9EEA43A2-A199-44EC-8898-3041A5F87FCB}" destId="{A3DB3B9A-7CC2-48CD-9E36-8A6AA3B554E4}" srcOrd="3" destOrd="0" presId="urn:microsoft.com/office/officeart/2005/8/layout/hierarchy2"/>
    <dgm:cxn modelId="{611299F4-77E9-4198-AB43-320B0B23217A}" type="presParOf" srcId="{A3DB3B9A-7CC2-48CD-9E36-8A6AA3B554E4}" destId="{EF73B5D9-7512-41AD-BB4B-B2EC2AA286B9}" srcOrd="0" destOrd="0" presId="urn:microsoft.com/office/officeart/2005/8/layout/hierarchy2"/>
    <dgm:cxn modelId="{A2A372E4-4836-41F2-B5F4-CDECFC66DD4D}" type="presParOf" srcId="{A3DB3B9A-7CC2-48CD-9E36-8A6AA3B554E4}" destId="{1ED64751-F1BF-491E-9BCE-5B8540C121CE}" srcOrd="1" destOrd="0" presId="urn:microsoft.com/office/officeart/2005/8/layout/hierarchy2"/>
    <dgm:cxn modelId="{55F11B66-9EB3-4ED5-BBC8-B3EFCF98BF7B}" type="presParOf" srcId="{9EEA43A2-A199-44EC-8898-3041A5F87FCB}" destId="{0AB148D7-1C37-40A4-B5EA-F97FF0813C26}" srcOrd="4" destOrd="0" presId="urn:microsoft.com/office/officeart/2005/8/layout/hierarchy2"/>
    <dgm:cxn modelId="{3C39CA79-E575-4B5C-A211-8CB4B6EABFB2}" type="presParOf" srcId="{0AB148D7-1C37-40A4-B5EA-F97FF0813C26}" destId="{EDA636EC-76E8-4885-B6DC-DDF88252F7B4}" srcOrd="0" destOrd="0" presId="urn:microsoft.com/office/officeart/2005/8/layout/hierarchy2"/>
    <dgm:cxn modelId="{23A3A546-8776-4580-82F5-29A1B37D33B9}" type="presParOf" srcId="{9EEA43A2-A199-44EC-8898-3041A5F87FCB}" destId="{13D7B609-5866-40E1-83D7-71EB9EF42530}" srcOrd="5" destOrd="0" presId="urn:microsoft.com/office/officeart/2005/8/layout/hierarchy2"/>
    <dgm:cxn modelId="{C95BFC8F-49D3-4144-9270-BFD0EA9019A3}" type="presParOf" srcId="{13D7B609-5866-40E1-83D7-71EB9EF42530}" destId="{85DBD701-4339-41D3-B22B-D66201087CE3}" srcOrd="0" destOrd="0" presId="urn:microsoft.com/office/officeart/2005/8/layout/hierarchy2"/>
    <dgm:cxn modelId="{0426BA35-7403-4CC3-88AD-8A6AEF57A1A2}" type="presParOf" srcId="{13D7B609-5866-40E1-83D7-71EB9EF42530}" destId="{743B681D-FCAE-4470-8CB7-B6DB03F1FA40}" srcOrd="1" destOrd="0" presId="urn:microsoft.com/office/officeart/2005/8/layout/hierarchy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2DA112D-E788-4E8A-97F5-84B632DEEE01}" type="doc">
      <dgm:prSet loTypeId="urn:microsoft.com/office/officeart/2005/8/layout/hierarchy2" loCatId="hierarchy" qsTypeId="urn:microsoft.com/office/officeart/2005/8/quickstyle/simple1#3" qsCatId="simple" csTypeId="urn:microsoft.com/office/officeart/2005/8/colors/colorful3" csCatId="colorful" phldr="1"/>
      <dgm:spPr/>
      <dgm:t>
        <a:bodyPr/>
        <a:lstStyle/>
        <a:p>
          <a:endParaRPr lang="en-US"/>
        </a:p>
      </dgm:t>
    </dgm:pt>
    <dgm:pt modelId="{64EF3316-BBB7-409A-9DC1-A5A6ACF80C6D}">
      <dgm:prSet phldrT="[Text]" custT="1"/>
      <dgm:spPr>
        <a:xfrm>
          <a:off x="6902" y="2599134"/>
          <a:ext cx="909049" cy="123651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rtl="1"/>
          <a:r>
            <a:rPr lang="ar-SA" sz="1000"/>
            <a:t>الحد من الفقر وزيادة الرخاء المشترك على نحو مستدام</a:t>
          </a:r>
          <a:endParaRPr lang="en-US" sz="1000" b="1">
            <a:solidFill>
              <a:sysClr val="window" lastClr="FFFFFF"/>
            </a:solidFill>
            <a:latin typeface="Calibri"/>
            <a:ea typeface="+mn-ea"/>
            <a:cs typeface="+mn-cs"/>
          </a:endParaRPr>
        </a:p>
      </dgm:t>
    </dgm:pt>
    <dgm:pt modelId="{8030E2D7-8F39-4D00-8370-D58CFE73DF32}" type="parTrans" cxnId="{C74A1039-A3F9-471C-91A6-1164D1881067}">
      <dgm:prSet/>
      <dgm:spPr/>
      <dgm:t>
        <a:bodyPr/>
        <a:lstStyle/>
        <a:p>
          <a:pPr algn="ctr"/>
          <a:endParaRPr lang="en-US" sz="1000"/>
        </a:p>
      </dgm:t>
    </dgm:pt>
    <dgm:pt modelId="{3DCE6C9D-75F3-4862-B32F-69DF6232D7A7}" type="sibTrans" cxnId="{C74A1039-A3F9-471C-91A6-1164D1881067}">
      <dgm:prSet/>
      <dgm:spPr/>
      <dgm:t>
        <a:bodyPr/>
        <a:lstStyle/>
        <a:p>
          <a:pPr algn="ctr"/>
          <a:endParaRPr lang="en-US" sz="1000"/>
        </a:p>
      </dgm:t>
    </dgm:pt>
    <dgm:pt modelId="{248E5A5D-AFF9-452C-86E1-76E0D8987061}">
      <dgm:prSet phldrT="[Text]" custT="1"/>
      <dgm:spPr>
        <a:xfrm>
          <a:off x="1284959" y="3752025"/>
          <a:ext cx="1144382" cy="886613"/>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مجال التركيز 3 : الاحتواء الاجتماعي</a:t>
          </a:r>
          <a:endParaRPr lang="en-US" sz="1000">
            <a:solidFill>
              <a:sysClr val="window" lastClr="FFFFFF"/>
            </a:solidFill>
            <a:latin typeface="Calibri"/>
            <a:ea typeface="+mn-ea"/>
            <a:cs typeface="+mn-cs"/>
          </a:endParaRPr>
        </a:p>
      </dgm:t>
    </dgm:pt>
    <dgm:pt modelId="{E047FAEF-6FDC-4A1F-9FC4-D1E1B62CEE67}" type="parTrans" cxnId="{7D214716-D9D3-4F08-83DE-5783983A60C7}">
      <dgm:prSet custT="1"/>
      <dgm:spPr>
        <a:xfrm rot="4159619">
          <a:off x="577833" y="3701076"/>
          <a:ext cx="1045245" cy="10569"/>
        </a:xfrm>
        <a:noFill/>
        <a:ln w="25400" cap="flat" cmpd="sng" algn="ctr">
          <a:solidFill>
            <a:srgbClr val="8064A2">
              <a:hueOff val="0"/>
              <a:satOff val="0"/>
              <a:lumOff val="0"/>
              <a:alphaOff val="0"/>
            </a:srgbClr>
          </a:solidFill>
          <a:prstDash val="solid"/>
        </a:ln>
        <a:effectLst/>
      </dgm:spPr>
      <dgm:t>
        <a:bodyPr/>
        <a:lstStyle/>
        <a:p>
          <a:pPr algn="ctr"/>
          <a:endParaRPr lang="en-US" sz="1000">
            <a:solidFill>
              <a:sysClr val="windowText" lastClr="000000">
                <a:hueOff val="0"/>
                <a:satOff val="0"/>
                <a:lumOff val="0"/>
                <a:alphaOff val="0"/>
              </a:sysClr>
            </a:solidFill>
            <a:latin typeface="Calibri"/>
            <a:ea typeface="+mn-ea"/>
            <a:cs typeface="+mn-cs"/>
          </a:endParaRPr>
        </a:p>
      </dgm:t>
    </dgm:pt>
    <dgm:pt modelId="{FE7C2FDC-7558-45F2-AAD5-813C845FD8AB}" type="sibTrans" cxnId="{7D214716-D9D3-4F08-83DE-5783983A60C7}">
      <dgm:prSet/>
      <dgm:spPr/>
      <dgm:t>
        <a:bodyPr/>
        <a:lstStyle/>
        <a:p>
          <a:pPr algn="ctr"/>
          <a:endParaRPr lang="en-US" sz="1000"/>
        </a:p>
      </dgm:t>
    </dgm:pt>
    <dgm:pt modelId="{CC534AB4-91D0-4BF5-AD48-CB013071175B}">
      <dgm:prSet phldrT="[Text]" custT="1"/>
      <dgm:spPr>
        <a:xfrm>
          <a:off x="2924423" y="2471338"/>
          <a:ext cx="1329331" cy="90174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3.2 لإطار الشراكة الإستراتيجية: زيادة سبل الحصول على خدمات الرعاية الصحية ذات الجودة</a:t>
          </a:r>
          <a:endParaRPr lang="en-US" sz="1000" b="0">
            <a:solidFill>
              <a:sysClr val="window" lastClr="FFFFFF"/>
            </a:solidFill>
            <a:latin typeface="Calibri"/>
            <a:ea typeface="+mn-ea"/>
            <a:cs typeface="+mn-cs"/>
          </a:endParaRPr>
        </a:p>
      </dgm:t>
    </dgm:pt>
    <dgm:pt modelId="{C302AAD0-D314-48EF-A132-B00C63D41CEF}" type="parTrans" cxnId="{F9C078C9-56B6-45F3-A262-7D2E02D28D63}">
      <dgm:prSet/>
      <dgm:spPr>
        <a:xfrm rot="17474980">
          <a:off x="1993885" y="3553487"/>
          <a:ext cx="1365994" cy="10569"/>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B96E38A-1786-464E-B3A5-6F69BD3D6997}" type="sibTrans" cxnId="{F9C078C9-56B6-45F3-A262-7D2E02D28D63}">
      <dgm:prSet/>
      <dgm:spPr/>
      <dgm:t>
        <a:bodyPr/>
        <a:lstStyle/>
        <a:p>
          <a:endParaRPr lang="en-US" sz="1000"/>
        </a:p>
      </dgm:t>
    </dgm:pt>
    <dgm:pt modelId="{20C9B7EF-514E-4C33-A9EC-03FCD610FFD5}">
      <dgm:prSet custT="1"/>
      <dgm:spPr>
        <a:xfrm>
          <a:off x="4595952" y="2303488"/>
          <a:ext cx="2460452" cy="1237594"/>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ما زال الحصول على خدمات الرعاية الصحية يتسم بتفاوت كبير بين أجزاء البلاد، ونوعية الرعاية متفاوتة، لاسيما في المناطق الريفية، والكثير من المنشآت الصحية تعاني سوء التجهيز والصيانة ونقص العاملين والافتقار إلى الأدوية والمستلزمات الأساسية. تفشي مشاعر عدم الرضا عن تدنِّي مستوى خدمات الرعاية الصحية يؤدي إلى انخفاض معدلات الاستفادة من الخدمات التي تقدمها الجهات الحكومية.</a:t>
          </a:r>
          <a:endParaRPr lang="en-US" sz="1000" b="1">
            <a:solidFill>
              <a:sysClr val="window" lastClr="FFFFFF"/>
            </a:solidFill>
            <a:latin typeface="Calibri"/>
            <a:ea typeface="+mn-ea"/>
            <a:cs typeface="+mn-cs"/>
          </a:endParaRPr>
        </a:p>
      </dgm:t>
    </dgm:pt>
    <dgm:pt modelId="{59B22281-CE61-4D25-9905-5BEFF3E088D0}" type="parTrans" cxnId="{2D1BB8AC-33B5-4DEA-889E-472027292B11}">
      <dgm:prSet custT="1"/>
      <dgm:spPr>
        <a:xfrm rot="746">
          <a:off x="4253754" y="2916964"/>
          <a:ext cx="342197" cy="10569"/>
        </a:xfrm>
        <a:noFill/>
        <a:ln w="25400" cap="flat" cmpd="sng" algn="ctr">
          <a:solidFill>
            <a:srgbClr val="F7964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C9B14D01-69C6-4965-88E5-4BBB3B7CBC40}" type="sibTrans" cxnId="{2D1BB8AC-33B5-4DEA-889E-472027292B11}">
      <dgm:prSet/>
      <dgm:spPr/>
      <dgm:t>
        <a:bodyPr/>
        <a:lstStyle/>
        <a:p>
          <a:endParaRPr lang="en-US" sz="1000"/>
        </a:p>
      </dgm:t>
    </dgm:pt>
    <dgm:pt modelId="{B3648642-2AF4-4A4F-810C-3E7230845B69}">
      <dgm:prSet custT="1"/>
      <dgm:spPr>
        <a:xfrm>
          <a:off x="2896405" y="4818600"/>
          <a:ext cx="1356191" cy="844973"/>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الهدف 3.4 لإطار الشراكة الإستراتيجية: زيادة سبل الحصول على خدمات الصرف الصحي المحسَّنة في المناطق الريفية</a:t>
          </a:r>
          <a:endParaRPr lang="en-US" sz="1000" b="0">
            <a:solidFill>
              <a:sysClr val="window" lastClr="FFFFFF"/>
            </a:solidFill>
            <a:latin typeface="Calibri"/>
            <a:ea typeface="+mn-ea"/>
            <a:cs typeface="+mn-cs"/>
          </a:endParaRPr>
        </a:p>
      </dgm:t>
    </dgm:pt>
    <dgm:pt modelId="{CA327E54-2B15-4F74-8059-7CFA0E2AB4A1}" type="parTrans" cxnId="{206DA6D6-A092-4C04-9F0F-7E6036E609C1}">
      <dgm:prSet/>
      <dgm:spPr>
        <a:xfrm rot="3955986">
          <a:off x="2090215" y="4712925"/>
          <a:ext cx="1145317" cy="10569"/>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501266E-F0E3-4EC5-9FBD-763C36BF8EA5}" type="sibTrans" cxnId="{206DA6D6-A092-4C04-9F0F-7E6036E609C1}">
      <dgm:prSet/>
      <dgm:spPr/>
      <dgm:t>
        <a:bodyPr/>
        <a:lstStyle/>
        <a:p>
          <a:endParaRPr lang="en-US" sz="1000"/>
        </a:p>
      </dgm:t>
    </dgm:pt>
    <dgm:pt modelId="{CD15D20E-F559-4AC6-B605-373C1F703C9C}">
      <dgm:prSet custT="1"/>
      <dgm:spPr>
        <a:xfrm>
          <a:off x="4582947" y="1058303"/>
          <a:ext cx="2494784" cy="1193039"/>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نظام برامج شبكات الأمان الاجتماعي معقد، ومُفتَّت وآليات التوجيه تفتقر إلى الكفاءة والفاعلية في الحد من الفقر. وما زال عدد المنتفعين من هذه البرامج أقل كثيرا من تقديرات عدد الفقراء، ومقدار الإعانات النقدية أقل كثيرا من المطلوب لانتشال المنتفعين من براثن الفقر.</a:t>
          </a:r>
          <a:endParaRPr lang="en-US" sz="1000" b="1">
            <a:solidFill>
              <a:sysClr val="window" lastClr="FFFFFF"/>
            </a:solidFill>
            <a:latin typeface="Calibri"/>
            <a:ea typeface="+mn-ea"/>
            <a:cs typeface="+mn-cs"/>
          </a:endParaRPr>
        </a:p>
      </dgm:t>
    </dgm:pt>
    <dgm:pt modelId="{BC3459F6-E534-4CA8-B755-D93A834EC1BD}" type="parTrans" cxnId="{994E6ED4-0CDF-41EC-9AE9-A8B32D942B7C}">
      <dgm:prSet custT="1"/>
      <dgm:spPr>
        <a:xfrm rot="21554388">
          <a:off x="4297643" y="1651431"/>
          <a:ext cx="285316" cy="10569"/>
        </a:xfrm>
        <a:noFill/>
        <a:ln w="25400" cap="flat" cmpd="sng" algn="ctr">
          <a:solidFill>
            <a:srgbClr val="F7964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F9FD773E-D2D7-46AD-AB83-76365C61F11E}" type="sibTrans" cxnId="{994E6ED4-0CDF-41EC-9AE9-A8B32D942B7C}">
      <dgm:prSet/>
      <dgm:spPr/>
      <dgm:t>
        <a:bodyPr/>
        <a:lstStyle/>
        <a:p>
          <a:endParaRPr lang="en-US" sz="1000"/>
        </a:p>
      </dgm:t>
    </dgm:pt>
    <dgm:pt modelId="{A44FF350-A2B8-47A3-A2A1-D93CDB84DBA4}">
      <dgm:prSet custT="1"/>
      <dgm:spPr>
        <a:xfrm>
          <a:off x="4558760" y="4831857"/>
          <a:ext cx="2528947" cy="81392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الأمراض التي تنقلها المياه لها تأثيرات صحية واقتصادية بالغة. </a:t>
          </a:r>
          <a:r>
            <a:rPr lang="en-GB" sz="1000"/>
            <a:t>  </a:t>
          </a:r>
          <a:r>
            <a:rPr lang="ar-SA" sz="1000"/>
            <a:t>وتعاني قنوات الصرف التي تختلط بمياه النيل من التلوُّث الشديد من جراء عدم كفاية الصرف الصحي، وإلقاء النفايات، وشبكات عفا عليها الزمن لمعالجة المياه.</a:t>
          </a:r>
          <a:endParaRPr lang="en-US" sz="1000" b="1">
            <a:solidFill>
              <a:sysClr val="window" lastClr="FFFFFF"/>
            </a:solidFill>
            <a:latin typeface="Calibri"/>
            <a:ea typeface="+mn-ea"/>
            <a:cs typeface="+mn-cs"/>
          </a:endParaRPr>
        </a:p>
      </dgm:t>
    </dgm:pt>
    <dgm:pt modelId="{E1DB6644-B705-43CD-B7A8-A9EE65B752D7}" type="parTrans" cxnId="{A747EF8E-C0B8-4E8A-BE29-D2BA5FA49AFC}">
      <dgm:prSet custT="1"/>
      <dgm:spPr>
        <a:xfrm rot="21574553">
          <a:off x="4252592" y="5234669"/>
          <a:ext cx="306171" cy="10569"/>
        </a:xfrm>
        <a:noFill/>
        <a:ln w="25400" cap="flat" cmpd="sng" algn="ctr">
          <a:solidFill>
            <a:srgbClr val="F7964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AEBE3EF1-F63B-4F1D-BD58-0FDDA7A659D1}" type="sibTrans" cxnId="{A747EF8E-C0B8-4E8A-BE29-D2BA5FA49AFC}">
      <dgm:prSet/>
      <dgm:spPr/>
      <dgm:t>
        <a:bodyPr/>
        <a:lstStyle/>
        <a:p>
          <a:endParaRPr lang="en-US" sz="1000"/>
        </a:p>
      </dgm:t>
    </dgm:pt>
    <dgm:pt modelId="{F0528C14-756B-4403-AD96-1E0DF435775E}">
      <dgm:prSet custT="1"/>
      <dgm:spPr>
        <a:xfrm>
          <a:off x="2977152" y="1063185"/>
          <a:ext cx="1320503" cy="1190847"/>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الهدف 3.1 لإطار الشراكة الإستراتيجية: تحسين سبل حصول الفقراء على فرص للدخل قصيرة الأجل وتوسيع نطاق تغطية منظومة شبكات الأمان الاجتماعي</a:t>
          </a:r>
          <a:endParaRPr lang="en-US" sz="1000" b="0">
            <a:solidFill>
              <a:sysClr val="window" lastClr="FFFFFF"/>
            </a:solidFill>
            <a:latin typeface="Calibri"/>
            <a:ea typeface="+mn-ea"/>
            <a:cs typeface="+mn-cs"/>
          </a:endParaRPr>
        </a:p>
      </dgm:t>
    </dgm:pt>
    <dgm:pt modelId="{CAD1568F-25A3-4ADA-99DA-68BE7D4F310F}" type="sibTrans" cxnId="{80C34E69-5F46-40D3-AAF4-8ECD36C275CE}">
      <dgm:prSet/>
      <dgm:spPr/>
      <dgm:t>
        <a:bodyPr/>
        <a:lstStyle/>
        <a:p>
          <a:endParaRPr lang="en-US" sz="1000"/>
        </a:p>
      </dgm:t>
    </dgm:pt>
    <dgm:pt modelId="{4C25718A-26C6-45CA-8459-5D8D927C1140}" type="parTrans" cxnId="{80C34E69-5F46-40D3-AAF4-8ECD36C275CE}">
      <dgm:prSet custT="1"/>
      <dgm:spPr>
        <a:xfrm rot="16931161">
          <a:off x="1405647" y="2921686"/>
          <a:ext cx="2595200" cy="10569"/>
        </a:xfrm>
        <a:noFill/>
        <a:ln w="25400" cap="flat" cmpd="sng" algn="ctr">
          <a:solidFill>
            <a:srgbClr val="4BACC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FD8D2C48-973B-47E0-B818-744D252D9D55}">
      <dgm:prSet custT="1"/>
      <dgm:spPr>
        <a:xfrm>
          <a:off x="2913398" y="3818848"/>
          <a:ext cx="1329331" cy="717172"/>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الهدف 3.3 لإطار الشراكة الإستراتيجية: زيادة سبل حصول الأسر محدودة الدخل على  مسكن</a:t>
          </a:r>
          <a:endParaRPr lang="en-US" sz="1000" b="1">
            <a:solidFill>
              <a:sysClr val="window" lastClr="FFFFFF"/>
            </a:solidFill>
            <a:latin typeface="Calibri"/>
            <a:ea typeface="+mn-ea"/>
            <a:cs typeface="+mn-cs"/>
          </a:endParaRPr>
        </a:p>
      </dgm:t>
    </dgm:pt>
    <dgm:pt modelId="{03AED3F7-1EDD-449E-9F73-41C113F77CB7}" type="parTrans" cxnId="{6E36B294-F04C-4387-8F92-8353AF9D0159}">
      <dgm:prSet custT="1"/>
      <dgm:spPr>
        <a:xfrm rot="21472946">
          <a:off x="2429176" y="4181098"/>
          <a:ext cx="484387" cy="10569"/>
        </a:xfrm>
        <a:noFill/>
        <a:ln w="25400" cap="flat" cmpd="sng" algn="ctr">
          <a:solidFill>
            <a:srgbClr val="4BACC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AB20A06F-BCF0-4AF1-89CE-7E90B8E91784}" type="sibTrans" cxnId="{6E36B294-F04C-4387-8F92-8353AF9D0159}">
      <dgm:prSet/>
      <dgm:spPr/>
      <dgm:t>
        <a:bodyPr/>
        <a:lstStyle/>
        <a:p>
          <a:endParaRPr lang="en-US" sz="1000"/>
        </a:p>
      </dgm:t>
    </dgm:pt>
    <dgm:pt modelId="{05512890-2113-4E5F-B686-1DE15B740007}">
      <dgm:prSet custT="1"/>
      <dgm:spPr>
        <a:xfrm>
          <a:off x="4576317" y="3588968"/>
          <a:ext cx="2496466" cy="1173528"/>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ما زال الحصول على مسكن ميسور التكلفة في مصر تحديا رئيسيا أمام الأسر ذات الدخل المنخفض والمتوسط، إذ أدَّت سياسات عفا عليها الزمن للتحكُّم في الإيجارات إلى النمو السريع للإسكان العشوائي. وتزداد حدة نقص المساكن وما يتصل به من تعذُّر الحصول على التمويل لدى فئة الشباب المحرومين الذين يبلغ عددهم 10 ملايين.</a:t>
          </a:r>
          <a:endParaRPr lang="en-US" sz="1000" b="0">
            <a:solidFill>
              <a:sysClr val="window" lastClr="FFFFFF"/>
            </a:solidFill>
            <a:latin typeface="Calibri"/>
            <a:ea typeface="+mn-ea"/>
            <a:cs typeface="+mn-cs"/>
          </a:endParaRPr>
        </a:p>
      </dgm:t>
    </dgm:pt>
    <dgm:pt modelId="{8CF889CF-3641-45E3-A7E4-5786CEC583C3}" type="parTrans" cxnId="{917198C0-E542-44F2-BE70-F44B805210AD}">
      <dgm:prSet custT="1"/>
      <dgm:spPr>
        <a:xfrm rot="21582458">
          <a:off x="4242727" y="4171298"/>
          <a:ext cx="333591" cy="10569"/>
        </a:xfrm>
        <a:noFill/>
        <a:ln w="25400" cap="flat" cmpd="sng" algn="ctr">
          <a:solidFill>
            <a:srgbClr val="F7964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FBD8A2C6-D600-4FCB-9344-A50C4C55B65F}" type="sibTrans" cxnId="{917198C0-E542-44F2-BE70-F44B805210AD}">
      <dgm:prSet/>
      <dgm:spPr/>
      <dgm:t>
        <a:bodyPr/>
        <a:lstStyle/>
        <a:p>
          <a:endParaRPr lang="en-US" sz="1000"/>
        </a:p>
      </dgm:t>
    </dgm:pt>
    <dgm:pt modelId="{AADE609D-5C31-49AA-8D26-308B791CF2BF}">
      <dgm:prSet phldrT="[Text]" custT="1"/>
      <dgm:spPr>
        <a:xfrm>
          <a:off x="1284959" y="1812489"/>
          <a:ext cx="1144382" cy="904472"/>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مجال التركيز 1 : تحسين نظام الإدارة العامة والحوكمة</a:t>
          </a:r>
          <a:endParaRPr lang="en-US" sz="1000" b="1">
            <a:solidFill>
              <a:sysClr val="window" lastClr="FFFFFF"/>
            </a:solidFill>
            <a:latin typeface="Calibri"/>
            <a:ea typeface="+mn-ea"/>
            <a:cs typeface="+mn-cs"/>
          </a:endParaRPr>
        </a:p>
      </dgm:t>
    </dgm:pt>
    <dgm:pt modelId="{0AFF01DA-5F30-4771-976E-6724AF1C0165}" type="sibTrans" cxnId="{E66E3949-1F89-4C68-8F4B-8CD3275C8E21}">
      <dgm:prSet/>
      <dgm:spPr/>
      <dgm:t>
        <a:bodyPr/>
        <a:lstStyle/>
        <a:p>
          <a:endParaRPr lang="en-US" sz="1000"/>
        </a:p>
      </dgm:t>
    </dgm:pt>
    <dgm:pt modelId="{205397FA-208D-48E9-A74B-D72BAB00A137}" type="parTrans" cxnId="{E66E3949-1F89-4C68-8F4B-8CD3275C8E21}">
      <dgm:prSet custT="1"/>
      <dgm:spPr>
        <a:xfrm rot="17470411">
          <a:off x="589639" y="2735773"/>
          <a:ext cx="1021633" cy="10569"/>
        </a:xfrm>
        <a:noFill/>
        <a:ln w="25400" cap="flat" cmpd="sng" algn="ctr">
          <a:solidFill>
            <a:srgbClr val="8064A2">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4A630874-A021-4FDD-AFE1-CBF85E7103A6}">
      <dgm:prSet custT="1"/>
      <dgm:spPr>
        <a:xfrm>
          <a:off x="2902225" y="5935999"/>
          <a:ext cx="1329331" cy="702401"/>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الهدف 3.5: التوسع في توصيل الغاز الطبيعي إلى المنازل</a:t>
          </a:r>
          <a:endParaRPr lang="en-US" sz="1000" b="0" i="0">
            <a:solidFill>
              <a:sysClr val="window" lastClr="FFFFFF"/>
            </a:solidFill>
            <a:latin typeface="Calibri"/>
            <a:ea typeface="+mn-ea"/>
            <a:cs typeface="+mn-cs"/>
          </a:endParaRPr>
        </a:p>
      </dgm:t>
    </dgm:pt>
    <dgm:pt modelId="{38961060-E7A4-48A4-B6AD-47E51C6801AB}" type="parTrans" cxnId="{9CB08300-1C28-4B9C-B0BF-2463C1343E97}">
      <dgm:prSet/>
      <dgm:spPr>
        <a:xfrm rot="4635717">
          <a:off x="1593457" y="5235981"/>
          <a:ext cx="2144651" cy="10569"/>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333E79B-0F56-4941-B69B-15B329897998}" type="sibTrans" cxnId="{9CB08300-1C28-4B9C-B0BF-2463C1343E97}">
      <dgm:prSet/>
      <dgm:spPr/>
      <dgm:t>
        <a:bodyPr/>
        <a:lstStyle/>
        <a:p>
          <a:endParaRPr lang="en-US" sz="1000"/>
        </a:p>
      </dgm:t>
    </dgm:pt>
    <dgm:pt modelId="{25AA14E5-BFEF-4CEC-ACE6-1BFF5149C0A9}">
      <dgm:prSet custT="1"/>
      <dgm:spPr>
        <a:xfrm>
          <a:off x="4526002" y="5723666"/>
          <a:ext cx="2601489" cy="1124336"/>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ar-SA" sz="1000"/>
            <a:t>تفتقر الأسر إلى مصدر مأمون وموثوق للطاقة من أجل الطهي. وهناك حاجة أيضا إلى استثمارات رأسمالية كبيرة لتمويل التوسعة المتزايدة لشبكات التوزيع التي تسير بخطى سريعة في إطار برنامج نشط للحكومة لربط المنازل بشبكات الغاز الطبيعي.</a:t>
          </a:r>
          <a:r>
            <a:rPr lang="en-US" sz="1000" b="0" i="0">
              <a:solidFill>
                <a:sysClr val="window" lastClr="FFFFFF"/>
              </a:solidFill>
              <a:latin typeface="Calibri"/>
              <a:ea typeface="+mn-ea"/>
              <a:cs typeface="+mn-cs"/>
            </a:rPr>
            <a:t>.</a:t>
          </a:r>
        </a:p>
      </dgm:t>
    </dgm:pt>
    <dgm:pt modelId="{090C60F4-C543-464B-8B9E-4F24501B789A}" type="parTrans" cxnId="{6C0DEED4-9B1B-477C-823B-43B02B6169D7}">
      <dgm:prSet custT="1"/>
      <dgm:spPr>
        <a:xfrm rot="21584055">
          <a:off x="4231554" y="6281233"/>
          <a:ext cx="294449" cy="10569"/>
        </a:xfrm>
        <a:noFill/>
        <a:ln w="25400" cap="flat" cmpd="sng" algn="ctr">
          <a:solidFill>
            <a:srgbClr val="F79646">
              <a:hueOff val="0"/>
              <a:satOff val="0"/>
              <a:lumOff val="0"/>
              <a:alphaOff val="0"/>
            </a:srgbClr>
          </a:solidFill>
          <a:prstDash val="solid"/>
        </a:ln>
        <a:effectLst/>
      </dgm:spPr>
      <dgm:t>
        <a:bodyPr/>
        <a:lstStyle/>
        <a:p>
          <a:endParaRPr lang="en-US" sz="1000">
            <a:solidFill>
              <a:sysClr val="windowText" lastClr="000000">
                <a:hueOff val="0"/>
                <a:satOff val="0"/>
                <a:lumOff val="0"/>
                <a:alphaOff val="0"/>
              </a:sysClr>
            </a:solidFill>
            <a:latin typeface="Calibri"/>
            <a:ea typeface="+mn-ea"/>
            <a:cs typeface="+mn-cs"/>
          </a:endParaRPr>
        </a:p>
      </dgm:t>
    </dgm:pt>
    <dgm:pt modelId="{B9D6A683-4C66-4C46-98DE-7663FD4BC74E}" type="sibTrans" cxnId="{6C0DEED4-9B1B-477C-823B-43B02B6169D7}">
      <dgm:prSet/>
      <dgm:spPr/>
      <dgm:t>
        <a:bodyPr/>
        <a:lstStyle/>
        <a:p>
          <a:endParaRPr lang="en-US" sz="1000"/>
        </a:p>
      </dgm:t>
    </dgm:pt>
    <dgm:pt modelId="{D32530F1-347D-4529-8E63-33B786BE791B}">
      <dgm:prSet custT="1"/>
      <dgm:spPr>
        <a:xfrm>
          <a:off x="2903026" y="6973495"/>
          <a:ext cx="1287716" cy="909499"/>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الهدف 3.6 لإطار الشراكة الإستراتيجية:  تحسين حوكمة قطاع التعليم</a:t>
          </a:r>
          <a:endParaRPr lang="en-US" sz="1000" b="0" i="0">
            <a:solidFill>
              <a:sysClr val="window" lastClr="FFFFFF"/>
            </a:solidFill>
            <a:latin typeface="Calibri"/>
            <a:ea typeface="+mn-ea"/>
            <a:cs typeface="+mn-cs"/>
          </a:endParaRPr>
        </a:p>
      </dgm:t>
    </dgm:pt>
    <dgm:pt modelId="{CE51CA69-C47E-40DE-8BEB-22EBF3EBDB7E}" type="sibTrans" cxnId="{0E8AEFBC-B7CD-402D-AD4F-E39D8F95B8A0}">
      <dgm:prSet/>
      <dgm:spPr/>
      <dgm:t>
        <a:bodyPr/>
        <a:lstStyle/>
        <a:p>
          <a:endParaRPr lang="en-US"/>
        </a:p>
      </dgm:t>
    </dgm:pt>
    <dgm:pt modelId="{EC9BCEC0-09CA-473B-B94D-BECAF08CD227}" type="parTrans" cxnId="{0E8AEFBC-B7CD-402D-AD4F-E39D8F95B8A0}">
      <dgm:prSet/>
      <dgm:spPr>
        <a:xfrm rot="4899862">
          <a:off x="1032469" y="5806504"/>
          <a:ext cx="3267430" cy="10569"/>
        </a:xfrm>
        <a:noFill/>
        <a:ln w="25400" cap="flat" cmpd="sng" algn="ctr">
          <a:solidFill>
            <a:srgbClr val="4BACC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558CB3C-B5C4-4A1D-B7F7-3DF3D9BA5842}">
      <dgm:prSet custT="1"/>
      <dgm:spPr>
        <a:xfrm>
          <a:off x="4562986" y="6916498"/>
          <a:ext cx="2559844" cy="1017229"/>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00"/>
            <a:t>لا تزال هناك تحديات من حيث تدنِّي نواتج عملية التعلُّم التي ترتبط بالافتقار إلى الحوكمة. وتظهر بيانات تقييم الطلاب الدولية أن نواتج التعليم منخفضة في المتوسط، وتتسم أيضا بتفاوت شديد حسب المنطقة والوضع الاجتماعي والاقتصادي.</a:t>
          </a:r>
          <a:endParaRPr lang="en-US" sz="1000">
            <a:solidFill>
              <a:sysClr val="window" lastClr="FFFFFF"/>
            </a:solidFill>
            <a:latin typeface="Calibri"/>
            <a:ea typeface="+mn-ea"/>
            <a:cs typeface="+mn-cs"/>
          </a:endParaRPr>
        </a:p>
      </dgm:t>
    </dgm:pt>
    <dgm:pt modelId="{92759AAF-56A4-4755-A03E-F5B03FCEE162}" type="parTrans" cxnId="{7A7BA1BE-3289-4114-B9D8-CA482BF6EB9F}">
      <dgm:prSet/>
      <dgm:spPr>
        <a:xfrm rot="21571073">
          <a:off x="4190736" y="7421394"/>
          <a:ext cx="372256" cy="10569"/>
        </a:xfrm>
        <a:noFill/>
        <a:ln w="25400" cap="flat" cmpd="sng" algn="ctr">
          <a:solidFill>
            <a:srgbClr val="F79646">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A4EB1FCD-E54D-4D49-96B3-40591F25B5FB}" type="sibTrans" cxnId="{7A7BA1BE-3289-4114-B9D8-CA482BF6EB9F}">
      <dgm:prSet/>
      <dgm:spPr/>
      <dgm:t>
        <a:bodyPr/>
        <a:lstStyle/>
        <a:p>
          <a:endParaRPr lang="en-US"/>
        </a:p>
      </dgm:t>
    </dgm:pt>
    <dgm:pt modelId="{62E75C08-172C-4F3F-82E8-E3A7C4351426}">
      <dgm:prSet phldrT="[Text]" custT="1"/>
      <dgm:spPr>
        <a:xfrm>
          <a:off x="1284959" y="2791187"/>
          <a:ext cx="1144382" cy="886613"/>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ar-SA" sz="1050"/>
            <a:t>مجال التركيز 2: تحسين فرص خلق الوظائف بالقطاع الخاص</a:t>
          </a:r>
          <a:endParaRPr lang="en-US" sz="1050">
            <a:solidFill>
              <a:sysClr val="window" lastClr="FFFFFF"/>
            </a:solidFill>
            <a:latin typeface="Calibri"/>
            <a:ea typeface="+mn-ea"/>
            <a:cs typeface="+mn-cs"/>
          </a:endParaRPr>
        </a:p>
      </dgm:t>
    </dgm:pt>
    <dgm:pt modelId="{CCD76CBC-5822-4D0E-AFF2-1D94BA2EB4F0}" type="parTrans" cxnId="{92091719-64C1-4A68-82A0-A5A65C785B08}">
      <dgm:prSet/>
      <dgm:spPr>
        <a:xfrm rot="159230">
          <a:off x="915753" y="3220657"/>
          <a:ext cx="369403" cy="10569"/>
        </a:xfrm>
        <a:noFill/>
        <a:ln w="25400" cap="flat" cmpd="sng" algn="ctr">
          <a:solidFill>
            <a:srgbClr val="8064A2">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946CB13A-D8E7-44B1-8C5D-3CEA735BAFE3}" type="sibTrans" cxnId="{92091719-64C1-4A68-82A0-A5A65C785B08}">
      <dgm:prSet/>
      <dgm:spPr/>
      <dgm:t>
        <a:bodyPr/>
        <a:lstStyle/>
        <a:p>
          <a:endParaRPr lang="en-US"/>
        </a:p>
      </dgm:t>
    </dgm:pt>
    <dgm:pt modelId="{D7826509-EC2B-4A24-B843-7A7EBCCFB9CF}" type="pres">
      <dgm:prSet presAssocID="{B2DA112D-E788-4E8A-97F5-84B632DEEE01}" presName="diagram" presStyleCnt="0">
        <dgm:presLayoutVars>
          <dgm:chPref val="1"/>
          <dgm:dir val="rev"/>
          <dgm:animOne val="branch"/>
          <dgm:animLvl val="lvl"/>
          <dgm:resizeHandles val="exact"/>
        </dgm:presLayoutVars>
      </dgm:prSet>
      <dgm:spPr/>
      <dgm:t>
        <a:bodyPr/>
        <a:lstStyle/>
        <a:p>
          <a:endParaRPr lang="en-US"/>
        </a:p>
      </dgm:t>
    </dgm:pt>
    <dgm:pt modelId="{5BEFC538-B3B9-40A9-894F-0288C31C9C57}" type="pres">
      <dgm:prSet presAssocID="{64EF3316-BBB7-409A-9DC1-A5A6ACF80C6D}" presName="root1" presStyleCnt="0"/>
      <dgm:spPr/>
      <dgm:t>
        <a:bodyPr/>
        <a:lstStyle/>
        <a:p>
          <a:endParaRPr lang="en-US"/>
        </a:p>
      </dgm:t>
    </dgm:pt>
    <dgm:pt modelId="{734CEE8B-6FA1-42D1-8DA6-E887A40B5820}" type="pres">
      <dgm:prSet presAssocID="{64EF3316-BBB7-409A-9DC1-A5A6ACF80C6D}" presName="LevelOneTextNode" presStyleLbl="node0" presStyleIdx="0" presStyleCnt="1" custScaleX="91854" custScaleY="249884">
        <dgm:presLayoutVars>
          <dgm:chPref val="3"/>
        </dgm:presLayoutVars>
      </dgm:prSet>
      <dgm:spPr>
        <a:prstGeom prst="roundRect">
          <a:avLst>
            <a:gd name="adj" fmla="val 10000"/>
          </a:avLst>
        </a:prstGeom>
      </dgm:spPr>
      <dgm:t>
        <a:bodyPr/>
        <a:lstStyle/>
        <a:p>
          <a:endParaRPr lang="en-US"/>
        </a:p>
      </dgm:t>
    </dgm:pt>
    <dgm:pt modelId="{9EEA43A2-A199-44EC-8898-3041A5F87FCB}" type="pres">
      <dgm:prSet presAssocID="{64EF3316-BBB7-409A-9DC1-A5A6ACF80C6D}" presName="level2hierChild" presStyleCnt="0"/>
      <dgm:spPr/>
      <dgm:t>
        <a:bodyPr/>
        <a:lstStyle/>
        <a:p>
          <a:endParaRPr lang="en-US"/>
        </a:p>
      </dgm:t>
    </dgm:pt>
    <dgm:pt modelId="{05B31C23-4D55-4071-88F4-C6C57CE176E1}" type="pres">
      <dgm:prSet presAssocID="{205397FA-208D-48E9-A74B-D72BAB00A137}" presName="conn2-1" presStyleLbl="parChTrans1D2" presStyleIdx="0" presStyleCnt="3"/>
      <dgm:spPr>
        <a:custGeom>
          <a:avLst/>
          <a:gdLst/>
          <a:ahLst/>
          <a:cxnLst/>
          <a:rect l="0" t="0" r="0" b="0"/>
          <a:pathLst>
            <a:path>
              <a:moveTo>
                <a:pt x="0" y="11008"/>
              </a:moveTo>
              <a:lnTo>
                <a:pt x="665741" y="11008"/>
              </a:lnTo>
            </a:path>
          </a:pathLst>
        </a:custGeom>
      </dgm:spPr>
      <dgm:t>
        <a:bodyPr/>
        <a:lstStyle/>
        <a:p>
          <a:endParaRPr lang="en-US"/>
        </a:p>
      </dgm:t>
    </dgm:pt>
    <dgm:pt modelId="{A4EE937D-B408-45A3-A5E6-5EB4DDEF254C}" type="pres">
      <dgm:prSet presAssocID="{205397FA-208D-48E9-A74B-D72BAB00A137}" presName="connTx" presStyleLbl="parChTrans1D2" presStyleIdx="0" presStyleCnt="3"/>
      <dgm:spPr/>
      <dgm:t>
        <a:bodyPr/>
        <a:lstStyle/>
        <a:p>
          <a:endParaRPr lang="en-US"/>
        </a:p>
      </dgm:t>
    </dgm:pt>
    <dgm:pt modelId="{BC0E2788-3D9B-45CD-A96E-6F83779BD7A7}" type="pres">
      <dgm:prSet presAssocID="{AADE609D-5C31-49AA-8D26-308B791CF2BF}" presName="root2" presStyleCnt="0"/>
      <dgm:spPr/>
      <dgm:t>
        <a:bodyPr/>
        <a:lstStyle/>
        <a:p>
          <a:endParaRPr lang="en-US"/>
        </a:p>
      </dgm:t>
    </dgm:pt>
    <dgm:pt modelId="{1D995411-AD4A-4D44-89A3-4CA74B3E624C}" type="pres">
      <dgm:prSet presAssocID="{AADE609D-5C31-49AA-8D26-308B791CF2BF}" presName="LevelTwoTextNode" presStyleLbl="node2" presStyleIdx="0" presStyleCnt="3" custScaleX="115633" custScaleY="182783" custLinFactNeighborX="-2714" custLinFactNeighborY="1652">
        <dgm:presLayoutVars>
          <dgm:chPref val="3"/>
        </dgm:presLayoutVars>
      </dgm:prSet>
      <dgm:spPr>
        <a:prstGeom prst="roundRect">
          <a:avLst>
            <a:gd name="adj" fmla="val 10000"/>
          </a:avLst>
        </a:prstGeom>
      </dgm:spPr>
      <dgm:t>
        <a:bodyPr/>
        <a:lstStyle/>
        <a:p>
          <a:endParaRPr lang="en-US"/>
        </a:p>
      </dgm:t>
    </dgm:pt>
    <dgm:pt modelId="{0759D191-BE40-4E28-B288-6C15CEF10618}" type="pres">
      <dgm:prSet presAssocID="{AADE609D-5C31-49AA-8D26-308B791CF2BF}" presName="level3hierChild" presStyleCnt="0"/>
      <dgm:spPr/>
      <dgm:t>
        <a:bodyPr/>
        <a:lstStyle/>
        <a:p>
          <a:endParaRPr lang="en-US"/>
        </a:p>
      </dgm:t>
    </dgm:pt>
    <dgm:pt modelId="{85E15539-AE58-4F19-A8D4-F09E678B6B4D}" type="pres">
      <dgm:prSet presAssocID="{CCD76CBC-5822-4D0E-AFF2-1D94BA2EB4F0}" presName="conn2-1" presStyleLbl="parChTrans1D2" presStyleIdx="1" presStyleCnt="3"/>
      <dgm:spPr>
        <a:custGeom>
          <a:avLst/>
          <a:gdLst/>
          <a:ahLst/>
          <a:cxnLst/>
          <a:rect l="0" t="0" r="0" b="0"/>
          <a:pathLst>
            <a:path>
              <a:moveTo>
                <a:pt x="0" y="11008"/>
              </a:moveTo>
              <a:lnTo>
                <a:pt x="719863" y="11008"/>
              </a:lnTo>
            </a:path>
          </a:pathLst>
        </a:custGeom>
      </dgm:spPr>
      <dgm:t>
        <a:bodyPr/>
        <a:lstStyle/>
        <a:p>
          <a:endParaRPr lang="en-US"/>
        </a:p>
      </dgm:t>
    </dgm:pt>
    <dgm:pt modelId="{E219CEDE-45D5-496D-BC2E-04FF02B5D8DF}" type="pres">
      <dgm:prSet presAssocID="{CCD76CBC-5822-4D0E-AFF2-1D94BA2EB4F0}" presName="connTx" presStyleLbl="parChTrans1D2" presStyleIdx="1" presStyleCnt="3"/>
      <dgm:spPr/>
      <dgm:t>
        <a:bodyPr/>
        <a:lstStyle/>
        <a:p>
          <a:endParaRPr lang="en-US"/>
        </a:p>
      </dgm:t>
    </dgm:pt>
    <dgm:pt modelId="{0E52B8D7-992B-4680-BE5E-7A93AAFD65DE}" type="pres">
      <dgm:prSet presAssocID="{62E75C08-172C-4F3F-82E8-E3A7C4351426}" presName="root2" presStyleCnt="0"/>
      <dgm:spPr/>
    </dgm:pt>
    <dgm:pt modelId="{B6FB70EE-7A9E-42DB-992E-43467BF04E09}" type="pres">
      <dgm:prSet presAssocID="{62E75C08-172C-4F3F-82E8-E3A7C4351426}" presName="LevelTwoTextNode" presStyleLbl="node2" presStyleIdx="1" presStyleCnt="3" custScaleX="115633" custScaleY="179174" custLinFactNeighborX="-2714" custLinFactNeighborY="1652">
        <dgm:presLayoutVars>
          <dgm:chPref val="3"/>
        </dgm:presLayoutVars>
      </dgm:prSet>
      <dgm:spPr>
        <a:prstGeom prst="roundRect">
          <a:avLst>
            <a:gd name="adj" fmla="val 10000"/>
          </a:avLst>
        </a:prstGeom>
      </dgm:spPr>
      <dgm:t>
        <a:bodyPr/>
        <a:lstStyle/>
        <a:p>
          <a:endParaRPr lang="en-US"/>
        </a:p>
      </dgm:t>
    </dgm:pt>
    <dgm:pt modelId="{225A8C0E-B444-419D-A456-DA7F175EADFE}" type="pres">
      <dgm:prSet presAssocID="{62E75C08-172C-4F3F-82E8-E3A7C4351426}" presName="level3hierChild" presStyleCnt="0"/>
      <dgm:spPr/>
    </dgm:pt>
    <dgm:pt modelId="{0AB148D7-1C37-40A4-B5EA-F97FF0813C26}" type="pres">
      <dgm:prSet presAssocID="{E047FAEF-6FDC-4A1F-9FC4-D1E1B62CEE67}" presName="conn2-1" presStyleLbl="parChTrans1D2" presStyleIdx="2" presStyleCnt="3"/>
      <dgm:spPr>
        <a:custGeom>
          <a:avLst/>
          <a:gdLst/>
          <a:ahLst/>
          <a:cxnLst/>
          <a:rect l="0" t="0" r="0" b="0"/>
          <a:pathLst>
            <a:path>
              <a:moveTo>
                <a:pt x="0" y="11008"/>
              </a:moveTo>
              <a:lnTo>
                <a:pt x="719863" y="11008"/>
              </a:lnTo>
            </a:path>
          </a:pathLst>
        </a:custGeom>
      </dgm:spPr>
      <dgm:t>
        <a:bodyPr/>
        <a:lstStyle/>
        <a:p>
          <a:endParaRPr lang="en-US"/>
        </a:p>
      </dgm:t>
    </dgm:pt>
    <dgm:pt modelId="{EDA636EC-76E8-4885-B6DC-DDF88252F7B4}" type="pres">
      <dgm:prSet presAssocID="{E047FAEF-6FDC-4A1F-9FC4-D1E1B62CEE67}" presName="connTx" presStyleLbl="parChTrans1D2" presStyleIdx="2" presStyleCnt="3"/>
      <dgm:spPr/>
      <dgm:t>
        <a:bodyPr/>
        <a:lstStyle/>
        <a:p>
          <a:endParaRPr lang="en-US"/>
        </a:p>
      </dgm:t>
    </dgm:pt>
    <dgm:pt modelId="{13D7B609-5866-40E1-83D7-71EB9EF42530}" type="pres">
      <dgm:prSet presAssocID="{248E5A5D-AFF9-452C-86E1-76E0D8987061}" presName="root2" presStyleCnt="0"/>
      <dgm:spPr/>
      <dgm:t>
        <a:bodyPr/>
        <a:lstStyle/>
        <a:p>
          <a:endParaRPr lang="en-US"/>
        </a:p>
      </dgm:t>
    </dgm:pt>
    <dgm:pt modelId="{85DBD701-4339-41D3-B22B-D66201087CE3}" type="pres">
      <dgm:prSet presAssocID="{248E5A5D-AFF9-452C-86E1-76E0D8987061}" presName="LevelTwoTextNode" presStyleLbl="node2" presStyleIdx="2" presStyleCnt="3" custScaleX="115633" custScaleY="179174" custLinFactNeighborX="-2714" custLinFactNeighborY="1652">
        <dgm:presLayoutVars>
          <dgm:chPref val="3"/>
        </dgm:presLayoutVars>
      </dgm:prSet>
      <dgm:spPr>
        <a:prstGeom prst="roundRect">
          <a:avLst>
            <a:gd name="adj" fmla="val 10000"/>
          </a:avLst>
        </a:prstGeom>
      </dgm:spPr>
      <dgm:t>
        <a:bodyPr/>
        <a:lstStyle/>
        <a:p>
          <a:endParaRPr lang="en-US"/>
        </a:p>
      </dgm:t>
    </dgm:pt>
    <dgm:pt modelId="{743B681D-FCAE-4470-8CB7-B6DB03F1FA40}" type="pres">
      <dgm:prSet presAssocID="{248E5A5D-AFF9-452C-86E1-76E0D8987061}" presName="level3hierChild" presStyleCnt="0"/>
      <dgm:spPr/>
      <dgm:t>
        <a:bodyPr/>
        <a:lstStyle/>
        <a:p>
          <a:endParaRPr lang="en-US"/>
        </a:p>
      </dgm:t>
    </dgm:pt>
    <dgm:pt modelId="{6986BDFB-D4C0-4C60-80B7-3FB60F101556}" type="pres">
      <dgm:prSet presAssocID="{4C25718A-26C6-45CA-8459-5D8D927C1140}" presName="conn2-1" presStyleLbl="parChTrans1D3" presStyleIdx="0" presStyleCnt="6"/>
      <dgm:spPr>
        <a:custGeom>
          <a:avLst/>
          <a:gdLst/>
          <a:ahLst/>
          <a:cxnLst/>
          <a:rect l="0" t="0" r="0" b="0"/>
          <a:pathLst>
            <a:path>
              <a:moveTo>
                <a:pt x="0" y="6486"/>
              </a:moveTo>
              <a:lnTo>
                <a:pt x="2643024" y="6486"/>
              </a:lnTo>
            </a:path>
          </a:pathLst>
        </a:custGeom>
      </dgm:spPr>
      <dgm:t>
        <a:bodyPr/>
        <a:lstStyle/>
        <a:p>
          <a:endParaRPr lang="en-US"/>
        </a:p>
      </dgm:t>
    </dgm:pt>
    <dgm:pt modelId="{E34E21FC-020F-40F3-A809-256AE0AA0602}" type="pres">
      <dgm:prSet presAssocID="{4C25718A-26C6-45CA-8459-5D8D927C1140}" presName="connTx" presStyleLbl="parChTrans1D3" presStyleIdx="0" presStyleCnt="6"/>
      <dgm:spPr/>
      <dgm:t>
        <a:bodyPr/>
        <a:lstStyle/>
        <a:p>
          <a:endParaRPr lang="en-US"/>
        </a:p>
      </dgm:t>
    </dgm:pt>
    <dgm:pt modelId="{1A551AE5-01E0-4BB5-8C0D-AE192253B7AB}" type="pres">
      <dgm:prSet presAssocID="{F0528C14-756B-4403-AD96-1E0DF435775E}" presName="root2" presStyleCnt="0"/>
      <dgm:spPr/>
      <dgm:t>
        <a:bodyPr/>
        <a:lstStyle/>
        <a:p>
          <a:endParaRPr lang="en-US"/>
        </a:p>
      </dgm:t>
    </dgm:pt>
    <dgm:pt modelId="{4A3AC024-9A4E-43E2-AC78-5798F852F55E}" type="pres">
      <dgm:prSet presAssocID="{F0528C14-756B-4403-AD96-1E0DF435775E}" presName="LevelTwoTextNode" presStyleLbl="node3" presStyleIdx="0" presStyleCnt="6" custScaleX="133429" custScaleY="240656" custLinFactNeighborX="12639" custLinFactNeighborY="63443">
        <dgm:presLayoutVars>
          <dgm:chPref val="3"/>
        </dgm:presLayoutVars>
      </dgm:prSet>
      <dgm:spPr>
        <a:prstGeom prst="roundRect">
          <a:avLst>
            <a:gd name="adj" fmla="val 10000"/>
          </a:avLst>
        </a:prstGeom>
      </dgm:spPr>
      <dgm:t>
        <a:bodyPr/>
        <a:lstStyle/>
        <a:p>
          <a:endParaRPr lang="en-US"/>
        </a:p>
      </dgm:t>
    </dgm:pt>
    <dgm:pt modelId="{4DFFF2FA-6C71-4669-BA2D-A448B389362A}" type="pres">
      <dgm:prSet presAssocID="{F0528C14-756B-4403-AD96-1E0DF435775E}" presName="level3hierChild" presStyleCnt="0"/>
      <dgm:spPr/>
      <dgm:t>
        <a:bodyPr/>
        <a:lstStyle/>
        <a:p>
          <a:endParaRPr lang="en-US"/>
        </a:p>
      </dgm:t>
    </dgm:pt>
    <dgm:pt modelId="{ABCAE773-0DE1-4907-995B-DF3BA3DA6389}" type="pres">
      <dgm:prSet presAssocID="{BC3459F6-E534-4CA8-B755-D93A834EC1BD}" presName="conn2-1" presStyleLbl="parChTrans1D4" presStyleIdx="0" presStyleCnt="6"/>
      <dgm:spPr>
        <a:custGeom>
          <a:avLst/>
          <a:gdLst/>
          <a:ahLst/>
          <a:cxnLst/>
          <a:rect l="0" t="0" r="0" b="0"/>
          <a:pathLst>
            <a:path>
              <a:moveTo>
                <a:pt x="0" y="11008"/>
              </a:moveTo>
              <a:lnTo>
                <a:pt x="540592" y="11008"/>
              </a:lnTo>
            </a:path>
          </a:pathLst>
        </a:custGeom>
      </dgm:spPr>
      <dgm:t>
        <a:bodyPr/>
        <a:lstStyle/>
        <a:p>
          <a:endParaRPr lang="en-US"/>
        </a:p>
      </dgm:t>
    </dgm:pt>
    <dgm:pt modelId="{C6F1C1A4-0873-4E37-AC74-48C952132628}" type="pres">
      <dgm:prSet presAssocID="{BC3459F6-E534-4CA8-B755-D93A834EC1BD}" presName="connTx" presStyleLbl="parChTrans1D4" presStyleIdx="0" presStyleCnt="6"/>
      <dgm:spPr/>
      <dgm:t>
        <a:bodyPr/>
        <a:lstStyle/>
        <a:p>
          <a:endParaRPr lang="en-US"/>
        </a:p>
      </dgm:t>
    </dgm:pt>
    <dgm:pt modelId="{D3C34FF6-805E-4CFF-B495-A981307203BC}" type="pres">
      <dgm:prSet presAssocID="{CD15D20E-F559-4AC6-B605-373C1F703C9C}" presName="root2" presStyleCnt="0"/>
      <dgm:spPr/>
      <dgm:t>
        <a:bodyPr/>
        <a:lstStyle/>
        <a:p>
          <a:endParaRPr lang="en-US"/>
        </a:p>
      </dgm:t>
    </dgm:pt>
    <dgm:pt modelId="{BF173544-E6F0-494D-A874-2D1666DE5BAB}" type="pres">
      <dgm:prSet presAssocID="{CD15D20E-F559-4AC6-B605-373C1F703C9C}" presName="LevelTwoTextNode" presStyleLbl="node4" presStyleIdx="0" presStyleCnt="6" custScaleX="252083" custScaleY="241099" custLinFactNeighborX="1466" custLinFactNeighborY="62678">
        <dgm:presLayoutVars>
          <dgm:chPref val="3"/>
        </dgm:presLayoutVars>
      </dgm:prSet>
      <dgm:spPr>
        <a:prstGeom prst="roundRect">
          <a:avLst>
            <a:gd name="adj" fmla="val 10000"/>
          </a:avLst>
        </a:prstGeom>
      </dgm:spPr>
      <dgm:t>
        <a:bodyPr/>
        <a:lstStyle/>
        <a:p>
          <a:endParaRPr lang="en-US"/>
        </a:p>
      </dgm:t>
    </dgm:pt>
    <dgm:pt modelId="{816021DB-8651-40C5-9C24-76981A89A82E}" type="pres">
      <dgm:prSet presAssocID="{CD15D20E-F559-4AC6-B605-373C1F703C9C}" presName="level3hierChild" presStyleCnt="0"/>
      <dgm:spPr/>
      <dgm:t>
        <a:bodyPr/>
        <a:lstStyle/>
        <a:p>
          <a:endParaRPr lang="en-US"/>
        </a:p>
      </dgm:t>
    </dgm:pt>
    <dgm:pt modelId="{0B2E4866-8F59-487A-8329-D66BCDA6C671}" type="pres">
      <dgm:prSet presAssocID="{C302AAD0-D314-48EF-A132-B00C63D41CEF}" presName="conn2-1" presStyleLbl="parChTrans1D3" presStyleIdx="1" presStyleCnt="6"/>
      <dgm:spPr>
        <a:custGeom>
          <a:avLst/>
          <a:gdLst/>
          <a:ahLst/>
          <a:cxnLst/>
          <a:rect l="0" t="0" r="0" b="0"/>
          <a:pathLst>
            <a:path>
              <a:moveTo>
                <a:pt x="0" y="5284"/>
              </a:moveTo>
              <a:lnTo>
                <a:pt x="1366144" y="5284"/>
              </a:lnTo>
            </a:path>
          </a:pathLst>
        </a:custGeom>
      </dgm:spPr>
      <dgm:t>
        <a:bodyPr/>
        <a:lstStyle/>
        <a:p>
          <a:endParaRPr lang="en-US"/>
        </a:p>
      </dgm:t>
    </dgm:pt>
    <dgm:pt modelId="{D8D39A57-CABE-4E3D-AF69-0C600DEBFA5F}" type="pres">
      <dgm:prSet presAssocID="{C302AAD0-D314-48EF-A132-B00C63D41CEF}" presName="connTx" presStyleLbl="parChTrans1D3" presStyleIdx="1" presStyleCnt="6"/>
      <dgm:spPr/>
      <dgm:t>
        <a:bodyPr/>
        <a:lstStyle/>
        <a:p>
          <a:endParaRPr lang="en-US"/>
        </a:p>
      </dgm:t>
    </dgm:pt>
    <dgm:pt modelId="{2B1F8A9F-4CDE-473C-B184-4CAB3C7F091A}" type="pres">
      <dgm:prSet presAssocID="{CC534AB4-91D0-4BF5-AD48-CB013071175B}" presName="root2" presStyleCnt="0"/>
      <dgm:spPr/>
      <dgm:t>
        <a:bodyPr/>
        <a:lstStyle/>
        <a:p>
          <a:endParaRPr lang="en-US"/>
        </a:p>
      </dgm:t>
    </dgm:pt>
    <dgm:pt modelId="{0E03BF2D-BBB3-4048-AD2E-431BD0A962D3}" type="pres">
      <dgm:prSet presAssocID="{CC534AB4-91D0-4BF5-AD48-CB013071175B}" presName="LevelTwoTextNode" presStyleLbl="node3" presStyleIdx="1" presStyleCnt="6" custScaleX="134321" custScaleY="182232" custLinFactNeighborX="7311" custLinFactNeighborY="58201">
        <dgm:presLayoutVars>
          <dgm:chPref val="3"/>
        </dgm:presLayoutVars>
      </dgm:prSet>
      <dgm:spPr>
        <a:prstGeom prst="roundRect">
          <a:avLst>
            <a:gd name="adj" fmla="val 10000"/>
          </a:avLst>
        </a:prstGeom>
      </dgm:spPr>
      <dgm:t>
        <a:bodyPr/>
        <a:lstStyle/>
        <a:p>
          <a:endParaRPr lang="en-US"/>
        </a:p>
      </dgm:t>
    </dgm:pt>
    <dgm:pt modelId="{2BB627B6-140D-4178-879E-C7EEC2B04B7E}" type="pres">
      <dgm:prSet presAssocID="{CC534AB4-91D0-4BF5-AD48-CB013071175B}" presName="level3hierChild" presStyleCnt="0"/>
      <dgm:spPr/>
      <dgm:t>
        <a:bodyPr/>
        <a:lstStyle/>
        <a:p>
          <a:endParaRPr lang="en-US"/>
        </a:p>
      </dgm:t>
    </dgm:pt>
    <dgm:pt modelId="{5DB8AF0C-2F4A-48D2-99EF-485CC0E324F0}" type="pres">
      <dgm:prSet presAssocID="{59B22281-CE61-4D25-9905-5BEFF3E088D0}" presName="conn2-1" presStyleLbl="parChTrans1D4" presStyleIdx="1" presStyleCnt="6"/>
      <dgm:spPr>
        <a:custGeom>
          <a:avLst/>
          <a:gdLst/>
          <a:ahLst/>
          <a:cxnLst/>
          <a:rect l="0" t="0" r="0" b="0"/>
          <a:pathLst>
            <a:path>
              <a:moveTo>
                <a:pt x="0" y="11008"/>
              </a:moveTo>
              <a:lnTo>
                <a:pt x="540592" y="11008"/>
              </a:lnTo>
            </a:path>
          </a:pathLst>
        </a:custGeom>
      </dgm:spPr>
      <dgm:t>
        <a:bodyPr/>
        <a:lstStyle/>
        <a:p>
          <a:endParaRPr lang="en-US"/>
        </a:p>
      </dgm:t>
    </dgm:pt>
    <dgm:pt modelId="{F34E45A3-CD2A-46F0-B4C6-31AC67A7363A}" type="pres">
      <dgm:prSet presAssocID="{59B22281-CE61-4D25-9905-5BEFF3E088D0}" presName="connTx" presStyleLbl="parChTrans1D4" presStyleIdx="1" presStyleCnt="6"/>
      <dgm:spPr/>
      <dgm:t>
        <a:bodyPr/>
        <a:lstStyle/>
        <a:p>
          <a:endParaRPr lang="en-US"/>
        </a:p>
      </dgm:t>
    </dgm:pt>
    <dgm:pt modelId="{BDD7F9B2-ACEA-4213-8712-68B4744DC659}" type="pres">
      <dgm:prSet presAssocID="{20C9B7EF-514E-4C33-A9EC-03FCD610FFD5}" presName="root2" presStyleCnt="0"/>
      <dgm:spPr/>
      <dgm:t>
        <a:bodyPr/>
        <a:lstStyle/>
        <a:p>
          <a:endParaRPr lang="en-US"/>
        </a:p>
      </dgm:t>
    </dgm:pt>
    <dgm:pt modelId="{9A04FB06-C88A-487A-8114-8F9DB71D3C6E}" type="pres">
      <dgm:prSet presAssocID="{20C9B7EF-514E-4C33-A9EC-03FCD610FFD5}" presName="LevelTwoTextNode" presStyleLbl="node4" presStyleIdx="1" presStyleCnt="6" custScaleX="248614" custScaleY="250103" custLinFactNeighborX="1888" custLinFactNeighborY="58216">
        <dgm:presLayoutVars>
          <dgm:chPref val="3"/>
        </dgm:presLayoutVars>
      </dgm:prSet>
      <dgm:spPr>
        <a:prstGeom prst="roundRect">
          <a:avLst>
            <a:gd name="adj" fmla="val 10000"/>
          </a:avLst>
        </a:prstGeom>
      </dgm:spPr>
      <dgm:t>
        <a:bodyPr/>
        <a:lstStyle/>
        <a:p>
          <a:endParaRPr lang="en-US"/>
        </a:p>
      </dgm:t>
    </dgm:pt>
    <dgm:pt modelId="{FDE3EEC9-8520-4C4E-8A59-65698E31F477}" type="pres">
      <dgm:prSet presAssocID="{20C9B7EF-514E-4C33-A9EC-03FCD610FFD5}" presName="level3hierChild" presStyleCnt="0"/>
      <dgm:spPr/>
      <dgm:t>
        <a:bodyPr/>
        <a:lstStyle/>
        <a:p>
          <a:endParaRPr lang="en-US"/>
        </a:p>
      </dgm:t>
    </dgm:pt>
    <dgm:pt modelId="{A71407E7-FEA1-4884-96C8-CA716A93CBBA}" type="pres">
      <dgm:prSet presAssocID="{CA327E54-2B15-4F74-8059-7CFA0E2AB4A1}" presName="conn2-1" presStyleLbl="parChTrans1D3" presStyleIdx="2" presStyleCnt="6"/>
      <dgm:spPr>
        <a:custGeom>
          <a:avLst/>
          <a:gdLst/>
          <a:ahLst/>
          <a:cxnLst/>
          <a:rect l="0" t="0" r="0" b="0"/>
          <a:pathLst>
            <a:path>
              <a:moveTo>
                <a:pt x="0" y="5284"/>
              </a:moveTo>
              <a:lnTo>
                <a:pt x="1145442" y="5284"/>
              </a:lnTo>
            </a:path>
          </a:pathLst>
        </a:custGeom>
      </dgm:spPr>
      <dgm:t>
        <a:bodyPr/>
        <a:lstStyle/>
        <a:p>
          <a:endParaRPr lang="en-US"/>
        </a:p>
      </dgm:t>
    </dgm:pt>
    <dgm:pt modelId="{696CE8D7-F64E-4892-B465-4C2B4281111C}" type="pres">
      <dgm:prSet presAssocID="{CA327E54-2B15-4F74-8059-7CFA0E2AB4A1}" presName="connTx" presStyleLbl="parChTrans1D3" presStyleIdx="2" presStyleCnt="6"/>
      <dgm:spPr/>
      <dgm:t>
        <a:bodyPr/>
        <a:lstStyle/>
        <a:p>
          <a:endParaRPr lang="en-US"/>
        </a:p>
      </dgm:t>
    </dgm:pt>
    <dgm:pt modelId="{C7AE0C5A-0372-4E62-B6C9-E0C5A409ACEE}" type="pres">
      <dgm:prSet presAssocID="{B3648642-2AF4-4A4F-810C-3E7230845B69}" presName="root2" presStyleCnt="0"/>
      <dgm:spPr/>
      <dgm:t>
        <a:bodyPr/>
        <a:lstStyle/>
        <a:p>
          <a:endParaRPr lang="en-US"/>
        </a:p>
      </dgm:t>
    </dgm:pt>
    <dgm:pt modelId="{0FDA0F9A-2A31-4C24-980D-182771826B27}" type="pres">
      <dgm:prSet presAssocID="{B3648642-2AF4-4A4F-810C-3E7230845B69}" presName="LevelTwoTextNode" presStyleLbl="node3" presStyleIdx="2" presStyleCnt="6" custScaleX="137035" custScaleY="170759" custLinFactY="104524" custLinFactNeighborX="4480" custLinFactNeighborY="200000">
        <dgm:presLayoutVars>
          <dgm:chPref val="3"/>
        </dgm:presLayoutVars>
      </dgm:prSet>
      <dgm:spPr>
        <a:prstGeom prst="roundRect">
          <a:avLst>
            <a:gd name="adj" fmla="val 10000"/>
          </a:avLst>
        </a:prstGeom>
      </dgm:spPr>
      <dgm:t>
        <a:bodyPr/>
        <a:lstStyle/>
        <a:p>
          <a:endParaRPr lang="en-US"/>
        </a:p>
      </dgm:t>
    </dgm:pt>
    <dgm:pt modelId="{5A7E343A-6256-4B20-AB1D-C4999022B862}" type="pres">
      <dgm:prSet presAssocID="{B3648642-2AF4-4A4F-810C-3E7230845B69}" presName="level3hierChild" presStyleCnt="0"/>
      <dgm:spPr/>
      <dgm:t>
        <a:bodyPr/>
        <a:lstStyle/>
        <a:p>
          <a:endParaRPr lang="en-US"/>
        </a:p>
      </dgm:t>
    </dgm:pt>
    <dgm:pt modelId="{132C3095-0AC2-4AC2-AAD2-A8489F7D0104}" type="pres">
      <dgm:prSet presAssocID="{E1DB6644-B705-43CD-B7A8-A9EE65B752D7}" presName="conn2-1" presStyleLbl="parChTrans1D4" presStyleIdx="2" presStyleCnt="6"/>
      <dgm:spPr>
        <a:custGeom>
          <a:avLst/>
          <a:gdLst/>
          <a:ahLst/>
          <a:cxnLst/>
          <a:rect l="0" t="0" r="0" b="0"/>
          <a:pathLst>
            <a:path>
              <a:moveTo>
                <a:pt x="0" y="11008"/>
              </a:moveTo>
              <a:lnTo>
                <a:pt x="549403" y="11008"/>
              </a:lnTo>
            </a:path>
          </a:pathLst>
        </a:custGeom>
      </dgm:spPr>
      <dgm:t>
        <a:bodyPr/>
        <a:lstStyle/>
        <a:p>
          <a:endParaRPr lang="en-US"/>
        </a:p>
      </dgm:t>
    </dgm:pt>
    <dgm:pt modelId="{E1469D90-C896-43E2-821C-45A8B0488934}" type="pres">
      <dgm:prSet presAssocID="{E1DB6644-B705-43CD-B7A8-A9EE65B752D7}" presName="connTx" presStyleLbl="parChTrans1D4" presStyleIdx="2" presStyleCnt="6"/>
      <dgm:spPr/>
      <dgm:t>
        <a:bodyPr/>
        <a:lstStyle/>
        <a:p>
          <a:endParaRPr lang="en-US"/>
        </a:p>
      </dgm:t>
    </dgm:pt>
    <dgm:pt modelId="{D10BA655-4600-49A5-BCE1-1170452F4C05}" type="pres">
      <dgm:prSet presAssocID="{A44FF350-A2B8-47A3-A2A1-D93CDB84DBA4}" presName="root2" presStyleCnt="0"/>
      <dgm:spPr/>
      <dgm:t>
        <a:bodyPr/>
        <a:lstStyle/>
        <a:p>
          <a:endParaRPr lang="en-US"/>
        </a:p>
      </dgm:t>
    </dgm:pt>
    <dgm:pt modelId="{CC97FC17-6D6B-4DFC-BB27-732069E4742B}" type="pres">
      <dgm:prSet presAssocID="{A44FF350-A2B8-47A3-A2A1-D93CDB84DBA4}" presName="LevelTwoTextNode" presStyleLbl="node4" presStyleIdx="2" presStyleCnt="6" custScaleX="255535" custScaleY="164485" custLinFactY="104066" custLinFactNeighborX="-4584" custLinFactNeighborY="200000">
        <dgm:presLayoutVars>
          <dgm:chPref val="3"/>
        </dgm:presLayoutVars>
      </dgm:prSet>
      <dgm:spPr>
        <a:prstGeom prst="roundRect">
          <a:avLst>
            <a:gd name="adj" fmla="val 10000"/>
          </a:avLst>
        </a:prstGeom>
      </dgm:spPr>
      <dgm:t>
        <a:bodyPr/>
        <a:lstStyle/>
        <a:p>
          <a:endParaRPr lang="en-US"/>
        </a:p>
      </dgm:t>
    </dgm:pt>
    <dgm:pt modelId="{A1D9F61C-0D46-4FF7-867C-CEE34F841DF4}" type="pres">
      <dgm:prSet presAssocID="{A44FF350-A2B8-47A3-A2A1-D93CDB84DBA4}" presName="level3hierChild" presStyleCnt="0"/>
      <dgm:spPr/>
      <dgm:t>
        <a:bodyPr/>
        <a:lstStyle/>
        <a:p>
          <a:endParaRPr lang="en-US"/>
        </a:p>
      </dgm:t>
    </dgm:pt>
    <dgm:pt modelId="{A32614CC-147F-403F-A8EA-21CE336EC3BC}" type="pres">
      <dgm:prSet presAssocID="{03AED3F7-1EDD-449E-9F73-41C113F77CB7}" presName="conn2-1" presStyleLbl="parChTrans1D3" presStyleIdx="3" presStyleCnt="6"/>
      <dgm:spPr>
        <a:custGeom>
          <a:avLst/>
          <a:gdLst/>
          <a:ahLst/>
          <a:cxnLst/>
          <a:rect l="0" t="0" r="0" b="0"/>
          <a:pathLst>
            <a:path>
              <a:moveTo>
                <a:pt x="0" y="11008"/>
              </a:moveTo>
              <a:lnTo>
                <a:pt x="838148" y="11008"/>
              </a:lnTo>
            </a:path>
          </a:pathLst>
        </a:custGeom>
      </dgm:spPr>
      <dgm:t>
        <a:bodyPr/>
        <a:lstStyle/>
        <a:p>
          <a:endParaRPr lang="en-US"/>
        </a:p>
      </dgm:t>
    </dgm:pt>
    <dgm:pt modelId="{040A7AC3-A24D-4C7B-ABF1-D2608DFAE8E2}" type="pres">
      <dgm:prSet presAssocID="{03AED3F7-1EDD-449E-9F73-41C113F77CB7}" presName="connTx" presStyleLbl="parChTrans1D3" presStyleIdx="3" presStyleCnt="6"/>
      <dgm:spPr/>
      <dgm:t>
        <a:bodyPr/>
        <a:lstStyle/>
        <a:p>
          <a:endParaRPr lang="en-US"/>
        </a:p>
      </dgm:t>
    </dgm:pt>
    <dgm:pt modelId="{4B296190-EFDC-473C-BAD3-7DAC4A67878F}" type="pres">
      <dgm:prSet presAssocID="{FD8D2C48-973B-47E0-B818-744D252D9D55}" presName="root2" presStyleCnt="0"/>
      <dgm:spPr/>
      <dgm:t>
        <a:bodyPr/>
        <a:lstStyle/>
        <a:p>
          <a:endParaRPr lang="en-US"/>
        </a:p>
      </dgm:t>
    </dgm:pt>
    <dgm:pt modelId="{F93EDED7-DC56-4992-B292-1F1F15E3CEE8}" type="pres">
      <dgm:prSet presAssocID="{FD8D2C48-973B-47E0-B818-744D252D9D55}" presName="LevelTwoTextNode" presStyleLbl="node3" presStyleIdx="3" presStyleCnt="6" custScaleX="134321" custScaleY="144932" custLinFactY="-26248" custLinFactNeighborX="6197" custLinFactNeighborY="-100000">
        <dgm:presLayoutVars>
          <dgm:chPref val="3"/>
        </dgm:presLayoutVars>
      </dgm:prSet>
      <dgm:spPr>
        <a:prstGeom prst="roundRect">
          <a:avLst>
            <a:gd name="adj" fmla="val 10000"/>
          </a:avLst>
        </a:prstGeom>
      </dgm:spPr>
      <dgm:t>
        <a:bodyPr/>
        <a:lstStyle/>
        <a:p>
          <a:endParaRPr lang="en-US"/>
        </a:p>
      </dgm:t>
    </dgm:pt>
    <dgm:pt modelId="{420CF11F-377C-4D9A-BD65-2B1974DF694E}" type="pres">
      <dgm:prSet presAssocID="{FD8D2C48-973B-47E0-B818-744D252D9D55}" presName="level3hierChild" presStyleCnt="0"/>
      <dgm:spPr/>
      <dgm:t>
        <a:bodyPr/>
        <a:lstStyle/>
        <a:p>
          <a:endParaRPr lang="en-US"/>
        </a:p>
      </dgm:t>
    </dgm:pt>
    <dgm:pt modelId="{C4C734FA-C59E-4CB3-B24E-BB047734B4D7}" type="pres">
      <dgm:prSet presAssocID="{8CF889CF-3641-45E3-A7E4-5786CEC583C3}" presName="conn2-1" presStyleLbl="parChTrans1D4" presStyleIdx="3" presStyleCnt="6"/>
      <dgm:spPr>
        <a:custGeom>
          <a:avLst/>
          <a:gdLst/>
          <a:ahLst/>
          <a:cxnLst/>
          <a:rect l="0" t="0" r="0" b="0"/>
          <a:pathLst>
            <a:path>
              <a:moveTo>
                <a:pt x="0" y="11008"/>
              </a:moveTo>
              <a:lnTo>
                <a:pt x="540592" y="11008"/>
              </a:lnTo>
            </a:path>
          </a:pathLst>
        </a:custGeom>
      </dgm:spPr>
      <dgm:t>
        <a:bodyPr/>
        <a:lstStyle/>
        <a:p>
          <a:endParaRPr lang="en-US"/>
        </a:p>
      </dgm:t>
    </dgm:pt>
    <dgm:pt modelId="{E323D35A-0FC5-4229-8F81-916F668054D3}" type="pres">
      <dgm:prSet presAssocID="{8CF889CF-3641-45E3-A7E4-5786CEC583C3}" presName="connTx" presStyleLbl="parChTrans1D4" presStyleIdx="3" presStyleCnt="6"/>
      <dgm:spPr/>
      <dgm:t>
        <a:bodyPr/>
        <a:lstStyle/>
        <a:p>
          <a:endParaRPr lang="en-US"/>
        </a:p>
      </dgm:t>
    </dgm:pt>
    <dgm:pt modelId="{790CD841-82DD-424B-A71C-E8ACFC922E72}" type="pres">
      <dgm:prSet presAssocID="{05512890-2113-4E5F-B686-1DE15B740007}" presName="root2" presStyleCnt="0"/>
      <dgm:spPr/>
      <dgm:t>
        <a:bodyPr/>
        <a:lstStyle/>
        <a:p>
          <a:endParaRPr lang="en-US"/>
        </a:p>
      </dgm:t>
    </dgm:pt>
    <dgm:pt modelId="{7FBCB00F-0E60-40A2-A2B3-E0E492A00AD1}" type="pres">
      <dgm:prSet presAssocID="{05512890-2113-4E5F-B686-1DE15B740007}" presName="LevelTwoTextNode" presStyleLbl="node4" presStyleIdx="3" presStyleCnt="6" custScaleX="252253" custScaleY="237156" custLinFactY="-26592" custLinFactNeighborX="-96" custLinFactNeighborY="-100000">
        <dgm:presLayoutVars>
          <dgm:chPref val="3"/>
        </dgm:presLayoutVars>
      </dgm:prSet>
      <dgm:spPr>
        <a:prstGeom prst="roundRect">
          <a:avLst>
            <a:gd name="adj" fmla="val 10000"/>
          </a:avLst>
        </a:prstGeom>
      </dgm:spPr>
      <dgm:t>
        <a:bodyPr/>
        <a:lstStyle/>
        <a:p>
          <a:endParaRPr lang="en-US"/>
        </a:p>
      </dgm:t>
    </dgm:pt>
    <dgm:pt modelId="{80A9AB27-21DE-44C9-A882-3B303D1615E6}" type="pres">
      <dgm:prSet presAssocID="{05512890-2113-4E5F-B686-1DE15B740007}" presName="level3hierChild" presStyleCnt="0"/>
      <dgm:spPr/>
      <dgm:t>
        <a:bodyPr/>
        <a:lstStyle/>
        <a:p>
          <a:endParaRPr lang="en-US"/>
        </a:p>
      </dgm:t>
    </dgm:pt>
    <dgm:pt modelId="{244B890B-448E-41AA-8B4C-E7D85E757694}" type="pres">
      <dgm:prSet presAssocID="{38961060-E7A4-48A4-B6AD-47E51C6801AB}" presName="conn2-1" presStyleLbl="parChTrans1D3" presStyleIdx="4" presStyleCnt="6"/>
      <dgm:spPr>
        <a:custGeom>
          <a:avLst/>
          <a:gdLst/>
          <a:ahLst/>
          <a:cxnLst/>
          <a:rect l="0" t="0" r="0" b="0"/>
          <a:pathLst>
            <a:path>
              <a:moveTo>
                <a:pt x="0" y="5284"/>
              </a:moveTo>
              <a:lnTo>
                <a:pt x="2144886" y="5284"/>
              </a:lnTo>
            </a:path>
          </a:pathLst>
        </a:custGeom>
      </dgm:spPr>
      <dgm:t>
        <a:bodyPr/>
        <a:lstStyle/>
        <a:p>
          <a:endParaRPr lang="en-US"/>
        </a:p>
      </dgm:t>
    </dgm:pt>
    <dgm:pt modelId="{FEA02BE3-8EB8-4802-9BF8-D614CDFF4162}" type="pres">
      <dgm:prSet presAssocID="{38961060-E7A4-48A4-B6AD-47E51C6801AB}" presName="connTx" presStyleLbl="parChTrans1D3" presStyleIdx="4" presStyleCnt="6"/>
      <dgm:spPr/>
      <dgm:t>
        <a:bodyPr/>
        <a:lstStyle/>
        <a:p>
          <a:endParaRPr lang="en-US"/>
        </a:p>
      </dgm:t>
    </dgm:pt>
    <dgm:pt modelId="{855B5029-3E5E-4EBC-8499-F04D48562D95}" type="pres">
      <dgm:prSet presAssocID="{4A630874-A021-4FDD-AFE1-CBF85E7103A6}" presName="root2" presStyleCnt="0"/>
      <dgm:spPr/>
      <dgm:t>
        <a:bodyPr/>
        <a:lstStyle/>
        <a:p>
          <a:endParaRPr lang="en-US"/>
        </a:p>
      </dgm:t>
    </dgm:pt>
    <dgm:pt modelId="{2737A767-59F8-4FC7-BE91-C5ED8ED9BC4B}" type="pres">
      <dgm:prSet presAssocID="{4A630874-A021-4FDD-AFE1-CBF85E7103A6}" presName="LevelTwoTextNode" presStyleLbl="node3" presStyleIdx="4" presStyleCnt="6" custAng="0" custScaleX="134321" custScaleY="141947" custLinFactNeighborX="5068" custLinFactNeighborY="52925">
        <dgm:presLayoutVars>
          <dgm:chPref val="3"/>
        </dgm:presLayoutVars>
      </dgm:prSet>
      <dgm:spPr>
        <a:prstGeom prst="roundRect">
          <a:avLst>
            <a:gd name="adj" fmla="val 10000"/>
          </a:avLst>
        </a:prstGeom>
      </dgm:spPr>
      <dgm:t>
        <a:bodyPr/>
        <a:lstStyle/>
        <a:p>
          <a:endParaRPr lang="en-US"/>
        </a:p>
      </dgm:t>
    </dgm:pt>
    <dgm:pt modelId="{B79AB4B0-F664-4851-B921-2E421A09EB72}" type="pres">
      <dgm:prSet presAssocID="{4A630874-A021-4FDD-AFE1-CBF85E7103A6}" presName="level3hierChild" presStyleCnt="0"/>
      <dgm:spPr/>
      <dgm:t>
        <a:bodyPr/>
        <a:lstStyle/>
        <a:p>
          <a:endParaRPr lang="en-US"/>
        </a:p>
      </dgm:t>
    </dgm:pt>
    <dgm:pt modelId="{B569B2A6-2EA6-4BCE-B384-07E48BF8279B}" type="pres">
      <dgm:prSet presAssocID="{090C60F4-C543-464B-8B9E-4F24501B789A}" presName="conn2-1" presStyleLbl="parChTrans1D4" presStyleIdx="4" presStyleCnt="6"/>
      <dgm:spPr>
        <a:custGeom>
          <a:avLst/>
          <a:gdLst/>
          <a:ahLst/>
          <a:cxnLst/>
          <a:rect l="0" t="0" r="0" b="0"/>
          <a:pathLst>
            <a:path>
              <a:moveTo>
                <a:pt x="0" y="6486"/>
              </a:moveTo>
              <a:lnTo>
                <a:pt x="332620" y="6486"/>
              </a:lnTo>
            </a:path>
          </a:pathLst>
        </a:custGeom>
      </dgm:spPr>
      <dgm:t>
        <a:bodyPr/>
        <a:lstStyle/>
        <a:p>
          <a:endParaRPr lang="en-US"/>
        </a:p>
      </dgm:t>
    </dgm:pt>
    <dgm:pt modelId="{70AFE8A4-7BA0-4B24-91B0-85926CD9FCBF}" type="pres">
      <dgm:prSet presAssocID="{090C60F4-C543-464B-8B9E-4F24501B789A}" presName="connTx" presStyleLbl="parChTrans1D4" presStyleIdx="4" presStyleCnt="6"/>
      <dgm:spPr/>
      <dgm:t>
        <a:bodyPr/>
        <a:lstStyle/>
        <a:p>
          <a:endParaRPr lang="en-US"/>
        </a:p>
      </dgm:t>
    </dgm:pt>
    <dgm:pt modelId="{C3B074C8-D0AC-4C50-9226-442E20AB33A8}" type="pres">
      <dgm:prSet presAssocID="{25AA14E5-BFEF-4CEC-ACE6-1BFF5149C0A9}" presName="root2" presStyleCnt="0"/>
      <dgm:spPr/>
      <dgm:t>
        <a:bodyPr/>
        <a:lstStyle/>
        <a:p>
          <a:endParaRPr lang="en-US"/>
        </a:p>
      </dgm:t>
    </dgm:pt>
    <dgm:pt modelId="{5A811CC0-D7F4-4219-B3AA-48D091C467FF}" type="pres">
      <dgm:prSet presAssocID="{25AA14E5-BFEF-4CEC-ACE6-1BFF5149C0A9}" presName="LevelTwoTextNode" presStyleLbl="node4" presStyleIdx="4" presStyleCnt="6" custScaleX="262865" custScaleY="227215" custLinFactNeighborX="-5180" custLinFactNeighborY="52649">
        <dgm:presLayoutVars>
          <dgm:chPref val="3"/>
        </dgm:presLayoutVars>
      </dgm:prSet>
      <dgm:spPr>
        <a:prstGeom prst="roundRect">
          <a:avLst>
            <a:gd name="adj" fmla="val 10000"/>
          </a:avLst>
        </a:prstGeom>
      </dgm:spPr>
      <dgm:t>
        <a:bodyPr/>
        <a:lstStyle/>
        <a:p>
          <a:endParaRPr lang="en-US"/>
        </a:p>
      </dgm:t>
    </dgm:pt>
    <dgm:pt modelId="{C0DE7F64-2208-4CC5-920A-F39683D12107}" type="pres">
      <dgm:prSet presAssocID="{25AA14E5-BFEF-4CEC-ACE6-1BFF5149C0A9}" presName="level3hierChild" presStyleCnt="0"/>
      <dgm:spPr/>
      <dgm:t>
        <a:bodyPr/>
        <a:lstStyle/>
        <a:p>
          <a:endParaRPr lang="en-US"/>
        </a:p>
      </dgm:t>
    </dgm:pt>
    <dgm:pt modelId="{1014F690-3A1F-4894-8687-879A35548825}" type="pres">
      <dgm:prSet presAssocID="{EC9BCEC0-09CA-473B-B94D-BECAF08CD227}" presName="conn2-1" presStyleLbl="parChTrans1D3" presStyleIdx="5" presStyleCnt="6"/>
      <dgm:spPr>
        <a:custGeom>
          <a:avLst/>
          <a:gdLst/>
          <a:ahLst/>
          <a:cxnLst/>
          <a:rect l="0" t="0" r="0" b="0"/>
          <a:pathLst>
            <a:path>
              <a:moveTo>
                <a:pt x="0" y="5284"/>
              </a:moveTo>
              <a:lnTo>
                <a:pt x="3267788" y="5284"/>
              </a:lnTo>
            </a:path>
          </a:pathLst>
        </a:custGeom>
      </dgm:spPr>
      <dgm:t>
        <a:bodyPr/>
        <a:lstStyle/>
        <a:p>
          <a:endParaRPr lang="en-US"/>
        </a:p>
      </dgm:t>
    </dgm:pt>
    <dgm:pt modelId="{97E8E9E6-66D1-4F06-8F55-A23CAA0F626A}" type="pres">
      <dgm:prSet presAssocID="{EC9BCEC0-09CA-473B-B94D-BECAF08CD227}" presName="connTx" presStyleLbl="parChTrans1D3" presStyleIdx="5" presStyleCnt="6"/>
      <dgm:spPr/>
      <dgm:t>
        <a:bodyPr/>
        <a:lstStyle/>
        <a:p>
          <a:endParaRPr lang="en-US"/>
        </a:p>
      </dgm:t>
    </dgm:pt>
    <dgm:pt modelId="{E4833136-9F71-453D-AF5D-1FAAEB6FA263}" type="pres">
      <dgm:prSet presAssocID="{D32530F1-347D-4529-8E63-33B786BE791B}" presName="root2" presStyleCnt="0"/>
      <dgm:spPr/>
    </dgm:pt>
    <dgm:pt modelId="{00D0014E-3F6D-4969-BCED-411E91BBAC47}" type="pres">
      <dgm:prSet presAssocID="{D32530F1-347D-4529-8E63-33B786BE791B}" presName="LevelTwoTextNode" presStyleLbl="node3" presStyleIdx="5" presStyleCnt="6" custScaleX="130116" custScaleY="183799" custLinFactNeighborX="5149" custLinFactNeighborY="52124">
        <dgm:presLayoutVars>
          <dgm:chPref val="3"/>
        </dgm:presLayoutVars>
      </dgm:prSet>
      <dgm:spPr>
        <a:prstGeom prst="roundRect">
          <a:avLst>
            <a:gd name="adj" fmla="val 10000"/>
          </a:avLst>
        </a:prstGeom>
      </dgm:spPr>
      <dgm:t>
        <a:bodyPr/>
        <a:lstStyle/>
        <a:p>
          <a:endParaRPr lang="en-US"/>
        </a:p>
      </dgm:t>
    </dgm:pt>
    <dgm:pt modelId="{EEC0CFC3-6552-4124-B883-C566DD3F041B}" type="pres">
      <dgm:prSet presAssocID="{D32530F1-347D-4529-8E63-33B786BE791B}" presName="level3hierChild" presStyleCnt="0"/>
      <dgm:spPr/>
    </dgm:pt>
    <dgm:pt modelId="{48161C49-E3C7-43B1-AC2C-CDD961509247}" type="pres">
      <dgm:prSet presAssocID="{92759AAF-56A4-4755-A03E-F5B03FCEE162}" presName="conn2-1" presStyleLbl="parChTrans1D4" presStyleIdx="5" presStyleCnt="6"/>
      <dgm:spPr>
        <a:custGeom>
          <a:avLst/>
          <a:gdLst/>
          <a:ahLst/>
          <a:cxnLst/>
          <a:rect l="0" t="0" r="0" b="0"/>
          <a:pathLst>
            <a:path>
              <a:moveTo>
                <a:pt x="0" y="5284"/>
              </a:moveTo>
              <a:lnTo>
                <a:pt x="372297" y="5284"/>
              </a:lnTo>
            </a:path>
          </a:pathLst>
        </a:custGeom>
      </dgm:spPr>
      <dgm:t>
        <a:bodyPr/>
        <a:lstStyle/>
        <a:p>
          <a:endParaRPr lang="en-US"/>
        </a:p>
      </dgm:t>
    </dgm:pt>
    <dgm:pt modelId="{5F013BBB-EBDA-4C82-913B-A6F30F71E873}" type="pres">
      <dgm:prSet presAssocID="{92759AAF-56A4-4755-A03E-F5B03FCEE162}" presName="connTx" presStyleLbl="parChTrans1D4" presStyleIdx="5" presStyleCnt="6"/>
      <dgm:spPr/>
      <dgm:t>
        <a:bodyPr/>
        <a:lstStyle/>
        <a:p>
          <a:endParaRPr lang="en-US"/>
        </a:p>
      </dgm:t>
    </dgm:pt>
    <dgm:pt modelId="{9A01BB53-8FA0-45E6-B7B4-BF431F283177}" type="pres">
      <dgm:prSet presAssocID="{5558CB3C-B5C4-4A1D-B7F7-3DF3D9BA5842}" presName="root2" presStyleCnt="0"/>
      <dgm:spPr/>
    </dgm:pt>
    <dgm:pt modelId="{EA12FCAE-A793-46A5-BA07-81F5DA94D4E2}" type="pres">
      <dgm:prSet presAssocID="{5558CB3C-B5C4-4A1D-B7F7-3DF3D9BA5842}" presName="LevelTwoTextNode" presStyleLbl="node4" presStyleIdx="5" presStyleCnt="6" custScaleX="258657" custScaleY="205570" custLinFactNeighborX="2762" custLinFactNeighborY="51491">
        <dgm:presLayoutVars>
          <dgm:chPref val="3"/>
        </dgm:presLayoutVars>
      </dgm:prSet>
      <dgm:spPr>
        <a:prstGeom prst="roundRect">
          <a:avLst>
            <a:gd name="adj" fmla="val 10000"/>
          </a:avLst>
        </a:prstGeom>
      </dgm:spPr>
      <dgm:t>
        <a:bodyPr/>
        <a:lstStyle/>
        <a:p>
          <a:endParaRPr lang="en-US"/>
        </a:p>
      </dgm:t>
    </dgm:pt>
    <dgm:pt modelId="{46B45E35-9877-4C1A-963C-B82E13FAEDA3}" type="pres">
      <dgm:prSet presAssocID="{5558CB3C-B5C4-4A1D-B7F7-3DF3D9BA5842}" presName="level3hierChild" presStyleCnt="0"/>
      <dgm:spPr/>
    </dgm:pt>
  </dgm:ptLst>
  <dgm:cxnLst>
    <dgm:cxn modelId="{E66E3949-1F89-4C68-8F4B-8CD3275C8E21}" srcId="{64EF3316-BBB7-409A-9DC1-A5A6ACF80C6D}" destId="{AADE609D-5C31-49AA-8D26-308B791CF2BF}" srcOrd="0" destOrd="0" parTransId="{205397FA-208D-48E9-A74B-D72BAB00A137}" sibTransId="{0AFF01DA-5F30-4771-976E-6724AF1C0165}"/>
    <dgm:cxn modelId="{322A6396-AEC3-4B15-BB15-F73B4A2F547B}" type="presOf" srcId="{05512890-2113-4E5F-B686-1DE15B740007}" destId="{7FBCB00F-0E60-40A2-A2B3-E0E492A00AD1}" srcOrd="0" destOrd="0" presId="urn:microsoft.com/office/officeart/2005/8/layout/hierarchy2"/>
    <dgm:cxn modelId="{FD4EB158-BE72-47C2-8B1B-629B3FFAE331}" type="presOf" srcId="{E1DB6644-B705-43CD-B7A8-A9EE65B752D7}" destId="{E1469D90-C896-43E2-821C-45A8B0488934}" srcOrd="1" destOrd="0" presId="urn:microsoft.com/office/officeart/2005/8/layout/hierarchy2"/>
    <dgm:cxn modelId="{4974F7CE-6F1A-4F71-A7E0-909C63291B28}" type="presOf" srcId="{A44FF350-A2B8-47A3-A2A1-D93CDB84DBA4}" destId="{CC97FC17-6D6B-4DFC-BB27-732069E4742B}" srcOrd="0" destOrd="0" presId="urn:microsoft.com/office/officeart/2005/8/layout/hierarchy2"/>
    <dgm:cxn modelId="{BEF030DF-B593-4BCB-8664-6A0CFD98710F}" type="presOf" srcId="{4C25718A-26C6-45CA-8459-5D8D927C1140}" destId="{6986BDFB-D4C0-4C60-80B7-3FB60F101556}" srcOrd="0" destOrd="0" presId="urn:microsoft.com/office/officeart/2005/8/layout/hierarchy2"/>
    <dgm:cxn modelId="{6C0DEED4-9B1B-477C-823B-43B02B6169D7}" srcId="{4A630874-A021-4FDD-AFE1-CBF85E7103A6}" destId="{25AA14E5-BFEF-4CEC-ACE6-1BFF5149C0A9}" srcOrd="0" destOrd="0" parTransId="{090C60F4-C543-464B-8B9E-4F24501B789A}" sibTransId="{B9D6A683-4C66-4C46-98DE-7663FD4BC74E}"/>
    <dgm:cxn modelId="{1EC29C12-9F66-4C75-9662-A1253F15D69A}" type="presOf" srcId="{EC9BCEC0-09CA-473B-B94D-BECAF08CD227}" destId="{1014F690-3A1F-4894-8687-879A35548825}" srcOrd="0" destOrd="0" presId="urn:microsoft.com/office/officeart/2005/8/layout/hierarchy2"/>
    <dgm:cxn modelId="{C66D42C4-698E-4B82-A337-6D8FF90FF380}" type="presOf" srcId="{090C60F4-C543-464B-8B9E-4F24501B789A}" destId="{70AFE8A4-7BA0-4B24-91B0-85926CD9FCBF}" srcOrd="1" destOrd="0" presId="urn:microsoft.com/office/officeart/2005/8/layout/hierarchy2"/>
    <dgm:cxn modelId="{77F8A112-1A14-480E-AB82-2711E0F6FD3B}" type="presOf" srcId="{D32530F1-347D-4529-8E63-33B786BE791B}" destId="{00D0014E-3F6D-4969-BCED-411E91BBAC47}" srcOrd="0" destOrd="0" presId="urn:microsoft.com/office/officeart/2005/8/layout/hierarchy2"/>
    <dgm:cxn modelId="{03D6CF00-DA96-4A30-9798-03C66AC02A86}" type="presOf" srcId="{B3648642-2AF4-4A4F-810C-3E7230845B69}" destId="{0FDA0F9A-2A31-4C24-980D-182771826B27}" srcOrd="0" destOrd="0" presId="urn:microsoft.com/office/officeart/2005/8/layout/hierarchy2"/>
    <dgm:cxn modelId="{73895F77-BB8F-4DF9-B21B-914EDFB5EFD3}" type="presOf" srcId="{38961060-E7A4-48A4-B6AD-47E51C6801AB}" destId="{FEA02BE3-8EB8-4802-9BF8-D614CDFF4162}" srcOrd="1" destOrd="0" presId="urn:microsoft.com/office/officeart/2005/8/layout/hierarchy2"/>
    <dgm:cxn modelId="{AC472843-3306-42B5-8E7F-7C3CD712F2BD}" type="presOf" srcId="{CCD76CBC-5822-4D0E-AFF2-1D94BA2EB4F0}" destId="{85E15539-AE58-4F19-A8D4-F09E678B6B4D}" srcOrd="0" destOrd="0" presId="urn:microsoft.com/office/officeart/2005/8/layout/hierarchy2"/>
    <dgm:cxn modelId="{9FFD62CD-8330-4E09-8E30-9176A3462D70}" type="presOf" srcId="{8CF889CF-3641-45E3-A7E4-5786CEC583C3}" destId="{C4C734FA-C59E-4CB3-B24E-BB047734B4D7}" srcOrd="0" destOrd="0" presId="urn:microsoft.com/office/officeart/2005/8/layout/hierarchy2"/>
    <dgm:cxn modelId="{F0289291-F89A-4A5F-9D8A-12A0C43BD318}" type="presOf" srcId="{090C60F4-C543-464B-8B9E-4F24501B789A}" destId="{B569B2A6-2EA6-4BCE-B384-07E48BF8279B}" srcOrd="0" destOrd="0" presId="urn:microsoft.com/office/officeart/2005/8/layout/hierarchy2"/>
    <dgm:cxn modelId="{A747EF8E-C0B8-4E8A-BE29-D2BA5FA49AFC}" srcId="{B3648642-2AF4-4A4F-810C-3E7230845B69}" destId="{A44FF350-A2B8-47A3-A2A1-D93CDB84DBA4}" srcOrd="0" destOrd="0" parTransId="{E1DB6644-B705-43CD-B7A8-A9EE65B752D7}" sibTransId="{AEBE3EF1-F63B-4F1D-BD58-0FDDA7A659D1}"/>
    <dgm:cxn modelId="{0A0DCDC3-7F59-47CB-8AB6-F2FC8AB1C6D4}" type="presOf" srcId="{03AED3F7-1EDD-449E-9F73-41C113F77CB7}" destId="{040A7AC3-A24D-4C7B-ABF1-D2608DFAE8E2}" srcOrd="1" destOrd="0" presId="urn:microsoft.com/office/officeart/2005/8/layout/hierarchy2"/>
    <dgm:cxn modelId="{F9C078C9-56B6-45F3-A262-7D2E02D28D63}" srcId="{248E5A5D-AFF9-452C-86E1-76E0D8987061}" destId="{CC534AB4-91D0-4BF5-AD48-CB013071175B}" srcOrd="1" destOrd="0" parTransId="{C302AAD0-D314-48EF-A132-B00C63D41CEF}" sibTransId="{AB96E38A-1786-464E-B3A5-6F69BD3D6997}"/>
    <dgm:cxn modelId="{42E26582-4447-4FC0-BA64-F0B94EB961D1}" type="presOf" srcId="{B2DA112D-E788-4E8A-97F5-84B632DEEE01}" destId="{D7826509-EC2B-4A24-B843-7A7EBCCFB9CF}" srcOrd="0" destOrd="0" presId="urn:microsoft.com/office/officeart/2005/8/layout/hierarchy2"/>
    <dgm:cxn modelId="{0E8AEFBC-B7CD-402D-AD4F-E39D8F95B8A0}" srcId="{248E5A5D-AFF9-452C-86E1-76E0D8987061}" destId="{D32530F1-347D-4529-8E63-33B786BE791B}" srcOrd="5" destOrd="0" parTransId="{EC9BCEC0-09CA-473B-B94D-BECAF08CD227}" sibTransId="{CE51CA69-C47E-40DE-8BEB-22EBF3EBDB7E}"/>
    <dgm:cxn modelId="{FC970301-AD96-478D-B7C0-54CE3E262298}" type="presOf" srcId="{03AED3F7-1EDD-449E-9F73-41C113F77CB7}" destId="{A32614CC-147F-403F-A8EA-21CE336EC3BC}" srcOrd="0" destOrd="0" presId="urn:microsoft.com/office/officeart/2005/8/layout/hierarchy2"/>
    <dgm:cxn modelId="{917198C0-E542-44F2-BE70-F44B805210AD}" srcId="{FD8D2C48-973B-47E0-B818-744D252D9D55}" destId="{05512890-2113-4E5F-B686-1DE15B740007}" srcOrd="0" destOrd="0" parTransId="{8CF889CF-3641-45E3-A7E4-5786CEC583C3}" sibTransId="{FBD8A2C6-D600-4FCB-9344-A50C4C55B65F}"/>
    <dgm:cxn modelId="{3D984652-4691-4179-8A57-68E585591A88}" type="presOf" srcId="{C302AAD0-D314-48EF-A132-B00C63D41CEF}" destId="{D8D39A57-CABE-4E3D-AF69-0C600DEBFA5F}" srcOrd="1" destOrd="0" presId="urn:microsoft.com/office/officeart/2005/8/layout/hierarchy2"/>
    <dgm:cxn modelId="{2341B152-77E6-4943-BD28-2D8BDCA4EB8E}" type="presOf" srcId="{4A630874-A021-4FDD-AFE1-CBF85E7103A6}" destId="{2737A767-59F8-4FC7-BE91-C5ED8ED9BC4B}" srcOrd="0" destOrd="0" presId="urn:microsoft.com/office/officeart/2005/8/layout/hierarchy2"/>
    <dgm:cxn modelId="{A43CABE0-1672-4341-9C36-24073CD78598}" type="presOf" srcId="{CCD76CBC-5822-4D0E-AFF2-1D94BA2EB4F0}" destId="{E219CEDE-45D5-496D-BC2E-04FF02B5D8DF}" srcOrd="1" destOrd="0" presId="urn:microsoft.com/office/officeart/2005/8/layout/hierarchy2"/>
    <dgm:cxn modelId="{C74A1039-A3F9-471C-91A6-1164D1881067}" srcId="{B2DA112D-E788-4E8A-97F5-84B632DEEE01}" destId="{64EF3316-BBB7-409A-9DC1-A5A6ACF80C6D}" srcOrd="0" destOrd="0" parTransId="{8030E2D7-8F39-4D00-8370-D58CFE73DF32}" sibTransId="{3DCE6C9D-75F3-4862-B32F-69DF6232D7A7}"/>
    <dgm:cxn modelId="{1EAB2C2A-74B9-47C0-A35E-7BC08FA9BA0E}" type="presOf" srcId="{E047FAEF-6FDC-4A1F-9FC4-D1E1B62CEE67}" destId="{0AB148D7-1C37-40A4-B5EA-F97FF0813C26}" srcOrd="0" destOrd="0" presId="urn:microsoft.com/office/officeart/2005/8/layout/hierarchy2"/>
    <dgm:cxn modelId="{A52A07F4-E8E6-4AFD-A609-733529651CD4}" type="presOf" srcId="{FD8D2C48-973B-47E0-B818-744D252D9D55}" destId="{F93EDED7-DC56-4992-B292-1F1F15E3CEE8}" srcOrd="0" destOrd="0" presId="urn:microsoft.com/office/officeart/2005/8/layout/hierarchy2"/>
    <dgm:cxn modelId="{6836F9DC-AA56-43A6-8B12-A8CE48E0E551}" type="presOf" srcId="{20C9B7EF-514E-4C33-A9EC-03FCD610FFD5}" destId="{9A04FB06-C88A-487A-8114-8F9DB71D3C6E}" srcOrd="0" destOrd="0" presId="urn:microsoft.com/office/officeart/2005/8/layout/hierarchy2"/>
    <dgm:cxn modelId="{B1D9589C-AC34-4B24-8B39-BE330F4657DC}" type="presOf" srcId="{59B22281-CE61-4D25-9905-5BEFF3E088D0}" destId="{5DB8AF0C-2F4A-48D2-99EF-485CC0E324F0}" srcOrd="0" destOrd="0" presId="urn:microsoft.com/office/officeart/2005/8/layout/hierarchy2"/>
    <dgm:cxn modelId="{5978270F-1834-4F91-BB7D-CBA0EB72946F}" type="presOf" srcId="{64EF3316-BBB7-409A-9DC1-A5A6ACF80C6D}" destId="{734CEE8B-6FA1-42D1-8DA6-E887A40B5820}" srcOrd="0" destOrd="0" presId="urn:microsoft.com/office/officeart/2005/8/layout/hierarchy2"/>
    <dgm:cxn modelId="{2B637CEE-78C4-4987-894D-B9C14C4575D2}" type="presOf" srcId="{BC3459F6-E534-4CA8-B755-D93A834EC1BD}" destId="{ABCAE773-0DE1-4907-995B-DF3BA3DA6389}" srcOrd="0" destOrd="0" presId="urn:microsoft.com/office/officeart/2005/8/layout/hierarchy2"/>
    <dgm:cxn modelId="{7E47CEE2-2EB7-41F5-A627-CFB343917A53}" type="presOf" srcId="{92759AAF-56A4-4755-A03E-F5B03FCEE162}" destId="{5F013BBB-EBDA-4C82-913B-A6F30F71E873}" srcOrd="1" destOrd="0" presId="urn:microsoft.com/office/officeart/2005/8/layout/hierarchy2"/>
    <dgm:cxn modelId="{F9ACBD81-A614-4DA0-BACD-490138365A00}" type="presOf" srcId="{59B22281-CE61-4D25-9905-5BEFF3E088D0}" destId="{F34E45A3-CD2A-46F0-B4C6-31AC67A7363A}" srcOrd="1" destOrd="0" presId="urn:microsoft.com/office/officeart/2005/8/layout/hierarchy2"/>
    <dgm:cxn modelId="{994E6ED4-0CDF-41EC-9AE9-A8B32D942B7C}" srcId="{F0528C14-756B-4403-AD96-1E0DF435775E}" destId="{CD15D20E-F559-4AC6-B605-373C1F703C9C}" srcOrd="0" destOrd="0" parTransId="{BC3459F6-E534-4CA8-B755-D93A834EC1BD}" sibTransId="{F9FD773E-D2D7-46AD-AB83-76365C61F11E}"/>
    <dgm:cxn modelId="{6E36B294-F04C-4387-8F92-8353AF9D0159}" srcId="{248E5A5D-AFF9-452C-86E1-76E0D8987061}" destId="{FD8D2C48-973B-47E0-B818-744D252D9D55}" srcOrd="3" destOrd="0" parTransId="{03AED3F7-1EDD-449E-9F73-41C113F77CB7}" sibTransId="{AB20A06F-BCF0-4AF1-89CE-7E90B8E91784}"/>
    <dgm:cxn modelId="{194DD8A2-8257-4242-B620-32F12DC7AF05}" type="presOf" srcId="{205397FA-208D-48E9-A74B-D72BAB00A137}" destId="{A4EE937D-B408-45A3-A5E6-5EB4DDEF254C}" srcOrd="1" destOrd="0" presId="urn:microsoft.com/office/officeart/2005/8/layout/hierarchy2"/>
    <dgm:cxn modelId="{78358923-8E64-491E-9081-F402C150C8B0}" type="presOf" srcId="{92759AAF-56A4-4755-A03E-F5B03FCEE162}" destId="{48161C49-E3C7-43B1-AC2C-CDD961509247}" srcOrd="0" destOrd="0" presId="urn:microsoft.com/office/officeart/2005/8/layout/hierarchy2"/>
    <dgm:cxn modelId="{548495F1-2418-439B-A032-B564A1FBF41A}" type="presOf" srcId="{CA327E54-2B15-4F74-8059-7CFA0E2AB4A1}" destId="{A71407E7-FEA1-4884-96C8-CA716A93CBBA}" srcOrd="0" destOrd="0" presId="urn:microsoft.com/office/officeart/2005/8/layout/hierarchy2"/>
    <dgm:cxn modelId="{6C6795EE-223E-4930-B14B-B1C54BC122C7}" type="presOf" srcId="{E1DB6644-B705-43CD-B7A8-A9EE65B752D7}" destId="{132C3095-0AC2-4AC2-AAD2-A8489F7D0104}" srcOrd="0" destOrd="0" presId="urn:microsoft.com/office/officeart/2005/8/layout/hierarchy2"/>
    <dgm:cxn modelId="{DB06CAE1-941D-4663-9EE6-E4277E6D1865}" type="presOf" srcId="{E047FAEF-6FDC-4A1F-9FC4-D1E1B62CEE67}" destId="{EDA636EC-76E8-4885-B6DC-DDF88252F7B4}" srcOrd="1" destOrd="0" presId="urn:microsoft.com/office/officeart/2005/8/layout/hierarchy2"/>
    <dgm:cxn modelId="{DD77B503-E447-43B9-BCAF-27B817F64073}" type="presOf" srcId="{AADE609D-5C31-49AA-8D26-308B791CF2BF}" destId="{1D995411-AD4A-4D44-89A3-4CA74B3E624C}" srcOrd="0" destOrd="0" presId="urn:microsoft.com/office/officeart/2005/8/layout/hierarchy2"/>
    <dgm:cxn modelId="{73A9C3D2-4AB8-4829-AA71-FE9A490ECB42}" type="presOf" srcId="{5558CB3C-B5C4-4A1D-B7F7-3DF3D9BA5842}" destId="{EA12FCAE-A793-46A5-BA07-81F5DA94D4E2}" srcOrd="0" destOrd="0" presId="urn:microsoft.com/office/officeart/2005/8/layout/hierarchy2"/>
    <dgm:cxn modelId="{15000D74-77C8-4BC9-A573-08297876430A}" type="presOf" srcId="{CC534AB4-91D0-4BF5-AD48-CB013071175B}" destId="{0E03BF2D-BBB3-4048-AD2E-431BD0A962D3}" srcOrd="0" destOrd="0" presId="urn:microsoft.com/office/officeart/2005/8/layout/hierarchy2"/>
    <dgm:cxn modelId="{9CB08300-1C28-4B9C-B0BF-2463C1343E97}" srcId="{248E5A5D-AFF9-452C-86E1-76E0D8987061}" destId="{4A630874-A021-4FDD-AFE1-CBF85E7103A6}" srcOrd="4" destOrd="0" parTransId="{38961060-E7A4-48A4-B6AD-47E51C6801AB}" sibTransId="{5333E79B-0F56-4941-B69B-15B329897998}"/>
    <dgm:cxn modelId="{0A4C2042-1837-4748-AC47-41829569DB4C}" type="presOf" srcId="{248E5A5D-AFF9-452C-86E1-76E0D8987061}" destId="{85DBD701-4339-41D3-B22B-D66201087CE3}" srcOrd="0" destOrd="0" presId="urn:microsoft.com/office/officeart/2005/8/layout/hierarchy2"/>
    <dgm:cxn modelId="{206DA6D6-A092-4C04-9F0F-7E6036E609C1}" srcId="{248E5A5D-AFF9-452C-86E1-76E0D8987061}" destId="{B3648642-2AF4-4A4F-810C-3E7230845B69}" srcOrd="2" destOrd="0" parTransId="{CA327E54-2B15-4F74-8059-7CFA0E2AB4A1}" sibTransId="{1501266E-F0E3-4EC5-9FBD-763C36BF8EA5}"/>
    <dgm:cxn modelId="{9018CE0F-0742-4490-B7BC-C3F05CEA7989}" type="presOf" srcId="{F0528C14-756B-4403-AD96-1E0DF435775E}" destId="{4A3AC024-9A4E-43E2-AC78-5798F852F55E}" srcOrd="0" destOrd="0" presId="urn:microsoft.com/office/officeart/2005/8/layout/hierarchy2"/>
    <dgm:cxn modelId="{2D1BB8AC-33B5-4DEA-889E-472027292B11}" srcId="{CC534AB4-91D0-4BF5-AD48-CB013071175B}" destId="{20C9B7EF-514E-4C33-A9EC-03FCD610FFD5}" srcOrd="0" destOrd="0" parTransId="{59B22281-CE61-4D25-9905-5BEFF3E088D0}" sibTransId="{C9B14D01-69C6-4965-88E5-4BBB3B7CBC40}"/>
    <dgm:cxn modelId="{92091719-64C1-4A68-82A0-A5A65C785B08}" srcId="{64EF3316-BBB7-409A-9DC1-A5A6ACF80C6D}" destId="{62E75C08-172C-4F3F-82E8-E3A7C4351426}" srcOrd="1" destOrd="0" parTransId="{CCD76CBC-5822-4D0E-AFF2-1D94BA2EB4F0}" sibTransId="{946CB13A-D8E7-44B1-8C5D-3CEA735BAFE3}"/>
    <dgm:cxn modelId="{3B4836FE-0938-4CB1-B2DE-42007072DD64}" type="presOf" srcId="{38961060-E7A4-48A4-B6AD-47E51C6801AB}" destId="{244B890B-448E-41AA-8B4C-E7D85E757694}" srcOrd="0" destOrd="0" presId="urn:microsoft.com/office/officeart/2005/8/layout/hierarchy2"/>
    <dgm:cxn modelId="{42ABCC60-18FF-4AAC-B7CA-7DF475AFB027}" type="presOf" srcId="{EC9BCEC0-09CA-473B-B94D-BECAF08CD227}" destId="{97E8E9E6-66D1-4F06-8F55-A23CAA0F626A}" srcOrd="1" destOrd="0" presId="urn:microsoft.com/office/officeart/2005/8/layout/hierarchy2"/>
    <dgm:cxn modelId="{51F38CE2-6CA7-4AE6-8034-C89C94B7E4FC}" type="presOf" srcId="{C302AAD0-D314-48EF-A132-B00C63D41CEF}" destId="{0B2E4866-8F59-487A-8329-D66BCDA6C671}" srcOrd="0" destOrd="0" presId="urn:microsoft.com/office/officeart/2005/8/layout/hierarchy2"/>
    <dgm:cxn modelId="{9588E87D-8F0F-4E8A-8503-21B56C4DECD3}" type="presOf" srcId="{25AA14E5-BFEF-4CEC-ACE6-1BFF5149C0A9}" destId="{5A811CC0-D7F4-4219-B3AA-48D091C467FF}" srcOrd="0" destOrd="0" presId="urn:microsoft.com/office/officeart/2005/8/layout/hierarchy2"/>
    <dgm:cxn modelId="{80C34E69-5F46-40D3-AAF4-8ECD36C275CE}" srcId="{248E5A5D-AFF9-452C-86E1-76E0D8987061}" destId="{F0528C14-756B-4403-AD96-1E0DF435775E}" srcOrd="0" destOrd="0" parTransId="{4C25718A-26C6-45CA-8459-5D8D927C1140}" sibTransId="{CAD1568F-25A3-4ADA-99DA-68BE7D4F310F}"/>
    <dgm:cxn modelId="{044547A4-CDB6-4024-91C6-FAC389C950CA}" type="presOf" srcId="{4C25718A-26C6-45CA-8459-5D8D927C1140}" destId="{E34E21FC-020F-40F3-A809-256AE0AA0602}" srcOrd="1" destOrd="0" presId="urn:microsoft.com/office/officeart/2005/8/layout/hierarchy2"/>
    <dgm:cxn modelId="{7D214716-D9D3-4F08-83DE-5783983A60C7}" srcId="{64EF3316-BBB7-409A-9DC1-A5A6ACF80C6D}" destId="{248E5A5D-AFF9-452C-86E1-76E0D8987061}" srcOrd="2" destOrd="0" parTransId="{E047FAEF-6FDC-4A1F-9FC4-D1E1B62CEE67}" sibTransId="{FE7C2FDC-7558-45F2-AAD5-813C845FD8AB}"/>
    <dgm:cxn modelId="{96A2C13E-1788-4126-BE83-741FDF0B3685}" type="presOf" srcId="{8CF889CF-3641-45E3-A7E4-5786CEC583C3}" destId="{E323D35A-0FC5-4229-8F81-916F668054D3}" srcOrd="1" destOrd="0" presId="urn:microsoft.com/office/officeart/2005/8/layout/hierarchy2"/>
    <dgm:cxn modelId="{506224B6-3D4F-4006-996E-F4E8EF0DA60C}" type="presOf" srcId="{BC3459F6-E534-4CA8-B755-D93A834EC1BD}" destId="{C6F1C1A4-0873-4E37-AC74-48C952132628}" srcOrd="1" destOrd="0" presId="urn:microsoft.com/office/officeart/2005/8/layout/hierarchy2"/>
    <dgm:cxn modelId="{A16803EC-443C-4AFC-8860-89660D62073E}" type="presOf" srcId="{CD15D20E-F559-4AC6-B605-373C1F703C9C}" destId="{BF173544-E6F0-494D-A874-2D1666DE5BAB}" srcOrd="0" destOrd="0" presId="urn:microsoft.com/office/officeart/2005/8/layout/hierarchy2"/>
    <dgm:cxn modelId="{7A7BA1BE-3289-4114-B9D8-CA482BF6EB9F}" srcId="{D32530F1-347D-4529-8E63-33B786BE791B}" destId="{5558CB3C-B5C4-4A1D-B7F7-3DF3D9BA5842}" srcOrd="0" destOrd="0" parTransId="{92759AAF-56A4-4755-A03E-F5B03FCEE162}" sibTransId="{A4EB1FCD-E54D-4D49-96B3-40591F25B5FB}"/>
    <dgm:cxn modelId="{0057187A-ABE6-410F-9232-FDA17118599B}" type="presOf" srcId="{62E75C08-172C-4F3F-82E8-E3A7C4351426}" destId="{B6FB70EE-7A9E-42DB-992E-43467BF04E09}" srcOrd="0" destOrd="0" presId="urn:microsoft.com/office/officeart/2005/8/layout/hierarchy2"/>
    <dgm:cxn modelId="{E4ABED16-4D6E-4CC0-8FD9-74717B8EC702}" type="presOf" srcId="{205397FA-208D-48E9-A74B-D72BAB00A137}" destId="{05B31C23-4D55-4071-88F4-C6C57CE176E1}" srcOrd="0" destOrd="0" presId="urn:microsoft.com/office/officeart/2005/8/layout/hierarchy2"/>
    <dgm:cxn modelId="{61BAB35A-0B2C-47E0-B06A-207B2346A16B}" type="presOf" srcId="{CA327E54-2B15-4F74-8059-7CFA0E2AB4A1}" destId="{696CE8D7-F64E-4892-B465-4C2B4281111C}" srcOrd="1" destOrd="0" presId="urn:microsoft.com/office/officeart/2005/8/layout/hierarchy2"/>
    <dgm:cxn modelId="{BB386610-6A08-449F-87D8-7A16FE80E439}" type="presParOf" srcId="{D7826509-EC2B-4A24-B843-7A7EBCCFB9CF}" destId="{5BEFC538-B3B9-40A9-894F-0288C31C9C57}" srcOrd="0" destOrd="0" presId="urn:microsoft.com/office/officeart/2005/8/layout/hierarchy2"/>
    <dgm:cxn modelId="{713587E1-A947-4A26-84FF-94FB809AFF01}" type="presParOf" srcId="{5BEFC538-B3B9-40A9-894F-0288C31C9C57}" destId="{734CEE8B-6FA1-42D1-8DA6-E887A40B5820}" srcOrd="0" destOrd="0" presId="urn:microsoft.com/office/officeart/2005/8/layout/hierarchy2"/>
    <dgm:cxn modelId="{CA3C1FED-9360-4AA3-9C6D-EE224F442130}" type="presParOf" srcId="{5BEFC538-B3B9-40A9-894F-0288C31C9C57}" destId="{9EEA43A2-A199-44EC-8898-3041A5F87FCB}" srcOrd="1" destOrd="0" presId="urn:microsoft.com/office/officeart/2005/8/layout/hierarchy2"/>
    <dgm:cxn modelId="{CB26B841-174C-4A3E-9CD3-38E7F8FA3884}" type="presParOf" srcId="{9EEA43A2-A199-44EC-8898-3041A5F87FCB}" destId="{05B31C23-4D55-4071-88F4-C6C57CE176E1}" srcOrd="0" destOrd="0" presId="urn:microsoft.com/office/officeart/2005/8/layout/hierarchy2"/>
    <dgm:cxn modelId="{18F29115-293C-4FD4-9F24-872B09E592BA}" type="presParOf" srcId="{05B31C23-4D55-4071-88F4-C6C57CE176E1}" destId="{A4EE937D-B408-45A3-A5E6-5EB4DDEF254C}" srcOrd="0" destOrd="0" presId="urn:microsoft.com/office/officeart/2005/8/layout/hierarchy2"/>
    <dgm:cxn modelId="{A199FC71-2364-4250-8639-66B514D04CA3}" type="presParOf" srcId="{9EEA43A2-A199-44EC-8898-3041A5F87FCB}" destId="{BC0E2788-3D9B-45CD-A96E-6F83779BD7A7}" srcOrd="1" destOrd="0" presId="urn:microsoft.com/office/officeart/2005/8/layout/hierarchy2"/>
    <dgm:cxn modelId="{2CBB7F27-FA43-4D05-BA68-6C1E6B939E2B}" type="presParOf" srcId="{BC0E2788-3D9B-45CD-A96E-6F83779BD7A7}" destId="{1D995411-AD4A-4D44-89A3-4CA74B3E624C}" srcOrd="0" destOrd="0" presId="urn:microsoft.com/office/officeart/2005/8/layout/hierarchy2"/>
    <dgm:cxn modelId="{5A4847D6-BEA5-44E5-8FB3-AE03CBE671D8}" type="presParOf" srcId="{BC0E2788-3D9B-45CD-A96E-6F83779BD7A7}" destId="{0759D191-BE40-4E28-B288-6C15CEF10618}" srcOrd="1" destOrd="0" presId="urn:microsoft.com/office/officeart/2005/8/layout/hierarchy2"/>
    <dgm:cxn modelId="{E53F9EC1-9852-4D98-912A-BC7E4B60E96E}" type="presParOf" srcId="{9EEA43A2-A199-44EC-8898-3041A5F87FCB}" destId="{85E15539-AE58-4F19-A8D4-F09E678B6B4D}" srcOrd="2" destOrd="0" presId="urn:microsoft.com/office/officeart/2005/8/layout/hierarchy2"/>
    <dgm:cxn modelId="{733172DB-A3CC-4E8A-91B6-9ADF6E33F610}" type="presParOf" srcId="{85E15539-AE58-4F19-A8D4-F09E678B6B4D}" destId="{E219CEDE-45D5-496D-BC2E-04FF02B5D8DF}" srcOrd="0" destOrd="0" presId="urn:microsoft.com/office/officeart/2005/8/layout/hierarchy2"/>
    <dgm:cxn modelId="{72859909-0F93-412D-AB0B-24C76A946C5B}" type="presParOf" srcId="{9EEA43A2-A199-44EC-8898-3041A5F87FCB}" destId="{0E52B8D7-992B-4680-BE5E-7A93AAFD65DE}" srcOrd="3" destOrd="0" presId="urn:microsoft.com/office/officeart/2005/8/layout/hierarchy2"/>
    <dgm:cxn modelId="{38AD844D-367C-4A61-BA3E-4BF3A57361DF}" type="presParOf" srcId="{0E52B8D7-992B-4680-BE5E-7A93AAFD65DE}" destId="{B6FB70EE-7A9E-42DB-992E-43467BF04E09}" srcOrd="0" destOrd="0" presId="urn:microsoft.com/office/officeart/2005/8/layout/hierarchy2"/>
    <dgm:cxn modelId="{F6812EC0-98DC-46EC-A966-FB35C12D0049}" type="presParOf" srcId="{0E52B8D7-992B-4680-BE5E-7A93AAFD65DE}" destId="{225A8C0E-B444-419D-A456-DA7F175EADFE}" srcOrd="1" destOrd="0" presId="urn:microsoft.com/office/officeart/2005/8/layout/hierarchy2"/>
    <dgm:cxn modelId="{7DA3C195-F43C-4121-AAC4-F278D041A46D}" type="presParOf" srcId="{9EEA43A2-A199-44EC-8898-3041A5F87FCB}" destId="{0AB148D7-1C37-40A4-B5EA-F97FF0813C26}" srcOrd="4" destOrd="0" presId="urn:microsoft.com/office/officeart/2005/8/layout/hierarchy2"/>
    <dgm:cxn modelId="{8A69FB8D-A19D-4641-9E39-9B17DA00A91D}" type="presParOf" srcId="{0AB148D7-1C37-40A4-B5EA-F97FF0813C26}" destId="{EDA636EC-76E8-4885-B6DC-DDF88252F7B4}" srcOrd="0" destOrd="0" presId="urn:microsoft.com/office/officeart/2005/8/layout/hierarchy2"/>
    <dgm:cxn modelId="{21E0F756-B4FF-40C1-9341-9AFA9B11241A}" type="presParOf" srcId="{9EEA43A2-A199-44EC-8898-3041A5F87FCB}" destId="{13D7B609-5866-40E1-83D7-71EB9EF42530}" srcOrd="5" destOrd="0" presId="urn:microsoft.com/office/officeart/2005/8/layout/hierarchy2"/>
    <dgm:cxn modelId="{E974C09F-5BCF-483B-BB23-FD9CF551F4F5}" type="presParOf" srcId="{13D7B609-5866-40E1-83D7-71EB9EF42530}" destId="{85DBD701-4339-41D3-B22B-D66201087CE3}" srcOrd="0" destOrd="0" presId="urn:microsoft.com/office/officeart/2005/8/layout/hierarchy2"/>
    <dgm:cxn modelId="{88248526-A3FE-4B0C-A401-4B33F55A19D1}" type="presParOf" srcId="{13D7B609-5866-40E1-83D7-71EB9EF42530}" destId="{743B681D-FCAE-4470-8CB7-B6DB03F1FA40}" srcOrd="1" destOrd="0" presId="urn:microsoft.com/office/officeart/2005/8/layout/hierarchy2"/>
    <dgm:cxn modelId="{9EB10CB2-789F-4B54-9D35-8CB3C7174F3E}" type="presParOf" srcId="{743B681D-FCAE-4470-8CB7-B6DB03F1FA40}" destId="{6986BDFB-D4C0-4C60-80B7-3FB60F101556}" srcOrd="0" destOrd="0" presId="urn:microsoft.com/office/officeart/2005/8/layout/hierarchy2"/>
    <dgm:cxn modelId="{3860B1F3-F80D-4676-9E0A-AB96295EF67E}" type="presParOf" srcId="{6986BDFB-D4C0-4C60-80B7-3FB60F101556}" destId="{E34E21FC-020F-40F3-A809-256AE0AA0602}" srcOrd="0" destOrd="0" presId="urn:microsoft.com/office/officeart/2005/8/layout/hierarchy2"/>
    <dgm:cxn modelId="{D438B403-4721-4D9B-885E-7292F9B17652}" type="presParOf" srcId="{743B681D-FCAE-4470-8CB7-B6DB03F1FA40}" destId="{1A551AE5-01E0-4BB5-8C0D-AE192253B7AB}" srcOrd="1" destOrd="0" presId="urn:microsoft.com/office/officeart/2005/8/layout/hierarchy2"/>
    <dgm:cxn modelId="{AC9ACDD1-3EAF-491A-85BA-A69209E45165}" type="presParOf" srcId="{1A551AE5-01E0-4BB5-8C0D-AE192253B7AB}" destId="{4A3AC024-9A4E-43E2-AC78-5798F852F55E}" srcOrd="0" destOrd="0" presId="urn:microsoft.com/office/officeart/2005/8/layout/hierarchy2"/>
    <dgm:cxn modelId="{4B5434A6-F69A-4912-8597-4E551B6F27C9}" type="presParOf" srcId="{1A551AE5-01E0-4BB5-8C0D-AE192253B7AB}" destId="{4DFFF2FA-6C71-4669-BA2D-A448B389362A}" srcOrd="1" destOrd="0" presId="urn:microsoft.com/office/officeart/2005/8/layout/hierarchy2"/>
    <dgm:cxn modelId="{E9BBE062-F79C-47A8-A9AF-5CA2708F56A5}" type="presParOf" srcId="{4DFFF2FA-6C71-4669-BA2D-A448B389362A}" destId="{ABCAE773-0DE1-4907-995B-DF3BA3DA6389}" srcOrd="0" destOrd="0" presId="urn:microsoft.com/office/officeart/2005/8/layout/hierarchy2"/>
    <dgm:cxn modelId="{AAC5F90B-6EDC-48EE-BAEB-CFC9B3A7D271}" type="presParOf" srcId="{ABCAE773-0DE1-4907-995B-DF3BA3DA6389}" destId="{C6F1C1A4-0873-4E37-AC74-48C952132628}" srcOrd="0" destOrd="0" presId="urn:microsoft.com/office/officeart/2005/8/layout/hierarchy2"/>
    <dgm:cxn modelId="{83FE408E-DB41-4F21-8C65-A379CFC9D5E2}" type="presParOf" srcId="{4DFFF2FA-6C71-4669-BA2D-A448B389362A}" destId="{D3C34FF6-805E-4CFF-B495-A981307203BC}" srcOrd="1" destOrd="0" presId="urn:microsoft.com/office/officeart/2005/8/layout/hierarchy2"/>
    <dgm:cxn modelId="{1F02427C-E48B-49D7-B386-C74B91242ABB}" type="presParOf" srcId="{D3C34FF6-805E-4CFF-B495-A981307203BC}" destId="{BF173544-E6F0-494D-A874-2D1666DE5BAB}" srcOrd="0" destOrd="0" presId="urn:microsoft.com/office/officeart/2005/8/layout/hierarchy2"/>
    <dgm:cxn modelId="{C47504B3-1812-4A64-8945-F572AC8785F4}" type="presParOf" srcId="{D3C34FF6-805E-4CFF-B495-A981307203BC}" destId="{816021DB-8651-40C5-9C24-76981A89A82E}" srcOrd="1" destOrd="0" presId="urn:microsoft.com/office/officeart/2005/8/layout/hierarchy2"/>
    <dgm:cxn modelId="{C920019B-AE28-4E41-A44F-2B732D4DEC5D}" type="presParOf" srcId="{743B681D-FCAE-4470-8CB7-B6DB03F1FA40}" destId="{0B2E4866-8F59-487A-8329-D66BCDA6C671}" srcOrd="2" destOrd="0" presId="urn:microsoft.com/office/officeart/2005/8/layout/hierarchy2"/>
    <dgm:cxn modelId="{CBC514DA-0667-4897-8474-7EB31111A5CF}" type="presParOf" srcId="{0B2E4866-8F59-487A-8329-D66BCDA6C671}" destId="{D8D39A57-CABE-4E3D-AF69-0C600DEBFA5F}" srcOrd="0" destOrd="0" presId="urn:microsoft.com/office/officeart/2005/8/layout/hierarchy2"/>
    <dgm:cxn modelId="{B3E869B3-4097-417B-9D82-87458FFDCD5E}" type="presParOf" srcId="{743B681D-FCAE-4470-8CB7-B6DB03F1FA40}" destId="{2B1F8A9F-4CDE-473C-B184-4CAB3C7F091A}" srcOrd="3" destOrd="0" presId="urn:microsoft.com/office/officeart/2005/8/layout/hierarchy2"/>
    <dgm:cxn modelId="{33D69621-3CA8-489A-A614-01D12885ABE5}" type="presParOf" srcId="{2B1F8A9F-4CDE-473C-B184-4CAB3C7F091A}" destId="{0E03BF2D-BBB3-4048-AD2E-431BD0A962D3}" srcOrd="0" destOrd="0" presId="urn:microsoft.com/office/officeart/2005/8/layout/hierarchy2"/>
    <dgm:cxn modelId="{F605DD61-5EB5-4CDA-92D0-39CAC4D2FB40}" type="presParOf" srcId="{2B1F8A9F-4CDE-473C-B184-4CAB3C7F091A}" destId="{2BB627B6-140D-4178-879E-C7EEC2B04B7E}" srcOrd="1" destOrd="0" presId="urn:microsoft.com/office/officeart/2005/8/layout/hierarchy2"/>
    <dgm:cxn modelId="{57F418CE-F7E4-4F40-A442-6FD87910D770}" type="presParOf" srcId="{2BB627B6-140D-4178-879E-C7EEC2B04B7E}" destId="{5DB8AF0C-2F4A-48D2-99EF-485CC0E324F0}" srcOrd="0" destOrd="0" presId="urn:microsoft.com/office/officeart/2005/8/layout/hierarchy2"/>
    <dgm:cxn modelId="{D13885E7-F402-4ED2-8AA9-96ACE37082F1}" type="presParOf" srcId="{5DB8AF0C-2F4A-48D2-99EF-485CC0E324F0}" destId="{F34E45A3-CD2A-46F0-B4C6-31AC67A7363A}" srcOrd="0" destOrd="0" presId="urn:microsoft.com/office/officeart/2005/8/layout/hierarchy2"/>
    <dgm:cxn modelId="{0F0227D9-576E-4641-AFC1-BE5509F22023}" type="presParOf" srcId="{2BB627B6-140D-4178-879E-C7EEC2B04B7E}" destId="{BDD7F9B2-ACEA-4213-8712-68B4744DC659}" srcOrd="1" destOrd="0" presId="urn:microsoft.com/office/officeart/2005/8/layout/hierarchy2"/>
    <dgm:cxn modelId="{2A62C65E-2331-460B-A56A-6F067823002B}" type="presParOf" srcId="{BDD7F9B2-ACEA-4213-8712-68B4744DC659}" destId="{9A04FB06-C88A-487A-8114-8F9DB71D3C6E}" srcOrd="0" destOrd="0" presId="urn:microsoft.com/office/officeart/2005/8/layout/hierarchy2"/>
    <dgm:cxn modelId="{DF172F6D-F3F6-4B11-8C22-5C39D9BE742D}" type="presParOf" srcId="{BDD7F9B2-ACEA-4213-8712-68B4744DC659}" destId="{FDE3EEC9-8520-4C4E-8A59-65698E31F477}" srcOrd="1" destOrd="0" presId="urn:microsoft.com/office/officeart/2005/8/layout/hierarchy2"/>
    <dgm:cxn modelId="{C0812D14-80F9-46AA-9993-48A2F8E0F659}" type="presParOf" srcId="{743B681D-FCAE-4470-8CB7-B6DB03F1FA40}" destId="{A71407E7-FEA1-4884-96C8-CA716A93CBBA}" srcOrd="4" destOrd="0" presId="urn:microsoft.com/office/officeart/2005/8/layout/hierarchy2"/>
    <dgm:cxn modelId="{ECBF4BC7-C49D-4D68-BC1D-540D2465314E}" type="presParOf" srcId="{A71407E7-FEA1-4884-96C8-CA716A93CBBA}" destId="{696CE8D7-F64E-4892-B465-4C2B4281111C}" srcOrd="0" destOrd="0" presId="urn:microsoft.com/office/officeart/2005/8/layout/hierarchy2"/>
    <dgm:cxn modelId="{CC3B88DA-3BB8-4B53-B2DD-3922894BFBE6}" type="presParOf" srcId="{743B681D-FCAE-4470-8CB7-B6DB03F1FA40}" destId="{C7AE0C5A-0372-4E62-B6C9-E0C5A409ACEE}" srcOrd="5" destOrd="0" presId="urn:microsoft.com/office/officeart/2005/8/layout/hierarchy2"/>
    <dgm:cxn modelId="{E4053D51-11A9-408B-9837-9E898D47FE73}" type="presParOf" srcId="{C7AE0C5A-0372-4E62-B6C9-E0C5A409ACEE}" destId="{0FDA0F9A-2A31-4C24-980D-182771826B27}" srcOrd="0" destOrd="0" presId="urn:microsoft.com/office/officeart/2005/8/layout/hierarchy2"/>
    <dgm:cxn modelId="{C5C8824E-0446-41A8-8AF5-3D56617B11F0}" type="presParOf" srcId="{C7AE0C5A-0372-4E62-B6C9-E0C5A409ACEE}" destId="{5A7E343A-6256-4B20-AB1D-C4999022B862}" srcOrd="1" destOrd="0" presId="urn:microsoft.com/office/officeart/2005/8/layout/hierarchy2"/>
    <dgm:cxn modelId="{EF757EC0-F216-478B-AC2F-B54B134126C1}" type="presParOf" srcId="{5A7E343A-6256-4B20-AB1D-C4999022B862}" destId="{132C3095-0AC2-4AC2-AAD2-A8489F7D0104}" srcOrd="0" destOrd="0" presId="urn:microsoft.com/office/officeart/2005/8/layout/hierarchy2"/>
    <dgm:cxn modelId="{8E550ED4-7DFA-49B0-BD09-D204BD4B0B1D}" type="presParOf" srcId="{132C3095-0AC2-4AC2-AAD2-A8489F7D0104}" destId="{E1469D90-C896-43E2-821C-45A8B0488934}" srcOrd="0" destOrd="0" presId="urn:microsoft.com/office/officeart/2005/8/layout/hierarchy2"/>
    <dgm:cxn modelId="{FDDE23F7-9C0D-46C1-B7EB-99DAC89D454E}" type="presParOf" srcId="{5A7E343A-6256-4B20-AB1D-C4999022B862}" destId="{D10BA655-4600-49A5-BCE1-1170452F4C05}" srcOrd="1" destOrd="0" presId="urn:microsoft.com/office/officeart/2005/8/layout/hierarchy2"/>
    <dgm:cxn modelId="{B5688806-3E82-487C-BAB5-81F12A2269B5}" type="presParOf" srcId="{D10BA655-4600-49A5-BCE1-1170452F4C05}" destId="{CC97FC17-6D6B-4DFC-BB27-732069E4742B}" srcOrd="0" destOrd="0" presId="urn:microsoft.com/office/officeart/2005/8/layout/hierarchy2"/>
    <dgm:cxn modelId="{628B3D95-6E4F-443C-8062-8168521230F6}" type="presParOf" srcId="{D10BA655-4600-49A5-BCE1-1170452F4C05}" destId="{A1D9F61C-0D46-4FF7-867C-CEE34F841DF4}" srcOrd="1" destOrd="0" presId="urn:microsoft.com/office/officeart/2005/8/layout/hierarchy2"/>
    <dgm:cxn modelId="{86B7EB04-9FDC-411E-8E0E-2147D42B895A}" type="presParOf" srcId="{743B681D-FCAE-4470-8CB7-B6DB03F1FA40}" destId="{A32614CC-147F-403F-A8EA-21CE336EC3BC}" srcOrd="6" destOrd="0" presId="urn:microsoft.com/office/officeart/2005/8/layout/hierarchy2"/>
    <dgm:cxn modelId="{C0D96CF7-4864-4543-A376-803D63CC1536}" type="presParOf" srcId="{A32614CC-147F-403F-A8EA-21CE336EC3BC}" destId="{040A7AC3-A24D-4C7B-ABF1-D2608DFAE8E2}" srcOrd="0" destOrd="0" presId="urn:microsoft.com/office/officeart/2005/8/layout/hierarchy2"/>
    <dgm:cxn modelId="{E1DF5ABA-DA73-4EA9-9B4D-EAD922968646}" type="presParOf" srcId="{743B681D-FCAE-4470-8CB7-B6DB03F1FA40}" destId="{4B296190-EFDC-473C-BAD3-7DAC4A67878F}" srcOrd="7" destOrd="0" presId="urn:microsoft.com/office/officeart/2005/8/layout/hierarchy2"/>
    <dgm:cxn modelId="{8632FF94-1136-4A9E-9503-DFD03BDFC647}" type="presParOf" srcId="{4B296190-EFDC-473C-BAD3-7DAC4A67878F}" destId="{F93EDED7-DC56-4992-B292-1F1F15E3CEE8}" srcOrd="0" destOrd="0" presId="urn:microsoft.com/office/officeart/2005/8/layout/hierarchy2"/>
    <dgm:cxn modelId="{53ED57A4-8376-4B04-9238-5749D9F0B03F}" type="presParOf" srcId="{4B296190-EFDC-473C-BAD3-7DAC4A67878F}" destId="{420CF11F-377C-4D9A-BD65-2B1974DF694E}" srcOrd="1" destOrd="0" presId="urn:microsoft.com/office/officeart/2005/8/layout/hierarchy2"/>
    <dgm:cxn modelId="{679CCCEB-1F68-4873-A40A-4CF782D5A004}" type="presParOf" srcId="{420CF11F-377C-4D9A-BD65-2B1974DF694E}" destId="{C4C734FA-C59E-4CB3-B24E-BB047734B4D7}" srcOrd="0" destOrd="0" presId="urn:microsoft.com/office/officeart/2005/8/layout/hierarchy2"/>
    <dgm:cxn modelId="{8AE9EB58-D9EC-47EB-B682-D9B0F0B96293}" type="presParOf" srcId="{C4C734FA-C59E-4CB3-B24E-BB047734B4D7}" destId="{E323D35A-0FC5-4229-8F81-916F668054D3}" srcOrd="0" destOrd="0" presId="urn:microsoft.com/office/officeart/2005/8/layout/hierarchy2"/>
    <dgm:cxn modelId="{C78BC643-DBBC-4846-A1BF-6752EAA2BA5E}" type="presParOf" srcId="{420CF11F-377C-4D9A-BD65-2B1974DF694E}" destId="{790CD841-82DD-424B-A71C-E8ACFC922E72}" srcOrd="1" destOrd="0" presId="urn:microsoft.com/office/officeart/2005/8/layout/hierarchy2"/>
    <dgm:cxn modelId="{54F775BF-C30F-48BB-BD87-C4E605DA350F}" type="presParOf" srcId="{790CD841-82DD-424B-A71C-E8ACFC922E72}" destId="{7FBCB00F-0E60-40A2-A2B3-E0E492A00AD1}" srcOrd="0" destOrd="0" presId="urn:microsoft.com/office/officeart/2005/8/layout/hierarchy2"/>
    <dgm:cxn modelId="{D794EC85-C921-4520-97F4-C53BD120F836}" type="presParOf" srcId="{790CD841-82DD-424B-A71C-E8ACFC922E72}" destId="{80A9AB27-21DE-44C9-A882-3B303D1615E6}" srcOrd="1" destOrd="0" presId="urn:microsoft.com/office/officeart/2005/8/layout/hierarchy2"/>
    <dgm:cxn modelId="{C49F1CEE-BBE5-45A2-93E4-2BFF155DB42B}" type="presParOf" srcId="{743B681D-FCAE-4470-8CB7-B6DB03F1FA40}" destId="{244B890B-448E-41AA-8B4C-E7D85E757694}" srcOrd="8" destOrd="0" presId="urn:microsoft.com/office/officeart/2005/8/layout/hierarchy2"/>
    <dgm:cxn modelId="{04823987-B0AF-470D-BB7D-9D56C693BB94}" type="presParOf" srcId="{244B890B-448E-41AA-8B4C-E7D85E757694}" destId="{FEA02BE3-8EB8-4802-9BF8-D614CDFF4162}" srcOrd="0" destOrd="0" presId="urn:microsoft.com/office/officeart/2005/8/layout/hierarchy2"/>
    <dgm:cxn modelId="{B8E87E86-73BB-44E9-9177-A3F9836FC7F4}" type="presParOf" srcId="{743B681D-FCAE-4470-8CB7-B6DB03F1FA40}" destId="{855B5029-3E5E-4EBC-8499-F04D48562D95}" srcOrd="9" destOrd="0" presId="urn:microsoft.com/office/officeart/2005/8/layout/hierarchy2"/>
    <dgm:cxn modelId="{DC71C113-DFB1-42F8-9922-3BC64DCA66EC}" type="presParOf" srcId="{855B5029-3E5E-4EBC-8499-F04D48562D95}" destId="{2737A767-59F8-4FC7-BE91-C5ED8ED9BC4B}" srcOrd="0" destOrd="0" presId="urn:microsoft.com/office/officeart/2005/8/layout/hierarchy2"/>
    <dgm:cxn modelId="{C0159E07-8C34-49C7-8AF3-17CEE2E688C7}" type="presParOf" srcId="{855B5029-3E5E-4EBC-8499-F04D48562D95}" destId="{B79AB4B0-F664-4851-B921-2E421A09EB72}" srcOrd="1" destOrd="0" presId="urn:microsoft.com/office/officeart/2005/8/layout/hierarchy2"/>
    <dgm:cxn modelId="{9E37A0FA-387A-4089-921E-2BCA7DAEC9FE}" type="presParOf" srcId="{B79AB4B0-F664-4851-B921-2E421A09EB72}" destId="{B569B2A6-2EA6-4BCE-B384-07E48BF8279B}" srcOrd="0" destOrd="0" presId="urn:microsoft.com/office/officeart/2005/8/layout/hierarchy2"/>
    <dgm:cxn modelId="{9BB57FFE-1941-4336-80A3-35AE5956453D}" type="presParOf" srcId="{B569B2A6-2EA6-4BCE-B384-07E48BF8279B}" destId="{70AFE8A4-7BA0-4B24-91B0-85926CD9FCBF}" srcOrd="0" destOrd="0" presId="urn:microsoft.com/office/officeart/2005/8/layout/hierarchy2"/>
    <dgm:cxn modelId="{82B59850-6D03-4FBC-9F76-B9EF73735F73}" type="presParOf" srcId="{B79AB4B0-F664-4851-B921-2E421A09EB72}" destId="{C3B074C8-D0AC-4C50-9226-442E20AB33A8}" srcOrd="1" destOrd="0" presId="urn:microsoft.com/office/officeart/2005/8/layout/hierarchy2"/>
    <dgm:cxn modelId="{0673D239-CE80-4BE2-B64A-1B6DAC59AB4F}" type="presParOf" srcId="{C3B074C8-D0AC-4C50-9226-442E20AB33A8}" destId="{5A811CC0-D7F4-4219-B3AA-48D091C467FF}" srcOrd="0" destOrd="0" presId="urn:microsoft.com/office/officeart/2005/8/layout/hierarchy2"/>
    <dgm:cxn modelId="{ECD393F7-5DE5-47BC-929E-806DB655D481}" type="presParOf" srcId="{C3B074C8-D0AC-4C50-9226-442E20AB33A8}" destId="{C0DE7F64-2208-4CC5-920A-F39683D12107}" srcOrd="1" destOrd="0" presId="urn:microsoft.com/office/officeart/2005/8/layout/hierarchy2"/>
    <dgm:cxn modelId="{C44281F1-928D-4820-9B29-822454C4A95C}" type="presParOf" srcId="{743B681D-FCAE-4470-8CB7-B6DB03F1FA40}" destId="{1014F690-3A1F-4894-8687-879A35548825}" srcOrd="10" destOrd="0" presId="urn:microsoft.com/office/officeart/2005/8/layout/hierarchy2"/>
    <dgm:cxn modelId="{83E2EC3F-5DFD-4909-8862-2961E7C96231}" type="presParOf" srcId="{1014F690-3A1F-4894-8687-879A35548825}" destId="{97E8E9E6-66D1-4F06-8F55-A23CAA0F626A}" srcOrd="0" destOrd="0" presId="urn:microsoft.com/office/officeart/2005/8/layout/hierarchy2"/>
    <dgm:cxn modelId="{3DDF716B-4456-490D-BD3B-E5DBA5DB208C}" type="presParOf" srcId="{743B681D-FCAE-4470-8CB7-B6DB03F1FA40}" destId="{E4833136-9F71-453D-AF5D-1FAAEB6FA263}" srcOrd="11" destOrd="0" presId="urn:microsoft.com/office/officeart/2005/8/layout/hierarchy2"/>
    <dgm:cxn modelId="{5176081C-32B6-47BC-A268-B95C3E68700B}" type="presParOf" srcId="{E4833136-9F71-453D-AF5D-1FAAEB6FA263}" destId="{00D0014E-3F6D-4969-BCED-411E91BBAC47}" srcOrd="0" destOrd="0" presId="urn:microsoft.com/office/officeart/2005/8/layout/hierarchy2"/>
    <dgm:cxn modelId="{D2BC4B67-EE38-435D-8D38-F1E885E24CA8}" type="presParOf" srcId="{E4833136-9F71-453D-AF5D-1FAAEB6FA263}" destId="{EEC0CFC3-6552-4124-B883-C566DD3F041B}" srcOrd="1" destOrd="0" presId="urn:microsoft.com/office/officeart/2005/8/layout/hierarchy2"/>
    <dgm:cxn modelId="{741538E6-62D5-4009-B997-647B103661E3}" type="presParOf" srcId="{EEC0CFC3-6552-4124-B883-C566DD3F041B}" destId="{48161C49-E3C7-43B1-AC2C-CDD961509247}" srcOrd="0" destOrd="0" presId="urn:microsoft.com/office/officeart/2005/8/layout/hierarchy2"/>
    <dgm:cxn modelId="{EFE31848-07E9-45ED-9E91-08C3BC3D1C5C}" type="presParOf" srcId="{48161C49-E3C7-43B1-AC2C-CDD961509247}" destId="{5F013BBB-EBDA-4C82-913B-A6F30F71E873}" srcOrd="0" destOrd="0" presId="urn:microsoft.com/office/officeart/2005/8/layout/hierarchy2"/>
    <dgm:cxn modelId="{F1CEAB86-EA70-45D7-A4AA-9835D31951D4}" type="presParOf" srcId="{EEC0CFC3-6552-4124-B883-C566DD3F041B}" destId="{9A01BB53-8FA0-45E6-B7B4-BF431F283177}" srcOrd="1" destOrd="0" presId="urn:microsoft.com/office/officeart/2005/8/layout/hierarchy2"/>
    <dgm:cxn modelId="{BFD139D9-3646-48A7-AC09-DD7BFB508377}" type="presParOf" srcId="{9A01BB53-8FA0-45E6-B7B4-BF431F283177}" destId="{EA12FCAE-A793-46A5-BA07-81F5DA94D4E2}" srcOrd="0" destOrd="0" presId="urn:microsoft.com/office/officeart/2005/8/layout/hierarchy2"/>
    <dgm:cxn modelId="{64AB8669-181B-45EF-9ED9-6B127907ED83}" type="presParOf" srcId="{9A01BB53-8FA0-45E6-B7B4-BF431F283177}" destId="{46B45E35-9877-4C1A-963C-B82E13FAEDA3}" srcOrd="1" destOrd="0" presId="urn:microsoft.com/office/officeart/2005/8/layout/hierarchy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CEE8B-6FA1-42D1-8DA6-E887A40B5820}">
      <dsp:nvSpPr>
        <dsp:cNvPr id="0" name=""/>
        <dsp:cNvSpPr/>
      </dsp:nvSpPr>
      <dsp:spPr>
        <a:xfrm>
          <a:off x="6433326" y="3707560"/>
          <a:ext cx="971933" cy="1294566"/>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r" defTabSz="444500" rtl="1">
            <a:lnSpc>
              <a:spcPct val="90000"/>
            </a:lnSpc>
            <a:spcBef>
              <a:spcPct val="0"/>
            </a:spcBef>
            <a:spcAft>
              <a:spcPct val="35000"/>
            </a:spcAft>
          </a:pPr>
          <a:r>
            <a:rPr lang="ar-SA" sz="1000" kern="1200"/>
            <a:t>الحد من الفقر وزيادة الرخاء المشترك على نحو مستدام</a:t>
          </a:r>
          <a:endParaRPr lang="en-US" sz="1000" b="1" kern="1200">
            <a:solidFill>
              <a:sysClr val="window" lastClr="FFFFFF"/>
            </a:solidFill>
            <a:latin typeface="Calibri"/>
            <a:ea typeface="+mn-ea"/>
            <a:cs typeface="+mn-cs"/>
          </a:endParaRPr>
        </a:p>
      </dsp:txBody>
      <dsp:txXfrm>
        <a:off x="6461793" y="3736027"/>
        <a:ext cx="914999" cy="1237632"/>
      </dsp:txXfrm>
    </dsp:sp>
    <dsp:sp modelId="{05B31C23-4D55-4071-88F4-C6C57CE176E1}">
      <dsp:nvSpPr>
        <dsp:cNvPr id="0" name=""/>
        <dsp:cNvSpPr/>
      </dsp:nvSpPr>
      <dsp:spPr>
        <a:xfrm rot="14184984">
          <a:off x="5653173" y="3927539"/>
          <a:ext cx="1004604" cy="17692"/>
        </a:xfrm>
        <a:custGeom>
          <a:avLst/>
          <a:gdLst/>
          <a:ahLst/>
          <a:cxnLst/>
          <a:rect l="0" t="0" r="0" b="0"/>
          <a:pathLst>
            <a:path>
              <a:moveTo>
                <a:pt x="0" y="11282"/>
              </a:moveTo>
              <a:lnTo>
                <a:pt x="681158" y="1128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130361" y="3911270"/>
        <a:ext cx="50230" cy="50230"/>
      </dsp:txXfrm>
    </dsp:sp>
    <dsp:sp modelId="{1D995411-AD4A-4D44-89A3-4CA74B3E624C}">
      <dsp:nvSpPr>
        <dsp:cNvPr id="0" name=""/>
        <dsp:cNvSpPr/>
      </dsp:nvSpPr>
      <dsp:spPr>
        <a:xfrm>
          <a:off x="4488375" y="3170614"/>
          <a:ext cx="1389250" cy="6946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مجال التركيز 1 : تحسين نظام الإدارة العامة والحوكمة</a:t>
          </a:r>
          <a:endParaRPr lang="en-US" sz="1000" b="1" kern="1200">
            <a:solidFill>
              <a:sysClr val="window" lastClr="FFFFFF"/>
            </a:solidFill>
            <a:latin typeface="Calibri"/>
            <a:ea typeface="+mn-ea"/>
            <a:cs typeface="+mn-cs"/>
          </a:endParaRPr>
        </a:p>
      </dsp:txBody>
      <dsp:txXfrm>
        <a:off x="4508720" y="3190959"/>
        <a:ext cx="1348560" cy="653935"/>
      </dsp:txXfrm>
    </dsp:sp>
    <dsp:sp modelId="{EFFE82EA-51F5-466E-B789-11FCD94A28B2}">
      <dsp:nvSpPr>
        <dsp:cNvPr id="0" name=""/>
        <dsp:cNvSpPr/>
      </dsp:nvSpPr>
      <dsp:spPr>
        <a:xfrm rot="15437678">
          <a:off x="2947210" y="2276700"/>
          <a:ext cx="2526628" cy="17692"/>
        </a:xfrm>
        <a:custGeom>
          <a:avLst/>
          <a:gdLst/>
          <a:ahLst/>
          <a:cxnLst/>
          <a:rect l="0" t="0" r="0" b="0"/>
          <a:pathLst>
            <a:path>
              <a:moveTo>
                <a:pt x="0" y="8846"/>
              </a:moveTo>
              <a:lnTo>
                <a:pt x="2608565"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Calibri"/>
            <a:ea typeface="+mn-ea"/>
            <a:cs typeface="+mn-cs"/>
          </a:endParaRPr>
        </a:p>
      </dsp:txBody>
      <dsp:txXfrm rot="10800000">
        <a:off x="4147359" y="2222380"/>
        <a:ext cx="126331" cy="126331"/>
      </dsp:txXfrm>
    </dsp:sp>
    <dsp:sp modelId="{94EF3E8E-7896-4A41-9E93-E3DC2A7DA069}">
      <dsp:nvSpPr>
        <dsp:cNvPr id="0" name=""/>
        <dsp:cNvSpPr/>
      </dsp:nvSpPr>
      <dsp:spPr>
        <a:xfrm>
          <a:off x="2543424" y="469812"/>
          <a:ext cx="1389250" cy="1166706"/>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b="1" kern="1200"/>
            <a:t>الهدف 1.1 لإطار الشراكة الإستراتيجية: تحسين إدارة المالية العامة</a:t>
          </a:r>
          <a:endParaRPr lang="en-US" sz="1000" b="0" kern="1200">
            <a:solidFill>
              <a:sysClr val="window" lastClr="FFFFFF"/>
            </a:solidFill>
            <a:latin typeface="Calibri"/>
            <a:ea typeface="+mn-ea"/>
            <a:cs typeface="+mn-cs"/>
          </a:endParaRPr>
        </a:p>
      </dsp:txBody>
      <dsp:txXfrm>
        <a:off x="2577596" y="503984"/>
        <a:ext cx="1320906" cy="1098362"/>
      </dsp:txXfrm>
    </dsp:sp>
    <dsp:sp modelId="{CF4C494B-0011-4782-962C-C11C5CBC282E}">
      <dsp:nvSpPr>
        <dsp:cNvPr id="0" name=""/>
        <dsp:cNvSpPr/>
      </dsp:nvSpPr>
      <dsp:spPr>
        <a:xfrm rot="10800000">
          <a:off x="1963455" y="1044319"/>
          <a:ext cx="579968" cy="17692"/>
        </a:xfrm>
        <a:custGeom>
          <a:avLst/>
          <a:gdLst/>
          <a:ahLst/>
          <a:cxnLst/>
          <a:rect l="0" t="0" r="0" b="0"/>
          <a:pathLst>
            <a:path>
              <a:moveTo>
                <a:pt x="0" y="11282"/>
              </a:moveTo>
              <a:lnTo>
                <a:pt x="553111" y="112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38940" y="1038666"/>
        <a:ext cx="28998" cy="28998"/>
      </dsp:txXfrm>
    </dsp:sp>
    <dsp:sp modelId="{EED096D6-5D75-4A02-8524-67AD870D3E3C}">
      <dsp:nvSpPr>
        <dsp:cNvPr id="0" name=""/>
        <dsp:cNvSpPr/>
      </dsp:nvSpPr>
      <dsp:spPr>
        <a:xfrm>
          <a:off x="0" y="451554"/>
          <a:ext cx="1963455" cy="1203223"/>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ضبط أوضاع المالية العامة أمر ضروري لتحقيق نمو يراعي مصلحة الفقراء، وفي السياق المصري، يتطلَّب هذا: (1) زيادة الإيرادات (2) خفض النفقات العامة، وتحسين كفاءتها، وتعزيز الإيرادات الحكومية.</a:t>
          </a:r>
          <a:endParaRPr lang="en-US" sz="1000" b="1" kern="1200">
            <a:solidFill>
              <a:sysClr val="window" lastClr="FFFFFF"/>
            </a:solidFill>
            <a:latin typeface="Calibri"/>
            <a:ea typeface="+mn-ea"/>
            <a:cs typeface="+mn-cs"/>
          </a:endParaRPr>
        </a:p>
      </dsp:txBody>
      <dsp:txXfrm>
        <a:off x="35241" y="486795"/>
        <a:ext cx="1892973" cy="1132741"/>
      </dsp:txXfrm>
    </dsp:sp>
    <dsp:sp modelId="{20E236EB-3137-4886-B4B5-8168AB828BF7}">
      <dsp:nvSpPr>
        <dsp:cNvPr id="0" name=""/>
        <dsp:cNvSpPr/>
      </dsp:nvSpPr>
      <dsp:spPr>
        <a:xfrm rot="14609149">
          <a:off x="3588128" y="2952145"/>
          <a:ext cx="1244794" cy="17692"/>
        </a:xfrm>
        <a:custGeom>
          <a:avLst/>
          <a:gdLst/>
          <a:ahLst/>
          <a:cxnLst/>
          <a:rect l="0" t="0" r="0" b="0"/>
          <a:pathLst>
            <a:path>
              <a:moveTo>
                <a:pt x="0" y="8846"/>
              </a:moveTo>
              <a:lnTo>
                <a:pt x="1393521"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179405" y="2929871"/>
        <a:ext cx="62239" cy="62239"/>
      </dsp:txXfrm>
    </dsp:sp>
    <dsp:sp modelId="{69104445-069C-45C0-90CA-86EE94ED0130}">
      <dsp:nvSpPr>
        <dsp:cNvPr id="0" name=""/>
        <dsp:cNvSpPr/>
      </dsp:nvSpPr>
      <dsp:spPr>
        <a:xfrm>
          <a:off x="2543424" y="1829454"/>
          <a:ext cx="1389250" cy="114920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الهدف 1.2 لإطار الشراكة الإستراتيجية: تحسين شفافية المالية العامة</a:t>
          </a:r>
          <a:endParaRPr lang="en-US" sz="1000" b="0" kern="1200">
            <a:solidFill>
              <a:sysClr val="window" lastClr="FFFFFF"/>
            </a:solidFill>
            <a:latin typeface="Calibri"/>
            <a:ea typeface="+mn-ea"/>
            <a:cs typeface="+mn-cs"/>
          </a:endParaRPr>
        </a:p>
      </dsp:txBody>
      <dsp:txXfrm>
        <a:off x="2577083" y="1863113"/>
        <a:ext cx="1321932" cy="1081884"/>
      </dsp:txXfrm>
    </dsp:sp>
    <dsp:sp modelId="{64CC9DA2-49C4-440A-B148-8797CFE750A8}">
      <dsp:nvSpPr>
        <dsp:cNvPr id="0" name=""/>
        <dsp:cNvSpPr/>
      </dsp:nvSpPr>
      <dsp:spPr>
        <a:xfrm rot="10793849">
          <a:off x="1976625" y="2395716"/>
          <a:ext cx="566799" cy="17692"/>
        </a:xfrm>
        <a:custGeom>
          <a:avLst/>
          <a:gdLst/>
          <a:ahLst/>
          <a:cxnLst/>
          <a:rect l="0" t="0" r="0" b="0"/>
          <a:pathLst>
            <a:path>
              <a:moveTo>
                <a:pt x="0" y="8846"/>
              </a:moveTo>
              <a:lnTo>
                <a:pt x="222371" y="884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45855" y="2390392"/>
        <a:ext cx="28339" cy="28339"/>
      </dsp:txXfrm>
    </dsp:sp>
    <dsp:sp modelId="{AF65891A-0357-47FE-82C1-40EDC29AAC34}">
      <dsp:nvSpPr>
        <dsp:cNvPr id="0" name=""/>
        <dsp:cNvSpPr/>
      </dsp:nvSpPr>
      <dsp:spPr>
        <a:xfrm>
          <a:off x="0" y="1768494"/>
          <a:ext cx="1976625" cy="127315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الحاجة إلى إجراء إصلاحات في الإنفاق ومراجعة الحسابات وإدارة شؤون المالية العامة من أجل التقديم الفاعل للخدمات في إطار البرنامج الاستثماري للحكومة المصرية.</a:t>
          </a:r>
          <a:endParaRPr lang="en-US" sz="1000" b="1" kern="1200">
            <a:solidFill>
              <a:sysClr val="window" lastClr="FFFFFF"/>
            </a:solidFill>
            <a:latin typeface="Calibri"/>
            <a:ea typeface="+mn-ea"/>
            <a:cs typeface="+mn-cs"/>
          </a:endParaRPr>
        </a:p>
      </dsp:txBody>
      <dsp:txXfrm>
        <a:off x="37289" y="1805783"/>
        <a:ext cx="1902047" cy="1198573"/>
      </dsp:txXfrm>
    </dsp:sp>
    <dsp:sp modelId="{3D4DD8BF-D887-44BA-A9E0-2A5CEB616BF1}">
      <dsp:nvSpPr>
        <dsp:cNvPr id="0" name=""/>
        <dsp:cNvSpPr/>
      </dsp:nvSpPr>
      <dsp:spPr>
        <a:xfrm rot="9973305">
          <a:off x="3934114" y="3576047"/>
          <a:ext cx="562351" cy="17692"/>
        </a:xfrm>
        <a:custGeom>
          <a:avLst/>
          <a:gdLst/>
          <a:ahLst/>
          <a:cxnLst/>
          <a:rect l="0" t="0" r="0" b="0"/>
          <a:pathLst>
            <a:path>
              <a:moveTo>
                <a:pt x="0" y="8846"/>
              </a:moveTo>
              <a:lnTo>
                <a:pt x="555803"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201231" y="3570834"/>
        <a:ext cx="28117" cy="28117"/>
      </dsp:txXfrm>
    </dsp:sp>
    <dsp:sp modelId="{AFB06027-6012-404C-8EBA-8BB6BE1321CF}">
      <dsp:nvSpPr>
        <dsp:cNvPr id="0" name=""/>
        <dsp:cNvSpPr/>
      </dsp:nvSpPr>
      <dsp:spPr>
        <a:xfrm>
          <a:off x="2552954" y="3141893"/>
          <a:ext cx="1389250" cy="101993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n-US" sz="1000" b="1" kern="1200">
            <a:solidFill>
              <a:sysClr val="window" lastClr="FFFFFF"/>
            </a:solidFill>
            <a:latin typeface="Calibri"/>
            <a:ea typeface="+mn-ea"/>
            <a:cs typeface="+mn-cs"/>
          </a:endParaRPr>
        </a:p>
        <a:p>
          <a:pPr lvl="0" algn="ctr" defTabSz="444500">
            <a:lnSpc>
              <a:spcPct val="90000"/>
            </a:lnSpc>
            <a:spcBef>
              <a:spcPct val="0"/>
            </a:spcBef>
            <a:spcAft>
              <a:spcPct val="35000"/>
            </a:spcAft>
          </a:pPr>
          <a:r>
            <a:rPr lang="ar-SA" sz="1000" kern="1200"/>
            <a:t>الهدف 1.3 لإطار الشراكة الإستراتيجية: إنشاء قاعدة شواهد للإدارة العامة المستندة إلى الأداء</a:t>
          </a:r>
          <a:endParaRPr lang="en-US" sz="1000" kern="1200">
            <a:solidFill>
              <a:sysClr val="window" lastClr="FFFFFF"/>
            </a:solidFill>
            <a:latin typeface="Calibri"/>
            <a:ea typeface="+mn-ea"/>
            <a:cs typeface="+mn-cs"/>
          </a:endParaRPr>
        </a:p>
      </dsp:txBody>
      <dsp:txXfrm>
        <a:off x="2582827" y="3171766"/>
        <a:ext cx="1329504" cy="960186"/>
      </dsp:txXfrm>
    </dsp:sp>
    <dsp:sp modelId="{BCF17D0C-4ABD-4FF7-B88E-F98B7D7D2B29}">
      <dsp:nvSpPr>
        <dsp:cNvPr id="0" name=""/>
        <dsp:cNvSpPr/>
      </dsp:nvSpPr>
      <dsp:spPr>
        <a:xfrm rot="10469192">
          <a:off x="1860727" y="3676345"/>
          <a:ext cx="693832" cy="17692"/>
        </a:xfrm>
        <a:custGeom>
          <a:avLst/>
          <a:gdLst/>
          <a:ahLst/>
          <a:cxnLst/>
          <a:rect l="0" t="0" r="0" b="0"/>
          <a:pathLst>
            <a:path>
              <a:moveTo>
                <a:pt x="0" y="8846"/>
              </a:moveTo>
              <a:lnTo>
                <a:pt x="324533" y="884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90297" y="3667845"/>
        <a:ext cx="34691" cy="34691"/>
      </dsp:txXfrm>
    </dsp:sp>
    <dsp:sp modelId="{578ADF9F-1648-42D0-86C6-CCFDB2AECE9E}">
      <dsp:nvSpPr>
        <dsp:cNvPr id="0" name=""/>
        <dsp:cNvSpPr/>
      </dsp:nvSpPr>
      <dsp:spPr>
        <a:xfrm>
          <a:off x="0" y="3174409"/>
          <a:ext cx="1862332" cy="10882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من الضروري أن تقوم مصر بإصلاح قدرات التنفيذ، والتنظيم البالغ التعقيد للإدارة المركزية للدولة من أجل التقديم الفاعل للخدمات.</a:t>
          </a:r>
          <a:endParaRPr lang="en-US" sz="1000" b="1" i="0" kern="1200">
            <a:solidFill>
              <a:sysClr val="window" lastClr="FFFFFF"/>
            </a:solidFill>
            <a:latin typeface="Calibri"/>
            <a:ea typeface="+mn-ea"/>
            <a:cs typeface="+mn-cs"/>
          </a:endParaRPr>
        </a:p>
      </dsp:txBody>
      <dsp:txXfrm>
        <a:off x="31873" y="3206282"/>
        <a:ext cx="1798586" cy="1024481"/>
      </dsp:txXfrm>
    </dsp:sp>
    <dsp:sp modelId="{D2391722-61AF-4B89-A342-E19182DD6EA5}">
      <dsp:nvSpPr>
        <dsp:cNvPr id="0" name=""/>
        <dsp:cNvSpPr/>
      </dsp:nvSpPr>
      <dsp:spPr>
        <a:xfrm rot="6722179">
          <a:off x="3469974" y="4195531"/>
          <a:ext cx="1481100" cy="17692"/>
        </a:xfrm>
        <a:custGeom>
          <a:avLst/>
          <a:gdLst/>
          <a:ahLst/>
          <a:cxnLst/>
          <a:rect l="0" t="0" r="0" b="0"/>
          <a:pathLst>
            <a:path>
              <a:moveTo>
                <a:pt x="0" y="8846"/>
              </a:moveTo>
              <a:lnTo>
                <a:pt x="1472141"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173497" y="4167350"/>
        <a:ext cx="74055" cy="74055"/>
      </dsp:txXfrm>
    </dsp:sp>
    <dsp:sp modelId="{D6A3D829-C137-4405-8A2D-796F04C33BB6}">
      <dsp:nvSpPr>
        <dsp:cNvPr id="0" name=""/>
        <dsp:cNvSpPr/>
      </dsp:nvSpPr>
      <dsp:spPr>
        <a:xfrm>
          <a:off x="2543424" y="4308777"/>
          <a:ext cx="1389250" cy="116410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1.4 لإطار الشراكة الإستراتيجية: تدعيم مشاركة المواطنين في تقديم الخدمات</a:t>
          </a:r>
          <a:endParaRPr lang="en-US" sz="1000" b="1" kern="1200">
            <a:solidFill>
              <a:sysClr val="window" lastClr="FFFFFF"/>
            </a:solidFill>
            <a:latin typeface="Calibri"/>
            <a:ea typeface="+mn-ea"/>
            <a:cs typeface="+mn-cs"/>
          </a:endParaRPr>
        </a:p>
      </dsp:txBody>
      <dsp:txXfrm>
        <a:off x="2577519" y="4342872"/>
        <a:ext cx="1321060" cy="1095911"/>
      </dsp:txXfrm>
    </dsp:sp>
    <dsp:sp modelId="{1A77859D-234B-4533-BEE3-43158BD1A8AA}">
      <dsp:nvSpPr>
        <dsp:cNvPr id="0" name=""/>
        <dsp:cNvSpPr/>
      </dsp:nvSpPr>
      <dsp:spPr>
        <a:xfrm rot="10529901">
          <a:off x="1937596" y="4905793"/>
          <a:ext cx="606763" cy="17692"/>
        </a:xfrm>
        <a:custGeom>
          <a:avLst/>
          <a:gdLst/>
          <a:ahLst/>
          <a:cxnLst/>
          <a:rect l="0" t="0" r="0" b="0"/>
          <a:pathLst>
            <a:path>
              <a:moveTo>
                <a:pt x="0" y="8846"/>
              </a:moveTo>
              <a:lnTo>
                <a:pt x="321176" y="884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25809" y="4899471"/>
        <a:ext cx="30338" cy="30338"/>
      </dsp:txXfrm>
    </dsp:sp>
    <dsp:sp modelId="{E6B48A25-51F2-42ED-BACD-79788828E45B}">
      <dsp:nvSpPr>
        <dsp:cNvPr id="0" name=""/>
        <dsp:cNvSpPr/>
      </dsp:nvSpPr>
      <dsp:spPr>
        <a:xfrm>
          <a:off x="0" y="4376361"/>
          <a:ext cx="1938532" cy="112418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توجد عقبات كثيرة في طريق نمو يساعد على خلق الوظائف وتقديم خدمات عامة ذات جودة، وذلك بسبب عجز المواطنين عن مساءلة الدولة.</a:t>
          </a:r>
          <a:endParaRPr lang="en-US" sz="1000" kern="1200">
            <a:solidFill>
              <a:sysClr val="window" lastClr="FFFFFF"/>
            </a:solidFill>
            <a:latin typeface="Calibri"/>
            <a:ea typeface="+mn-ea"/>
            <a:cs typeface="+mn-cs"/>
          </a:endParaRPr>
        </a:p>
      </dsp:txBody>
      <dsp:txXfrm>
        <a:off x="32926" y="4409287"/>
        <a:ext cx="1872680" cy="1058329"/>
      </dsp:txXfrm>
    </dsp:sp>
    <dsp:sp modelId="{A4AFA082-98F9-4A53-9106-2B061F472557}">
      <dsp:nvSpPr>
        <dsp:cNvPr id="0" name=""/>
        <dsp:cNvSpPr/>
      </dsp:nvSpPr>
      <dsp:spPr>
        <a:xfrm rot="6132527">
          <a:off x="2896655" y="4793235"/>
          <a:ext cx="2627739" cy="17692"/>
        </a:xfrm>
        <a:custGeom>
          <a:avLst/>
          <a:gdLst/>
          <a:ahLst/>
          <a:cxnLst/>
          <a:rect l="0" t="0" r="0" b="0"/>
          <a:pathLst>
            <a:path>
              <a:moveTo>
                <a:pt x="0" y="8846"/>
              </a:moveTo>
              <a:lnTo>
                <a:pt x="2709835"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Calibri"/>
            <a:ea typeface="+mn-ea"/>
            <a:cs typeface="+mn-cs"/>
          </a:endParaRPr>
        </a:p>
      </dsp:txBody>
      <dsp:txXfrm rot="10800000">
        <a:off x="4144831" y="4736388"/>
        <a:ext cx="131386" cy="131386"/>
      </dsp:txXfrm>
    </dsp:sp>
    <dsp:sp modelId="{E042646E-6362-443D-ADA1-FB01938224DD}">
      <dsp:nvSpPr>
        <dsp:cNvPr id="0" name=""/>
        <dsp:cNvSpPr/>
      </dsp:nvSpPr>
      <dsp:spPr>
        <a:xfrm>
          <a:off x="2543424" y="5606431"/>
          <a:ext cx="1389250" cy="95961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الهدف 1.5 لإطار الشراكة الإستراتيجية:  تدعيم حوكمة قطاع الطاقة</a:t>
          </a:r>
          <a:endParaRPr lang="en-US" sz="1000" b="0" kern="1200">
            <a:solidFill>
              <a:sysClr val="window" lastClr="FFFFFF"/>
            </a:solidFill>
            <a:latin typeface="Calibri"/>
            <a:ea typeface="+mn-ea"/>
            <a:cs typeface="+mn-cs"/>
          </a:endParaRPr>
        </a:p>
      </dsp:txBody>
      <dsp:txXfrm>
        <a:off x="2571530" y="5634537"/>
        <a:ext cx="1333038" cy="903399"/>
      </dsp:txXfrm>
    </dsp:sp>
    <dsp:sp modelId="{C2D5ECA9-8B3D-4E44-A310-E4B8F2AAD02A}">
      <dsp:nvSpPr>
        <dsp:cNvPr id="0" name=""/>
        <dsp:cNvSpPr/>
      </dsp:nvSpPr>
      <dsp:spPr>
        <a:xfrm rot="10800000">
          <a:off x="1983169" y="6077390"/>
          <a:ext cx="560255" cy="17692"/>
        </a:xfrm>
        <a:custGeom>
          <a:avLst/>
          <a:gdLst/>
          <a:ahLst/>
          <a:cxnLst/>
          <a:rect l="0" t="0" r="0" b="0"/>
          <a:pathLst>
            <a:path>
              <a:moveTo>
                <a:pt x="0" y="8846"/>
              </a:moveTo>
              <a:lnTo>
                <a:pt x="288948" y="884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249290" y="6072230"/>
        <a:ext cx="28012" cy="28012"/>
      </dsp:txXfrm>
    </dsp:sp>
    <dsp:sp modelId="{00A89337-EC6D-4591-8F82-988DCD92FD20}">
      <dsp:nvSpPr>
        <dsp:cNvPr id="0" name=""/>
        <dsp:cNvSpPr/>
      </dsp:nvSpPr>
      <dsp:spPr>
        <a:xfrm>
          <a:off x="0" y="5557113"/>
          <a:ext cx="1983169" cy="105824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نظام دعم منتجات الطاقة يترك تأثيرا مُشوِّها على الاقتصاد. ويجب إصلاح نظام الدعم وتحسين حوكمة قطاع الطاقة من أجل تحسين وضع المالية العامة لمصر وإزالة التشوهات.</a:t>
          </a:r>
          <a:endParaRPr lang="en-US" sz="1000" b="1" i="0" kern="1200">
            <a:solidFill>
              <a:sysClr val="window" lastClr="FFFFFF"/>
            </a:solidFill>
            <a:latin typeface="Calibri"/>
            <a:ea typeface="+mn-ea"/>
            <a:cs typeface="+mn-cs"/>
          </a:endParaRPr>
        </a:p>
      </dsp:txBody>
      <dsp:txXfrm>
        <a:off x="30995" y="5588108"/>
        <a:ext cx="1921179" cy="996257"/>
      </dsp:txXfrm>
    </dsp:sp>
    <dsp:sp modelId="{2B1861C3-CD53-434F-951B-0379D0010A3A}">
      <dsp:nvSpPr>
        <dsp:cNvPr id="0" name=""/>
        <dsp:cNvSpPr/>
      </dsp:nvSpPr>
      <dsp:spPr>
        <a:xfrm rot="11035311">
          <a:off x="5876974" y="4326948"/>
          <a:ext cx="557004" cy="17692"/>
        </a:xfrm>
        <a:custGeom>
          <a:avLst/>
          <a:gdLst/>
          <a:ahLst/>
          <a:cxnLst/>
          <a:rect l="0" t="0" r="0" b="0"/>
          <a:pathLst>
            <a:path>
              <a:moveTo>
                <a:pt x="0" y="8846"/>
              </a:moveTo>
              <a:lnTo>
                <a:pt x="557054" y="8846"/>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141551" y="4321869"/>
        <a:ext cx="27850" cy="27850"/>
      </dsp:txXfrm>
    </dsp:sp>
    <dsp:sp modelId="{9A5F21D4-FBDB-412E-B337-9B42ABAE84E2}">
      <dsp:nvSpPr>
        <dsp:cNvPr id="0" name=""/>
        <dsp:cNvSpPr/>
      </dsp:nvSpPr>
      <dsp:spPr>
        <a:xfrm>
          <a:off x="4488375" y="3969433"/>
          <a:ext cx="1389250" cy="694625"/>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rtl="1">
            <a:lnSpc>
              <a:spcPct val="90000"/>
            </a:lnSpc>
            <a:spcBef>
              <a:spcPct val="0"/>
            </a:spcBef>
            <a:spcAft>
              <a:spcPct val="35000"/>
            </a:spcAft>
          </a:pPr>
          <a:r>
            <a:rPr lang="ar-SA" sz="1300" kern="1200"/>
            <a:t>مجال التركيز 2: تحسين فرص خلق الوظائف بالقطاع الخاص</a:t>
          </a:r>
          <a:endParaRPr lang="en-US" sz="1300" b="1" kern="1200">
            <a:solidFill>
              <a:sysClr val="window" lastClr="FFFFFF"/>
            </a:solidFill>
            <a:latin typeface="Calibri"/>
            <a:ea typeface="+mn-ea"/>
            <a:cs typeface="+mn-cs"/>
          </a:endParaRPr>
        </a:p>
      </dsp:txBody>
      <dsp:txXfrm>
        <a:off x="4508720" y="3989778"/>
        <a:ext cx="1348560" cy="653935"/>
      </dsp:txXfrm>
    </dsp:sp>
    <dsp:sp modelId="{0AB148D7-1C37-40A4-B5EA-F97FF0813C26}">
      <dsp:nvSpPr>
        <dsp:cNvPr id="0" name=""/>
        <dsp:cNvSpPr/>
      </dsp:nvSpPr>
      <dsp:spPr>
        <a:xfrm rot="7489469">
          <a:off x="5668928" y="4745406"/>
          <a:ext cx="973095" cy="17692"/>
        </a:xfrm>
        <a:custGeom>
          <a:avLst/>
          <a:gdLst/>
          <a:ahLst/>
          <a:cxnLst/>
          <a:rect l="0" t="0" r="0" b="0"/>
          <a:pathLst>
            <a:path>
              <a:moveTo>
                <a:pt x="0" y="11282"/>
              </a:moveTo>
              <a:lnTo>
                <a:pt x="681158" y="1128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131148" y="4729925"/>
        <a:ext cx="48654" cy="48654"/>
      </dsp:txXfrm>
    </dsp:sp>
    <dsp:sp modelId="{85DBD701-4339-41D3-B22B-D66201087CE3}">
      <dsp:nvSpPr>
        <dsp:cNvPr id="0" name=""/>
        <dsp:cNvSpPr/>
      </dsp:nvSpPr>
      <dsp:spPr>
        <a:xfrm>
          <a:off x="4488375" y="4768253"/>
          <a:ext cx="1389250" cy="770818"/>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مجال التركيز 3 : الاحتواء الاجتماعي</a:t>
          </a:r>
          <a:endParaRPr lang="en-US" sz="1000" kern="1200">
            <a:solidFill>
              <a:sysClr val="window" lastClr="FFFFFF"/>
            </a:solidFill>
            <a:latin typeface="Calibri"/>
            <a:ea typeface="+mn-ea"/>
            <a:cs typeface="+mn-cs"/>
          </a:endParaRPr>
        </a:p>
      </dsp:txBody>
      <dsp:txXfrm>
        <a:off x="4510951" y="4790829"/>
        <a:ext cx="1344098" cy="7256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CEE8B-6FA1-42D1-8DA6-E887A40B5820}">
      <dsp:nvSpPr>
        <dsp:cNvPr id="0" name=""/>
        <dsp:cNvSpPr/>
      </dsp:nvSpPr>
      <dsp:spPr>
        <a:xfrm>
          <a:off x="6477591" y="3098075"/>
          <a:ext cx="932223" cy="1241674"/>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الحد من الفقر وزيادة الرخاء المشترك على نحو مستدام</a:t>
          </a:r>
          <a:endParaRPr lang="en-US" sz="1000" b="1" kern="1200">
            <a:solidFill>
              <a:sysClr val="window" lastClr="FFFFFF"/>
            </a:solidFill>
            <a:latin typeface="Calibri"/>
            <a:ea typeface="+mn-ea"/>
            <a:cs typeface="+mn-cs"/>
          </a:endParaRPr>
        </a:p>
      </dsp:txBody>
      <dsp:txXfrm>
        <a:off x="6504895" y="3125379"/>
        <a:ext cx="877615" cy="1187066"/>
      </dsp:txXfrm>
    </dsp:sp>
    <dsp:sp modelId="{05B31C23-4D55-4071-88F4-C6C57CE176E1}">
      <dsp:nvSpPr>
        <dsp:cNvPr id="0" name=""/>
        <dsp:cNvSpPr/>
      </dsp:nvSpPr>
      <dsp:spPr>
        <a:xfrm rot="11008405">
          <a:off x="6006151" y="3696134"/>
          <a:ext cx="471873" cy="16968"/>
        </a:xfrm>
        <a:custGeom>
          <a:avLst/>
          <a:gdLst/>
          <a:ahLst/>
          <a:cxnLst/>
          <a:rect l="0" t="0" r="0" b="0"/>
          <a:pathLst>
            <a:path>
              <a:moveTo>
                <a:pt x="0" y="11282"/>
              </a:moveTo>
              <a:lnTo>
                <a:pt x="681158" y="1128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230291" y="3692821"/>
        <a:ext cx="23593" cy="23593"/>
      </dsp:txXfrm>
    </dsp:sp>
    <dsp:sp modelId="{1D995411-AD4A-4D44-89A3-4CA74B3E624C}">
      <dsp:nvSpPr>
        <dsp:cNvPr id="0" name=""/>
        <dsp:cNvSpPr/>
      </dsp:nvSpPr>
      <dsp:spPr>
        <a:xfrm>
          <a:off x="4371992" y="3255692"/>
          <a:ext cx="1634592" cy="86926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مجال التركيز 2: تحسين فرص خلق الوظائف بالقطاع الخاص</a:t>
          </a:r>
          <a:endParaRPr lang="en-US" sz="1000" b="1" kern="1200">
            <a:solidFill>
              <a:sysClr val="window" lastClr="FFFFFF"/>
            </a:solidFill>
            <a:latin typeface="Calibri"/>
            <a:ea typeface="+mn-ea"/>
            <a:cs typeface="+mn-cs"/>
          </a:endParaRPr>
        </a:p>
      </dsp:txBody>
      <dsp:txXfrm>
        <a:off x="4397452" y="3281152"/>
        <a:ext cx="1583672" cy="818343"/>
      </dsp:txXfrm>
    </dsp:sp>
    <dsp:sp modelId="{EFFE82EA-51F5-466E-B789-11FCD94A28B2}">
      <dsp:nvSpPr>
        <dsp:cNvPr id="0" name=""/>
        <dsp:cNvSpPr/>
      </dsp:nvSpPr>
      <dsp:spPr>
        <a:xfrm rot="15430440">
          <a:off x="2721483" y="2364869"/>
          <a:ext cx="2701344" cy="16968"/>
        </a:xfrm>
        <a:custGeom>
          <a:avLst/>
          <a:gdLst/>
          <a:ahLst/>
          <a:cxnLst/>
          <a:rect l="0" t="0" r="0" b="0"/>
          <a:pathLst>
            <a:path>
              <a:moveTo>
                <a:pt x="0" y="8846"/>
              </a:moveTo>
              <a:lnTo>
                <a:pt x="2608565"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en-US" sz="900" kern="1200">
            <a:solidFill>
              <a:sysClr val="windowText" lastClr="000000">
                <a:hueOff val="0"/>
                <a:satOff val="0"/>
                <a:lumOff val="0"/>
                <a:alphaOff val="0"/>
              </a:sysClr>
            </a:solidFill>
            <a:latin typeface="Calibri"/>
            <a:ea typeface="+mn-ea"/>
            <a:cs typeface="+mn-cs"/>
          </a:endParaRPr>
        </a:p>
      </dsp:txBody>
      <dsp:txXfrm rot="10800000">
        <a:off x="4004621" y="2305819"/>
        <a:ext cx="135067" cy="135067"/>
      </dsp:txXfrm>
    </dsp:sp>
    <dsp:sp modelId="{94EF3E8E-7896-4A41-9E93-E3DC2A7DA069}">
      <dsp:nvSpPr>
        <dsp:cNvPr id="0" name=""/>
        <dsp:cNvSpPr/>
      </dsp:nvSpPr>
      <dsp:spPr>
        <a:xfrm>
          <a:off x="2439827" y="496862"/>
          <a:ext cx="1332490" cy="1119038"/>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2.1 لإطار الشراكة الإستراتيجية:  تحسين البيئة التنظيمية لاستثمارات القطاع الخاص</a:t>
          </a:r>
          <a:endParaRPr lang="en-US" sz="1000" b="1" kern="1200">
            <a:solidFill>
              <a:sysClr val="window" lastClr="FFFFFF"/>
            </a:solidFill>
            <a:latin typeface="Calibri"/>
            <a:ea typeface="+mn-ea"/>
            <a:cs typeface="+mn-cs"/>
          </a:endParaRPr>
        </a:p>
      </dsp:txBody>
      <dsp:txXfrm>
        <a:off x="2472603" y="529638"/>
        <a:ext cx="1266938" cy="1053486"/>
      </dsp:txXfrm>
    </dsp:sp>
    <dsp:sp modelId="{CF4C494B-0011-4782-962C-C11C5CBC282E}">
      <dsp:nvSpPr>
        <dsp:cNvPr id="0" name=""/>
        <dsp:cNvSpPr/>
      </dsp:nvSpPr>
      <dsp:spPr>
        <a:xfrm rot="10800000">
          <a:off x="1883235" y="1047897"/>
          <a:ext cx="556592" cy="16968"/>
        </a:xfrm>
        <a:custGeom>
          <a:avLst/>
          <a:gdLst/>
          <a:ahLst/>
          <a:cxnLst/>
          <a:rect l="0" t="0" r="0" b="0"/>
          <a:pathLst>
            <a:path>
              <a:moveTo>
                <a:pt x="0" y="11282"/>
              </a:moveTo>
              <a:lnTo>
                <a:pt x="553111" y="112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7616" y="1042467"/>
        <a:ext cx="27829" cy="27829"/>
      </dsp:txXfrm>
    </dsp:sp>
    <dsp:sp modelId="{EED096D6-5D75-4A02-8524-67AD870D3E3C}">
      <dsp:nvSpPr>
        <dsp:cNvPr id="0" name=""/>
        <dsp:cNvSpPr/>
      </dsp:nvSpPr>
      <dsp:spPr>
        <a:xfrm>
          <a:off x="0" y="479350"/>
          <a:ext cx="1883235" cy="1154063"/>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يفتقر القطاع الخاص في مصر إلى الديناميكية، حيث تتيح السياسة الصناعية للاحتكارات أن تزدهر، ويعوق افتقار بيئة الأعمال التنظيمية إلى الكفاءة تنمية الأعمال</a:t>
          </a:r>
          <a:r>
            <a:rPr lang="en-US" sz="1000" b="1" kern="1200">
              <a:solidFill>
                <a:sysClr val="window" lastClr="FFFFFF"/>
              </a:solidFill>
              <a:latin typeface="Calibri"/>
              <a:ea typeface="+mn-ea"/>
              <a:cs typeface="+mn-cs"/>
            </a:rPr>
            <a:t>. </a:t>
          </a:r>
        </a:p>
      </dsp:txBody>
      <dsp:txXfrm>
        <a:off x="33801" y="513151"/>
        <a:ext cx="1815633" cy="1086461"/>
      </dsp:txXfrm>
    </dsp:sp>
    <dsp:sp modelId="{20E236EB-3137-4886-B4B5-8168AB828BF7}">
      <dsp:nvSpPr>
        <dsp:cNvPr id="0" name=""/>
        <dsp:cNvSpPr/>
      </dsp:nvSpPr>
      <dsp:spPr>
        <a:xfrm rot="14789730">
          <a:off x="3320346" y="2992410"/>
          <a:ext cx="1503616" cy="16968"/>
        </a:xfrm>
        <a:custGeom>
          <a:avLst/>
          <a:gdLst/>
          <a:ahLst/>
          <a:cxnLst/>
          <a:rect l="0" t="0" r="0" b="0"/>
          <a:pathLst>
            <a:path>
              <a:moveTo>
                <a:pt x="0" y="8846"/>
              </a:moveTo>
              <a:lnTo>
                <a:pt x="1393521"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034564" y="2963304"/>
        <a:ext cx="75180" cy="75180"/>
      </dsp:txXfrm>
    </dsp:sp>
    <dsp:sp modelId="{69104445-069C-45C0-90CA-86EE94ED0130}">
      <dsp:nvSpPr>
        <dsp:cNvPr id="0" name=""/>
        <dsp:cNvSpPr/>
      </dsp:nvSpPr>
      <dsp:spPr>
        <a:xfrm>
          <a:off x="2439827" y="1760340"/>
          <a:ext cx="1332490" cy="110224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2.2 لإطار الشراكة الإستراتيجية:  تحسين طاقة توليد الكهرباء وكفاءة استخدام الطاقة</a:t>
          </a:r>
          <a:endParaRPr lang="en-US" sz="1000" b="0" kern="1200">
            <a:solidFill>
              <a:sysClr val="window" lastClr="FFFFFF"/>
            </a:solidFill>
            <a:latin typeface="Calibri"/>
            <a:ea typeface="+mn-ea"/>
            <a:cs typeface="+mn-cs"/>
          </a:endParaRPr>
        </a:p>
      </dsp:txBody>
      <dsp:txXfrm>
        <a:off x="2472111" y="1792624"/>
        <a:ext cx="1267922" cy="1037681"/>
      </dsp:txXfrm>
    </dsp:sp>
    <dsp:sp modelId="{8974D137-BAD8-4FE1-9EBE-BCE0E9762E08}">
      <dsp:nvSpPr>
        <dsp:cNvPr id="0" name=""/>
        <dsp:cNvSpPr/>
      </dsp:nvSpPr>
      <dsp:spPr>
        <a:xfrm rot="10850405">
          <a:off x="1883205" y="2298899"/>
          <a:ext cx="556652" cy="16968"/>
        </a:xfrm>
        <a:custGeom>
          <a:avLst/>
          <a:gdLst/>
          <a:ahLst/>
          <a:cxnLst/>
          <a:rect l="0" t="0" r="0" b="0"/>
          <a:pathLst>
            <a:path>
              <a:moveTo>
                <a:pt x="0" y="11282"/>
              </a:moveTo>
              <a:lnTo>
                <a:pt x="553111" y="112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7615" y="2293467"/>
        <a:ext cx="27832" cy="27832"/>
      </dsp:txXfrm>
    </dsp:sp>
    <dsp:sp modelId="{7AE194F6-F46C-4D0A-81CB-13FAF3BEA03D}">
      <dsp:nvSpPr>
        <dsp:cNvPr id="0" name=""/>
        <dsp:cNvSpPr/>
      </dsp:nvSpPr>
      <dsp:spPr>
        <a:xfrm>
          <a:off x="0" y="1733350"/>
          <a:ext cx="1883235" cy="1139905"/>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بسبب النقص في إمدادات الكهرباء تعمل الصناعة بنسبة 60-70 في المائة من طاقتها. وتشتد الحاجة إلى شبكات توزيع أكثر كفاءة وفاعلية لضمان حصول الأسر ومؤسسات الأعمال على إمدادات كهرباء يُعوَّل عليها.</a:t>
          </a:r>
          <a:endParaRPr lang="en-US" sz="1000" b="1" kern="1200">
            <a:solidFill>
              <a:sysClr val="window" lastClr="FFFFFF"/>
            </a:solidFill>
            <a:latin typeface="Calibri"/>
            <a:ea typeface="+mn-ea"/>
            <a:cs typeface="+mn-cs"/>
          </a:endParaRPr>
        </a:p>
      </dsp:txBody>
      <dsp:txXfrm>
        <a:off x="33387" y="1766737"/>
        <a:ext cx="1816461" cy="1073131"/>
      </dsp:txXfrm>
    </dsp:sp>
    <dsp:sp modelId="{3D4DD8BF-D887-44BA-A9E0-2A5CEB616BF1}">
      <dsp:nvSpPr>
        <dsp:cNvPr id="0" name=""/>
        <dsp:cNvSpPr/>
      </dsp:nvSpPr>
      <dsp:spPr>
        <a:xfrm rot="11990625">
          <a:off x="3772249" y="3576932"/>
          <a:ext cx="618093" cy="16968"/>
        </a:xfrm>
        <a:custGeom>
          <a:avLst/>
          <a:gdLst/>
          <a:ahLst/>
          <a:cxnLst/>
          <a:rect l="0" t="0" r="0" b="0"/>
          <a:pathLst>
            <a:path>
              <a:moveTo>
                <a:pt x="0" y="8846"/>
              </a:moveTo>
              <a:lnTo>
                <a:pt x="555803"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065843" y="3569964"/>
        <a:ext cx="30904" cy="30904"/>
      </dsp:txXfrm>
    </dsp:sp>
    <dsp:sp modelId="{AFB06027-6012-404C-8EBA-8BB6BE1321CF}">
      <dsp:nvSpPr>
        <dsp:cNvPr id="0" name=""/>
        <dsp:cNvSpPr/>
      </dsp:nvSpPr>
      <dsp:spPr>
        <a:xfrm>
          <a:off x="2458109" y="2991378"/>
          <a:ext cx="1332490" cy="97826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2.3 لإطار الشراكة الإستراتيجية:  تعزيز قدرات وسلامة البنية التحتية الأساسية والخدمات لقطاع النقل</a:t>
          </a:r>
          <a:endParaRPr lang="en-US" sz="1000" kern="1200">
            <a:solidFill>
              <a:sysClr val="window" lastClr="FFFFFF"/>
            </a:solidFill>
            <a:latin typeface="Calibri"/>
            <a:ea typeface="+mn-ea"/>
            <a:cs typeface="+mn-cs"/>
          </a:endParaRPr>
        </a:p>
      </dsp:txBody>
      <dsp:txXfrm>
        <a:off x="2486761" y="3020030"/>
        <a:ext cx="1275186" cy="920957"/>
      </dsp:txXfrm>
    </dsp:sp>
    <dsp:sp modelId="{594D0E26-8009-4783-8313-B12B4F6A2D21}">
      <dsp:nvSpPr>
        <dsp:cNvPr id="0" name=""/>
        <dsp:cNvSpPr/>
      </dsp:nvSpPr>
      <dsp:spPr>
        <a:xfrm rot="10414321">
          <a:off x="1888782" y="3503994"/>
          <a:ext cx="571122" cy="16968"/>
        </a:xfrm>
        <a:custGeom>
          <a:avLst/>
          <a:gdLst/>
          <a:ahLst/>
          <a:cxnLst/>
          <a:rect l="0" t="0" r="0" b="0"/>
          <a:pathLst>
            <a:path>
              <a:moveTo>
                <a:pt x="0" y="11282"/>
              </a:moveTo>
              <a:lnTo>
                <a:pt x="553111" y="112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60065" y="3498200"/>
        <a:ext cx="28556" cy="28556"/>
      </dsp:txXfrm>
    </dsp:sp>
    <dsp:sp modelId="{C7863CB3-A1A7-4C08-92BF-FAE2574D6A41}">
      <dsp:nvSpPr>
        <dsp:cNvPr id="0" name=""/>
        <dsp:cNvSpPr/>
      </dsp:nvSpPr>
      <dsp:spPr>
        <a:xfrm>
          <a:off x="0" y="2973192"/>
          <a:ext cx="1890577" cy="1142510"/>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تُشكِّل الاختناقات في البنية التحتية للنقل مُعوِّقات في طريق التجارة والقدرة على الانتقال وخلق الوظائف وتقديم الخدمات في أنحاء مصر، وتُؤثِّر على وجه الخصوص على التنمية المكانية في المناطق الأكثر فقرا.</a:t>
          </a:r>
          <a:endParaRPr lang="en-US" sz="1000" b="1" i="0" kern="1200">
            <a:solidFill>
              <a:sysClr val="window" lastClr="FFFFFF"/>
            </a:solidFill>
            <a:latin typeface="Calibri"/>
            <a:ea typeface="+mn-ea"/>
            <a:cs typeface="+mn-cs"/>
          </a:endParaRPr>
        </a:p>
      </dsp:txBody>
      <dsp:txXfrm>
        <a:off x="33463" y="3006655"/>
        <a:ext cx="1823651" cy="1075584"/>
      </dsp:txXfrm>
    </dsp:sp>
    <dsp:sp modelId="{D2391722-61AF-4B89-A342-E19182DD6EA5}">
      <dsp:nvSpPr>
        <dsp:cNvPr id="0" name=""/>
        <dsp:cNvSpPr/>
      </dsp:nvSpPr>
      <dsp:spPr>
        <a:xfrm rot="7047366">
          <a:off x="3421846" y="4258900"/>
          <a:ext cx="1300617" cy="16968"/>
        </a:xfrm>
        <a:custGeom>
          <a:avLst/>
          <a:gdLst/>
          <a:ahLst/>
          <a:cxnLst/>
          <a:rect l="0" t="0" r="0" b="0"/>
          <a:pathLst>
            <a:path>
              <a:moveTo>
                <a:pt x="0" y="8846"/>
              </a:moveTo>
              <a:lnTo>
                <a:pt x="1472141"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039639" y="4234869"/>
        <a:ext cx="65030" cy="65030"/>
      </dsp:txXfrm>
    </dsp:sp>
    <dsp:sp modelId="{D6A3D829-C137-4405-8A2D-796F04C33BB6}">
      <dsp:nvSpPr>
        <dsp:cNvPr id="0" name=""/>
        <dsp:cNvSpPr/>
      </dsp:nvSpPr>
      <dsp:spPr>
        <a:xfrm>
          <a:off x="2439827" y="4286175"/>
          <a:ext cx="1332490" cy="1116540"/>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2.4 لإطار الشراكة الإستراتيجية:  تعزيز سبل الحصول على خدمات محسَّنة للزراعة والري</a:t>
          </a:r>
          <a:endParaRPr lang="en-US" sz="1000" b="1" kern="1200">
            <a:solidFill>
              <a:sysClr val="window" lastClr="FFFFFF"/>
            </a:solidFill>
            <a:latin typeface="Calibri"/>
            <a:ea typeface="+mn-ea"/>
            <a:cs typeface="+mn-cs"/>
          </a:endParaRPr>
        </a:p>
      </dsp:txBody>
      <dsp:txXfrm>
        <a:off x="2472529" y="4318877"/>
        <a:ext cx="1267086" cy="1051136"/>
      </dsp:txXfrm>
    </dsp:sp>
    <dsp:sp modelId="{87194154-B110-45D8-B4A0-BC12E86637C7}">
      <dsp:nvSpPr>
        <dsp:cNvPr id="0" name=""/>
        <dsp:cNvSpPr/>
      </dsp:nvSpPr>
      <dsp:spPr>
        <a:xfrm rot="10800000">
          <a:off x="1883235" y="4835961"/>
          <a:ext cx="556592" cy="16968"/>
        </a:xfrm>
        <a:custGeom>
          <a:avLst/>
          <a:gdLst/>
          <a:ahLst/>
          <a:cxnLst/>
          <a:rect l="0" t="0" r="0" b="0"/>
          <a:pathLst>
            <a:path>
              <a:moveTo>
                <a:pt x="0" y="11282"/>
              </a:moveTo>
              <a:lnTo>
                <a:pt x="553111" y="11282"/>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47616" y="4830531"/>
        <a:ext cx="27829" cy="27829"/>
      </dsp:txXfrm>
    </dsp:sp>
    <dsp:sp modelId="{A6F9F7AF-F5AF-4099-A68F-2BC86E3E3B33}">
      <dsp:nvSpPr>
        <dsp:cNvPr id="0" name=""/>
        <dsp:cNvSpPr/>
      </dsp:nvSpPr>
      <dsp:spPr>
        <a:xfrm>
          <a:off x="0" y="4215640"/>
          <a:ext cx="1883235" cy="125761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تدنِّي الإنتاجية الزراعية، والافتقار إلى فرص في الأنشطة غير الزراعية، وعدم الكفاءة في استخدام المياه عوائق رئيسية تحول دون تحسين سبل كسب العيش للمزارعين في المناطق الريفية، ومساندة نمو تقوده الصناعات الزراعية للاقتصاد الريفي.</a:t>
          </a:r>
          <a:endParaRPr lang="en-US" sz="1000" b="1" kern="1200">
            <a:solidFill>
              <a:sysClr val="window" lastClr="FFFFFF"/>
            </a:solidFill>
            <a:latin typeface="Calibri"/>
            <a:ea typeface="+mn-ea"/>
            <a:cs typeface="+mn-cs"/>
          </a:endParaRPr>
        </a:p>
      </dsp:txBody>
      <dsp:txXfrm>
        <a:off x="36834" y="4252474"/>
        <a:ext cx="1809567" cy="1183943"/>
      </dsp:txXfrm>
    </dsp:sp>
    <dsp:sp modelId="{A4AFA082-98F9-4A53-9106-2B061F472557}">
      <dsp:nvSpPr>
        <dsp:cNvPr id="0" name=""/>
        <dsp:cNvSpPr/>
      </dsp:nvSpPr>
      <dsp:spPr>
        <a:xfrm rot="6244992">
          <a:off x="2839934" y="4877024"/>
          <a:ext cx="2464442" cy="16968"/>
        </a:xfrm>
        <a:custGeom>
          <a:avLst/>
          <a:gdLst/>
          <a:ahLst/>
          <a:cxnLst/>
          <a:rect l="0" t="0" r="0" b="0"/>
          <a:pathLst>
            <a:path>
              <a:moveTo>
                <a:pt x="0" y="8846"/>
              </a:moveTo>
              <a:lnTo>
                <a:pt x="2709835" y="884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rot="10800000">
        <a:off x="4010544" y="4823898"/>
        <a:ext cx="123222" cy="123222"/>
      </dsp:txXfrm>
    </dsp:sp>
    <dsp:sp modelId="{E042646E-6362-443D-ADA1-FB01938224DD}">
      <dsp:nvSpPr>
        <dsp:cNvPr id="0" name=""/>
        <dsp:cNvSpPr/>
      </dsp:nvSpPr>
      <dsp:spPr>
        <a:xfrm>
          <a:off x="2439827" y="5620491"/>
          <a:ext cx="1332490" cy="920404"/>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2.5 لإطار الشراكة الإستراتيجية: تحسين سبل حصول المشروعات المتوسطة والصغيرة ومتناهية الصغر على التمويل</a:t>
          </a:r>
          <a:endParaRPr lang="en-US" sz="1000" b="0" kern="1200">
            <a:solidFill>
              <a:sysClr val="window" lastClr="FFFFFF"/>
            </a:solidFill>
            <a:latin typeface="Calibri"/>
            <a:ea typeface="+mn-ea"/>
            <a:cs typeface="+mn-cs"/>
          </a:endParaRPr>
        </a:p>
      </dsp:txBody>
      <dsp:txXfrm>
        <a:off x="2466785" y="5647449"/>
        <a:ext cx="1278574" cy="866488"/>
      </dsp:txXfrm>
    </dsp:sp>
    <dsp:sp modelId="{C2D5ECA9-8B3D-4E44-A310-E4B8F2AAD02A}">
      <dsp:nvSpPr>
        <dsp:cNvPr id="0" name=""/>
        <dsp:cNvSpPr/>
      </dsp:nvSpPr>
      <dsp:spPr>
        <a:xfrm rot="10800000">
          <a:off x="1902143" y="6072209"/>
          <a:ext cx="537684" cy="16968"/>
        </a:xfrm>
        <a:custGeom>
          <a:avLst/>
          <a:gdLst/>
          <a:ahLst/>
          <a:cxnLst/>
          <a:rect l="0" t="0" r="0" b="0"/>
          <a:pathLst>
            <a:path>
              <a:moveTo>
                <a:pt x="0" y="8846"/>
              </a:moveTo>
              <a:lnTo>
                <a:pt x="288948" y="884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157543" y="6067251"/>
        <a:ext cx="26884" cy="26884"/>
      </dsp:txXfrm>
    </dsp:sp>
    <dsp:sp modelId="{00A89337-EC6D-4591-8F82-988DCD92FD20}">
      <dsp:nvSpPr>
        <dsp:cNvPr id="0" name=""/>
        <dsp:cNvSpPr/>
      </dsp:nvSpPr>
      <dsp:spPr>
        <a:xfrm>
          <a:off x="0" y="5573188"/>
          <a:ext cx="1902143" cy="1015011"/>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تضطلع المشروعات المتوسطة والصغيرة والمتناهية الصغر بدور مهيمن في توفير الوظائف، ولاسيما للفقراء. ويُشكِّل تعذُّر الحصول على التمويل عائقا كبيرا في تمكين هذه المشروعات من النمو وخلق فرص عمل.</a:t>
          </a:r>
          <a:endParaRPr lang="en-US" sz="1000" b="1" i="0" kern="1200">
            <a:solidFill>
              <a:sysClr val="window" lastClr="FFFFFF"/>
            </a:solidFill>
            <a:latin typeface="Calibri"/>
            <a:ea typeface="+mn-ea"/>
            <a:cs typeface="+mn-cs"/>
          </a:endParaRPr>
        </a:p>
      </dsp:txBody>
      <dsp:txXfrm>
        <a:off x="29729" y="5602917"/>
        <a:ext cx="1842685" cy="955553"/>
      </dsp:txXfrm>
    </dsp:sp>
    <dsp:sp modelId="{08E1D166-9EA6-48BF-81AF-17DC0D22E159}">
      <dsp:nvSpPr>
        <dsp:cNvPr id="0" name=""/>
        <dsp:cNvSpPr/>
      </dsp:nvSpPr>
      <dsp:spPr>
        <a:xfrm rot="14729610">
          <a:off x="5667400" y="3189361"/>
          <a:ext cx="1145310" cy="16968"/>
        </a:xfrm>
        <a:custGeom>
          <a:avLst/>
          <a:gdLst/>
          <a:ahLst/>
          <a:cxnLst/>
          <a:rect l="0" t="0" r="0" b="0"/>
          <a:pathLst>
            <a:path>
              <a:moveTo>
                <a:pt x="0" y="8484"/>
              </a:moveTo>
              <a:lnTo>
                <a:pt x="1074752" y="8484"/>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211423" y="3169213"/>
        <a:ext cx="57265" cy="57265"/>
      </dsp:txXfrm>
    </dsp:sp>
    <dsp:sp modelId="{EF73B5D9-7512-41AD-BB4B-B2EC2AA286B9}">
      <dsp:nvSpPr>
        <dsp:cNvPr id="0" name=""/>
        <dsp:cNvSpPr/>
      </dsp:nvSpPr>
      <dsp:spPr>
        <a:xfrm>
          <a:off x="4306713" y="2442173"/>
          <a:ext cx="1695807" cy="469209"/>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مجال التركيز 1 : تحسين نظام الإدارة العامة والحوكمة</a:t>
          </a:r>
          <a:endParaRPr lang="en-US" sz="1000" kern="1200">
            <a:solidFill>
              <a:sysClr val="window" lastClr="FFFFFF"/>
            </a:solidFill>
            <a:latin typeface="Calibri"/>
            <a:ea typeface="+mn-ea"/>
            <a:cs typeface="+mn-cs"/>
          </a:endParaRPr>
        </a:p>
      </dsp:txBody>
      <dsp:txXfrm>
        <a:off x="4320456" y="2455916"/>
        <a:ext cx="1668321" cy="441723"/>
      </dsp:txXfrm>
    </dsp:sp>
    <dsp:sp modelId="{0AB148D7-1C37-40A4-B5EA-F97FF0813C26}">
      <dsp:nvSpPr>
        <dsp:cNvPr id="0" name=""/>
        <dsp:cNvSpPr/>
      </dsp:nvSpPr>
      <dsp:spPr>
        <a:xfrm rot="6717202">
          <a:off x="5682173" y="4247415"/>
          <a:ext cx="1157937" cy="16968"/>
        </a:xfrm>
        <a:custGeom>
          <a:avLst/>
          <a:gdLst/>
          <a:ahLst/>
          <a:cxnLst/>
          <a:rect l="0" t="0" r="0" b="0"/>
          <a:pathLst>
            <a:path>
              <a:moveTo>
                <a:pt x="0" y="11282"/>
              </a:moveTo>
              <a:lnTo>
                <a:pt x="681158" y="11282"/>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232194" y="4226951"/>
        <a:ext cx="57896" cy="57896"/>
      </dsp:txXfrm>
    </dsp:sp>
    <dsp:sp modelId="{85DBD701-4339-41D3-B22B-D66201087CE3}">
      <dsp:nvSpPr>
        <dsp:cNvPr id="0" name=""/>
        <dsp:cNvSpPr/>
      </dsp:nvSpPr>
      <dsp:spPr>
        <a:xfrm>
          <a:off x="4412126" y="4393992"/>
          <a:ext cx="1632567" cy="797788"/>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مجال التركيز 3 : الاحتواء الاجتماعي</a:t>
          </a:r>
          <a:endParaRPr lang="en-US" sz="1000" kern="1200">
            <a:solidFill>
              <a:sysClr val="window" lastClr="FFFFFF"/>
            </a:solidFill>
            <a:latin typeface="Calibri"/>
            <a:ea typeface="+mn-ea"/>
            <a:cs typeface="+mn-cs"/>
          </a:endParaRPr>
        </a:p>
      </dsp:txBody>
      <dsp:txXfrm>
        <a:off x="4435492" y="4417358"/>
        <a:ext cx="1585835" cy="7510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4CEE8B-6FA1-42D1-8DA6-E887A40B5820}">
      <dsp:nvSpPr>
        <dsp:cNvPr id="0" name=""/>
        <dsp:cNvSpPr/>
      </dsp:nvSpPr>
      <dsp:spPr>
        <a:xfrm>
          <a:off x="6269707" y="2599134"/>
          <a:ext cx="909049" cy="1236510"/>
        </a:xfrm>
        <a:prstGeom prst="roundRect">
          <a:avLst>
            <a:gd name="adj" fmla="val 10000"/>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1">
            <a:lnSpc>
              <a:spcPct val="90000"/>
            </a:lnSpc>
            <a:spcBef>
              <a:spcPct val="0"/>
            </a:spcBef>
            <a:spcAft>
              <a:spcPct val="35000"/>
            </a:spcAft>
          </a:pPr>
          <a:r>
            <a:rPr lang="ar-SA" sz="1000" kern="1200"/>
            <a:t>الحد من الفقر وزيادة الرخاء المشترك على نحو مستدام</a:t>
          </a:r>
          <a:endParaRPr lang="en-US" sz="1000" b="1" kern="1200">
            <a:solidFill>
              <a:sysClr val="window" lastClr="FFFFFF"/>
            </a:solidFill>
            <a:latin typeface="Calibri"/>
            <a:ea typeface="+mn-ea"/>
            <a:cs typeface="+mn-cs"/>
          </a:endParaRPr>
        </a:p>
      </dsp:txBody>
      <dsp:txXfrm>
        <a:off x="6296332" y="2625759"/>
        <a:ext cx="855799" cy="1183260"/>
      </dsp:txXfrm>
    </dsp:sp>
    <dsp:sp modelId="{05B31C23-4D55-4071-88F4-C6C57CE176E1}">
      <dsp:nvSpPr>
        <dsp:cNvPr id="0" name=""/>
        <dsp:cNvSpPr/>
      </dsp:nvSpPr>
      <dsp:spPr>
        <a:xfrm rot="14764299">
          <a:off x="5537224" y="2735773"/>
          <a:ext cx="1042241" cy="10569"/>
        </a:xfrm>
        <a:custGeom>
          <a:avLst/>
          <a:gdLst/>
          <a:ahLst/>
          <a:cxnLst/>
          <a:rect l="0" t="0" r="0" b="0"/>
          <a:pathLst>
            <a:path>
              <a:moveTo>
                <a:pt x="0" y="11008"/>
              </a:moveTo>
              <a:lnTo>
                <a:pt x="665741" y="11008"/>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6032288" y="2715001"/>
        <a:ext cx="52112" cy="52112"/>
      </dsp:txXfrm>
    </dsp:sp>
    <dsp:sp modelId="{1D995411-AD4A-4D44-89A3-4CA74B3E624C}">
      <dsp:nvSpPr>
        <dsp:cNvPr id="0" name=""/>
        <dsp:cNvSpPr/>
      </dsp:nvSpPr>
      <dsp:spPr>
        <a:xfrm>
          <a:off x="4702598" y="1812489"/>
          <a:ext cx="1144382" cy="904472"/>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مجال التركيز 1 : تحسين نظام الإدارة العامة والحوكمة</a:t>
          </a:r>
          <a:endParaRPr lang="en-US" sz="1000" b="1" kern="1200">
            <a:solidFill>
              <a:sysClr val="window" lastClr="FFFFFF"/>
            </a:solidFill>
            <a:latin typeface="Calibri"/>
            <a:ea typeface="+mn-ea"/>
            <a:cs typeface="+mn-cs"/>
          </a:endParaRPr>
        </a:p>
      </dsp:txBody>
      <dsp:txXfrm>
        <a:off x="4729089" y="1838980"/>
        <a:ext cx="1091400" cy="851490"/>
      </dsp:txXfrm>
    </dsp:sp>
    <dsp:sp modelId="{85E15539-AE58-4F19-A8D4-F09E678B6B4D}">
      <dsp:nvSpPr>
        <dsp:cNvPr id="0" name=""/>
        <dsp:cNvSpPr/>
      </dsp:nvSpPr>
      <dsp:spPr>
        <a:xfrm rot="10660981">
          <a:off x="5846808" y="3220657"/>
          <a:ext cx="423072" cy="10569"/>
        </a:xfrm>
        <a:custGeom>
          <a:avLst/>
          <a:gdLst/>
          <a:ahLst/>
          <a:cxnLst/>
          <a:rect l="0" t="0" r="0" b="0"/>
          <a:pathLst>
            <a:path>
              <a:moveTo>
                <a:pt x="0" y="11008"/>
              </a:moveTo>
              <a:lnTo>
                <a:pt x="719863" y="11008"/>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6047767" y="3215365"/>
        <a:ext cx="21153" cy="21153"/>
      </dsp:txXfrm>
    </dsp:sp>
    <dsp:sp modelId="{B6FB70EE-7A9E-42DB-992E-43467BF04E09}">
      <dsp:nvSpPr>
        <dsp:cNvPr id="0" name=""/>
        <dsp:cNvSpPr/>
      </dsp:nvSpPr>
      <dsp:spPr>
        <a:xfrm>
          <a:off x="4702598" y="2791187"/>
          <a:ext cx="1144382" cy="88661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ar-SA" sz="1050" kern="1200"/>
            <a:t>مجال التركيز 2: تحسين فرص خلق الوظائف بالقطاع الخاص</a:t>
          </a:r>
          <a:endParaRPr lang="en-US" sz="1050" kern="1200">
            <a:solidFill>
              <a:sysClr val="window" lastClr="FFFFFF"/>
            </a:solidFill>
            <a:latin typeface="Calibri"/>
            <a:ea typeface="+mn-ea"/>
            <a:cs typeface="+mn-cs"/>
          </a:endParaRPr>
        </a:p>
      </dsp:txBody>
      <dsp:txXfrm>
        <a:off x="4728566" y="2817155"/>
        <a:ext cx="1092446" cy="834677"/>
      </dsp:txXfrm>
    </dsp:sp>
    <dsp:sp modelId="{0AB148D7-1C37-40A4-B5EA-F97FF0813C26}">
      <dsp:nvSpPr>
        <dsp:cNvPr id="0" name=""/>
        <dsp:cNvSpPr/>
      </dsp:nvSpPr>
      <dsp:spPr>
        <a:xfrm rot="6802617">
          <a:off x="5525646" y="3701076"/>
          <a:ext cx="1065396" cy="10569"/>
        </a:xfrm>
        <a:custGeom>
          <a:avLst/>
          <a:gdLst/>
          <a:ahLst/>
          <a:cxnLst/>
          <a:rect l="0" t="0" r="0" b="0"/>
          <a:pathLst>
            <a:path>
              <a:moveTo>
                <a:pt x="0" y="11008"/>
              </a:moveTo>
              <a:lnTo>
                <a:pt x="719863" y="11008"/>
              </a:lnTo>
            </a:path>
          </a:pathLst>
        </a:custGeom>
        <a:noFill/>
        <a:ln w="25400" cap="flat" cmpd="sng" algn="ctr">
          <a:solidFill>
            <a:srgbClr val="8064A2">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6031709" y="3679726"/>
        <a:ext cx="53269" cy="53269"/>
      </dsp:txXfrm>
    </dsp:sp>
    <dsp:sp modelId="{85DBD701-4339-41D3-B22B-D66201087CE3}">
      <dsp:nvSpPr>
        <dsp:cNvPr id="0" name=""/>
        <dsp:cNvSpPr/>
      </dsp:nvSpPr>
      <dsp:spPr>
        <a:xfrm>
          <a:off x="4702598" y="3752025"/>
          <a:ext cx="1144382" cy="886613"/>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مجال التركيز 3 : الاحتواء الاجتماعي</a:t>
          </a:r>
          <a:endParaRPr lang="en-US" sz="1000" kern="1200">
            <a:solidFill>
              <a:sysClr val="window" lastClr="FFFFFF"/>
            </a:solidFill>
            <a:latin typeface="Calibri"/>
            <a:ea typeface="+mn-ea"/>
            <a:cs typeface="+mn-cs"/>
          </a:endParaRPr>
        </a:p>
      </dsp:txBody>
      <dsp:txXfrm>
        <a:off x="4728566" y="3777993"/>
        <a:ext cx="1092446" cy="834677"/>
      </dsp:txXfrm>
    </dsp:sp>
    <dsp:sp modelId="{6986BDFB-D4C0-4C60-80B7-3FB60F101556}">
      <dsp:nvSpPr>
        <dsp:cNvPr id="0" name=""/>
        <dsp:cNvSpPr/>
      </dsp:nvSpPr>
      <dsp:spPr>
        <a:xfrm rot="15870450">
          <a:off x="3306425" y="2921686"/>
          <a:ext cx="2548424" cy="10569"/>
        </a:xfrm>
        <a:custGeom>
          <a:avLst/>
          <a:gdLst/>
          <a:ahLst/>
          <a:cxnLst/>
          <a:rect l="0" t="0" r="0" b="0"/>
          <a:pathLst>
            <a:path>
              <a:moveTo>
                <a:pt x="0" y="6486"/>
              </a:moveTo>
              <a:lnTo>
                <a:pt x="2643024" y="6486"/>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4516926" y="2863260"/>
        <a:ext cx="127421" cy="127421"/>
      </dsp:txXfrm>
    </dsp:sp>
    <dsp:sp modelId="{4A3AC024-9A4E-43E2-AC78-5798F852F55E}">
      <dsp:nvSpPr>
        <dsp:cNvPr id="0" name=""/>
        <dsp:cNvSpPr/>
      </dsp:nvSpPr>
      <dsp:spPr>
        <a:xfrm>
          <a:off x="3138171" y="1063185"/>
          <a:ext cx="1320503" cy="1190847"/>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3.1 لإطار الشراكة الإستراتيجية: تحسين سبل حصول الفقراء على فرص للدخل قصيرة الأجل وتوسيع نطاق تغطية منظومة شبكات الأمان الاجتماعي</a:t>
          </a:r>
          <a:endParaRPr lang="en-US" sz="1000" b="0" kern="1200">
            <a:solidFill>
              <a:sysClr val="window" lastClr="FFFFFF"/>
            </a:solidFill>
            <a:latin typeface="Calibri"/>
            <a:ea typeface="+mn-ea"/>
            <a:cs typeface="+mn-cs"/>
          </a:endParaRPr>
        </a:p>
      </dsp:txBody>
      <dsp:txXfrm>
        <a:off x="3173050" y="1098064"/>
        <a:ext cx="1250745" cy="1121089"/>
      </dsp:txXfrm>
    </dsp:sp>
    <dsp:sp modelId="{ABCAE773-0DE1-4907-995B-DF3BA3DA6389}">
      <dsp:nvSpPr>
        <dsp:cNvPr id="0" name=""/>
        <dsp:cNvSpPr/>
      </dsp:nvSpPr>
      <dsp:spPr>
        <a:xfrm rot="10825695">
          <a:off x="2631721" y="1651431"/>
          <a:ext cx="506456" cy="10569"/>
        </a:xfrm>
        <a:custGeom>
          <a:avLst/>
          <a:gdLst/>
          <a:ahLst/>
          <a:cxnLst/>
          <a:rect l="0" t="0" r="0" b="0"/>
          <a:pathLst>
            <a:path>
              <a:moveTo>
                <a:pt x="0" y="11008"/>
              </a:moveTo>
              <a:lnTo>
                <a:pt x="540592" y="1100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2872288" y="1644054"/>
        <a:ext cx="25322" cy="25322"/>
      </dsp:txXfrm>
    </dsp:sp>
    <dsp:sp modelId="{BF173544-E6F0-494D-A874-2D1666DE5BAB}">
      <dsp:nvSpPr>
        <dsp:cNvPr id="0" name=""/>
        <dsp:cNvSpPr/>
      </dsp:nvSpPr>
      <dsp:spPr>
        <a:xfrm>
          <a:off x="136945" y="1058303"/>
          <a:ext cx="2494784" cy="119303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نظام برامج شبكات الأمان الاجتماعي معقد، ومُفتَّت وآليات التوجيه تفتقر إلى الكفاءة والفاعلية في الحد من الفقر. وما زال عدد المنتفعين من هذه البرامج أقل كثيرا من تقديرات عدد الفقراء، ومقدار الإعانات النقدية أقل كثيرا من المطلوب لانتشال المنتفعين من براثن الفقر.</a:t>
          </a:r>
          <a:endParaRPr lang="en-US" sz="1000" b="1" kern="1200">
            <a:solidFill>
              <a:sysClr val="window" lastClr="FFFFFF"/>
            </a:solidFill>
            <a:latin typeface="Calibri"/>
            <a:ea typeface="+mn-ea"/>
            <a:cs typeface="+mn-cs"/>
          </a:endParaRPr>
        </a:p>
      </dsp:txBody>
      <dsp:txXfrm>
        <a:off x="171888" y="1093246"/>
        <a:ext cx="2424898" cy="1123153"/>
      </dsp:txXfrm>
    </dsp:sp>
    <dsp:sp modelId="{0B2E4866-8F59-487A-8329-D66BCDA6C671}">
      <dsp:nvSpPr>
        <dsp:cNvPr id="0" name=""/>
        <dsp:cNvSpPr/>
      </dsp:nvSpPr>
      <dsp:spPr>
        <a:xfrm rot="15413005">
          <a:off x="3900659" y="3553487"/>
          <a:ext cx="1307225" cy="10569"/>
        </a:xfrm>
        <a:custGeom>
          <a:avLst/>
          <a:gdLst/>
          <a:ahLst/>
          <a:cxnLst/>
          <a:rect l="0" t="0" r="0" b="0"/>
          <a:pathLst>
            <a:path>
              <a:moveTo>
                <a:pt x="0" y="5284"/>
              </a:moveTo>
              <a:lnTo>
                <a:pt x="1366144" y="5284"/>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521591" y="3526091"/>
        <a:ext cx="65361" cy="65361"/>
      </dsp:txXfrm>
    </dsp:sp>
    <dsp:sp modelId="{0E03BF2D-BBB3-4048-AD2E-431BD0A962D3}">
      <dsp:nvSpPr>
        <dsp:cNvPr id="0" name=""/>
        <dsp:cNvSpPr/>
      </dsp:nvSpPr>
      <dsp:spPr>
        <a:xfrm>
          <a:off x="3076614" y="2471338"/>
          <a:ext cx="1329331" cy="901745"/>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3.2 لإطار الشراكة الإستراتيجية: زيادة سبل الحصول على خدمات الرعاية الصحية ذات الجودة</a:t>
          </a:r>
          <a:endParaRPr lang="en-US" sz="1000" b="0" kern="1200">
            <a:solidFill>
              <a:sysClr val="window" lastClr="FFFFFF"/>
            </a:solidFill>
            <a:latin typeface="Calibri"/>
            <a:ea typeface="+mn-ea"/>
            <a:cs typeface="+mn-cs"/>
          </a:endParaRPr>
        </a:p>
      </dsp:txBody>
      <dsp:txXfrm>
        <a:off x="3103025" y="2497749"/>
        <a:ext cx="1276509" cy="848923"/>
      </dsp:txXfrm>
    </dsp:sp>
    <dsp:sp modelId="{5DB8AF0C-2F4A-48D2-99EF-485CC0E324F0}">
      <dsp:nvSpPr>
        <dsp:cNvPr id="0" name=""/>
        <dsp:cNvSpPr/>
      </dsp:nvSpPr>
      <dsp:spPr>
        <a:xfrm rot="10799432">
          <a:off x="2627077" y="2916964"/>
          <a:ext cx="449536" cy="10569"/>
        </a:xfrm>
        <a:custGeom>
          <a:avLst/>
          <a:gdLst/>
          <a:ahLst/>
          <a:cxnLst/>
          <a:rect l="0" t="0" r="0" b="0"/>
          <a:pathLst>
            <a:path>
              <a:moveTo>
                <a:pt x="0" y="11008"/>
              </a:moveTo>
              <a:lnTo>
                <a:pt x="540592" y="1100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2840607" y="2911010"/>
        <a:ext cx="22476" cy="22476"/>
      </dsp:txXfrm>
    </dsp:sp>
    <dsp:sp modelId="{9A04FB06-C88A-487A-8114-8F9DB71D3C6E}">
      <dsp:nvSpPr>
        <dsp:cNvPr id="0" name=""/>
        <dsp:cNvSpPr/>
      </dsp:nvSpPr>
      <dsp:spPr>
        <a:xfrm>
          <a:off x="166625" y="2303488"/>
          <a:ext cx="2460452" cy="1237594"/>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ما زال الحصول على خدمات الرعاية الصحية يتسم بتفاوت كبير بين أجزاء البلاد، ونوعية الرعاية متفاوتة، لاسيما في المناطق الريفية، والكثير من المنشآت الصحية تعاني سوء التجهيز والصيانة ونقص العاملين والافتقار إلى الأدوية والمستلزمات الأساسية. تفشي مشاعر عدم الرضا عن تدنِّي مستوى خدمات الرعاية الصحية يؤدي إلى انخفاض معدلات الاستفادة من الخدمات التي تقدمها الجهات الحكومية.</a:t>
          </a:r>
          <a:endParaRPr lang="en-US" sz="1000" b="1" kern="1200">
            <a:solidFill>
              <a:sysClr val="window" lastClr="FFFFFF"/>
            </a:solidFill>
            <a:latin typeface="Calibri"/>
            <a:ea typeface="+mn-ea"/>
            <a:cs typeface="+mn-cs"/>
          </a:endParaRPr>
        </a:p>
      </dsp:txBody>
      <dsp:txXfrm>
        <a:off x="202873" y="2339736"/>
        <a:ext cx="2387956" cy="1165098"/>
      </dsp:txXfrm>
    </dsp:sp>
    <dsp:sp modelId="{A71407E7-FEA1-4884-96C8-CA716A93CBBA}">
      <dsp:nvSpPr>
        <dsp:cNvPr id="0" name=""/>
        <dsp:cNvSpPr/>
      </dsp:nvSpPr>
      <dsp:spPr>
        <a:xfrm rot="6434865">
          <a:off x="3992766" y="4712925"/>
          <a:ext cx="1094994" cy="10569"/>
        </a:xfrm>
        <a:custGeom>
          <a:avLst/>
          <a:gdLst/>
          <a:ahLst/>
          <a:cxnLst/>
          <a:rect l="0" t="0" r="0" b="0"/>
          <a:pathLst>
            <a:path>
              <a:moveTo>
                <a:pt x="0" y="5284"/>
              </a:moveTo>
              <a:lnTo>
                <a:pt x="1145442" y="5284"/>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4512888" y="4690835"/>
        <a:ext cx="54749" cy="54749"/>
      </dsp:txXfrm>
    </dsp:sp>
    <dsp:sp modelId="{0FDA0F9A-2A31-4C24-980D-182771826B27}">
      <dsp:nvSpPr>
        <dsp:cNvPr id="0" name=""/>
        <dsp:cNvSpPr/>
      </dsp:nvSpPr>
      <dsp:spPr>
        <a:xfrm>
          <a:off x="3021737" y="4818600"/>
          <a:ext cx="1356191" cy="844973"/>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3.4 لإطار الشراكة الإستراتيجية: زيادة سبل الحصول على خدمات الصرف الصحي المحسَّنة في المناطق الريفية</a:t>
          </a:r>
          <a:endParaRPr lang="en-US" sz="1000" b="0" kern="1200">
            <a:solidFill>
              <a:sysClr val="window" lastClr="FFFFFF"/>
            </a:solidFill>
            <a:latin typeface="Calibri"/>
            <a:ea typeface="+mn-ea"/>
            <a:cs typeface="+mn-cs"/>
          </a:endParaRPr>
        </a:p>
      </dsp:txBody>
      <dsp:txXfrm>
        <a:off x="3046485" y="4843348"/>
        <a:ext cx="1306695" cy="795477"/>
      </dsp:txXfrm>
    </dsp:sp>
    <dsp:sp modelId="{132C3095-0AC2-4AC2-AAD2-A8489F7D0104}">
      <dsp:nvSpPr>
        <dsp:cNvPr id="0" name=""/>
        <dsp:cNvSpPr/>
      </dsp:nvSpPr>
      <dsp:spPr>
        <a:xfrm rot="10816045">
          <a:off x="2536164" y="5234669"/>
          <a:ext cx="485575" cy="10569"/>
        </a:xfrm>
        <a:custGeom>
          <a:avLst/>
          <a:gdLst/>
          <a:ahLst/>
          <a:cxnLst/>
          <a:rect l="0" t="0" r="0" b="0"/>
          <a:pathLst>
            <a:path>
              <a:moveTo>
                <a:pt x="0" y="11008"/>
              </a:moveTo>
              <a:lnTo>
                <a:pt x="549403" y="1100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2766812" y="5227814"/>
        <a:ext cx="24278" cy="24278"/>
      </dsp:txXfrm>
    </dsp:sp>
    <dsp:sp modelId="{CC97FC17-6D6B-4DFC-BB27-732069E4742B}">
      <dsp:nvSpPr>
        <dsp:cNvPr id="0" name=""/>
        <dsp:cNvSpPr/>
      </dsp:nvSpPr>
      <dsp:spPr>
        <a:xfrm>
          <a:off x="7219" y="4831857"/>
          <a:ext cx="2528947" cy="813927"/>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الأمراض التي تنقلها المياه لها تأثيرات صحية واقتصادية بالغة. </a:t>
          </a:r>
          <a:r>
            <a:rPr lang="en-GB" sz="1000" kern="1200"/>
            <a:t>  </a:t>
          </a:r>
          <a:r>
            <a:rPr lang="ar-SA" sz="1000" kern="1200"/>
            <a:t>وتعاني قنوات الصرف التي تختلط بمياه النيل من التلوُّث الشديد من جراء عدم كفاية الصرف الصحي، وإلقاء النفايات، وشبكات عفا عليها الزمن لمعالجة المياه.</a:t>
          </a:r>
          <a:endParaRPr lang="en-US" sz="1000" b="1" kern="1200">
            <a:solidFill>
              <a:sysClr val="window" lastClr="FFFFFF"/>
            </a:solidFill>
            <a:latin typeface="Calibri"/>
            <a:ea typeface="+mn-ea"/>
            <a:cs typeface="+mn-cs"/>
          </a:endParaRPr>
        </a:p>
      </dsp:txBody>
      <dsp:txXfrm>
        <a:off x="31058" y="4855696"/>
        <a:ext cx="2481269" cy="766249"/>
      </dsp:txXfrm>
    </dsp:sp>
    <dsp:sp modelId="{A32614CC-147F-403F-A8EA-21CE336EC3BC}">
      <dsp:nvSpPr>
        <dsp:cNvPr id="0" name=""/>
        <dsp:cNvSpPr/>
      </dsp:nvSpPr>
      <dsp:spPr>
        <a:xfrm rot="10999754">
          <a:off x="4394660" y="4181098"/>
          <a:ext cx="308197" cy="10569"/>
        </a:xfrm>
        <a:custGeom>
          <a:avLst/>
          <a:gdLst/>
          <a:ahLst/>
          <a:cxnLst/>
          <a:rect l="0" t="0" r="0" b="0"/>
          <a:pathLst>
            <a:path>
              <a:moveTo>
                <a:pt x="0" y="11008"/>
              </a:moveTo>
              <a:lnTo>
                <a:pt x="838148" y="11008"/>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4541054" y="4178678"/>
        <a:ext cx="15409" cy="15409"/>
      </dsp:txXfrm>
    </dsp:sp>
    <dsp:sp modelId="{F93EDED7-DC56-4992-B292-1F1F15E3CEE8}">
      <dsp:nvSpPr>
        <dsp:cNvPr id="0" name=""/>
        <dsp:cNvSpPr/>
      </dsp:nvSpPr>
      <dsp:spPr>
        <a:xfrm>
          <a:off x="3065589" y="3818848"/>
          <a:ext cx="1329331" cy="717172"/>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3.3 لإطار الشراكة الإستراتيجية: زيادة سبل حصول الأسر محدودة الدخل على  مسكن</a:t>
          </a:r>
          <a:endParaRPr lang="en-US" sz="1000" b="1" kern="1200">
            <a:solidFill>
              <a:sysClr val="window" lastClr="FFFFFF"/>
            </a:solidFill>
            <a:latin typeface="Calibri"/>
            <a:ea typeface="+mn-ea"/>
            <a:cs typeface="+mn-cs"/>
          </a:endParaRPr>
        </a:p>
      </dsp:txBody>
      <dsp:txXfrm>
        <a:off x="3086594" y="3839853"/>
        <a:ext cx="1287321" cy="675162"/>
      </dsp:txXfrm>
    </dsp:sp>
    <dsp:sp modelId="{C4C734FA-C59E-4CB3-B24E-BB047734B4D7}">
      <dsp:nvSpPr>
        <dsp:cNvPr id="0" name=""/>
        <dsp:cNvSpPr/>
      </dsp:nvSpPr>
      <dsp:spPr>
        <a:xfrm rot="10812773">
          <a:off x="2607441" y="4171298"/>
          <a:ext cx="458150" cy="10569"/>
        </a:xfrm>
        <a:custGeom>
          <a:avLst/>
          <a:gdLst/>
          <a:ahLst/>
          <a:cxnLst/>
          <a:rect l="0" t="0" r="0" b="0"/>
          <a:pathLst>
            <a:path>
              <a:moveTo>
                <a:pt x="0" y="11008"/>
              </a:moveTo>
              <a:lnTo>
                <a:pt x="540592" y="11008"/>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2825062" y="4165129"/>
        <a:ext cx="22907" cy="22907"/>
      </dsp:txXfrm>
    </dsp:sp>
    <dsp:sp modelId="{7FBCB00F-0E60-40A2-A2B3-E0E492A00AD1}">
      <dsp:nvSpPr>
        <dsp:cNvPr id="0" name=""/>
        <dsp:cNvSpPr/>
      </dsp:nvSpPr>
      <dsp:spPr>
        <a:xfrm>
          <a:off x="110976" y="3588968"/>
          <a:ext cx="2496466" cy="1173528"/>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ما زال الحصول على مسكن ميسور التكلفة في مصر تحديا رئيسيا أمام الأسر ذات الدخل المنخفض والمتوسط، إذ أدَّت سياسات عفا عليها الزمن للتحكُّم في الإيجارات إلى النمو السريع للإسكان العشوائي. وتزداد حدة نقص المساكن وما يتصل به من تعذُّر الحصول على التمويل لدى فئة الشباب المحرومين الذين يبلغ عددهم 10 ملايين.</a:t>
          </a:r>
          <a:endParaRPr lang="en-US" sz="1000" b="0" kern="1200">
            <a:solidFill>
              <a:sysClr val="window" lastClr="FFFFFF"/>
            </a:solidFill>
            <a:latin typeface="Calibri"/>
            <a:ea typeface="+mn-ea"/>
            <a:cs typeface="+mn-cs"/>
          </a:endParaRPr>
        </a:p>
      </dsp:txBody>
      <dsp:txXfrm>
        <a:off x="145347" y="3623339"/>
        <a:ext cx="2427724" cy="1104786"/>
      </dsp:txXfrm>
    </dsp:sp>
    <dsp:sp modelId="{244B890B-448E-41AA-8B4C-E7D85E757694}">
      <dsp:nvSpPr>
        <dsp:cNvPr id="0" name=""/>
        <dsp:cNvSpPr/>
      </dsp:nvSpPr>
      <dsp:spPr>
        <a:xfrm rot="5919993">
          <a:off x="3485158" y="5235981"/>
          <a:ext cx="2116028" cy="10569"/>
        </a:xfrm>
        <a:custGeom>
          <a:avLst/>
          <a:gdLst/>
          <a:ahLst/>
          <a:cxnLst/>
          <a:rect l="0" t="0" r="0" b="0"/>
          <a:pathLst>
            <a:path>
              <a:moveTo>
                <a:pt x="0" y="5284"/>
              </a:moveTo>
              <a:lnTo>
                <a:pt x="2144886" y="5284"/>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solidFill>
              <a:sysClr val="windowText" lastClr="000000">
                <a:hueOff val="0"/>
                <a:satOff val="0"/>
                <a:lumOff val="0"/>
                <a:alphaOff val="0"/>
              </a:sysClr>
            </a:solidFill>
            <a:latin typeface="Calibri"/>
            <a:ea typeface="+mn-ea"/>
            <a:cs typeface="+mn-cs"/>
          </a:endParaRPr>
        </a:p>
      </dsp:txBody>
      <dsp:txXfrm rot="10800000">
        <a:off x="4490272" y="5188365"/>
        <a:ext cx="105801" cy="105801"/>
      </dsp:txXfrm>
    </dsp:sp>
    <dsp:sp modelId="{2737A767-59F8-4FC7-BE91-C5ED8ED9BC4B}">
      <dsp:nvSpPr>
        <dsp:cNvPr id="0" name=""/>
        <dsp:cNvSpPr/>
      </dsp:nvSpPr>
      <dsp:spPr>
        <a:xfrm>
          <a:off x="3054416" y="5935999"/>
          <a:ext cx="1329331" cy="702401"/>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3.5: التوسع في توصيل الغاز الطبيعي إلى المنازل</a:t>
          </a:r>
          <a:endParaRPr lang="en-US" sz="1000" b="0" i="0" kern="1200">
            <a:solidFill>
              <a:sysClr val="window" lastClr="FFFFFF"/>
            </a:solidFill>
            <a:latin typeface="Calibri"/>
            <a:ea typeface="+mn-ea"/>
            <a:cs typeface="+mn-cs"/>
          </a:endParaRPr>
        </a:p>
      </dsp:txBody>
      <dsp:txXfrm>
        <a:off x="3074989" y="5956572"/>
        <a:ext cx="1288185" cy="661255"/>
      </dsp:txXfrm>
    </dsp:sp>
    <dsp:sp modelId="{B569B2A6-2EA6-4BCE-B384-07E48BF8279B}">
      <dsp:nvSpPr>
        <dsp:cNvPr id="0" name=""/>
        <dsp:cNvSpPr/>
      </dsp:nvSpPr>
      <dsp:spPr>
        <a:xfrm rot="10810366">
          <a:off x="2601488" y="6281233"/>
          <a:ext cx="452928" cy="10569"/>
        </a:xfrm>
        <a:custGeom>
          <a:avLst/>
          <a:gdLst/>
          <a:ahLst/>
          <a:cxnLst/>
          <a:rect l="0" t="0" r="0" b="0"/>
          <a:pathLst>
            <a:path>
              <a:moveTo>
                <a:pt x="0" y="6486"/>
              </a:moveTo>
              <a:lnTo>
                <a:pt x="332620" y="6486"/>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US" sz="1000" kern="1200">
            <a:solidFill>
              <a:sysClr val="windowText" lastClr="000000">
                <a:hueOff val="0"/>
                <a:satOff val="0"/>
                <a:lumOff val="0"/>
                <a:alphaOff val="0"/>
              </a:sysClr>
            </a:solidFill>
            <a:latin typeface="Calibri"/>
            <a:ea typeface="+mn-ea"/>
            <a:cs typeface="+mn-cs"/>
          </a:endParaRPr>
        </a:p>
      </dsp:txBody>
      <dsp:txXfrm rot="10800000">
        <a:off x="2816629" y="6275194"/>
        <a:ext cx="22646" cy="22646"/>
      </dsp:txXfrm>
    </dsp:sp>
    <dsp:sp modelId="{5A811CC0-D7F4-4219-B3AA-48D091C467FF}">
      <dsp:nvSpPr>
        <dsp:cNvPr id="0" name=""/>
        <dsp:cNvSpPr/>
      </dsp:nvSpPr>
      <dsp:spPr>
        <a:xfrm>
          <a:off x="0" y="5723666"/>
          <a:ext cx="2601489" cy="1124336"/>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تفتقر الأسر إلى مصدر مأمون وموثوق للطاقة من أجل الطهي. وهناك حاجة أيضا إلى استثمارات رأسمالية كبيرة لتمويل التوسعة المتزايدة لشبكات التوزيع التي تسير بخطى سريعة في إطار برنامج نشط للحكومة لربط المنازل بشبكات الغاز الطبيعي.</a:t>
          </a:r>
          <a:r>
            <a:rPr lang="en-US" sz="1000" b="0" i="0" kern="1200">
              <a:solidFill>
                <a:sysClr val="window" lastClr="FFFFFF"/>
              </a:solidFill>
              <a:latin typeface="Calibri"/>
              <a:ea typeface="+mn-ea"/>
              <a:cs typeface="+mn-cs"/>
            </a:rPr>
            <a:t>.</a:t>
          </a:r>
        </a:p>
      </dsp:txBody>
      <dsp:txXfrm>
        <a:off x="32931" y="5756597"/>
        <a:ext cx="2535627" cy="1058474"/>
      </dsp:txXfrm>
    </dsp:sp>
    <dsp:sp modelId="{1014F690-3A1F-4894-8687-879A35548825}">
      <dsp:nvSpPr>
        <dsp:cNvPr id="0" name=""/>
        <dsp:cNvSpPr/>
      </dsp:nvSpPr>
      <dsp:spPr>
        <a:xfrm rot="5737116">
          <a:off x="2919314" y="5806504"/>
          <a:ext cx="3248519" cy="10569"/>
        </a:xfrm>
        <a:custGeom>
          <a:avLst/>
          <a:gdLst/>
          <a:ahLst/>
          <a:cxnLst/>
          <a:rect l="0" t="0" r="0" b="0"/>
          <a:pathLst>
            <a:path>
              <a:moveTo>
                <a:pt x="0" y="5284"/>
              </a:moveTo>
              <a:lnTo>
                <a:pt x="3267788" y="5284"/>
              </a:lnTo>
            </a:path>
          </a:pathLst>
        </a:custGeom>
        <a:noFill/>
        <a:ln w="25400" cap="flat" cmpd="sng" algn="ctr">
          <a:solidFill>
            <a:srgbClr val="4BACC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solidFill>
              <a:sysClr val="windowText" lastClr="000000">
                <a:hueOff val="0"/>
                <a:satOff val="0"/>
                <a:lumOff val="0"/>
                <a:alphaOff val="0"/>
              </a:sysClr>
            </a:solidFill>
            <a:latin typeface="Calibri"/>
            <a:ea typeface="+mn-ea"/>
            <a:cs typeface="+mn-cs"/>
          </a:endParaRPr>
        </a:p>
      </dsp:txBody>
      <dsp:txXfrm rot="10800000">
        <a:off x="4462361" y="5730576"/>
        <a:ext cx="162425" cy="162425"/>
      </dsp:txXfrm>
    </dsp:sp>
    <dsp:sp modelId="{00D0014E-3F6D-4969-BCED-411E91BBAC47}">
      <dsp:nvSpPr>
        <dsp:cNvPr id="0" name=""/>
        <dsp:cNvSpPr/>
      </dsp:nvSpPr>
      <dsp:spPr>
        <a:xfrm>
          <a:off x="3096833" y="6973495"/>
          <a:ext cx="1287716" cy="909499"/>
        </a:xfrm>
        <a:prstGeom prst="roundRect">
          <a:avLst>
            <a:gd name="adj" fmla="val 10000"/>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الهدف 3.6 لإطار الشراكة الإستراتيجية:  تحسين حوكمة قطاع التعليم</a:t>
          </a:r>
          <a:endParaRPr lang="en-US" sz="1000" b="0" i="0" kern="1200">
            <a:solidFill>
              <a:sysClr val="window" lastClr="FFFFFF"/>
            </a:solidFill>
            <a:latin typeface="Calibri"/>
            <a:ea typeface="+mn-ea"/>
            <a:cs typeface="+mn-cs"/>
          </a:endParaRPr>
        </a:p>
      </dsp:txBody>
      <dsp:txXfrm>
        <a:off x="3123471" y="7000133"/>
        <a:ext cx="1234440" cy="856223"/>
      </dsp:txXfrm>
    </dsp:sp>
    <dsp:sp modelId="{48161C49-E3C7-43B1-AC2C-CDD961509247}">
      <dsp:nvSpPr>
        <dsp:cNvPr id="0" name=""/>
        <dsp:cNvSpPr/>
      </dsp:nvSpPr>
      <dsp:spPr>
        <a:xfrm rot="10825669">
          <a:off x="2677336" y="7421394"/>
          <a:ext cx="419502" cy="10569"/>
        </a:xfrm>
        <a:custGeom>
          <a:avLst/>
          <a:gdLst/>
          <a:ahLst/>
          <a:cxnLst/>
          <a:rect l="0" t="0" r="0" b="0"/>
          <a:pathLst>
            <a:path>
              <a:moveTo>
                <a:pt x="0" y="5284"/>
              </a:moveTo>
              <a:lnTo>
                <a:pt x="372297" y="5284"/>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rot="10800000">
        <a:off x="2876600" y="7416191"/>
        <a:ext cx="20975" cy="20975"/>
      </dsp:txXfrm>
    </dsp:sp>
    <dsp:sp modelId="{EA12FCAE-A793-46A5-BA07-81F5DA94D4E2}">
      <dsp:nvSpPr>
        <dsp:cNvPr id="0" name=""/>
        <dsp:cNvSpPr/>
      </dsp:nvSpPr>
      <dsp:spPr>
        <a:xfrm>
          <a:off x="117498" y="6916498"/>
          <a:ext cx="2559844" cy="1017229"/>
        </a:xfrm>
        <a:prstGeom prst="roundRect">
          <a:avLst>
            <a:gd name="adj" fmla="val 10000"/>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ar-SA" sz="1000" kern="1200"/>
            <a:t>لا تزال هناك تحديات من حيث تدنِّي نواتج عملية التعلُّم التي ترتبط بالافتقار إلى الحوكمة. وتظهر بيانات تقييم الطلاب الدولية أن نواتج التعليم منخفضة في المتوسط، وتتسم أيضا بتفاوت شديد حسب المنطقة والوضع الاجتماعي والاقتصادي.</a:t>
          </a:r>
          <a:endParaRPr lang="en-US" sz="1000" kern="1200">
            <a:solidFill>
              <a:sysClr val="window" lastClr="FFFFFF"/>
            </a:solidFill>
            <a:latin typeface="Calibri"/>
            <a:ea typeface="+mn-ea"/>
            <a:cs typeface="+mn-cs"/>
          </a:endParaRPr>
        </a:p>
      </dsp:txBody>
      <dsp:txXfrm>
        <a:off x="147292" y="6946292"/>
        <a:ext cx="2500256" cy="9576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66085-76FE-47B6-8E1E-19B09A390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156</Pages>
  <Words>50068</Words>
  <Characters>277169</Characters>
  <Application>Microsoft Office Word</Application>
  <DocSecurity>0</DocSecurity>
  <Lines>2309</Lines>
  <Paragraphs>653</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    جمهـورية مصـــر العربيـــة</vt:lpstr>
      <vt:lpstr>    إطار الشراكة الإستراتيجية للسنوات المالية 2015-2019 </vt:lpstr>
      <vt:lpstr>    </vt:lpstr>
      <vt:lpstr>    جدول المحتويات</vt:lpstr>
      <vt:lpstr>    </vt:lpstr>
      <vt:lpstr>    إطار الشراكة الإستراتيجية</vt:lpstr>
      <vt:lpstr>    لجمهـورية مصـــر العربيـــة للسنوات المالية 2015-2019</vt:lpstr>
      <vt:lpstr>    </vt:lpstr>
      <vt:lpstr>    ملخص وافٍ</vt:lpstr>
      <vt:lpstr>    أُعد إطار الشراكة الإستراتيجية لمجموعة البنك الدولي الخاص بمصر للسنوات المالية 2</vt:lpstr>
      <vt:lpstr>    نفذت مصر إصلاحات سياسية واقتصادية واجتماعية، ومع ذلك يظل أمامها تحديات كبيرة. وت</vt:lpstr>
      <vt:lpstr>    هناك حاجة لإجراء إصلاحات هيكلية بعيدة المدى ليتحول الاقتصاد المصري إلى منظومة دي</vt:lpstr>
      <vt:lpstr>    أدت القفزة التي طرأت مؤخرا على معدل الزيادة السكانية، مقترنة بالطفرة الناتجة عن </vt:lpstr>
      <vt:lpstr>    طرحت الحكومة المصرية مؤخرا إستراتيجيتها للتنمية المستدامة: رؤية مصر للعام 2030. </vt:lpstr>
      <vt:lpstr>    تركز مساندة مجموعة البنك الدولي ضمن إطار الشراكة الإستراتيجية على تحقيق هدفي الم</vt:lpstr>
      <vt:lpstr>    جهود تحسين نظام الإدارة العامة والحوكمة ستشمل تحسين مستوى الشفافية والكفاءة، وتد</vt:lpstr>
      <vt:lpstr>    مساندة خلق فرص عمل بالقطاع الخاص ستشمل تحسين مناخ الأعمال أمام استثمارات القطاع </vt:lpstr>
      <vt:lpstr>    تحسين الاحتواء الاجتماعي ستتم معالجته بتدعيم توجيه منظومة شبكات الأمان الاجتماعي</vt:lpstr>
      <vt:lpstr>    يمثل إطار الشراكة الإستراتيجية الحالي  تحولا مهما عن إستراتيجيات مجموعة البنك ال</vt:lpstr>
      <vt:lpstr>    تتضمن إستراتيجية مجموعة البنك الدولي أيضا تحولات في توجيه التركيز فيما بين القطا</vt:lpstr>
      <vt:lpstr>    هناك أيضا طرق مهمة سيتم من خلالها تطبيق مبدأ الإختيار الأمثل. أولاً، ستركز مجموع</vt:lpstr>
      <vt:lpstr>    من المتوقع تحقيق نتائج قوية في ظل إطار الشراكة الإستراتيجية من خلال المشروعات ال</vt:lpstr>
      <vt:lpstr>    التصنيف العام للمخاطر التي تؤثر في برنامج مجموعة البنك الدولي يُعد مرتفعاً. فالم</vt:lpstr>
      <vt:lpstr>    </vt:lpstr>
      <vt:lpstr>    لجمهـورية مصـــر العربيـــة للسنوات المالية 2015-2019</vt:lpstr>
      <vt:lpstr>    أولا. مقدمة</vt:lpstr>
      <vt:lpstr>    يغطي إطار الشراكة الإستراتيجية الحالي، الذي اشترك في إعداده البنك الدولي للإنشاء</vt:lpstr>
      <vt:lpstr>    يستند إطار الشراكة الإستراتيجية لمجموعة البنك الدولي الخاص بمصر إلى الحوار الذي </vt:lpstr>
      <vt:lpstr>    تم تنظيم إطار الشراكة الإستراتيجية ليغطي ثلاثة مجالات للتركيز يرتبط بعضها ببعض م</vt:lpstr>
      <vt:lpstr>    ثانيا. السياق الإقليمي ودور مجموعة البنك الدولي</vt:lpstr>
      <vt:lpstr>    تشهد منطقة الشرق الأوسط وشمال أفريقيا اضطرابات وأعمال عنف واسعة النطاق، وتشكل إع</vt:lpstr>
      <vt:lpstr>    تركز الإستراتيجية الجديدة لمجموعة البنك الدولي على مساندة إحلال السلام والاستقرا</vt:lpstr>
      <vt:lpstr>    تستهدف إستراتيجية مجموعة البنك الدولي الخاصة بمنطقة الشرق الأوسط وشمال أفريقيا ت</vt:lpstr>
      <vt:lpstr>    ثالثا. السياق المصري وأجندة التنمية</vt:lpstr>
      <vt:lpstr>        أ. السياق الاجتماعي والسياسي</vt:lpstr>
      <vt:lpstr>    من المتوقع أن تستكمل مصر خارطة الطريق السياسية التي أُعلن عنها في يوليو 2013. فب</vt:lpstr>
      <vt:lpstr>    أحرزت الحكومة الحالية تقدما على صعيد استعادة الأمن وخفض مستوى الاضطرابات المدنية</vt:lpstr>
      <vt:lpstr>        ب. التطورات الاقتصادية</vt:lpstr>
      <vt:lpstr>    كان معدل النمو الاقتصادي في مصر خلال العقود الثلاثة الماضية متوسطا، لكنه لم يكن </vt:lpstr>
      <vt:lpstr>    منذ عام 2000، ظل النمو الاقتصادي في مصر متقلبا بسبب عوامل داخلية وخارجية على حد </vt:lpstr>
      <vt:lpstr>    بالرغم من أن مصر عانت لفترة طويلة من وجود عجز هيكلي كبير في الموازنة العامة كما </vt:lpstr>
      <vt:lpstr>    ظل معدل التضخم متقلبا ومرتفعا رغم الارتفاع الحقيقي في قيمة العملة، لكنه ربما يكو</vt:lpstr>
      <vt:lpstr>    تلقت الحكومة المصرية تدفقات مالية استثنائية كبيرة ساعدت على استقرار أوضاع الاقتص</vt:lpstr>
      <vt:lpstr>    مازالت مواطن الضعف قائمة. يمر الاقتصاد حاليا بمرحلة تعافٍ مبكر ومازال عرضة لصدما</vt:lpstr>
      <vt:lpstr>    يشير تحليل للقدرة على تحمل أعباء الديون أُجري مؤخرا إلى أن مصر ستتمكن من تحمل أع</vt:lpstr>
      <vt:lpstr>        ج. لمحة عن أوضاع الفقر</vt:lpstr>
      <vt:lpstr>    على الرغم من تحقيق معدلات نمو اقتصادي معقولة خلال العقد الأول من القرن الحالي، ف</vt:lpstr>
      <vt:lpstr>    التفاوت بين المناطق في مستوى الرفاهة سمة دائمة للفقر في مصر. فأعلى معدلات الفقر </vt:lpstr>
      <vt:lpstr>    </vt:lpstr>
      <vt:lpstr>    لم يترجم النمو الاقتصادي في الفترة بين عامي 2005 و 2010 إلى زيادة فرص العمل المت</vt:lpstr>
      <vt:lpstr>    يتركّز أفقر 40 في المائة من الأسر المصرية في المناطق الريفية بمصر حيث تقل فرص ال</vt:lpstr>
      <vt:lpstr>    تتفاقم اتجاهات الفقر والتشغيل المثيرة للقلق بسبب الزيادة التي طرأت مؤخرا على معد</vt:lpstr>
      <vt:lpstr>        د. التحديات الإنمائية أمام إنهاء الفقر المدقع وتعزيز الرخاء المشترك</vt:lpstr>
      <vt:lpstr>    حددت الدراسة التشخيصية المنهجية الخاصة بمصر ثلاث أولويات رئيسية للإصلاح لكي ترتك</vt:lpstr>
      <vt:lpstr>    قامت الحكومة المصرية مؤخرا باتخاذ إجراءات مهمة للحد من عجز الموازنة العامة واستع</vt:lpstr>
      <vt:lpstr>    طبّقت الحكومة المصرية مجموعة متنوعة من الضرائب الجديدة. وأدخلت ضرائب على العقارا</vt:lpstr>
      <vt:lpstr>    على جانب الإنفاق، تعتزم الحكومة المصرية الحد من الإنفاق في المجالات التي لا تحظى</vt:lpstr>
      <vt:lpstr>    حددت الحكومة المصرية سقفا مستهدفا لعجز الموازنة العامة بنسبة تتراوح بين 8 و 8.5 </vt:lpstr>
      <vt:lpstr>    يُعد دعم الطاقة الشامل مكلفا للغاية ومصدرا رئيسيا للتشوهات في الاقتصاد المصري. و</vt:lpstr>
      <vt:lpstr>    في عام 2014، اتخذت الحكومة المصرية خطوة أولى شديدة الأهمية طال انتظارها لخفض هذا</vt:lpstr>
      <vt:lpstr>    إن تحسين نظام الإدارة العامة والحوكمة أمر بالغ الأهمية سواء لتقوية علاقة الدولة </vt:lpstr>
      <vt:lpstr>    يجب على الحكومة المصرية تدعيم مستوى الشفافية والمساءلة ومعالجة أوجه القصور في أن</vt:lpstr>
      <vt:lpstr>    يُعد حجم القطاع العام في مصر كبيراً، وبالتالي فإن هناك أهمية خاصة لمعالجة القضاي</vt:lpstr>
      <vt:lpstr>    رغم الجهود المبذولة على مدار السنوات الماضية لتحسين البيئة التنظيمية وتهيئة مناخ</vt:lpstr>
      <vt:lpstr>    يفتقر القطاع الخاص في مصر إلى الديناميكية: فمن حيث زيادة معدلات الإنتاجية ومعدلا</vt:lpstr>
      <vt:lpstr>    طبقت الحكومة المصرية إصلاحات تنظيمية لتحسين بيئة ممارسة الأعمال الخاصة، لكن تفاو</vt:lpstr>
      <vt:lpstr>    إن أولوية السياسات بالنسبة لمصر هي إطلاق العنان لإمكانات القطاع الخاص كي يتمكن م</vt:lpstr>
      <vt:lpstr>    يُعد إصلاح دعم الطاقة الذي بدأ في عام 2014 واستمر مؤخرا خطوة رئيسية نحو تحقيق تك</vt:lpstr>
      <vt:lpstr>    يمكن للتحسينات في البنية التحتية أن تؤدي إلى زيادة إنتاجية الشركات بالمدن الكبرى</vt:lpstr>
      <vt:lpstr>    يحتاج تخطيط استخدامات الأراضي وإدارتها في مصر إلى تبني رؤية عامة للتخطيط العمران</vt:lpstr>
      <vt:lpstr>    يمكن تعزيز الإنتاجية الزراعية وفرص العمل غير الزراعية من خلال إجراء إصلاحات للسي</vt:lpstr>
      <vt:lpstr>    حققت مصر إنجازات تعليمية كبرى في تعميم الالتحاق بالتعليم الابتدائي، وزيادة معدلا</vt:lpstr>
      <vt:lpstr>    لقد قطعت مصر شوطا كبيرا على صعيد تحسين نواتج الرعاية الصحية، بما في ذلك حدوث انخ</vt:lpstr>
      <vt:lpstr>    لدى مصر عدد من برامج الحماية الاجتماعية، لكن يلزم تبسيط إجراءاتها وأن تقدم حماية</vt:lpstr>
      <vt:lpstr>    قضايا المساواة بين الجنسين تحظى باهتمام خاص. تتأثر قدرة النساء على إيجاد فرص عمل</vt:lpstr>
      <vt:lpstr>    لقد صاحب التوسع الاقتصادي في مصر تزايد الطلب على الموارد الطبيعية الشحيحة والمتد</vt:lpstr>
      <vt:lpstr>    تدهورت نوعية الهواء بالمناطق الحضرية إلى مستويات تثير قلقا شديدا بشأن تأثيراتها </vt:lpstr>
      <vt:lpstr>    يُعزى تراجع كميات المياه العذبة المتوفرة إلى تلوث المياه الناجم بالأساس عن النفا</vt:lpstr>
      <vt:lpstr>    تحتل مصر المرتبة الأولى عالميا في معدل التصحر، ويمثل تدهور الأراضي أيضا مشكلة خط</vt:lpstr>
      <vt:lpstr>    رغم أن مصر تُعد حالياً أحد البلدان منخفضة الانبعاثات الكربونية نسبياً، فإنها تحت</vt:lpstr>
      <vt:lpstr>    تستطيع مصر تقليل مخاطر التدهور البيئي عن طريق تحسين نظام الإدارة العامة والحوكمة</vt:lpstr>
      <vt:lpstr>    تتوقف إسهامات البنك التي وقع عليها الإختيار في إطار الشراكة الإستراتيجية خلال فت</vt:lpstr>
      <vt:lpstr>    رابعا. إستراتيجية الحكومة </vt:lpstr>
      <vt:lpstr>    طرحت الحكومة المصرية مؤخرا إستراتيجيتها الإنمائية طويلة الأمد حتى عام 2030، ويمك</vt:lpstr>
      <vt:lpstr>    تسعى الحكومة المصرية إلى تنفيذ خطة طموحة لضبط أوضاع المالية العامة تستهدف خفض عج</vt:lpstr>
      <vt:lpstr>    الحكومة المصرية لديها أيضا إستراتيجية متوسطة الأمد لتلبية احتياجات البلاد المتنا</vt:lpstr>
      <vt:lpstr>    في إطار خطتها لتلبية احتياجات الطاقة، شرعت الحكومة في خفض دعم الطاقة. ففي نوفمبر</vt:lpstr>
      <vt:lpstr>    أكدت الحكومة المصرية على الدور الرائد الذي يجب أن يقوم به القطاع الخاص في استعاد</vt:lpstr>
      <vt:lpstr>    تستهدف الحكومة المصرية تحقيق معدل نمو حقيقي بنسبة 5 في المائة في السنة المالية 2</vt:lpstr>
      <vt:lpstr>    قامت وزارة التخطيط والمتابعة والإصلاح الإداري بإعداد خطة للإصلاحات الإدارية تمتد</vt:lpstr>
      <vt:lpstr>    تعتزم الحكومة المصرية تحسين توجيه الدعم بحيث يصل إلى مستحقيه، وتوسيع نطاق شبكة ا</vt:lpstr>
      <vt:lpstr>    أعلنت الحكومة المصرية أنه سيتم توجيه أكثر من نصف وفورات الموازنة العامة الناتجة </vt:lpstr>
      <vt:lpstr>    خامسا. إستراتيجية الشراكة المقترحة من مجموعة البنك الدولي</vt:lpstr>
      <vt:lpstr>        أ. الدروس المستفادة من استعراض الإنجاز والتعلُّم لإستراتيجية المساعدة الخاصة بمص</vt:lpstr>
      <vt:lpstr>    </vt:lpstr>
      <vt:lpstr>    توصل التقييم الذي أجرته مجموعة التقييم المستقلة للمساعدات التي قدمتها مجموعة الب</vt:lpstr>
      <vt:lpstr>    خلصت التقييمات إلى أن المرونة وكذلك التركيز على الإصلاحات المؤسسية هما مفتاح تحق</vt:lpstr>
      <vt:lpstr>    نظرا لأهمية الحاجة إلى تحسين نظام الإدارة العامة والحوكمة، فإنه يمكن لبرنامج مجم</vt:lpstr>
      <vt:lpstr>    أوصت التقييمات أيضا بإحداث توازن بين المرونة من ناحية والانتقائية والتركيز على ا</vt:lpstr>
      <vt:lpstr>    أبرز استعراض الإنجاز والتعلُّم بوجه خاص أهمية الشراكات مع كلٍ من المجتمع المدني </vt:lpstr>
    </vt:vector>
  </TitlesOfParts>
  <Company>The World Bank Group</Company>
  <LinksUpToDate>false</LinksUpToDate>
  <CharactersWithSpaces>326584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Poonam Gupta</dc:creator>
  <cp:keywords/>
  <dc:description/>
  <cp:lastModifiedBy>Nehal Hassan El Kouesny</cp:lastModifiedBy>
  <cp:revision>25</cp:revision>
  <cp:lastPrinted>2015-12-21T05:47:00Z</cp:lastPrinted>
  <dcterms:created xsi:type="dcterms:W3CDTF">2016-03-07T15:59:00Z</dcterms:created>
  <dcterms:modified xsi:type="dcterms:W3CDTF">2016-03-29T17:24:00Z</dcterms:modified>
</cp:coreProperties>
</file>